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line="360" w:lineRule="auto"/>
        <w:jc w:val="center"/>
        <w:rPr>
          <w:rFonts w:ascii="宋体" w:hAnsi="宋体"/>
          <w:b/>
          <w:sz w:val="28"/>
          <w:szCs w:val="28"/>
        </w:rPr>
      </w:pPr>
      <w:r>
        <w:rPr>
          <w:rFonts w:hint="eastAsia" w:ascii="宋体" w:hAnsi="宋体"/>
          <w:b/>
          <w:bCs/>
          <w:sz w:val="28"/>
          <w:szCs w:val="28"/>
        </w:rPr>
        <w:t>综合评分法</w:t>
      </w:r>
    </w:p>
    <w:tbl>
      <w:tblPr>
        <w:tblStyle w:val="5"/>
        <w:tblW w:w="9356"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1418"/>
        <w:gridCol w:w="720"/>
        <w:gridCol w:w="608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trPr>
        <w:tc>
          <w:tcPr>
            <w:tcW w:w="9356" w:type="dxa"/>
            <w:gridSpan w:val="4"/>
            <w:vAlign w:val="center"/>
          </w:tcPr>
          <w:p>
            <w:pPr>
              <w:adjustRightInd w:val="0"/>
              <w:snapToGrid w:val="0"/>
              <w:spacing w:before="156" w:beforeLines="50" w:line="360" w:lineRule="auto"/>
              <w:jc w:val="center"/>
              <w:rPr>
                <w:rFonts w:ascii="宋体" w:hAnsi="宋体"/>
                <w:sz w:val="28"/>
                <w:szCs w:val="28"/>
              </w:rPr>
            </w:pPr>
            <w:r>
              <w:rPr>
                <w:rFonts w:hint="eastAsia" w:ascii="宋体" w:hAnsi="宋体"/>
                <w:b/>
                <w:bCs/>
                <w:sz w:val="28"/>
                <w:szCs w:val="28"/>
              </w:rPr>
              <w:t>评标方法及标准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26" w:hRule="atLeast"/>
        </w:trPr>
        <w:tc>
          <w:tcPr>
            <w:tcW w:w="2552" w:type="dxa"/>
            <w:gridSpan w:val="2"/>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评审因素</w:t>
            </w:r>
          </w:p>
        </w:tc>
        <w:tc>
          <w:tcPr>
            <w:tcW w:w="720" w:type="dxa"/>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分值</w:t>
            </w:r>
          </w:p>
        </w:tc>
        <w:tc>
          <w:tcPr>
            <w:tcW w:w="6084" w:type="dxa"/>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14" w:hRule="atLeast"/>
        </w:trPr>
        <w:tc>
          <w:tcPr>
            <w:tcW w:w="2552" w:type="dxa"/>
            <w:gridSpan w:val="2"/>
            <w:vAlign w:val="center"/>
          </w:tcPr>
          <w:p>
            <w:pPr>
              <w:adjustRightInd w:val="0"/>
              <w:snapToGrid w:val="0"/>
              <w:spacing w:before="156" w:beforeLines="50" w:line="300" w:lineRule="exact"/>
              <w:jc w:val="center"/>
              <w:rPr>
                <w:rFonts w:ascii="宋体" w:hAnsi="宋体" w:cs="宋体"/>
                <w:color w:val="000000"/>
                <w:kern w:val="0"/>
                <w:sz w:val="22"/>
                <w:szCs w:val="22"/>
              </w:rPr>
            </w:pPr>
            <w:r>
              <w:rPr>
                <w:rFonts w:hint="eastAsia" w:ascii="宋体" w:hAnsi="宋体" w:cs="宋体"/>
                <w:color w:val="000000"/>
                <w:kern w:val="0"/>
                <w:sz w:val="22"/>
                <w:szCs w:val="22"/>
              </w:rPr>
              <w:t>价格（权值50%）</w:t>
            </w:r>
          </w:p>
        </w:tc>
        <w:tc>
          <w:tcPr>
            <w:tcW w:w="720" w:type="dxa"/>
            <w:vAlign w:val="center"/>
          </w:tcPr>
          <w:p>
            <w:pPr>
              <w:adjustRightInd w:val="0"/>
              <w:snapToGrid w:val="0"/>
              <w:spacing w:before="156" w:beforeLines="50" w:line="360" w:lineRule="auto"/>
              <w:jc w:val="center"/>
              <w:rPr>
                <w:rFonts w:ascii="宋体" w:hAnsi="宋体" w:cs="宋体"/>
                <w:color w:val="000000"/>
                <w:kern w:val="0"/>
                <w:sz w:val="22"/>
                <w:szCs w:val="22"/>
              </w:rPr>
            </w:pPr>
            <w:r>
              <w:rPr>
                <w:rFonts w:hint="eastAsia" w:ascii="宋体" w:hAnsi="宋体" w:cs="宋体"/>
                <w:color w:val="000000"/>
                <w:kern w:val="0"/>
                <w:sz w:val="22"/>
                <w:szCs w:val="22"/>
              </w:rPr>
              <w:t>50分</w:t>
            </w:r>
          </w:p>
        </w:tc>
        <w:tc>
          <w:tcPr>
            <w:tcW w:w="6084" w:type="dxa"/>
            <w:vAlign w:val="center"/>
          </w:tcPr>
          <w:p>
            <w:pPr>
              <w:widowControl/>
              <w:spacing w:before="100" w:beforeAutospacing="1" w:after="100" w:afterAutospacing="1"/>
              <w:jc w:val="left"/>
              <w:rPr>
                <w:rFonts w:hint="eastAsia" w:ascii="宋体" w:hAnsi="宋体" w:eastAsia="宋体" w:cs="宋体"/>
                <w:color w:val="000000"/>
                <w:kern w:val="0"/>
                <w:sz w:val="22"/>
                <w:szCs w:val="22"/>
                <w:lang w:val="en-US" w:eastAsia="zh-CN"/>
              </w:rPr>
            </w:pPr>
            <w:r>
              <w:rPr>
                <w:rFonts w:ascii="宋体" w:hAnsi="宋体" w:cs="宋体"/>
                <w:color w:val="000000"/>
                <w:kern w:val="0"/>
                <w:sz w:val="22"/>
                <w:szCs w:val="22"/>
              </w:rPr>
              <w:t>满足招标文件要求且投标价格最低的投标报价为评标基准价，其价格分为满分。其他投标人的价格分统一按照下列公式计算：</w:t>
            </w:r>
            <w:r>
              <w:rPr>
                <w:rFonts w:hint="eastAsia" w:ascii="宋体" w:hAnsi="宋体" w:cs="宋体"/>
                <w:color w:val="000000"/>
                <w:kern w:val="0"/>
                <w:sz w:val="22"/>
                <w:szCs w:val="22"/>
              </w:rPr>
              <w:t>报价得分＝评标基准价÷投标报价×价格权值×100</w:t>
            </w:r>
            <w:r>
              <w:rPr>
                <w:rFonts w:hint="eastAsia" w:ascii="宋体" w:hAnsi="宋体" w:cs="宋体"/>
                <w:color w:val="000000"/>
                <w:kern w:val="0"/>
                <w:sz w:val="22"/>
                <w:szCs w:val="2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1134" w:type="dxa"/>
            <w:vAlign w:val="center"/>
          </w:tcPr>
          <w:p>
            <w:pPr>
              <w:adjustRightInd w:val="0"/>
              <w:snapToGrid w:val="0"/>
              <w:spacing w:before="156" w:beforeLines="50" w:line="360" w:lineRule="auto"/>
              <w:jc w:val="center"/>
              <w:rPr>
                <w:rFonts w:ascii="宋体" w:hAnsi="宋体"/>
                <w:szCs w:val="21"/>
              </w:rPr>
            </w:pPr>
            <w:r>
              <w:rPr>
                <w:rFonts w:hint="eastAsia" w:ascii="宋体" w:hAnsi="宋体" w:cs="宋体"/>
                <w:color w:val="000000"/>
                <w:szCs w:val="21"/>
              </w:rPr>
              <w:t>技术部分（权值40%）</w:t>
            </w:r>
          </w:p>
        </w:tc>
        <w:tc>
          <w:tcPr>
            <w:tcW w:w="1418" w:type="dxa"/>
            <w:vAlign w:val="center"/>
          </w:tcPr>
          <w:p>
            <w:pPr>
              <w:rPr>
                <w:rFonts w:ascii="宋体" w:hAnsi="宋体"/>
                <w:szCs w:val="21"/>
              </w:rPr>
            </w:pPr>
            <w:r>
              <w:rPr>
                <w:rFonts w:hint="eastAsia"/>
              </w:rPr>
              <w:t>设备技术指标、参数、性能</w:t>
            </w:r>
          </w:p>
        </w:tc>
        <w:tc>
          <w:tcPr>
            <w:tcW w:w="720" w:type="dxa"/>
            <w:vAlign w:val="center"/>
          </w:tcPr>
          <w:p>
            <w:pPr>
              <w:jc w:val="center"/>
              <w:rPr>
                <w:rFonts w:ascii="宋体" w:hAnsi="宋体"/>
                <w:szCs w:val="21"/>
              </w:rPr>
            </w:pPr>
            <w:r>
              <w:rPr>
                <w:rFonts w:hint="eastAsia" w:ascii="宋体" w:hAnsi="宋体"/>
              </w:rPr>
              <w:t>40分</w:t>
            </w:r>
          </w:p>
        </w:tc>
        <w:tc>
          <w:tcPr>
            <w:tcW w:w="6084" w:type="dxa"/>
          </w:tcPr>
          <w:p>
            <w:pPr>
              <w:rPr>
                <w:rFonts w:ascii="宋体" w:hAnsi="宋体"/>
                <w:szCs w:val="21"/>
              </w:rPr>
            </w:pPr>
            <w:r>
              <w:rPr>
                <w:rFonts w:hint="eastAsia" w:ascii="宋体" w:hAnsi="宋体"/>
                <w:szCs w:val="21"/>
              </w:rPr>
              <w:t>1、技术参数完全符合招标文件要求的，其技术</w:t>
            </w:r>
            <w:r>
              <w:rPr>
                <w:rFonts w:ascii="宋体" w:hAnsi="宋体"/>
                <w:szCs w:val="21"/>
              </w:rPr>
              <w:t>分为满分</w:t>
            </w:r>
            <w:r>
              <w:rPr>
                <w:rFonts w:hint="eastAsia" w:ascii="宋体" w:hAnsi="宋体"/>
                <w:szCs w:val="21"/>
              </w:rPr>
              <w:t>40分。</w:t>
            </w:r>
          </w:p>
          <w:p>
            <w:pPr>
              <w:rPr>
                <w:rFonts w:ascii="宋体" w:hAnsi="宋体"/>
                <w:szCs w:val="21"/>
              </w:rPr>
            </w:pPr>
            <w:r>
              <w:rPr>
                <w:rFonts w:hint="eastAsia" w:ascii="宋体" w:hAnsi="宋体"/>
                <w:szCs w:val="21"/>
              </w:rPr>
              <w:t>2、技术参数要求条款有偏离的，每项扣2分，扣完技术</w:t>
            </w:r>
            <w:r>
              <w:rPr>
                <w:rFonts w:ascii="宋体" w:hAnsi="宋体"/>
                <w:szCs w:val="21"/>
              </w:rPr>
              <w:t>分</w:t>
            </w:r>
            <w:r>
              <w:rPr>
                <w:rFonts w:hint="eastAsia" w:ascii="宋体" w:hAnsi="宋体"/>
                <w:szCs w:val="21"/>
              </w:rPr>
              <w:t>为止。</w:t>
            </w:r>
          </w:p>
          <w:p>
            <w:pPr>
              <w:rPr>
                <w:rFonts w:ascii="宋体" w:hAnsi="宋体"/>
                <w:szCs w:val="21"/>
              </w:rPr>
            </w:pPr>
            <w:r>
              <w:rPr>
                <w:rFonts w:hint="eastAsia" w:ascii="宋体" w:hAnsi="宋体"/>
                <w:szCs w:val="21"/>
              </w:rPr>
              <w:t>注：偏离：不满足招标参数要求，配置不详，缺漏项，技术参数表述不清的。</w:t>
            </w:r>
          </w:p>
          <w:p>
            <w:pPr>
              <w:rPr>
                <w:rFonts w:ascii="宋体" w:hAnsi="宋体"/>
                <w:szCs w:val="21"/>
              </w:rPr>
            </w:pPr>
            <w:r>
              <w:rPr>
                <w:rFonts w:hint="eastAsia" w:ascii="宋体" w:hAnsi="宋体"/>
                <w:szCs w:val="21"/>
              </w:rPr>
              <w:t>条款数计算：</w:t>
            </w:r>
            <w:r>
              <w:rPr>
                <w:rFonts w:ascii="宋体" w:hAnsi="宋体"/>
                <w:szCs w:val="21"/>
              </w:rPr>
              <w:t>招标文件中，凡编排有单独的中文序数或阿拉伯数字或英文字母序列号等字符的条款算一项商务或技术要求项数</w:t>
            </w:r>
            <w:r>
              <w:rPr>
                <w:rFonts w:hint="eastAsia" w:ascii="宋体" w:hAnsi="宋体"/>
                <w:szCs w:val="21"/>
              </w:rPr>
              <w:t>。</w:t>
            </w:r>
            <w:r>
              <w:rPr>
                <w:rFonts w:ascii="宋体" w:hAnsi="宋体" w:cs="宋体"/>
                <w:color w:val="FF0000"/>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52" w:hRule="atLeast"/>
        </w:trPr>
        <w:tc>
          <w:tcPr>
            <w:tcW w:w="1134" w:type="dxa"/>
            <w:vMerge w:val="restart"/>
            <w:vAlign w:val="center"/>
          </w:tcPr>
          <w:p>
            <w:pPr>
              <w:adjustRightInd w:val="0"/>
              <w:snapToGrid w:val="0"/>
              <w:spacing w:before="156" w:beforeLines="50" w:line="360" w:lineRule="auto"/>
              <w:jc w:val="center"/>
              <w:rPr>
                <w:rFonts w:ascii="宋体" w:hAnsi="宋体"/>
                <w:szCs w:val="21"/>
              </w:rPr>
            </w:pPr>
            <w:r>
              <w:rPr>
                <w:rFonts w:hint="eastAsia" w:ascii="宋体" w:hAnsi="宋体"/>
                <w:szCs w:val="21"/>
              </w:rPr>
              <w:t>商务部分</w:t>
            </w:r>
            <w:r>
              <w:rPr>
                <w:rFonts w:hint="eastAsia" w:ascii="宋体" w:hAnsi="宋体" w:cs="宋体"/>
                <w:color w:val="000000"/>
                <w:kern w:val="0"/>
                <w:sz w:val="22"/>
                <w:szCs w:val="22"/>
              </w:rPr>
              <w:t>（权值为10%）</w:t>
            </w:r>
          </w:p>
        </w:tc>
        <w:tc>
          <w:tcPr>
            <w:tcW w:w="1418" w:type="dxa"/>
            <w:tcBorders>
              <w:bottom w:val="single" w:color="auto" w:sz="6" w:space="0"/>
            </w:tcBorders>
            <w:vAlign w:val="center"/>
          </w:tcPr>
          <w:p>
            <w:pPr>
              <w:jc w:val="center"/>
              <w:rPr>
                <w:rFonts w:ascii="宋体" w:hAnsi="宋体"/>
                <w:szCs w:val="21"/>
              </w:rPr>
            </w:pPr>
            <w:r>
              <w:rPr>
                <w:rFonts w:hint="eastAsia" w:ascii="宋体" w:hAnsi="宋体"/>
                <w:szCs w:val="21"/>
              </w:rPr>
              <w:t>售后服务</w:t>
            </w:r>
          </w:p>
        </w:tc>
        <w:tc>
          <w:tcPr>
            <w:tcW w:w="720" w:type="dxa"/>
            <w:vAlign w:val="center"/>
          </w:tcPr>
          <w:p>
            <w:pPr>
              <w:jc w:val="center"/>
              <w:rPr>
                <w:rFonts w:ascii="宋体" w:hAnsi="宋体"/>
                <w:szCs w:val="21"/>
              </w:rPr>
            </w:pPr>
            <w:r>
              <w:rPr>
                <w:rFonts w:ascii="宋体" w:hAnsi="宋体"/>
                <w:szCs w:val="21"/>
              </w:rPr>
              <w:t>7</w:t>
            </w:r>
            <w:r>
              <w:rPr>
                <w:rFonts w:hint="eastAsia" w:ascii="宋体" w:hAnsi="宋体"/>
                <w:szCs w:val="21"/>
              </w:rPr>
              <w:t>分</w:t>
            </w:r>
          </w:p>
        </w:tc>
        <w:tc>
          <w:tcPr>
            <w:tcW w:w="6084" w:type="dxa"/>
          </w:tcPr>
          <w:p>
            <w:pPr>
              <w:spacing w:line="360" w:lineRule="exact"/>
              <w:rPr>
                <w:rFonts w:ascii="宋体" w:hAnsi="宋体"/>
                <w:szCs w:val="21"/>
              </w:rPr>
            </w:pPr>
            <w:r>
              <w:rPr>
                <w:rFonts w:hint="eastAsia" w:ascii="宋体" w:hAnsi="宋体"/>
                <w:szCs w:val="21"/>
              </w:rPr>
              <w:t>1、提供的</w:t>
            </w:r>
            <w:r>
              <w:rPr>
                <w:rFonts w:ascii="宋体" w:hAnsi="宋体"/>
                <w:szCs w:val="21"/>
              </w:rPr>
              <w:t>是</w:t>
            </w:r>
            <w:r>
              <w:rPr>
                <w:rFonts w:hint="eastAsia" w:ascii="宋体" w:hAnsi="宋体"/>
                <w:szCs w:val="21"/>
              </w:rPr>
              <w:t>厂方售后服务承诺书的加</w:t>
            </w:r>
            <w:r>
              <w:rPr>
                <w:rFonts w:ascii="宋体" w:hAnsi="宋体"/>
                <w:szCs w:val="21"/>
              </w:rPr>
              <w:t>1</w:t>
            </w:r>
            <w:r>
              <w:rPr>
                <w:rFonts w:hint="eastAsia" w:ascii="宋体" w:hAnsi="宋体"/>
                <w:szCs w:val="21"/>
              </w:rPr>
              <w:t>分。</w:t>
            </w:r>
          </w:p>
          <w:p>
            <w:pPr>
              <w:spacing w:line="360" w:lineRule="exact"/>
              <w:rPr>
                <w:rFonts w:ascii="宋体" w:hAnsi="宋体"/>
                <w:szCs w:val="21"/>
              </w:rPr>
            </w:pPr>
            <w:r>
              <w:rPr>
                <w:rFonts w:ascii="宋体" w:hAnsi="宋体"/>
                <w:szCs w:val="21"/>
              </w:rPr>
              <w:t>2</w:t>
            </w:r>
            <w:r>
              <w:rPr>
                <w:rFonts w:hint="eastAsia" w:ascii="宋体" w:hAnsi="宋体"/>
                <w:szCs w:val="21"/>
              </w:rPr>
              <w:t>、</w:t>
            </w:r>
            <w:r>
              <w:rPr>
                <w:rFonts w:ascii="宋体" w:hAnsi="宋体"/>
                <w:szCs w:val="21"/>
              </w:rPr>
              <w:t>提供的</w:t>
            </w:r>
            <w:r>
              <w:rPr>
                <w:rFonts w:hint="eastAsia" w:ascii="宋体" w:hAnsi="宋体"/>
                <w:szCs w:val="21"/>
              </w:rPr>
              <w:t>售后服务承诺书或</w:t>
            </w:r>
            <w:r>
              <w:rPr>
                <w:rFonts w:ascii="宋体" w:hAnsi="宋体"/>
                <w:szCs w:val="21"/>
              </w:rPr>
              <w:t>售后</w:t>
            </w:r>
            <w:r>
              <w:rPr>
                <w:rFonts w:hint="eastAsia" w:ascii="宋体" w:hAnsi="宋体"/>
                <w:szCs w:val="21"/>
              </w:rPr>
              <w:t>服务</w:t>
            </w:r>
            <w:r>
              <w:rPr>
                <w:rFonts w:ascii="宋体" w:hAnsi="宋体"/>
                <w:szCs w:val="21"/>
              </w:rPr>
              <w:t>方案</w:t>
            </w:r>
            <w:r>
              <w:rPr>
                <w:rFonts w:hint="eastAsia" w:ascii="宋体" w:hAnsi="宋体"/>
                <w:szCs w:val="21"/>
              </w:rPr>
              <w:t>明确了①免费质保</w:t>
            </w:r>
            <w:r>
              <w:rPr>
                <w:rFonts w:ascii="宋体" w:hAnsi="宋体"/>
                <w:szCs w:val="21"/>
              </w:rPr>
              <w:t>期限、</w:t>
            </w:r>
            <w:r>
              <w:rPr>
                <w:rFonts w:hint="eastAsia" w:ascii="宋体" w:hAnsi="宋体"/>
                <w:szCs w:val="21"/>
              </w:rPr>
              <w:t>②故障报修</w:t>
            </w:r>
            <w:r>
              <w:rPr>
                <w:rFonts w:ascii="宋体" w:hAnsi="宋体"/>
                <w:szCs w:val="21"/>
              </w:rPr>
              <w:t>响应时间</w:t>
            </w:r>
            <w:r>
              <w:rPr>
                <w:rFonts w:hint="eastAsia" w:ascii="宋体" w:hAnsi="宋体"/>
                <w:szCs w:val="21"/>
              </w:rPr>
              <w:t>及</w:t>
            </w:r>
            <w:r>
              <w:rPr>
                <w:rFonts w:ascii="宋体" w:hAnsi="宋体"/>
                <w:szCs w:val="21"/>
              </w:rPr>
              <w:t>到场时间、</w:t>
            </w:r>
            <w:r>
              <w:rPr>
                <w:rFonts w:hint="eastAsia" w:ascii="宋体" w:hAnsi="宋体"/>
                <w:szCs w:val="21"/>
              </w:rPr>
              <w:t>③售后</w:t>
            </w:r>
            <w:r>
              <w:rPr>
                <w:rFonts w:ascii="宋体" w:hAnsi="宋体"/>
                <w:szCs w:val="21"/>
              </w:rPr>
              <w:t>服务体系健全（售后</w:t>
            </w:r>
            <w:r>
              <w:rPr>
                <w:rFonts w:hint="eastAsia" w:ascii="宋体" w:hAnsi="宋体"/>
                <w:szCs w:val="21"/>
              </w:rPr>
              <w:t>网</w:t>
            </w:r>
            <w:r>
              <w:rPr>
                <w:rFonts w:ascii="宋体" w:hAnsi="宋体"/>
                <w:szCs w:val="21"/>
              </w:rPr>
              <w:t>点</w:t>
            </w:r>
            <w:r>
              <w:rPr>
                <w:rFonts w:hint="eastAsia" w:ascii="宋体" w:hAnsi="宋体"/>
                <w:szCs w:val="21"/>
              </w:rPr>
              <w:t>地址</w:t>
            </w:r>
            <w:r>
              <w:rPr>
                <w:rFonts w:ascii="宋体" w:hAnsi="宋体"/>
                <w:szCs w:val="21"/>
              </w:rPr>
              <w:t>及</w:t>
            </w:r>
            <w:r>
              <w:rPr>
                <w:rFonts w:hint="eastAsia" w:ascii="宋体" w:hAnsi="宋体"/>
                <w:szCs w:val="21"/>
              </w:rPr>
              <w:t>联络</w:t>
            </w:r>
            <w:r>
              <w:rPr>
                <w:rFonts w:ascii="宋体" w:hAnsi="宋体"/>
                <w:szCs w:val="21"/>
              </w:rPr>
              <w:t>方式</w:t>
            </w:r>
            <w:r>
              <w:rPr>
                <w:rFonts w:hint="eastAsia" w:ascii="宋体" w:hAnsi="宋体"/>
                <w:szCs w:val="21"/>
              </w:rPr>
              <w:t>）</w:t>
            </w:r>
            <w:r>
              <w:rPr>
                <w:rFonts w:ascii="宋体" w:hAnsi="宋体"/>
                <w:szCs w:val="21"/>
              </w:rPr>
              <w:t>、</w:t>
            </w:r>
            <w:r>
              <w:rPr>
                <w:rFonts w:hint="eastAsia" w:ascii="宋体" w:hAnsi="宋体"/>
                <w:szCs w:val="21"/>
              </w:rPr>
              <w:t>④报修</w:t>
            </w:r>
            <w:r>
              <w:rPr>
                <w:rFonts w:ascii="宋体" w:hAnsi="宋体"/>
                <w:szCs w:val="21"/>
              </w:rPr>
              <w:t>期应</w:t>
            </w:r>
            <w:r>
              <w:rPr>
                <w:rFonts w:hint="eastAsia" w:ascii="宋体" w:hAnsi="宋体"/>
                <w:szCs w:val="21"/>
              </w:rPr>
              <w:t>急</w:t>
            </w:r>
            <w:r>
              <w:rPr>
                <w:rFonts w:ascii="宋体" w:hAnsi="宋体"/>
                <w:szCs w:val="21"/>
              </w:rPr>
              <w:t>措施</w:t>
            </w:r>
            <w:r>
              <w:rPr>
                <w:rFonts w:hint="eastAsia" w:ascii="宋体" w:hAnsi="宋体"/>
                <w:szCs w:val="21"/>
              </w:rPr>
              <w:t>、⑤操作</w:t>
            </w:r>
            <w:r>
              <w:rPr>
                <w:rFonts w:ascii="宋体" w:hAnsi="宋体"/>
                <w:szCs w:val="21"/>
              </w:rPr>
              <w:t>培训计划</w:t>
            </w:r>
          </w:p>
          <w:p>
            <w:pPr>
              <w:spacing w:line="360" w:lineRule="exact"/>
              <w:rPr>
                <w:rFonts w:ascii="宋体" w:hAnsi="宋体"/>
                <w:szCs w:val="21"/>
              </w:rPr>
            </w:pPr>
            <w:r>
              <w:rPr>
                <w:rFonts w:ascii="宋体" w:hAnsi="宋体"/>
                <w:szCs w:val="21"/>
              </w:rPr>
              <w:t>该5</w:t>
            </w:r>
            <w:r>
              <w:rPr>
                <w:rFonts w:hint="eastAsia" w:ascii="宋体" w:hAnsi="宋体"/>
                <w:szCs w:val="21"/>
              </w:rPr>
              <w:t>项</w:t>
            </w:r>
            <w:r>
              <w:rPr>
                <w:rFonts w:ascii="宋体" w:hAnsi="宋体"/>
                <w:szCs w:val="21"/>
              </w:rPr>
              <w:t>每</w:t>
            </w:r>
            <w:r>
              <w:rPr>
                <w:rFonts w:hint="eastAsia" w:ascii="宋体" w:hAnsi="宋体"/>
                <w:szCs w:val="21"/>
              </w:rPr>
              <w:t>缺漏</w:t>
            </w:r>
            <w:r>
              <w:rPr>
                <w:rFonts w:ascii="宋体" w:hAnsi="宋体"/>
                <w:szCs w:val="21"/>
              </w:rPr>
              <w:t>一项</w:t>
            </w:r>
            <w:r>
              <w:rPr>
                <w:rFonts w:hint="eastAsia" w:ascii="宋体" w:hAnsi="宋体"/>
                <w:szCs w:val="21"/>
              </w:rPr>
              <w:t>扣</w:t>
            </w:r>
            <w:r>
              <w:rPr>
                <w:rFonts w:ascii="宋体" w:hAnsi="宋体"/>
                <w:szCs w:val="21"/>
              </w:rPr>
              <w:t>5</w:t>
            </w:r>
            <w:r>
              <w:rPr>
                <w:rFonts w:hint="eastAsia" w:ascii="宋体" w:hAnsi="宋体"/>
                <w:szCs w:val="21"/>
              </w:rPr>
              <w:t>分</w:t>
            </w:r>
          </w:p>
          <w:p>
            <w:pPr>
              <w:spacing w:line="360" w:lineRule="exact"/>
              <w:rPr>
                <w:rFonts w:ascii="宋体" w:hAnsi="宋体"/>
                <w:szCs w:val="21"/>
              </w:rPr>
            </w:pPr>
            <w:r>
              <w:rPr>
                <w:rFonts w:ascii="宋体" w:hAnsi="宋体"/>
                <w:szCs w:val="21"/>
              </w:rPr>
              <w:t>4</w:t>
            </w:r>
            <w:r>
              <w:rPr>
                <w:rFonts w:hint="eastAsia" w:ascii="宋体" w:hAnsi="宋体"/>
                <w:szCs w:val="21"/>
              </w:rPr>
              <w:t>、质保期在招标要求基础上再增加1年及以上的加1分，最高可加1分。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7" w:hRule="atLeast"/>
        </w:trPr>
        <w:tc>
          <w:tcPr>
            <w:tcW w:w="1134" w:type="dxa"/>
            <w:vMerge w:val="continue"/>
            <w:vAlign w:val="center"/>
          </w:tcPr>
          <w:p>
            <w:pPr>
              <w:adjustRightInd w:val="0"/>
              <w:snapToGrid w:val="0"/>
              <w:spacing w:before="156" w:beforeLines="50" w:line="360" w:lineRule="auto"/>
              <w:jc w:val="center"/>
              <w:rPr>
                <w:rFonts w:ascii="宋体" w:hAnsi="宋体"/>
                <w:szCs w:val="21"/>
              </w:rPr>
            </w:pPr>
          </w:p>
        </w:tc>
        <w:tc>
          <w:tcPr>
            <w:tcW w:w="1418" w:type="dxa"/>
            <w:vAlign w:val="center"/>
          </w:tcPr>
          <w:p>
            <w:pPr>
              <w:jc w:val="center"/>
              <w:rPr>
                <w:rFonts w:ascii="宋体" w:hAnsi="宋体"/>
                <w:szCs w:val="21"/>
              </w:rPr>
            </w:pPr>
            <w:r>
              <w:rPr>
                <w:rFonts w:hint="eastAsia" w:ascii="宋体" w:hAnsi="宋体"/>
                <w:szCs w:val="21"/>
              </w:rPr>
              <w:t>经营业绩</w:t>
            </w:r>
          </w:p>
        </w:tc>
        <w:tc>
          <w:tcPr>
            <w:tcW w:w="720" w:type="dxa"/>
            <w:vAlign w:val="center"/>
          </w:tcPr>
          <w:p>
            <w:pPr>
              <w:jc w:val="center"/>
              <w:rPr>
                <w:rFonts w:ascii="宋体" w:hAnsi="宋体"/>
                <w:szCs w:val="21"/>
              </w:rPr>
            </w:pPr>
            <w:r>
              <w:rPr>
                <w:rFonts w:hint="eastAsia" w:ascii="宋体" w:hAnsi="宋体"/>
                <w:szCs w:val="21"/>
              </w:rPr>
              <w:t>2分</w:t>
            </w:r>
          </w:p>
        </w:tc>
        <w:tc>
          <w:tcPr>
            <w:tcW w:w="6084" w:type="dxa"/>
          </w:tcPr>
          <w:p>
            <w:pPr>
              <w:rPr>
                <w:rFonts w:ascii="宋体" w:hAnsi="宋体"/>
                <w:szCs w:val="21"/>
              </w:rPr>
            </w:pPr>
            <w:r>
              <w:rPr>
                <w:rFonts w:hint="eastAsia" w:ascii="宋体" w:hAnsi="宋体"/>
                <w:szCs w:val="21"/>
              </w:rPr>
              <w:t>提供20</w:t>
            </w:r>
            <w:r>
              <w:rPr>
                <w:rFonts w:hint="eastAsia" w:ascii="宋体" w:hAnsi="宋体"/>
                <w:szCs w:val="21"/>
                <w:lang w:val="en-US" w:eastAsia="zh-CN"/>
              </w:rPr>
              <w:t>20</w:t>
            </w:r>
            <w:bookmarkStart w:id="1" w:name="_GoBack"/>
            <w:bookmarkEnd w:id="1"/>
            <w:r>
              <w:rPr>
                <w:rFonts w:hint="eastAsia" w:ascii="宋体" w:hAnsi="宋体"/>
                <w:szCs w:val="21"/>
              </w:rPr>
              <w:t>年1月1日起至今的同类项目在国内销售的，每提供1份成交合同或中标通知书的计</w:t>
            </w:r>
            <w:r>
              <w:rPr>
                <w:rFonts w:ascii="宋体" w:hAnsi="宋体"/>
                <w:szCs w:val="21"/>
              </w:rPr>
              <w:t>1</w:t>
            </w:r>
            <w:r>
              <w:rPr>
                <w:rFonts w:hint="eastAsia" w:ascii="宋体" w:hAnsi="宋体"/>
                <w:szCs w:val="21"/>
              </w:rPr>
              <w:t>分，最多可得2分，均须提供复印件。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90" w:hRule="atLeast"/>
        </w:trPr>
        <w:tc>
          <w:tcPr>
            <w:tcW w:w="1134" w:type="dxa"/>
            <w:vMerge w:val="continue"/>
            <w:vAlign w:val="center"/>
          </w:tcPr>
          <w:p>
            <w:pPr>
              <w:adjustRightInd w:val="0"/>
              <w:snapToGrid w:val="0"/>
              <w:spacing w:before="156" w:beforeLines="50" w:line="360" w:lineRule="auto"/>
              <w:jc w:val="center"/>
              <w:rPr>
                <w:rFonts w:ascii="宋体" w:hAnsi="宋体"/>
                <w:szCs w:val="21"/>
              </w:rPr>
            </w:pPr>
          </w:p>
        </w:tc>
        <w:tc>
          <w:tcPr>
            <w:tcW w:w="1418" w:type="dxa"/>
            <w:vAlign w:val="center"/>
          </w:tcPr>
          <w:p>
            <w:pPr>
              <w:jc w:val="center"/>
              <w:rPr>
                <w:rFonts w:ascii="宋体" w:hAnsi="宋体"/>
                <w:szCs w:val="21"/>
              </w:rPr>
            </w:pPr>
            <w:r>
              <w:rPr>
                <w:rFonts w:hint="eastAsia" w:ascii="宋体" w:hAnsi="宋体"/>
                <w:szCs w:val="21"/>
              </w:rPr>
              <w:t>投标书编制</w:t>
            </w:r>
          </w:p>
        </w:tc>
        <w:tc>
          <w:tcPr>
            <w:tcW w:w="720" w:type="dxa"/>
            <w:vAlign w:val="center"/>
          </w:tcPr>
          <w:p>
            <w:pPr>
              <w:jc w:val="center"/>
              <w:rPr>
                <w:rFonts w:ascii="宋体" w:hAnsi="宋体"/>
                <w:szCs w:val="21"/>
              </w:rPr>
            </w:pPr>
            <w:r>
              <w:rPr>
                <w:rFonts w:hint="eastAsia" w:ascii="宋体" w:hAnsi="宋体"/>
                <w:szCs w:val="21"/>
              </w:rPr>
              <w:t>1分</w:t>
            </w:r>
          </w:p>
        </w:tc>
        <w:tc>
          <w:tcPr>
            <w:tcW w:w="6084" w:type="dxa"/>
          </w:tcPr>
          <w:p>
            <w:pPr>
              <w:spacing w:line="360" w:lineRule="exact"/>
              <w:rPr>
                <w:rFonts w:ascii="宋体" w:hAnsi="宋体"/>
                <w:szCs w:val="21"/>
              </w:rPr>
            </w:pPr>
            <w:r>
              <w:rPr>
                <w:rFonts w:hint="eastAsia" w:ascii="宋体" w:hAnsi="宋体"/>
                <w:szCs w:val="21"/>
              </w:rPr>
              <w:t>投标书按招标文件规定的格式、顺序编制，有目录、编页码、装订成册，书面整洁无涂改，没有缺漏项，价格数量等计算准确的，计1分；不符合要求的，每处扣0.</w:t>
            </w:r>
            <w:r>
              <w:rPr>
                <w:rFonts w:ascii="宋体" w:hAnsi="宋体"/>
                <w:szCs w:val="21"/>
              </w:rPr>
              <w:t>2</w:t>
            </w:r>
            <w:r>
              <w:rPr>
                <w:rFonts w:hint="eastAsia" w:ascii="宋体" w:hAnsi="宋体"/>
                <w:szCs w:val="21"/>
              </w:rPr>
              <w:t>分，扣完为止。</w:t>
            </w:r>
          </w:p>
        </w:tc>
      </w:tr>
    </w:tbl>
    <w:p>
      <w:pPr>
        <w:rPr>
          <w:rFonts w:ascii="新宋体" w:hAnsi="新宋体" w:eastAsia="新宋体"/>
          <w:spacing w:val="-2"/>
          <w:szCs w:val="21"/>
        </w:rPr>
      </w:pPr>
      <w:r>
        <w:rPr>
          <w:rFonts w:hint="eastAsia"/>
        </w:rPr>
        <w:t>注：1、</w:t>
      </w:r>
      <w:r>
        <w:rPr>
          <w:rFonts w:hint="eastAsia" w:ascii="宋体" w:hAnsi="宋体"/>
          <w:szCs w:val="21"/>
        </w:rPr>
        <w:t>标“</w:t>
      </w:r>
      <w:r>
        <w:rPr>
          <w:rFonts w:hint="eastAsia" w:ascii="新宋体" w:hAnsi="新宋体" w:eastAsia="新宋体"/>
          <w:spacing w:val="-2"/>
          <w:szCs w:val="21"/>
        </w:rPr>
        <w:t>★</w:t>
      </w:r>
      <w:r>
        <w:rPr>
          <w:rFonts w:hint="eastAsia" w:ascii="宋体" w:hAnsi="宋体"/>
          <w:szCs w:val="21"/>
        </w:rPr>
        <w:t>”和“*”号款</w:t>
      </w:r>
      <w:r>
        <w:rPr>
          <w:rFonts w:hint="eastAsia" w:ascii="新宋体" w:hAnsi="新宋体" w:eastAsia="新宋体"/>
          <w:spacing w:val="-2"/>
          <w:szCs w:val="21"/>
        </w:rPr>
        <w:t>为实质性响应项，任何一项有负偏离，取消投标人资格；</w:t>
      </w:r>
    </w:p>
    <w:p>
      <w:pPr>
        <w:ind w:left="824" w:hanging="824" w:hangingChars="400"/>
        <w:rPr>
          <w:rFonts w:hint="eastAsia" w:ascii="新宋体" w:hAnsi="新宋体" w:eastAsia="新宋体"/>
          <w:spacing w:val="-2"/>
          <w:szCs w:val="21"/>
          <w:lang w:val="en-US" w:eastAsia="zh-CN"/>
        </w:rPr>
      </w:pPr>
      <w:r>
        <w:rPr>
          <w:rFonts w:hint="eastAsia" w:ascii="新宋体" w:hAnsi="新宋体" w:eastAsia="新宋体"/>
          <w:spacing w:val="-2"/>
          <w:szCs w:val="21"/>
        </w:rPr>
        <w:t xml:space="preserve">  </w:t>
      </w:r>
      <w:r>
        <w:rPr>
          <w:rFonts w:hint="eastAsia" w:ascii="新宋体" w:hAnsi="新宋体" w:eastAsia="新宋体"/>
          <w:spacing w:val="-2"/>
          <w:szCs w:val="21"/>
          <w:lang w:val="en-US" w:eastAsia="zh-CN"/>
        </w:rPr>
        <w:t xml:space="preserve"> </w:t>
      </w:r>
      <w:r>
        <w:rPr>
          <w:rFonts w:hint="eastAsia" w:ascii="新宋体" w:hAnsi="新宋体" w:eastAsia="新宋体"/>
          <w:spacing w:val="-2"/>
          <w:szCs w:val="21"/>
        </w:rPr>
        <w:t xml:space="preserve"> </w:t>
      </w:r>
      <w:r>
        <w:rPr>
          <w:rFonts w:hint="eastAsia" w:ascii="新宋体" w:hAnsi="新宋体" w:eastAsia="新宋体"/>
          <w:spacing w:val="-2"/>
          <w:szCs w:val="21"/>
          <w:lang w:val="en-US" w:eastAsia="zh-CN"/>
        </w:rPr>
        <w:t>2、打“▲”号条款为重要技术参数（如有），若有部分“▲”条款未响应或不满足，将根据评审要求影响其得分，但不作为无效投标（响应）条款。</w:t>
      </w:r>
    </w:p>
    <w:p>
      <w:pPr>
        <w:ind w:firstLine="412" w:firstLineChars="200"/>
      </w:pPr>
      <w:r>
        <w:rPr>
          <w:rFonts w:hint="eastAsia" w:ascii="新宋体" w:hAnsi="新宋体" w:eastAsia="新宋体"/>
          <w:spacing w:val="-2"/>
          <w:szCs w:val="21"/>
          <w:lang w:val="en-US" w:eastAsia="zh-CN"/>
        </w:rPr>
        <w:t>3</w:t>
      </w:r>
      <w:r>
        <w:rPr>
          <w:rFonts w:hint="eastAsia" w:ascii="新宋体" w:hAnsi="新宋体" w:eastAsia="新宋体"/>
          <w:spacing w:val="-2"/>
          <w:szCs w:val="21"/>
        </w:rPr>
        <w:t>、</w:t>
      </w:r>
      <w:r>
        <w:rPr>
          <w:rFonts w:hint="eastAsia" w:ascii="宋体" w:hAnsi="宋体"/>
          <w:color w:val="000000"/>
          <w:szCs w:val="21"/>
        </w:rPr>
        <w:t>非实质性商务</w:t>
      </w:r>
      <w:r>
        <w:rPr>
          <w:rFonts w:hint="eastAsia" w:ascii="宋体" w:hAnsi="宋体"/>
          <w:color w:val="000000"/>
          <w:spacing w:val="4"/>
          <w:szCs w:val="21"/>
        </w:rPr>
        <w:t>和</w:t>
      </w:r>
      <w:r>
        <w:rPr>
          <w:rFonts w:hint="eastAsia" w:ascii="宋体" w:hAnsi="宋体"/>
          <w:color w:val="000000"/>
          <w:szCs w:val="21"/>
        </w:rPr>
        <w:t>技术条款偏离项数之和超过</w:t>
      </w:r>
      <w:r>
        <w:rPr>
          <w:rFonts w:hint="eastAsia" w:ascii="宋体" w:hAnsi="宋体"/>
          <w:color w:val="FF0000"/>
          <w:szCs w:val="21"/>
          <w:u w:val="single"/>
        </w:rPr>
        <w:t xml:space="preserve"> </w:t>
      </w:r>
      <w:r>
        <w:rPr>
          <w:rFonts w:ascii="宋体" w:hAnsi="宋体"/>
          <w:color w:val="FF0000"/>
          <w:szCs w:val="21"/>
          <w:u w:val="single"/>
        </w:rPr>
        <w:t>5</w:t>
      </w:r>
      <w:r>
        <w:rPr>
          <w:rFonts w:hint="eastAsia" w:ascii="宋体" w:hAnsi="宋体"/>
          <w:color w:val="FF0000"/>
          <w:szCs w:val="21"/>
          <w:u w:val="single"/>
        </w:rPr>
        <w:t xml:space="preserve">项 </w:t>
      </w:r>
      <w:r>
        <w:rPr>
          <w:rFonts w:hint="eastAsia" w:ascii="宋体" w:hAnsi="宋体"/>
          <w:color w:val="000000"/>
          <w:szCs w:val="21"/>
        </w:rPr>
        <w:t>将导致无效投标。</w:t>
      </w:r>
    </w:p>
    <w:p>
      <w:pPr>
        <w:rPr>
          <w:rFonts w:hint="default" w:eastAsia="宋体"/>
          <w:lang w:val="en-US" w:eastAsia="zh-CN"/>
        </w:rPr>
      </w:pPr>
      <w:r>
        <w:rPr>
          <w:rFonts w:hint="eastAsia"/>
          <w:lang w:val="en-US" w:eastAsia="zh-CN"/>
        </w:rPr>
        <w:t xml:space="preserve">   </w:t>
      </w:r>
    </w:p>
    <w:p/>
    <w:p/>
    <w:p/>
    <w:p/>
    <w:p/>
    <w:p/>
    <w:p>
      <w:pPr>
        <w:pStyle w:val="2"/>
        <w:adjustRightInd w:val="0"/>
        <w:snapToGrid w:val="0"/>
        <w:jc w:val="center"/>
        <w:rPr>
          <w:rFonts w:ascii="黑体" w:hAnsi="华文中宋" w:eastAsia="黑体"/>
          <w:sz w:val="28"/>
          <w:szCs w:val="28"/>
        </w:rPr>
      </w:pPr>
      <w:bookmarkStart w:id="0" w:name="_Toc20651232"/>
      <w:r>
        <w:rPr>
          <w:rFonts w:hint="eastAsia" w:ascii="黑体" w:hAnsi="华文中宋" w:eastAsia="黑体"/>
          <w:sz w:val="28"/>
          <w:szCs w:val="28"/>
        </w:rPr>
        <w:t>最低评标价法</w:t>
      </w:r>
      <w:bookmarkEnd w:id="0"/>
    </w:p>
    <w:p>
      <w:pPr>
        <w:widowControl/>
        <w:adjustRightInd w:val="0"/>
        <w:snapToGrid w:val="0"/>
        <w:spacing w:before="156" w:beforeLines="50" w:line="360" w:lineRule="auto"/>
        <w:jc w:val="left"/>
        <w:rPr>
          <w:rFonts w:ascii="黑体" w:hAnsi="黑体" w:eastAsia="黑体"/>
          <w:b/>
          <w:sz w:val="24"/>
        </w:rPr>
      </w:pPr>
      <w:r>
        <w:rPr>
          <w:rFonts w:hint="eastAsia" w:ascii="黑体" w:hAnsi="黑体" w:eastAsia="黑体"/>
          <w:b/>
          <w:sz w:val="24"/>
        </w:rPr>
        <w:t>1.最低评标价法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1.1最低评标价，是指投标文件满足招标文件全部实质性要求，且投标报价最低的投标人为第一中标候选人的评标方法。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1.2采用最低评标价法评标时，除了算术修正和落实政府采购政策需进行的价格扣除外，不对投标人的投标价格进行任何调整。</w:t>
      </w:r>
    </w:p>
    <w:p>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1.3未通过符合性审查的投标文件不得进入比较与评价。</w:t>
      </w:r>
    </w:p>
    <w:p>
      <w:pPr>
        <w:adjustRightInd w:val="0"/>
        <w:snapToGrid w:val="0"/>
        <w:spacing w:before="156" w:beforeLines="50" w:line="360" w:lineRule="auto"/>
        <w:jc w:val="left"/>
        <w:rPr>
          <w:rFonts w:ascii="黑体" w:hAnsi="黑体" w:eastAsia="黑体"/>
          <w:b/>
          <w:bCs/>
          <w:sz w:val="24"/>
        </w:rPr>
      </w:pPr>
      <w:r>
        <w:rPr>
          <w:rFonts w:hint="eastAsia" w:ascii="黑体" w:hAnsi="黑体" w:eastAsia="黑体"/>
          <w:b/>
          <w:bCs/>
          <w:sz w:val="24"/>
        </w:rPr>
        <w:t>2.</w:t>
      </w:r>
      <w:r>
        <w:rPr>
          <w:rFonts w:hint="eastAsia"/>
        </w:rPr>
        <w:t xml:space="preserve"> </w:t>
      </w:r>
      <w:r>
        <w:rPr>
          <w:rFonts w:hint="eastAsia" w:ascii="黑体" w:hAnsi="黑体" w:eastAsia="黑体"/>
          <w:b/>
          <w:bCs/>
          <w:sz w:val="24"/>
        </w:rPr>
        <w:t>投标报价算术修正</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2.1</w:t>
      </w:r>
      <w:r>
        <w:rPr>
          <w:rFonts w:hint="eastAsia" w:asciiTheme="minorEastAsia" w:hAnsiTheme="minorEastAsia" w:eastAsiaTheme="minorEastAsia"/>
          <w:szCs w:val="21"/>
        </w:rPr>
        <w:t>投标文件的投标报价出现前后不一致的，除</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另有规定外，按照下列规定修正：</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（1）投标文件中开标一览表内容与投标文件中相应内容不一致的，以开标一览表为准；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（2）大写金额和小写金额不一致的，以大写金额为准；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（3）单价金额小数点或者百分比有明显错位的，以开标一览表的总价为准，并修改单价；</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（4）总价金额与按单价汇总金额不一致的，以单价金额计算结果为准。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投标文件报价同时出现两种以上不一致的，按照前款规定的顺序修正。修正后的报价由投标人代表签字或者加盖单位章确认后产生约束力，投标人不确认的，其投标无效。</w:t>
      </w:r>
    </w:p>
    <w:p>
      <w:pPr>
        <w:adjustRightInd w:val="0"/>
        <w:snapToGrid w:val="0"/>
        <w:spacing w:before="156" w:beforeLines="50" w:line="360" w:lineRule="auto"/>
        <w:jc w:val="left"/>
        <w:rPr>
          <w:rFonts w:ascii="黑体" w:hAnsi="黑体" w:eastAsia="黑体"/>
          <w:b/>
          <w:bCs/>
          <w:sz w:val="24"/>
        </w:rPr>
      </w:pPr>
      <w:r>
        <w:rPr>
          <w:rFonts w:ascii="黑体" w:hAnsi="黑体" w:eastAsia="黑体"/>
          <w:b/>
          <w:bCs/>
          <w:sz w:val="24"/>
        </w:rPr>
        <w:t>3</w:t>
      </w:r>
      <w:r>
        <w:rPr>
          <w:rFonts w:hint="eastAsia" w:ascii="黑体" w:hAnsi="黑体" w:eastAsia="黑体"/>
          <w:b/>
          <w:bCs/>
          <w:sz w:val="24"/>
        </w:rPr>
        <w:t>.中标候选人的推荐方法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.1评标委员会对满足招标文件全部实质性要求的投标人，计算出评标价并从低</w:t>
      </w:r>
      <w:r>
        <w:rPr>
          <w:rFonts w:asciiTheme="minorEastAsia" w:hAnsiTheme="minorEastAsia" w:eastAsiaTheme="minorEastAsia"/>
          <w:bCs/>
          <w:szCs w:val="21"/>
        </w:rPr>
        <w:t>到</w:t>
      </w:r>
      <w:r>
        <w:rPr>
          <w:rFonts w:hint="eastAsia" w:asciiTheme="minorEastAsia" w:hAnsiTheme="minorEastAsia" w:eastAsiaTheme="minorEastAsia"/>
          <w:bCs/>
          <w:szCs w:val="21"/>
        </w:rPr>
        <w:t>高</w:t>
      </w:r>
      <w:r>
        <w:rPr>
          <w:rFonts w:asciiTheme="minorEastAsia" w:hAnsiTheme="minorEastAsia" w:eastAsiaTheme="minorEastAsia"/>
          <w:bCs/>
          <w:szCs w:val="21"/>
        </w:rPr>
        <w:t>依次</w:t>
      </w:r>
      <w:r>
        <w:rPr>
          <w:rFonts w:hint="eastAsia" w:asciiTheme="minorEastAsia" w:hAnsiTheme="minorEastAsia" w:eastAsiaTheme="minorEastAsia"/>
          <w:bCs/>
          <w:szCs w:val="21"/>
        </w:rPr>
        <w:t>排序，最终评标价最低（排名第一）的投标人将被确定为第一中标候选人。</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.2投标报价相同的并列，报价相同的并列，按</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规定的方式确定中标人；</w:t>
      </w:r>
      <w:r>
        <w:rPr>
          <w:rFonts w:hint="eastAsia" w:asciiTheme="minorEastAsia" w:hAnsiTheme="minorEastAsia" w:eastAsiaTheme="minorEastAsia"/>
          <w:bCs/>
          <w:szCs w:val="21"/>
        </w:rPr>
        <w:t>招标文件未规定的，采取随机抽取的方式确定。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dmNDJhNzk4Njg5YmZlOTdkZjgzM2Y1YjkzZGJhMDkifQ=="/>
  </w:docVars>
  <w:rsids>
    <w:rsidRoot w:val="00BE237B"/>
    <w:rsid w:val="00023715"/>
    <w:rsid w:val="000E58C8"/>
    <w:rsid w:val="0019798B"/>
    <w:rsid w:val="00366A43"/>
    <w:rsid w:val="0060110A"/>
    <w:rsid w:val="006A2472"/>
    <w:rsid w:val="00770F44"/>
    <w:rsid w:val="009420BE"/>
    <w:rsid w:val="0099406B"/>
    <w:rsid w:val="00BE237B"/>
    <w:rsid w:val="00ED3A44"/>
    <w:rsid w:val="00F7579E"/>
    <w:rsid w:val="25E1699A"/>
    <w:rsid w:val="594F6514"/>
    <w:rsid w:val="6B0B0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9"/>
    <w:qFormat/>
    <w:uiPriority w:val="0"/>
    <w:pPr>
      <w:keepNext/>
      <w:keepLines/>
      <w:spacing w:line="360" w:lineRule="auto"/>
      <w:outlineLvl w:val="1"/>
    </w:pPr>
    <w:rPr>
      <w:rFonts w:ascii="Arial" w:hAnsi="Arial"/>
      <w:b/>
      <w:bCs/>
      <w:sz w:val="24"/>
      <w:szCs w:val="32"/>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标题 2 Char"/>
    <w:basedOn w:val="6"/>
    <w:link w:val="2"/>
    <w:qFormat/>
    <w:uiPriority w:val="0"/>
    <w:rPr>
      <w:rFonts w:ascii="Arial" w:hAnsi="Arial" w:eastAsia="宋体" w:cs="Times New Roman"/>
      <w:b/>
      <w:bCs/>
      <w:sz w:val="2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1220</Words>
  <Characters>1254</Characters>
  <Lines>9</Lines>
  <Paragraphs>2</Paragraphs>
  <TotalTime>48</TotalTime>
  <ScaleCrop>false</ScaleCrop>
  <LinksUpToDate>false</LinksUpToDate>
  <CharactersWithSpaces>1316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2021-12-17T11:21:00Z</dcterms:created>
  <dc:creator>微软用户</dc:creator>
  <cp:lastModifiedBy>蓝色贝雷</cp:lastModifiedBy>
  <cp:lastPrinted>2022-10-09T08:44:00Z</cp:lastPrinted>
  <dcterms:modified xsi:type="dcterms:W3CDTF">2023-04-11T03:23:41Z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815D2827B1034669B33CF79E532F1A4B</vt:lpwstr>
  </property>
</Properties>
</file>