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22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0"/>
          <w:szCs w:val="48"/>
          <w:lang w:val="en-US" w:eastAsia="zh-CN"/>
        </w:rPr>
        <w:t>手腕式</w:t>
      </w:r>
      <w:r>
        <w:rPr>
          <w:rFonts w:hint="eastAsia" w:asciiTheme="majorEastAsia" w:hAnsiTheme="majorEastAsia" w:eastAsiaTheme="majorEastAsia" w:cstheme="majorEastAsia"/>
          <w:sz w:val="40"/>
          <w:szCs w:val="48"/>
        </w:rPr>
        <w:t>脉搏血氧饱和度仪</w:t>
      </w:r>
      <w:r>
        <w:rPr>
          <w:rFonts w:hint="eastAsia" w:asciiTheme="majorEastAsia" w:hAnsiTheme="majorEastAsia" w:eastAsiaTheme="majorEastAsia" w:cstheme="majorEastAsia"/>
          <w:sz w:val="40"/>
          <w:szCs w:val="48"/>
          <w:lang w:val="en-US" w:eastAsia="zh-CN"/>
        </w:rPr>
        <w:t>招标参数</w:t>
      </w:r>
    </w:p>
    <w:p>
      <w:pPr>
        <w:rPr>
          <w:rFonts w:hint="default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40"/>
          <w:lang w:val="en-US" w:eastAsia="zh-CN"/>
        </w:rPr>
        <w:t>一、技术参数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1、腕式设计、便于携带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2、可显示脉搏血氧饱和度、脉率、血流灌注指数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脉搏强度柱状图、脉搏容积波形图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3、弱灌注性能好，抗干扰能力强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4.可存储和回放血氧饱和度及脉率等数据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5、适用于医院、家庭血氧饱和度及脉率无创监测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6、具有声光报警功能，并可自定义报警上下限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智能节电模式，无操作后进入省电模式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血氧饱和度(SPO2)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8.1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测量范围:35%~100%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8.2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测量精度:75%~100%:±2% 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50%~75%:±3%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8.3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灵敏度:弱灌注情况下，在脉搏充盈度为0.5%时能正确测量和显示血氧饱和度与脉率值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脉率(PR)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9.1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测量范围:30bpm~240bpm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9.2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精度:+2%或+2bpm取大值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血流灌注指数(PI)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10.1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测量范围:0.2%~20%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10.2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测量精度:0.2%~2%:±0.1%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 2%~10%:±1%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10.3 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10%~20%:±2%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抗干扰能力:在自然光环境及有光频干扰源的情况下，仍然能准确测量和显示血氧饱和度与脉率值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cr/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*2、交货时间：按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*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3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、交货地点：娄底市中心医院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指定地点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*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4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满1年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后支付10%余款给乙方。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cr/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*5、质保与售后：整机保修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1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年，终身维修。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验收时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出具原厂售后质保承诺书，质保期内每年巡检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一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次</w:t>
      </w:r>
      <w:r>
        <w:rPr>
          <w:rFonts w:hint="eastAsia" w:ascii="新宋体" w:hAnsi="新宋体" w:eastAsia="新宋体" w:cs="新宋体"/>
          <w:b w:val="0"/>
          <w:bCs w:val="0"/>
          <w:szCs w:val="24"/>
          <w:lang w:eastAsia="zh-CN"/>
        </w:rPr>
        <w:t>，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并提交巡检记录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。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zh-CN" w:eastAsia="zh-CN"/>
        </w:rPr>
        <w:t>质保期内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出现故障，24小时响应，响应后4小时上门服务。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*6、在投标文件中必须提供相关佐证资料（加盖投标人公章的技术参数、技术白皮书、说明书、彩页），并在响应表中备注该条参数响应或正偏离的佐证资料所在页码。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</w:p>
    <w:p>
      <w:pPr>
        <w:spacing w:after="0" w:line="360" w:lineRule="atLeast"/>
        <w:rPr>
          <w:rFonts w:ascii="宋体" w:hAnsi="宋体" w:eastAsia="宋体"/>
          <w:sz w:val="21"/>
          <w:szCs w:val="21"/>
        </w:rPr>
      </w:pPr>
    </w:p>
    <w:p/>
    <w:p>
      <w:pPr>
        <w:pStyle w:val="5"/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200AFD"/>
    <w:multiLevelType w:val="singleLevel"/>
    <w:tmpl w:val="24200AFD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12A539FE"/>
    <w:rsid w:val="25F367C4"/>
    <w:rsid w:val="2C4704B5"/>
    <w:rsid w:val="5CEC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Body Text Indent"/>
    <w:basedOn w:val="1"/>
    <w:next w:val="5"/>
    <w:autoRedefine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5">
    <w:name w:val="Body Text First Indent 2"/>
    <w:basedOn w:val="4"/>
    <w:next w:val="3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Calibri" w:hAnsi="Calibri" w:eastAsia="宋体" w:cs="Times New Roman"/>
      <w:kern w:val="0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2023-07-11T08:12:00Z</dcterms:created>
  <dc:creator>Administrator</dc:creator>
  <cp:lastModifiedBy>蓝色贝雷</cp:lastModifiedBy>
  <dcterms:modified xsi:type="dcterms:W3CDTF">2024-01-22T07:37:04Z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34CCFE0B4ACC4038843890D460B7FAFD_12</vt:lpwstr>
  </property>
</Properties>
</file>