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D39C">
      <w:pPr>
        <w:pStyle w:val="6"/>
        <w:snapToGrid w:val="0"/>
        <w:jc w:val="center"/>
        <w:rPr>
          <w:rFonts w:ascii="Arial" w:hAnsi="Arial" w:eastAsia="方正小标宋简体" w:cs="Arial"/>
          <w:color w:val="auto"/>
          <w:sz w:val="72"/>
          <w:szCs w:val="72"/>
        </w:rPr>
      </w:pPr>
    </w:p>
    <w:p w14:paraId="0B545FB1">
      <w:pPr>
        <w:pStyle w:val="6"/>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1A8803A0">
      <w:pPr>
        <w:pStyle w:val="6"/>
        <w:snapToGrid w:val="0"/>
        <w:jc w:val="center"/>
        <w:rPr>
          <w:rFonts w:ascii="Arial" w:hAnsi="Arial" w:eastAsia="方正小标宋简体" w:cs="Arial"/>
          <w:color w:val="auto"/>
          <w:sz w:val="72"/>
          <w:szCs w:val="72"/>
        </w:rPr>
      </w:pPr>
    </w:p>
    <w:p w14:paraId="1974BDE6">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576C414">
      <w:pPr>
        <w:pStyle w:val="6"/>
        <w:snapToGrid w:val="0"/>
        <w:jc w:val="center"/>
        <w:rPr>
          <w:rFonts w:ascii="Arial" w:hAnsi="Arial" w:eastAsia="方正小标宋简体" w:cs="Arial"/>
          <w:color w:val="auto"/>
          <w:sz w:val="72"/>
          <w:szCs w:val="72"/>
        </w:rPr>
      </w:pPr>
    </w:p>
    <w:p w14:paraId="58C9A7A7">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85ABD7E">
      <w:pPr>
        <w:pStyle w:val="6"/>
        <w:snapToGrid w:val="0"/>
        <w:jc w:val="center"/>
        <w:rPr>
          <w:rFonts w:ascii="Arial" w:hAnsi="Arial" w:eastAsia="方正小标宋简体" w:cs="Arial"/>
          <w:color w:val="auto"/>
          <w:sz w:val="72"/>
          <w:szCs w:val="72"/>
        </w:rPr>
      </w:pPr>
    </w:p>
    <w:p w14:paraId="68DFB973">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44C711BC">
      <w:pPr>
        <w:pStyle w:val="6"/>
        <w:snapToGrid w:val="0"/>
        <w:jc w:val="center"/>
        <w:rPr>
          <w:rFonts w:ascii="Arial" w:hAnsi="Arial" w:eastAsia="方正小标宋简体" w:cs="Arial"/>
          <w:color w:val="auto"/>
          <w:sz w:val="72"/>
          <w:szCs w:val="72"/>
        </w:rPr>
      </w:pPr>
    </w:p>
    <w:p w14:paraId="0E3B0247">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47183B31">
      <w:pPr>
        <w:pStyle w:val="6"/>
        <w:snapToGrid w:val="0"/>
        <w:jc w:val="center"/>
        <w:rPr>
          <w:rFonts w:ascii="Arial" w:hAnsi="Arial" w:cs="Arial"/>
          <w:color w:val="auto"/>
          <w:sz w:val="32"/>
          <w:szCs w:val="32"/>
        </w:rPr>
      </w:pPr>
    </w:p>
    <w:p w14:paraId="51BCFDEA">
      <w:pPr>
        <w:pStyle w:val="6"/>
        <w:snapToGrid w:val="0"/>
        <w:jc w:val="center"/>
        <w:rPr>
          <w:rFonts w:ascii="Arial" w:hAnsi="Arial" w:cs="Arial"/>
          <w:color w:val="auto"/>
          <w:sz w:val="32"/>
          <w:szCs w:val="32"/>
        </w:rPr>
      </w:pPr>
    </w:p>
    <w:p w14:paraId="2F3FC110">
      <w:pPr>
        <w:pStyle w:val="6"/>
        <w:snapToGrid w:val="0"/>
        <w:jc w:val="center"/>
        <w:rPr>
          <w:rFonts w:ascii="Arial" w:hAnsi="Arial" w:cs="Arial"/>
          <w:color w:val="auto"/>
          <w:sz w:val="32"/>
          <w:szCs w:val="32"/>
        </w:rPr>
      </w:pPr>
    </w:p>
    <w:p w14:paraId="647C011D">
      <w:pPr>
        <w:spacing w:line="360" w:lineRule="auto"/>
        <w:rPr>
          <w:rFonts w:hint="eastAsia"/>
          <w:bCs/>
          <w:color w:val="auto"/>
          <w:sz w:val="32"/>
          <w:szCs w:val="32"/>
        </w:rPr>
      </w:pPr>
    </w:p>
    <w:p w14:paraId="20CE8D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bookmarkStart w:id="4" w:name="_GoBack"/>
      <w:r>
        <w:rPr>
          <w:rFonts w:hint="eastAsia"/>
          <w:bCs/>
          <w:color w:val="auto"/>
          <w:sz w:val="32"/>
          <w:szCs w:val="32"/>
          <w:lang w:eastAsia="zh-CN"/>
        </w:rPr>
        <w:t>国家传染病智能监测预警前置软件数据集成和API接口</w:t>
      </w:r>
      <w:r>
        <w:rPr>
          <w:rFonts w:hint="eastAsia"/>
          <w:bCs/>
          <w:color w:val="auto"/>
          <w:sz w:val="32"/>
          <w:szCs w:val="32"/>
        </w:rPr>
        <w:t>项目招标文件</w:t>
      </w:r>
      <w:bookmarkEnd w:id="4"/>
      <w:r>
        <w:rPr>
          <w:rFonts w:hint="eastAsia"/>
          <w:bCs/>
          <w:color w:val="auto"/>
          <w:sz w:val="32"/>
          <w:szCs w:val="32"/>
        </w:rPr>
        <w:t>（院内</w:t>
      </w:r>
      <w:r>
        <w:rPr>
          <w:rFonts w:hint="eastAsia"/>
          <w:bCs/>
          <w:color w:val="auto"/>
          <w:sz w:val="32"/>
          <w:szCs w:val="32"/>
          <w:lang w:eastAsia="zh-CN"/>
        </w:rPr>
        <w:t>单一来源</w:t>
      </w:r>
      <w:r>
        <w:rPr>
          <w:rFonts w:hint="eastAsia"/>
          <w:bCs/>
          <w:color w:val="auto"/>
          <w:sz w:val="32"/>
          <w:szCs w:val="32"/>
        </w:rPr>
        <w:t>招标）</w:t>
      </w:r>
    </w:p>
    <w:p w14:paraId="48334C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74B8E65">
      <w:pPr>
        <w:spacing w:line="320" w:lineRule="exact"/>
        <w:jc w:val="left"/>
        <w:rPr>
          <w:color w:val="auto"/>
          <w:sz w:val="24"/>
        </w:rPr>
      </w:pPr>
    </w:p>
    <w:p w14:paraId="78E8487A">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lang w:eastAsia="zh-CN"/>
        </w:rPr>
        <w:t>月</w:t>
      </w:r>
    </w:p>
    <w:p w14:paraId="7984DAC2">
      <w:pPr>
        <w:rPr>
          <w:rFonts w:hint="eastAsia" w:ascii="宋体" w:hAnsi="宋体" w:cs="宋体"/>
          <w:color w:val="auto"/>
          <w:sz w:val="44"/>
          <w:szCs w:val="44"/>
          <w:lang w:val="en-US" w:eastAsia="zh-CN"/>
        </w:rPr>
      </w:pPr>
    </w:p>
    <w:p w14:paraId="4EED1D13">
      <w:pPr>
        <w:pStyle w:val="4"/>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C490EA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娄底市中心医院国家传染病智能监测预警前置软件数据集成和API接口项目进行单一来源采购，现邀请你单位（卫宁健康科技集团股份有限公司）</w:t>
      </w:r>
      <w:r>
        <w:rPr>
          <w:rFonts w:hint="eastAsia"/>
          <w:bCs/>
          <w:color w:val="auto"/>
          <w:sz w:val="28"/>
          <w:szCs w:val="28"/>
          <w:lang w:val="en-US" w:eastAsia="zh-CN"/>
        </w:rPr>
        <w:t>参加协商。</w:t>
      </w:r>
    </w:p>
    <w:p w14:paraId="50EBD6D7">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A183F0F">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国家传染病智能监测预警前置软件数据集成和API接口项目</w:t>
      </w:r>
    </w:p>
    <w:p w14:paraId="6C9463D7">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10251D3">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13F7D631">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671CD86A">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AEC69D">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65CDED71">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364D36B">
      <w:pPr>
        <w:pStyle w:val="6"/>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79B4DB09">
      <w:pPr>
        <w:pStyle w:val="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015B63C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06AF6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5D10BB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7EE63D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0F043C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78020B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6B9F4F8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2B11986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5C09EE6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5F1BA9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889E8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0340C745">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AA384C7">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52619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07C3F1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7142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7B3FF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BAAC37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3221E18A">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14:paraId="4F42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E480D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17AEBFC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国家传染病智能监测预警前置软件数据集成和API接口</w:t>
            </w:r>
          </w:p>
        </w:tc>
        <w:tc>
          <w:tcPr>
            <w:tcW w:w="1972" w:type="dxa"/>
            <w:tcBorders>
              <w:top w:val="single" w:color="auto" w:sz="4" w:space="0"/>
              <w:left w:val="single" w:color="auto" w:sz="4" w:space="0"/>
              <w:bottom w:val="single" w:color="auto" w:sz="4" w:space="0"/>
              <w:right w:val="single" w:color="auto" w:sz="4" w:space="0"/>
            </w:tcBorders>
            <w:vAlign w:val="center"/>
          </w:tcPr>
          <w:p w14:paraId="7FE088B1">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11万元</w:t>
            </w:r>
          </w:p>
        </w:tc>
      </w:tr>
    </w:tbl>
    <w:p w14:paraId="79497DE0">
      <w:pPr>
        <w:spacing w:line="360" w:lineRule="auto"/>
        <w:rPr>
          <w:rFonts w:hint="default" w:ascii="仿宋_GB2312" w:hAnsi="Times New Roman" w:eastAsia="仿宋_GB2312" w:cs="仿宋_GB2312"/>
          <w:bCs/>
          <w:color w:val="auto"/>
          <w:kern w:val="0"/>
          <w:sz w:val="28"/>
          <w:szCs w:val="28"/>
          <w:lang w:val="en-US" w:eastAsia="zh-CN" w:bidi="ar-SA"/>
        </w:rPr>
      </w:pPr>
    </w:p>
    <w:p w14:paraId="4ED38B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5434F0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19B6CD23">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7895EA04">
      <w:pPr>
        <w:adjustRightInd w:val="0"/>
        <w:snapToGrid w:val="0"/>
        <w:spacing w:before="156" w:beforeLines="50" w:after="156" w:afterLines="50" w:line="360" w:lineRule="auto"/>
        <w:jc w:val="both"/>
        <w:rPr>
          <w:rFonts w:ascii="仿宋" w:hAnsi="仿宋" w:eastAsia="仿宋"/>
          <w:b/>
          <w:color w:val="auto"/>
          <w:sz w:val="36"/>
          <w:szCs w:val="22"/>
        </w:rPr>
      </w:pPr>
      <w:r>
        <w:rPr>
          <w:rFonts w:ascii="仿宋" w:hAnsi="仿宋" w:eastAsia="仿宋"/>
          <w:b/>
          <w:color w:val="auto"/>
          <w:sz w:val="36"/>
          <w:szCs w:val="22"/>
        </w:rPr>
        <w:t>数据集成和API接口技术参数</w:t>
      </w:r>
    </w:p>
    <w:p w14:paraId="7E93EA20">
      <w:pPr>
        <w:spacing w:line="360" w:lineRule="auto"/>
        <w:rPr>
          <w:rFonts w:ascii="仿宋" w:hAnsi="仿宋" w:eastAsia="仿宋"/>
          <w:b/>
          <w:color w:val="auto"/>
          <w:sz w:val="28"/>
        </w:rPr>
      </w:pPr>
      <w:r>
        <w:rPr>
          <w:rFonts w:hint="eastAsia" w:ascii="仿宋" w:hAnsi="仿宋" w:eastAsia="仿宋"/>
          <w:b/>
          <w:color w:val="auto"/>
          <w:sz w:val="28"/>
          <w:lang w:val="en-US" w:eastAsia="zh-CN"/>
        </w:rPr>
        <w:t>1</w:t>
      </w:r>
      <w:r>
        <w:rPr>
          <w:rFonts w:ascii="仿宋" w:hAnsi="仿宋" w:eastAsia="仿宋"/>
          <w:b/>
          <w:color w:val="auto"/>
          <w:sz w:val="28"/>
        </w:rPr>
        <w:t>、总体要求</w:t>
      </w:r>
    </w:p>
    <w:p w14:paraId="448B65D6">
      <w:pPr>
        <w:adjustRightInd w:val="0"/>
        <w:snapToGrid w:val="0"/>
        <w:spacing w:before="156" w:beforeLines="50" w:after="156" w:afterLines="50" w:line="360" w:lineRule="auto"/>
        <w:ind w:firstLine="480" w:firstLineChars="200"/>
        <w:rPr>
          <w:rFonts w:ascii="仿宋" w:hAnsi="仿宋" w:eastAsia="仿宋" w:cs="仿宋"/>
          <w:color w:val="auto"/>
          <w:kern w:val="2"/>
          <w:sz w:val="24"/>
          <w:szCs w:val="24"/>
        </w:rPr>
      </w:pPr>
      <w:r>
        <w:rPr>
          <w:rFonts w:ascii="仿宋" w:hAnsi="仿宋" w:eastAsia="仿宋" w:cs="仿宋"/>
          <w:color w:val="auto"/>
          <w:kern w:val="2"/>
          <w:sz w:val="24"/>
          <w:szCs w:val="24"/>
        </w:rPr>
        <w:t>为实现全国一体化自动上报监测数据交互与共享，推动传染病监测预警数字化、智能化转型，按照《国家传染病智能监测预警前置软件数据集成和API接口规范（试行）》进行对接，实现我院传染病数据的自动化采集和实时传输，提升传染病数据采集精准度和我院工作效率。</w:t>
      </w:r>
      <w:r>
        <w:rPr>
          <w:rFonts w:hint="default" w:ascii="仿宋" w:hAnsi="仿宋" w:eastAsia="仿宋" w:cs="仿宋"/>
          <w:color w:val="auto"/>
          <w:kern w:val="2"/>
          <w:sz w:val="24"/>
          <w:szCs w:val="24"/>
        </w:rPr>
        <w:cr/>
      </w:r>
      <w:r>
        <w:rPr>
          <w:rFonts w:hint="eastAsia" w:ascii="仿宋" w:hAnsi="仿宋" w:eastAsia="仿宋" w:cs="仿宋"/>
          <w:color w:val="auto"/>
          <w:kern w:val="2"/>
          <w:sz w:val="24"/>
          <w:szCs w:val="24"/>
          <w:lang w:val="en-US" w:eastAsia="zh-CN"/>
        </w:rPr>
        <w:t>2</w:t>
      </w:r>
      <w:r>
        <w:rPr>
          <w:rFonts w:ascii="仿宋" w:hAnsi="仿宋" w:eastAsia="仿宋"/>
          <w:b/>
          <w:color w:val="auto"/>
          <w:sz w:val="28"/>
        </w:rPr>
        <w:t>、项目采购清单</w:t>
      </w:r>
    </w:p>
    <w:tbl>
      <w:tblPr>
        <w:tblStyle w:val="13"/>
        <w:tblW w:w="7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4407"/>
        <w:gridCol w:w="1694"/>
      </w:tblGrid>
      <w:tr w14:paraId="0497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696" w:type="dxa"/>
            <w:noWrap/>
            <w:vAlign w:val="center"/>
          </w:tcPr>
          <w:p w14:paraId="32CEABB8">
            <w:pPr>
              <w:widowControl/>
              <w:jc w:val="center"/>
              <w:rPr>
                <w:rFonts w:ascii="仿宋" w:hAnsi="仿宋" w:eastAsia="仿宋" w:cs="宋体"/>
                <w:color w:val="auto"/>
                <w:sz w:val="24"/>
                <w:szCs w:val="24"/>
              </w:rPr>
            </w:pPr>
            <w:r>
              <w:rPr>
                <w:rFonts w:ascii="仿宋" w:hAnsi="仿宋" w:eastAsia="仿宋" w:cs="宋体"/>
                <w:color w:val="auto"/>
                <w:sz w:val="24"/>
                <w:szCs w:val="24"/>
              </w:rPr>
              <w:t>模块</w:t>
            </w:r>
          </w:p>
        </w:tc>
        <w:tc>
          <w:tcPr>
            <w:tcW w:w="4407" w:type="dxa"/>
            <w:noWrap/>
            <w:vAlign w:val="center"/>
          </w:tcPr>
          <w:p w14:paraId="3D9E77AD">
            <w:pPr>
              <w:widowControl/>
              <w:jc w:val="center"/>
              <w:rPr>
                <w:rFonts w:ascii="仿宋" w:hAnsi="仿宋" w:eastAsia="仿宋" w:cs="宋体"/>
                <w:color w:val="auto"/>
                <w:sz w:val="24"/>
                <w:szCs w:val="24"/>
              </w:rPr>
            </w:pPr>
            <w:r>
              <w:rPr>
                <w:rFonts w:ascii="仿宋" w:hAnsi="仿宋" w:eastAsia="仿宋" w:cs="宋体"/>
                <w:color w:val="auto"/>
                <w:sz w:val="24"/>
                <w:szCs w:val="24"/>
              </w:rPr>
              <w:t>主要产品</w:t>
            </w:r>
          </w:p>
        </w:tc>
        <w:tc>
          <w:tcPr>
            <w:tcW w:w="1694" w:type="dxa"/>
            <w:noWrap/>
            <w:vAlign w:val="center"/>
          </w:tcPr>
          <w:p w14:paraId="03620CC8">
            <w:pPr>
              <w:widowControl/>
              <w:jc w:val="center"/>
              <w:rPr>
                <w:rFonts w:ascii="仿宋" w:hAnsi="仿宋" w:eastAsia="仿宋" w:cs="宋体"/>
                <w:color w:val="auto"/>
                <w:sz w:val="24"/>
                <w:szCs w:val="24"/>
              </w:rPr>
            </w:pPr>
            <w:r>
              <w:rPr>
                <w:rFonts w:ascii="仿宋" w:hAnsi="仿宋" w:eastAsia="仿宋" w:cs="宋体"/>
                <w:color w:val="auto"/>
                <w:sz w:val="24"/>
                <w:szCs w:val="24"/>
              </w:rPr>
              <w:t>数量</w:t>
            </w:r>
          </w:p>
        </w:tc>
      </w:tr>
      <w:tr w14:paraId="479B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96" w:type="dxa"/>
            <w:noWrap/>
            <w:vAlign w:val="center"/>
          </w:tcPr>
          <w:p w14:paraId="350201FF">
            <w:pPr>
              <w:widowControl/>
              <w:jc w:val="center"/>
              <w:rPr>
                <w:rFonts w:ascii="仿宋" w:hAnsi="仿宋" w:eastAsia="仿宋" w:cs="宋体"/>
                <w:color w:val="auto"/>
                <w:sz w:val="24"/>
                <w:szCs w:val="24"/>
              </w:rPr>
            </w:pPr>
            <w:r>
              <w:rPr>
                <w:rFonts w:ascii="仿宋" w:hAnsi="仿宋" w:eastAsia="仿宋" w:cs="宋体"/>
                <w:color w:val="auto"/>
                <w:sz w:val="24"/>
                <w:szCs w:val="24"/>
              </w:rPr>
              <w:t>接口</w:t>
            </w:r>
          </w:p>
        </w:tc>
        <w:tc>
          <w:tcPr>
            <w:tcW w:w="4407" w:type="dxa"/>
            <w:noWrap/>
            <w:vAlign w:val="center"/>
          </w:tcPr>
          <w:p w14:paraId="29137319">
            <w:pPr>
              <w:widowControl/>
              <w:jc w:val="center"/>
              <w:rPr>
                <w:rFonts w:ascii="仿宋" w:hAnsi="仿宋" w:eastAsia="仿宋" w:cs="宋体"/>
                <w:color w:val="auto"/>
                <w:sz w:val="24"/>
                <w:szCs w:val="24"/>
              </w:rPr>
            </w:pPr>
            <w:r>
              <w:rPr>
                <w:rFonts w:ascii="仿宋" w:hAnsi="仿宋" w:eastAsia="仿宋" w:cs="宋体"/>
                <w:color w:val="auto"/>
                <w:sz w:val="24"/>
                <w:szCs w:val="24"/>
              </w:rPr>
              <w:t>国家传染病智能监测预警前置软件数据集成和API接口</w:t>
            </w:r>
          </w:p>
        </w:tc>
        <w:tc>
          <w:tcPr>
            <w:tcW w:w="1694" w:type="dxa"/>
            <w:noWrap/>
            <w:vAlign w:val="center"/>
          </w:tcPr>
          <w:p w14:paraId="6A33494A">
            <w:pPr>
              <w:widowControl/>
              <w:jc w:val="center"/>
              <w:rPr>
                <w:rFonts w:ascii="仿宋" w:hAnsi="仿宋" w:eastAsia="仿宋" w:cs="宋体"/>
                <w:color w:val="auto"/>
                <w:sz w:val="24"/>
                <w:szCs w:val="24"/>
              </w:rPr>
            </w:pPr>
            <w:r>
              <w:rPr>
                <w:rFonts w:hint="default" w:ascii="仿宋" w:hAnsi="仿宋" w:eastAsia="仿宋" w:cs="宋体"/>
                <w:color w:val="auto"/>
                <w:sz w:val="24"/>
                <w:szCs w:val="24"/>
              </w:rPr>
              <w:t>1</w:t>
            </w:r>
            <w:r>
              <w:rPr>
                <w:rFonts w:ascii="仿宋" w:hAnsi="仿宋" w:eastAsia="仿宋" w:cs="宋体"/>
                <w:color w:val="auto"/>
                <w:sz w:val="24"/>
                <w:szCs w:val="24"/>
              </w:rPr>
              <w:t>套</w:t>
            </w:r>
          </w:p>
        </w:tc>
      </w:tr>
    </w:tbl>
    <w:p w14:paraId="67CE7746">
      <w:pPr>
        <w:rPr>
          <w:rFonts w:ascii="仿宋" w:hAnsi="仿宋" w:eastAsia="仿宋"/>
          <w:b/>
          <w:color w:val="auto"/>
          <w:sz w:val="28"/>
        </w:rPr>
      </w:pPr>
      <w:r>
        <w:rPr>
          <w:rFonts w:hint="eastAsia" w:ascii="仿宋" w:hAnsi="仿宋" w:eastAsia="仿宋"/>
          <w:b/>
          <w:color w:val="auto"/>
          <w:sz w:val="28"/>
          <w:lang w:val="en-US" w:eastAsia="zh-CN"/>
        </w:rPr>
        <w:t>3</w:t>
      </w:r>
      <w:r>
        <w:rPr>
          <w:rFonts w:ascii="仿宋" w:hAnsi="仿宋" w:eastAsia="仿宋"/>
          <w:b/>
          <w:color w:val="auto"/>
          <w:sz w:val="28"/>
        </w:rPr>
        <w:t>、详细配置要求</w:t>
      </w:r>
    </w:p>
    <w:p w14:paraId="1F2224BF">
      <w:pPr>
        <w:spacing w:line="360" w:lineRule="auto"/>
        <w:ind w:firstLine="480" w:firstLineChars="200"/>
        <w:rPr>
          <w:rFonts w:ascii="仿宋" w:hAnsi="仿宋" w:eastAsia="仿宋" w:cs="仿宋"/>
          <w:color w:val="auto"/>
          <w:kern w:val="2"/>
          <w:sz w:val="24"/>
          <w:szCs w:val="24"/>
        </w:rPr>
      </w:pPr>
      <w:r>
        <w:rPr>
          <w:rFonts w:ascii="仿宋" w:hAnsi="仿宋" w:eastAsia="仿宋" w:cs="仿宋"/>
          <w:color w:val="auto"/>
          <w:kern w:val="2"/>
          <w:sz w:val="24"/>
          <w:szCs w:val="24"/>
        </w:rPr>
        <w:t>需实现医院信息系统中电子病历（EMR）数据与国家前置软件的数据同步与交互应用。</w:t>
      </w:r>
    </w:p>
    <w:p w14:paraId="0EF941D1">
      <w:pPr>
        <w:rPr>
          <w:rFonts w:ascii="仿宋" w:hAnsi="仿宋" w:eastAsia="仿宋"/>
          <w:b/>
          <w:color w:val="auto"/>
          <w:sz w:val="28"/>
        </w:rPr>
      </w:pPr>
      <w:r>
        <w:rPr>
          <w:rFonts w:hint="default" w:ascii="仿宋" w:hAnsi="仿宋" w:eastAsia="仿宋"/>
          <w:b/>
          <w:color w:val="auto"/>
          <w:sz w:val="28"/>
        </w:rPr>
        <w:t>3.1</w:t>
      </w:r>
      <w:r>
        <w:rPr>
          <w:rFonts w:ascii="仿宋" w:hAnsi="仿宋" w:eastAsia="仿宋"/>
          <w:b/>
          <w:color w:val="auto"/>
          <w:sz w:val="28"/>
        </w:rPr>
        <w:t>、数据采集内容</w:t>
      </w:r>
    </w:p>
    <w:p w14:paraId="3E6FC886">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当患者在医院信息系统发生诊疗活动时，医院信息系统将患者基本信息实时同步到前置软件。</w:t>
      </w:r>
    </w:p>
    <w:p w14:paraId="0A64CCEC">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当临床医生在医院信息系统中保存诊断信息后，医院信息系统按接口规范中表的数据项实时组织数据，并将数据同步。</w:t>
      </w:r>
    </w:p>
    <w:p w14:paraId="0970CA90">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当临床医生在医院信息系统保存门诊、急诊诊疗信息后，医院信息系统将门诊、急诊信息按T+0（当日）频度同步到前置软件中。</w:t>
      </w:r>
    </w:p>
    <w:p w14:paraId="0DB8E04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当临床医生在医院信息系统保存急诊留观信息后，医院信息系统将急诊留观信息按T+0（当日）频度同步到前置软件中。</w:t>
      </w:r>
    </w:p>
    <w:p w14:paraId="41A3FE7A">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当病房医生在医院信息系统保存入院记录信息后，医院信息系统将入院信息按T+0（当日）频度同步到前置软件中。</w:t>
      </w:r>
    </w:p>
    <w:p w14:paraId="70507BF3">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当病房医生在医院信息系统保存住院首次病程记录信息后，医院信息系统将信息按T+0（当日）频度同步到前置软件中。</w:t>
      </w:r>
    </w:p>
    <w:p w14:paraId="1B4776AE">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当病房医生在医院信息系统保存住院日常病程记录信息后，医院信息系统将信息按T+0（当日）频度同步到前置软件中。</w:t>
      </w:r>
    </w:p>
    <w:p w14:paraId="238415FA">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当病房医生在医院信息系统保存住院病案首页信息后，医院信息系统将信息按T+0（当日）频度同步到前置软件中。</w:t>
      </w:r>
    </w:p>
    <w:p w14:paraId="38DEB0AC">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当病房医生在医院信息系统保存出院记录信息后，医院信息系统将信息按T+0（当日）频度同步到前置软件中。</w:t>
      </w:r>
    </w:p>
    <w:p w14:paraId="0CA836A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医院信息系统将检查数据按T+0（当日）频度同步到前置软件中。</w:t>
      </w:r>
    </w:p>
    <w:p w14:paraId="0FD008B4">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医院信息系统将检查详细结果数据按T+0（当日）频度同步到前置软件中。</w:t>
      </w:r>
    </w:p>
    <w:p w14:paraId="783453C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医院信息系统将检验数据按T+0（当日）频度同步到前置软件中。</w:t>
      </w:r>
    </w:p>
    <w:p w14:paraId="395D1A5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医院信息系统将检验详细结果数据按T+0（当日）频度同步到前置软件中。</w:t>
      </w:r>
    </w:p>
    <w:p w14:paraId="4BEE85F6">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当临床医生在医院信息系统保存医嘱信息后，医院信息系统将处方信息按T+0（当日）频度同步到前置软件中。</w:t>
      </w:r>
    </w:p>
    <w:p w14:paraId="5E697CDB">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临床医生在医院信息系统保存医嘱信息后，医院信息系统将处方详细信息按T+0（当日）频度同步到前置软件中。本项目只同步抗病毒药物，抗菌药物、退烧药、止咳药、艾滋病药物、结核病药物、血吸虫病药物对应的医嘱处方信息。</w:t>
      </w:r>
    </w:p>
    <w:p w14:paraId="77B5A8C5">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当患者死亡时，医院信息系统将患者死亡信息按T+0（当日）的频度同步到前置软件中。</w:t>
      </w:r>
    </w:p>
    <w:p w14:paraId="4195DC9E">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当护理记录单产生时，医院信息系统按此表结构组织患者信息，并按T+0（当日）的频度同步到前置软件中。</w:t>
      </w:r>
    </w:p>
    <w:p w14:paraId="09F75FFA">
      <w:pPr>
        <w:rPr>
          <w:rFonts w:ascii="仿宋" w:hAnsi="仿宋" w:eastAsia="仿宋"/>
          <w:b/>
          <w:color w:val="auto"/>
          <w:sz w:val="28"/>
        </w:rPr>
      </w:pPr>
      <w:r>
        <w:rPr>
          <w:rFonts w:hint="default" w:ascii="仿宋" w:hAnsi="仿宋" w:eastAsia="仿宋"/>
          <w:b/>
          <w:color w:val="auto"/>
          <w:sz w:val="28"/>
        </w:rPr>
        <w:t>3.</w:t>
      </w:r>
      <w:r>
        <w:rPr>
          <w:rFonts w:ascii="仿宋" w:hAnsi="仿宋" w:eastAsia="仿宋"/>
          <w:b/>
          <w:color w:val="auto"/>
          <w:sz w:val="28"/>
        </w:rPr>
        <w:t>2、数据操作API接口</w:t>
      </w:r>
    </w:p>
    <w:p w14:paraId="041DAAA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1、患者基本信息表数据操作API接口</w:t>
      </w:r>
    </w:p>
    <w:p w14:paraId="0CE6B696">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提供emr_patient_info数据记录的新增、修改、删除操作API接口。</w:t>
      </w:r>
    </w:p>
    <w:p w14:paraId="12A0210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2、诊疗活动信息表数据操作API接口</w:t>
      </w:r>
    </w:p>
    <w:p w14:paraId="75996BD5">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提供emr_activity_info数据记录的新增、修改、删除操作API接口。</w:t>
      </w:r>
    </w:p>
    <w:p w14:paraId="0B3177A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3、传染病报告卡数据操作API接口</w:t>
      </w:r>
    </w:p>
    <w:p w14:paraId="068AD9C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提供emr_inf_report数据记录的新增、修改、删除操作API接口。</w:t>
      </w:r>
    </w:p>
    <w:p w14:paraId="7B7472AF">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4、门（急）诊病历表数据操作API接口</w:t>
      </w:r>
    </w:p>
    <w:p w14:paraId="0A61343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提供emr_outpatient_record数据记录的新增、修改、删除操作API接口。</w:t>
      </w:r>
    </w:p>
    <w:p w14:paraId="196DDFC5">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5、门（急）诊留观记录表数据操作API接口</w:t>
      </w:r>
    </w:p>
    <w:p w14:paraId="115407A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提供emr_outpatient_obs数据记录的新增、修改、删除操作API接口。</w:t>
      </w:r>
    </w:p>
    <w:p w14:paraId="225025DE">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6、入院记录表数据操作API接口</w:t>
      </w:r>
    </w:p>
    <w:p w14:paraId="032C05B8">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提供emr_admission_info数据记录的新增、修改、删除操作API接口。</w:t>
      </w:r>
    </w:p>
    <w:p w14:paraId="4CB588E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7、住院首次病程记录表数据操作API接口</w:t>
      </w:r>
    </w:p>
    <w:p w14:paraId="1E176513">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提供emr_first_course数据记录的新增、修改、删除操作API接口。</w:t>
      </w:r>
    </w:p>
    <w:p w14:paraId="2EE81B74">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8、住院日常病程记录表数据操作API接口</w:t>
      </w:r>
    </w:p>
    <w:p w14:paraId="16F7324B">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提供emr_daily_course 数据记录的新增、修改、删除操作 API 接口。</w:t>
      </w:r>
    </w:p>
    <w:p w14:paraId="1C696E0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9、住院病案首页表数据操作API接口</w:t>
      </w:r>
    </w:p>
    <w:p w14:paraId="7F019AD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提供emr_admission_record数据记录的新增、修改、删除操作API接口。</w:t>
      </w:r>
    </w:p>
    <w:p w14:paraId="657A42B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10、出院记录表数据操作API接口</w:t>
      </w:r>
    </w:p>
    <w:p w14:paraId="19E664BF">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提供emr_discharge_info数据记录的新增、修改、删除操作API接口。</w:t>
      </w:r>
    </w:p>
    <w:p w14:paraId="670AC6DB">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11、检查报告表数据操作API接口</w:t>
      </w:r>
    </w:p>
    <w:p w14:paraId="1ED25CD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提供emr_ex_clinical数据记录的新增、修改、删除操作API接口。</w:t>
      </w:r>
    </w:p>
    <w:p w14:paraId="10AAEEF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12、检查报告项目表数据操作API接口</w:t>
      </w:r>
    </w:p>
    <w:p w14:paraId="7EDA52F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提供emr_ex_clinical_item 数据记录的新增、修改、删除操作API接口。</w:t>
      </w:r>
    </w:p>
    <w:p w14:paraId="7F18A588">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13、检验报告表数据操作API接口</w:t>
      </w:r>
    </w:p>
    <w:p w14:paraId="166ED1F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提供emr_ex_lab 数据记录的新增、修改、删除操作API接口。</w:t>
      </w:r>
    </w:p>
    <w:p w14:paraId="3A84403D">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14、检验报告项目表数据操作API接口</w:t>
      </w:r>
    </w:p>
    <w:p w14:paraId="393CC0E6">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提供emr_ex_lab_item数据记录的新增、修改、删除操作API接口。</w:t>
      </w:r>
    </w:p>
    <w:p w14:paraId="75E905E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15、医嘱处方信息表数据操作API接口</w:t>
      </w:r>
    </w:p>
    <w:p w14:paraId="163A0A1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提供emr_order数据记录的新增、修改、删除操作API接口。</w:t>
      </w:r>
    </w:p>
    <w:p w14:paraId="2FBCFB32">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16、医嘱处方条目表数据操作API接口</w:t>
      </w:r>
    </w:p>
    <w:p w14:paraId="4D490EB4">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提供emr_order_item数据记录的新增、修改、删除操作API接口。</w:t>
      </w:r>
    </w:p>
    <w:p w14:paraId="34E3D2B6">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17、死亡信息表数据操作API接口</w:t>
      </w:r>
    </w:p>
    <w:p w14:paraId="3D46F7D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提供emr_death_info数据记录的新增、修改、删除操作API接口。</w:t>
      </w:r>
    </w:p>
    <w:p w14:paraId="1C8BDF3C">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18、生命体征护理记录单数据操作API接口</w:t>
      </w:r>
    </w:p>
    <w:p w14:paraId="7D32175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提供emr_vital_signs_record数据记录的新增、修改、删除操作API接口。</w:t>
      </w:r>
    </w:p>
    <w:p w14:paraId="744DDACC">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19、医院信息系统用户信息表数据操作API接口</w:t>
      </w:r>
    </w:p>
    <w:p w14:paraId="5C812227">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提供base_user数据记录的新增、修改、删除操作API接口。</w:t>
      </w:r>
    </w:p>
    <w:p w14:paraId="14559673">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20、医院信息系统科室信息数据操作API接口</w:t>
      </w:r>
    </w:p>
    <w:p w14:paraId="7648BAF5">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提供base_dept数据记录的新增、修改操作API接口。</w:t>
      </w:r>
    </w:p>
    <w:p w14:paraId="470E8007">
      <w:pPr>
        <w:rPr>
          <w:rFonts w:ascii="仿宋" w:hAnsi="仿宋" w:eastAsia="仿宋"/>
          <w:b/>
          <w:color w:val="auto"/>
          <w:sz w:val="28"/>
        </w:rPr>
      </w:pPr>
      <w:r>
        <w:rPr>
          <w:rFonts w:hint="default" w:ascii="仿宋" w:hAnsi="仿宋" w:eastAsia="仿宋"/>
          <w:b/>
          <w:color w:val="auto"/>
          <w:sz w:val="28"/>
        </w:rPr>
        <w:t>3.</w:t>
      </w:r>
      <w:r>
        <w:rPr>
          <w:rFonts w:ascii="仿宋" w:hAnsi="仿宋" w:eastAsia="仿宋"/>
          <w:b/>
          <w:color w:val="auto"/>
          <w:sz w:val="28"/>
        </w:rPr>
        <w:t>3、系统交互API接口</w:t>
      </w:r>
    </w:p>
    <w:p w14:paraId="2472114D">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1、单点登录API接口</w:t>
      </w:r>
    </w:p>
    <w:p w14:paraId="40955A65">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1）获取私钥 API接口</w:t>
      </w:r>
    </w:p>
    <w:p w14:paraId="0003F20A">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通过医疗机构的授权码license，获取 API Secret Key 私钥，在调用单点登录时携带该 Key值，实现单点登录。</w:t>
      </w:r>
    </w:p>
    <w:p w14:paraId="2628B670">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接口通过医院信息系统的B端（B/S 系统）或C端（C/S系统），调用医生电脑的前置软件客户端的API接口。</w:t>
      </w:r>
    </w:p>
    <w:p w14:paraId="075A7828">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2）单点登录API接口</w:t>
      </w:r>
    </w:p>
    <w:p w14:paraId="6D3519C1">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根据获取私钥API接口获得的secretKey，加上用户id，实现单点登录。集成单点登录API接口的前提是，医疗机构已实现全院用户信息表base_user数据 同步。</w:t>
      </w:r>
    </w:p>
    <w:p w14:paraId="6CE1B213">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接口通过医院信息系统的B端（B/S系统）或C端（C/S系统），调用医生电脑的前置软件客户端的API接口。</w:t>
      </w:r>
    </w:p>
    <w:p w14:paraId="497069F8">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2、消息查阅API接口</w:t>
      </w:r>
    </w:p>
    <w:p w14:paraId="6C7E220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1）获取私钥API接口</w:t>
      </w:r>
    </w:p>
    <w:p w14:paraId="48C714C9">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通过医疗机构的授权码license，获取APISecretKey私钥，在调用消息查阅接口时携带私钥，实现安全认证。私钥有效期为7天。</w:t>
      </w:r>
    </w:p>
    <w:p w14:paraId="5F1EFA6D">
      <w:pPr>
        <w:spacing w:line="360" w:lineRule="auto"/>
        <w:ind w:firstLine="480" w:firstLineChars="200"/>
        <w:rPr>
          <w:rFonts w:hint="default" w:ascii="仿宋" w:hAnsi="仿宋" w:eastAsia="仿宋" w:cs="仿宋"/>
          <w:color w:val="auto"/>
          <w:kern w:val="2"/>
          <w:sz w:val="24"/>
          <w:szCs w:val="24"/>
        </w:rPr>
      </w:pPr>
      <w:r>
        <w:rPr>
          <w:rFonts w:ascii="仿宋" w:hAnsi="仿宋" w:eastAsia="仿宋" w:cs="仿宋"/>
          <w:color w:val="auto"/>
          <w:kern w:val="2"/>
          <w:sz w:val="24"/>
          <w:szCs w:val="24"/>
        </w:rPr>
        <w:t>2）消息查阅API接口</w:t>
      </w:r>
    </w:p>
    <w:p w14:paraId="4346DC83">
      <w:pPr>
        <w:spacing w:line="360" w:lineRule="auto"/>
        <w:ind w:firstLine="480" w:firstLineChars="200"/>
        <w:rPr>
          <w:rFonts w:ascii="仿宋" w:hAnsi="仿宋" w:eastAsia="仿宋" w:cs="仿宋"/>
          <w:color w:val="auto"/>
          <w:kern w:val="2"/>
          <w:sz w:val="24"/>
          <w:szCs w:val="24"/>
        </w:rPr>
      </w:pPr>
      <w:r>
        <w:rPr>
          <w:rFonts w:ascii="仿宋" w:hAnsi="仿宋" w:eastAsia="仿宋" w:cs="仿宋"/>
          <w:color w:val="auto"/>
          <w:kern w:val="2"/>
          <w:sz w:val="24"/>
          <w:szCs w:val="24"/>
        </w:rPr>
        <w:t>医疗机构携带APISecretKey私钥和查询条件，调阅前置软件产生的消息提醒。</w:t>
      </w:r>
    </w:p>
    <w:p w14:paraId="2E5DFDDC">
      <w:pPr>
        <w:numPr>
          <w:numId w:val="0"/>
        </w:numPr>
        <w:adjustRightInd w:val="0"/>
        <w:snapToGrid w:val="0"/>
        <w:spacing w:before="156" w:beforeLines="50" w:after="156" w:afterLines="50" w:line="360" w:lineRule="auto"/>
        <w:jc w:val="both"/>
        <w:rPr>
          <w:rFonts w:hint="eastAsia" w:ascii="仿宋" w:hAnsi="仿宋" w:eastAsia="仿宋"/>
          <w:b/>
          <w:color w:val="auto"/>
          <w:sz w:val="36"/>
          <w:szCs w:val="22"/>
          <w:lang w:val="en-US" w:eastAsia="zh-CN"/>
        </w:rPr>
      </w:pPr>
      <w:r>
        <w:rPr>
          <w:rFonts w:hint="eastAsia" w:ascii="仿宋" w:hAnsi="仿宋" w:eastAsia="仿宋"/>
          <w:b/>
          <w:color w:val="auto"/>
          <w:sz w:val="36"/>
          <w:szCs w:val="22"/>
          <w:lang w:val="en-US" w:eastAsia="zh-CN"/>
        </w:rPr>
        <w:t>（二）商务参数</w:t>
      </w:r>
    </w:p>
    <w:p w14:paraId="3E0EFB89">
      <w:pPr>
        <w:numPr>
          <w:ilvl w:val="0"/>
          <w:numId w:val="1"/>
        </w:numPr>
        <w:spacing w:line="360" w:lineRule="auto"/>
        <w:ind w:firstLine="480" w:firstLineChars="200"/>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乙方完成接口服务后通知甲方进行内部测试，在甲方书面确认后将接口上线，接口上线稳定运行达30日后，乙方通知甲方验收，并提供完整的技术文档等资料。甲方自收到乙方通知后 7 日内按本合同约定和采购需求进行验收，验收合格的签署验收合格报告；如经甲方验收不合格，乙方须在 3 日内无条件返工到位。</w:t>
      </w:r>
    </w:p>
    <w:p w14:paraId="0480703E">
      <w:pPr>
        <w:numPr>
          <w:ilvl w:val="0"/>
          <w:numId w:val="1"/>
        </w:numPr>
        <w:spacing w:line="360" w:lineRule="auto"/>
        <w:ind w:firstLine="480" w:firstLineChars="200"/>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自本项目上线后并收到发票30日内，支付服务费用90%；自本项目经甲方书面验收合格之日起30日内，支付服务费用10%余款。</w:t>
      </w:r>
    </w:p>
    <w:p w14:paraId="2D21CB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r>
        <w:rPr>
          <w:rFonts w:hint="eastAsia" w:ascii="仿宋_GB2312" w:eastAsia="仿宋_GB2312" w:cs="仿宋_GB2312"/>
          <w:bCs/>
          <w:color w:val="auto"/>
          <w:kern w:val="0"/>
          <w:sz w:val="28"/>
          <w:szCs w:val="28"/>
          <w:lang w:val="en-US" w:eastAsia="zh-CN" w:bidi="ar-SA"/>
        </w:rPr>
        <w:t>。</w:t>
      </w:r>
    </w:p>
    <w:p w14:paraId="7E7E74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162EAA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B8243A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174232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6E3AE58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63FCA4B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967BC4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888EA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A3C241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7A03EEBA">
      <w:pPr>
        <w:pStyle w:val="16"/>
        <w:rPr>
          <w:rFonts w:hint="eastAsia" w:ascii="仿宋_GB2312" w:hAnsi="Times New Roman" w:eastAsia="仿宋_GB2312" w:cs="仿宋_GB2312"/>
          <w:bCs/>
          <w:color w:val="auto"/>
          <w:kern w:val="0"/>
          <w:sz w:val="28"/>
          <w:szCs w:val="28"/>
          <w:lang w:val="en-US" w:eastAsia="zh-CN" w:bidi="ar-SA"/>
        </w:rPr>
      </w:pPr>
    </w:p>
    <w:p w14:paraId="33ADC2C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bookmarkStart w:id="1" w:name="_Toc16523574"/>
      <w:r>
        <w:rPr>
          <w:rFonts w:hint="eastAsia" w:ascii="宋体" w:hAnsi="宋体" w:eastAsia="宋体" w:cs="宋体"/>
          <w:color w:val="000000"/>
          <w:sz w:val="28"/>
          <w:szCs w:val="28"/>
          <w:lang w:val="en-US" w:eastAsia="zh-CN"/>
        </w:rPr>
        <w:t xml:space="preserve">                                                      合同编号：</w:t>
      </w:r>
    </w:p>
    <w:p w14:paraId="5ACDB6A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w:t>
      </w:r>
    </w:p>
    <w:p w14:paraId="605894BC">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31FCEDD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14:paraId="5DD8EA9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14:paraId="1AB8A3F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14:paraId="4DFC36A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14:paraId="60FFA2FE">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3879728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为实现全国一体化自动上报监测数据交互与共享，推动传染病监测预警数字化、智能化转型，实现我院传染病数据的自动化采集和实时传输，提升传染病数据采集精准度和我院工作效率，因乙方为</w:t>
      </w:r>
      <w:r>
        <w:rPr>
          <w:rFonts w:hint="eastAsia" w:ascii="宋体" w:hAnsi="宋体" w:cs="宋体"/>
          <w:color w:val="000000"/>
          <w:sz w:val="28"/>
          <w:szCs w:val="28"/>
          <w:lang w:val="en-US" w:eastAsia="zh-CN"/>
        </w:rPr>
        <w:t>HIS</w:t>
      </w:r>
      <w:r>
        <w:rPr>
          <w:rFonts w:hint="eastAsia" w:ascii="宋体" w:hAnsi="宋体" w:eastAsia="宋体" w:cs="宋体"/>
          <w:color w:val="000000"/>
          <w:sz w:val="28"/>
          <w:szCs w:val="28"/>
          <w:lang w:val="en-US" w:eastAsia="zh-CN"/>
        </w:rPr>
        <w:t>系统软件开发商，现甲方采用院内单一来源采购方式向乙方采购</w:t>
      </w:r>
      <w:r>
        <w:rPr>
          <w:rFonts w:hint="eastAsia" w:ascii="宋体" w:hAnsi="宋体" w:cs="宋体"/>
          <w:color w:val="000000"/>
          <w:sz w:val="28"/>
          <w:szCs w:val="28"/>
          <w:u w:val="single"/>
          <w:lang w:val="en-US" w:eastAsia="zh-CN"/>
        </w:rPr>
        <w:t>国家传染病智能监测预警前置软件数据集成和API接口服务</w:t>
      </w:r>
      <w:r>
        <w:rPr>
          <w:rFonts w:hint="eastAsia" w:ascii="宋体" w:hAnsi="宋体" w:eastAsia="宋体" w:cs="宋体"/>
          <w:color w:val="000000"/>
          <w:sz w:val="28"/>
          <w:szCs w:val="28"/>
          <w:lang w:val="en-US" w:eastAsia="zh-CN"/>
        </w:rPr>
        <w:t>。根据《中华人民共和国民法典》及相关法律法规规定，甲乙双方就</w:t>
      </w:r>
      <w:r>
        <w:rPr>
          <w:rFonts w:hint="eastAsia" w:ascii="宋体" w:hAnsi="宋体" w:cs="宋体"/>
          <w:color w:val="000000"/>
          <w:sz w:val="28"/>
          <w:szCs w:val="28"/>
          <w:u w:val="single"/>
          <w:lang w:val="en-US" w:eastAsia="zh-CN"/>
        </w:rPr>
        <w:t>国家传染病智能监测预警前置软件数据集成和API接口服务</w:t>
      </w:r>
      <w:r>
        <w:rPr>
          <w:rFonts w:hint="eastAsia" w:ascii="宋体" w:hAnsi="宋体" w:eastAsia="宋体" w:cs="宋体"/>
          <w:color w:val="000000"/>
          <w:sz w:val="28"/>
          <w:szCs w:val="28"/>
          <w:lang w:val="en-US" w:eastAsia="zh-CN"/>
        </w:rPr>
        <w:t>事宜协商一致，特订立本合同，以资共同遵守。</w:t>
      </w:r>
    </w:p>
    <w:p w14:paraId="517CEE49">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14:paraId="5C90322C">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国家传染病智能监测预警前置软件数据集成和API接口服务</w:t>
      </w:r>
      <w:r>
        <w:rPr>
          <w:rFonts w:hint="eastAsia" w:ascii="宋体" w:hAnsi="宋体" w:eastAsia="宋体" w:cs="宋体"/>
          <w:color w:val="000000"/>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114"/>
      </w:tblGrid>
      <w:tr w14:paraId="37D2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14:paraId="14E1535F">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14:paraId="1A9D9893">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14:paraId="41A1C61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114" w:type="dxa"/>
            <w:noWrap w:val="0"/>
            <w:vAlign w:val="center"/>
          </w:tcPr>
          <w:p w14:paraId="0259269A">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14:paraId="72B1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14:paraId="47D91CC5">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eastAsia="宋体" w:cs="宋体"/>
                <w:color w:val="000000"/>
                <w:vertAlign w:val="baseline"/>
              </w:rPr>
              <w:t>卫宁健康医院信息管理软件V5.0</w:t>
            </w:r>
          </w:p>
        </w:tc>
        <w:tc>
          <w:tcPr>
            <w:tcW w:w="1541" w:type="dxa"/>
            <w:noWrap w:val="0"/>
            <w:vAlign w:val="center"/>
          </w:tcPr>
          <w:p w14:paraId="5AD81949">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cs="宋体"/>
                <w:color w:val="000000"/>
                <w:vertAlign w:val="baseline"/>
                <w:lang w:val="en-US" w:eastAsia="zh-CN"/>
              </w:rPr>
              <w:t>国家传染病智能监测预警前置软件数据集成和API接口</w:t>
            </w:r>
          </w:p>
        </w:tc>
        <w:tc>
          <w:tcPr>
            <w:tcW w:w="859" w:type="dxa"/>
            <w:noWrap w:val="0"/>
            <w:vAlign w:val="center"/>
          </w:tcPr>
          <w:p w14:paraId="073D6189">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114" w:type="dxa"/>
            <w:noWrap w:val="0"/>
            <w:vAlign w:val="center"/>
          </w:tcPr>
          <w:p w14:paraId="2A4B2FFE">
            <w:pPr>
              <w:pStyle w:val="10"/>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cs="Times New Roman"/>
                <w:color w:val="000000"/>
                <w:lang w:val="en-US" w:eastAsia="zh-CN"/>
              </w:rPr>
              <w:t>《国家传染病智能监测预警前置软件数据集成和API接口规范（试行）》</w:t>
            </w:r>
            <w:r>
              <w:rPr>
                <w:rFonts w:hint="eastAsia" w:ascii="Calibri" w:hAnsi="Calibri" w:eastAsia="宋体" w:cs="Times New Roman"/>
                <w:color w:val="000000"/>
                <w:lang w:val="en-US" w:eastAsia="zh-CN"/>
              </w:rPr>
              <w:t>开发实施</w:t>
            </w:r>
            <w:r>
              <w:rPr>
                <w:rFonts w:hint="eastAsia" w:ascii="Calibri" w:hAnsi="Calibri" w:cs="Times New Roman"/>
                <w:color w:val="000000"/>
                <w:lang w:val="en-US" w:eastAsia="zh-CN"/>
              </w:rPr>
              <w:t>，详见附件。</w:t>
            </w:r>
          </w:p>
        </w:tc>
      </w:tr>
    </w:tbl>
    <w:p w14:paraId="092B208F">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《国家传染病智能监测预警前置软件数据集成和API接口规范（试行）》</w:t>
      </w:r>
      <w:r>
        <w:rPr>
          <w:rFonts w:hint="eastAsia" w:ascii="宋体" w:hAnsi="宋体" w:eastAsia="宋体" w:cs="宋体"/>
          <w:color w:val="000000"/>
          <w:sz w:val="28"/>
          <w:szCs w:val="28"/>
          <w:lang w:val="en-US" w:eastAsia="zh-CN"/>
        </w:rPr>
        <w:t>。超出此接口文档范围的程序修改，甲乙双方进行充分协商后另行签订补充协议。</w:t>
      </w:r>
    </w:p>
    <w:p w14:paraId="50D12FA6">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14:paraId="72959799">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14:paraId="014C300D">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14:paraId="7BA6FD5D">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14:paraId="06A5ED33">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14:paraId="3A261FC8">
      <w:pPr>
        <w:pStyle w:val="1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14:paraId="477959EA">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14:paraId="79BF29FE">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14:paraId="238DA33B">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《国家传染病智能监测预警前置软件数据集成和API接口规范（试行）》</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14:paraId="7104A65D">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14:paraId="79A4F8F6">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3743F76B">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14:paraId="1D0ED207">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14:paraId="12D20F67">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14:paraId="4D06F32E">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14:paraId="50C4AA44">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6B4AD19D">
      <w:pPr>
        <w:pStyle w:val="5"/>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000000"/>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14:paraId="1DBB9075">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14:paraId="4F393D1A">
      <w:pPr>
        <w:pStyle w:val="6"/>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3561B925">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14:paraId="7C0CB364">
      <w:pPr>
        <w:pStyle w:val="6"/>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14:paraId="16B0A42A">
      <w:pPr>
        <w:pStyle w:val="6"/>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14:paraId="47530A49">
      <w:pPr>
        <w:pStyle w:val="1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14:paraId="64875B6A">
      <w:pPr>
        <w:pStyle w:val="12"/>
        <w:widowControl w:val="0"/>
        <w:spacing w:line="480" w:lineRule="exact"/>
        <w:ind w:firstLine="560" w:firstLineChars="200"/>
        <w:rPr>
          <w:rFonts w:hint="eastAsia" w:ascii="宋体" w:hAnsi="宋体" w:eastAsia="宋体" w:cs="宋体"/>
          <w:color w:val="000000"/>
          <w:kern w:val="2"/>
          <w:sz w:val="28"/>
          <w:szCs w:val="28"/>
          <w:highlight w:val="none"/>
          <w:lang w:val="en-US" w:eastAsia="zh-CN"/>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14:paraId="2F6BC36D">
      <w:pPr>
        <w:pStyle w:val="6"/>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14:paraId="6737EAD4">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14:paraId="4E88A51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14:paraId="25D7301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14:paraId="355F0CCE">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14:paraId="493895CC">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14:paraId="01BF6A0A">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14:paraId="7E8F972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14:paraId="6665E52F">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14:paraId="510865DC">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14:paraId="384142B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3EB275B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6B75E9C0">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14:paraId="05D8B78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14:paraId="37ADB15B">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14:paraId="047C0F80">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元 </w:t>
      </w:r>
      <w:r>
        <w:rPr>
          <w:rFonts w:hint="eastAsia" w:ascii="宋体" w:hAnsi="宋体" w:eastAsia="宋体" w:cs="宋体"/>
          <w:color w:val="000000"/>
          <w:kern w:val="0"/>
          <w:sz w:val="28"/>
          <w:szCs w:val="28"/>
          <w:lang w:val="en-US" w:eastAsia="zh-CN" w:bidi="ar-SA"/>
        </w:rPr>
        <w:t>（小写：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50D5B9A1">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甲方通过银行转账分次支付服务费用至乙方指定收款账户：自本项目上线后并收到发票30日内，支付服务费用90%即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14:paraId="45327285">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14:paraId="15D18BB5">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14:paraId="0EA36CF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14:paraId="63786C8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14:paraId="0D17428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14:paraId="21D214D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8.1 双方确定，在本合同有效期内，甲方指定</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 xml:space="preserve">（联系电话： </w:t>
      </w:r>
      <w:r>
        <w:rPr>
          <w:rFonts w:hint="eastAsia" w:ascii="宋体" w:hAnsi="宋体" w:eastAsia="宋体" w:cs="宋体"/>
          <w:color w:val="000000"/>
          <w:kern w:val="0"/>
          <w:sz w:val="28"/>
          <w:szCs w:val="28"/>
          <w:highlight w:val="none"/>
          <w:u w:val="single"/>
          <w:lang w:val="en-US" w:eastAsia="zh-CN" w:bidi="ar-SA"/>
        </w:rPr>
        <w:t xml:space="preserve">13973818325 </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14:paraId="41F4D55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14:paraId="5488018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14:paraId="41ADFDE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0B99E99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14:paraId="1696F49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胡晟娅</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13973818325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7591521@qq.com</w:t>
      </w:r>
      <w:r>
        <w:rPr>
          <w:rFonts w:hint="eastAsia" w:ascii="宋体" w:hAnsi="宋体" w:eastAsia="宋体" w:cs="宋体"/>
          <w:color w:val="000000"/>
          <w:kern w:val="0"/>
          <w:sz w:val="28"/>
          <w:szCs w:val="28"/>
          <w:lang w:val="en-US" w:eastAsia="zh-CN" w:bidi="ar-SA"/>
        </w:rPr>
        <w:t>。</w:t>
      </w:r>
    </w:p>
    <w:p w14:paraId="4A0BE92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14:paraId="157D5293">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40DADF5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4908223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14:paraId="499B12A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14:paraId="0245986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14:paraId="7F11908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14:paraId="765C42A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14:paraId="5C58600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14:paraId="22B7F9F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14:paraId="1EA7A10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14:paraId="7D8879BD">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14:paraId="18246CCD">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14:paraId="4B42DFB0">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14:paraId="5170889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14:paraId="5C0BB56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14:paraId="663F5EE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4CC5C0E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14:paraId="5C88383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14:paraId="63859D0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14:paraId="2658540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14:paraId="29A2FA6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14:paraId="13D6DB5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14:paraId="63E7962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本合同一式肆份，甲方执叁份，乙方执壹份，自双方签字并盖章之日起生效。</w:t>
      </w:r>
    </w:p>
    <w:p w14:paraId="0BA637B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6996E5A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14:paraId="3517ECE6">
      <w:pPr>
        <w:pStyle w:val="6"/>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14:paraId="761EBEE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E355C57">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2F2BCDE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14:paraId="3A7B1917">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055F42BB">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6EC5855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14:paraId="30B7A25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3B5AD2D">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6F11929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合同签订地履行地：娄底市娄星区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kern w:val="0"/>
          <w:sz w:val="28"/>
          <w:szCs w:val="28"/>
          <w:lang w:val="en-US" w:eastAsia="zh-CN" w:bidi="ar-SA"/>
        </w:rPr>
        <w:t>签订日期：   年   月   日</w:t>
      </w:r>
    </w:p>
    <w:p w14:paraId="0EA96B95">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7004C69D">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3C1B445C">
      <w:pPr>
        <w:spacing w:line="420" w:lineRule="exact"/>
        <w:outlineLvl w:val="0"/>
        <w:rPr>
          <w:rFonts w:ascii="仿宋" w:hAnsi="仿宋" w:eastAsia="仿宋" w:cs="仿宋"/>
          <w:sz w:val="28"/>
          <w:szCs w:val="28"/>
        </w:rPr>
      </w:pPr>
    </w:p>
    <w:p w14:paraId="5FBFEDEE">
      <w:pPr>
        <w:spacing w:line="420" w:lineRule="exact"/>
        <w:rPr>
          <w:rFonts w:hint="eastAsia" w:ascii="仿宋" w:hAnsi="仿宋" w:eastAsia="仿宋" w:cs="仿宋"/>
          <w:sz w:val="24"/>
        </w:rPr>
      </w:pPr>
    </w:p>
    <w:p w14:paraId="510E6F51">
      <w:pPr>
        <w:pStyle w:val="4"/>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53B405F">
      <w:pPr>
        <w:pStyle w:val="4"/>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1CA7279">
      <w:pPr>
        <w:rPr>
          <w:rFonts w:hint="eastAsia" w:ascii="宋体" w:hAnsi="宋体" w:cs="宋体"/>
          <w:color w:val="auto"/>
        </w:rPr>
      </w:pPr>
    </w:p>
    <w:bookmarkEnd w:id="1"/>
    <w:p w14:paraId="77E9FAF1">
      <w:pPr>
        <w:rPr>
          <w:rFonts w:hint="eastAsia"/>
          <w:color w:val="auto"/>
        </w:rPr>
      </w:pPr>
    </w:p>
    <w:p w14:paraId="5D862081">
      <w:pPr>
        <w:jc w:val="center"/>
        <w:rPr>
          <w:b/>
          <w:color w:val="auto"/>
          <w:sz w:val="24"/>
        </w:rPr>
      </w:pPr>
      <w:r>
        <w:rPr>
          <w:b/>
          <w:color w:val="auto"/>
          <w:sz w:val="28"/>
          <w:szCs w:val="28"/>
        </w:rPr>
        <w:t>第一部分、开标一览表</w:t>
      </w:r>
    </w:p>
    <w:p w14:paraId="66597F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0B4F153C">
      <w:pPr>
        <w:pStyle w:val="18"/>
        <w:rPr>
          <w:color w:val="auto"/>
        </w:rPr>
      </w:pPr>
    </w:p>
    <w:p w14:paraId="5970F5F0">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703D21FA">
      <w:pPr>
        <w:pStyle w:val="16"/>
        <w:rPr>
          <w:rFonts w:hint="eastAsia"/>
          <w:color w:val="auto"/>
          <w:lang w:eastAsia="zh-CN"/>
        </w:rPr>
      </w:pPr>
    </w:p>
    <w:p w14:paraId="14936463">
      <w:pPr>
        <w:adjustRightInd w:val="0"/>
        <w:snapToGrid w:val="0"/>
        <w:spacing w:line="360" w:lineRule="auto"/>
        <w:jc w:val="center"/>
        <w:rPr>
          <w:rFonts w:hint="eastAsia" w:ascii="宋体" w:hAnsi="宋体" w:cs="宋体"/>
          <w:b/>
          <w:color w:val="auto"/>
          <w:sz w:val="24"/>
          <w:szCs w:val="20"/>
        </w:rPr>
      </w:pPr>
    </w:p>
    <w:p w14:paraId="41CC3D6E">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315A190">
      <w:pPr>
        <w:adjustRightInd w:val="0"/>
        <w:snapToGrid w:val="0"/>
        <w:spacing w:line="360" w:lineRule="auto"/>
        <w:rPr>
          <w:rFonts w:hint="eastAsia" w:ascii="宋体" w:hAnsi="宋体" w:cs="宋体"/>
          <w:b/>
          <w:color w:val="auto"/>
          <w:sz w:val="28"/>
          <w:szCs w:val="28"/>
        </w:rPr>
      </w:pPr>
    </w:p>
    <w:p w14:paraId="2509A6A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0C4857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F9DE7B6">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34F6FC2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A40FBE2">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98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D02CD0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444DCD1">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A3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F8CEA9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48A56D4C">
      <w:pPr>
        <w:adjustRightInd w:val="0"/>
        <w:snapToGrid w:val="0"/>
        <w:spacing w:line="360" w:lineRule="auto"/>
        <w:rPr>
          <w:rFonts w:hint="eastAsia" w:ascii="宋体" w:hAnsi="宋体" w:cs="宋体"/>
          <w:color w:val="auto"/>
          <w:sz w:val="24"/>
        </w:rPr>
      </w:pPr>
    </w:p>
    <w:p w14:paraId="25054578">
      <w:pPr>
        <w:adjustRightInd w:val="0"/>
        <w:snapToGrid w:val="0"/>
        <w:spacing w:line="360" w:lineRule="auto"/>
        <w:rPr>
          <w:rFonts w:hint="eastAsia" w:ascii="宋体" w:hAnsi="宋体" w:cs="宋体"/>
          <w:color w:val="auto"/>
          <w:sz w:val="24"/>
        </w:rPr>
      </w:pPr>
    </w:p>
    <w:p w14:paraId="5465B538">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E513E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05D018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681AA5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750829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337B8EB">
      <w:pPr>
        <w:pStyle w:val="16"/>
        <w:rPr>
          <w:rFonts w:hint="eastAsia"/>
          <w:color w:val="auto"/>
          <w:lang w:eastAsia="zh-CN"/>
        </w:rPr>
      </w:pPr>
    </w:p>
    <w:p w14:paraId="63026712">
      <w:pPr>
        <w:spacing w:before="120" w:beforeLines="50" w:after="120" w:afterLines="50" w:line="276" w:lineRule="auto"/>
        <w:jc w:val="center"/>
        <w:rPr>
          <w:b/>
          <w:color w:val="auto"/>
          <w:sz w:val="24"/>
        </w:rPr>
      </w:pPr>
      <w:r>
        <w:rPr>
          <w:b/>
          <w:color w:val="auto"/>
          <w:sz w:val="24"/>
        </w:rPr>
        <w:t>采购需求响应</w:t>
      </w:r>
    </w:p>
    <w:p w14:paraId="491D1811">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B962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7C5CF4D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2FF3354">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93E0F56">
            <w:pPr>
              <w:adjustRightInd w:val="0"/>
              <w:snapToGrid w:val="0"/>
              <w:spacing w:before="50" w:line="360" w:lineRule="auto"/>
              <w:jc w:val="center"/>
              <w:rPr>
                <w:color w:val="auto"/>
              </w:rPr>
            </w:pPr>
            <w:r>
              <w:rPr>
                <w:color w:val="auto"/>
              </w:rPr>
              <w:t>招标文件要求</w:t>
            </w:r>
          </w:p>
        </w:tc>
        <w:tc>
          <w:tcPr>
            <w:tcW w:w="962" w:type="pct"/>
            <w:noWrap w:val="0"/>
            <w:vAlign w:val="top"/>
          </w:tcPr>
          <w:p w14:paraId="3B66E6A6">
            <w:pPr>
              <w:adjustRightInd w:val="0"/>
              <w:snapToGrid w:val="0"/>
              <w:spacing w:before="50" w:line="360" w:lineRule="auto"/>
              <w:jc w:val="center"/>
              <w:rPr>
                <w:color w:val="auto"/>
              </w:rPr>
            </w:pPr>
            <w:r>
              <w:rPr>
                <w:color w:val="auto"/>
              </w:rPr>
              <w:t>投标文件应答</w:t>
            </w:r>
          </w:p>
        </w:tc>
        <w:tc>
          <w:tcPr>
            <w:tcW w:w="905" w:type="pct"/>
            <w:noWrap w:val="0"/>
            <w:vAlign w:val="center"/>
          </w:tcPr>
          <w:p w14:paraId="2DFB8584">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23C649B">
            <w:pPr>
              <w:adjustRightInd w:val="0"/>
              <w:snapToGrid w:val="0"/>
              <w:spacing w:before="50" w:line="360" w:lineRule="auto"/>
              <w:ind w:left="-88" w:leftChars="-42"/>
              <w:jc w:val="center"/>
              <w:rPr>
                <w:color w:val="auto"/>
                <w:szCs w:val="21"/>
              </w:rPr>
            </w:pPr>
            <w:r>
              <w:rPr>
                <w:color w:val="auto"/>
                <w:szCs w:val="21"/>
              </w:rPr>
              <w:t>偏离说明</w:t>
            </w:r>
          </w:p>
        </w:tc>
      </w:tr>
      <w:tr w14:paraId="33159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1B8656">
            <w:pPr>
              <w:adjustRightInd w:val="0"/>
              <w:snapToGrid w:val="0"/>
              <w:spacing w:before="50" w:line="360" w:lineRule="auto"/>
              <w:ind w:left="-88" w:leftChars="-42"/>
              <w:jc w:val="center"/>
              <w:rPr>
                <w:color w:val="auto"/>
                <w:szCs w:val="21"/>
              </w:rPr>
            </w:pPr>
          </w:p>
        </w:tc>
        <w:tc>
          <w:tcPr>
            <w:tcW w:w="1123" w:type="pct"/>
            <w:noWrap w:val="0"/>
            <w:vAlign w:val="center"/>
          </w:tcPr>
          <w:p w14:paraId="7F071BAC">
            <w:pPr>
              <w:adjustRightInd w:val="0"/>
              <w:snapToGrid w:val="0"/>
              <w:spacing w:before="50" w:line="360" w:lineRule="auto"/>
              <w:ind w:left="-88" w:leftChars="-42"/>
              <w:jc w:val="center"/>
              <w:rPr>
                <w:color w:val="auto"/>
                <w:szCs w:val="21"/>
              </w:rPr>
            </w:pPr>
          </w:p>
        </w:tc>
        <w:tc>
          <w:tcPr>
            <w:tcW w:w="1000" w:type="pct"/>
            <w:noWrap w:val="0"/>
            <w:vAlign w:val="center"/>
          </w:tcPr>
          <w:p w14:paraId="13503BDF">
            <w:pPr>
              <w:adjustRightInd w:val="0"/>
              <w:snapToGrid w:val="0"/>
              <w:spacing w:before="50" w:line="360" w:lineRule="auto"/>
              <w:ind w:left="-88" w:leftChars="-42"/>
              <w:jc w:val="center"/>
              <w:rPr>
                <w:color w:val="auto"/>
                <w:szCs w:val="21"/>
              </w:rPr>
            </w:pPr>
          </w:p>
        </w:tc>
        <w:tc>
          <w:tcPr>
            <w:tcW w:w="962" w:type="pct"/>
            <w:noWrap w:val="0"/>
            <w:vAlign w:val="center"/>
          </w:tcPr>
          <w:p w14:paraId="679E2D5C">
            <w:pPr>
              <w:adjustRightInd w:val="0"/>
              <w:snapToGrid w:val="0"/>
              <w:spacing w:before="50" w:line="360" w:lineRule="auto"/>
              <w:ind w:left="-88" w:leftChars="-42"/>
              <w:jc w:val="center"/>
              <w:rPr>
                <w:color w:val="auto"/>
                <w:szCs w:val="21"/>
              </w:rPr>
            </w:pPr>
          </w:p>
        </w:tc>
        <w:tc>
          <w:tcPr>
            <w:tcW w:w="905" w:type="pct"/>
            <w:noWrap w:val="0"/>
            <w:vAlign w:val="center"/>
          </w:tcPr>
          <w:p w14:paraId="4D6EF1D3">
            <w:pPr>
              <w:adjustRightInd w:val="0"/>
              <w:snapToGrid w:val="0"/>
              <w:spacing w:before="50" w:line="360" w:lineRule="auto"/>
              <w:ind w:left="-88" w:leftChars="-42"/>
              <w:jc w:val="center"/>
              <w:rPr>
                <w:color w:val="auto"/>
                <w:szCs w:val="21"/>
              </w:rPr>
            </w:pPr>
          </w:p>
        </w:tc>
        <w:tc>
          <w:tcPr>
            <w:tcW w:w="634" w:type="pct"/>
            <w:noWrap w:val="0"/>
            <w:vAlign w:val="center"/>
          </w:tcPr>
          <w:p w14:paraId="6A5CA19D">
            <w:pPr>
              <w:adjustRightInd w:val="0"/>
              <w:snapToGrid w:val="0"/>
              <w:spacing w:before="50" w:line="360" w:lineRule="auto"/>
              <w:ind w:left="-88" w:leftChars="-42"/>
              <w:jc w:val="center"/>
              <w:rPr>
                <w:color w:val="auto"/>
                <w:szCs w:val="21"/>
              </w:rPr>
            </w:pPr>
          </w:p>
        </w:tc>
      </w:tr>
      <w:tr w14:paraId="7B08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14:paraId="029849A3">
            <w:pPr>
              <w:adjustRightInd w:val="0"/>
              <w:snapToGrid w:val="0"/>
              <w:spacing w:before="50" w:line="360" w:lineRule="auto"/>
              <w:ind w:left="-88" w:leftChars="-42"/>
              <w:jc w:val="center"/>
              <w:rPr>
                <w:color w:val="auto"/>
                <w:szCs w:val="21"/>
              </w:rPr>
            </w:pPr>
          </w:p>
        </w:tc>
        <w:tc>
          <w:tcPr>
            <w:tcW w:w="1123" w:type="pct"/>
            <w:noWrap w:val="0"/>
            <w:vAlign w:val="center"/>
          </w:tcPr>
          <w:p w14:paraId="3558EDD5">
            <w:pPr>
              <w:adjustRightInd w:val="0"/>
              <w:snapToGrid w:val="0"/>
              <w:spacing w:before="50" w:line="360" w:lineRule="auto"/>
              <w:ind w:left="-88" w:leftChars="-42"/>
              <w:jc w:val="center"/>
              <w:rPr>
                <w:color w:val="auto"/>
                <w:szCs w:val="21"/>
              </w:rPr>
            </w:pPr>
          </w:p>
        </w:tc>
        <w:tc>
          <w:tcPr>
            <w:tcW w:w="1000" w:type="pct"/>
            <w:noWrap w:val="0"/>
            <w:vAlign w:val="center"/>
          </w:tcPr>
          <w:p w14:paraId="694A8AEB">
            <w:pPr>
              <w:adjustRightInd w:val="0"/>
              <w:snapToGrid w:val="0"/>
              <w:spacing w:before="50" w:line="360" w:lineRule="auto"/>
              <w:ind w:left="-88" w:leftChars="-42"/>
              <w:jc w:val="center"/>
              <w:rPr>
                <w:color w:val="auto"/>
                <w:szCs w:val="21"/>
              </w:rPr>
            </w:pPr>
          </w:p>
        </w:tc>
        <w:tc>
          <w:tcPr>
            <w:tcW w:w="962" w:type="pct"/>
            <w:noWrap w:val="0"/>
            <w:vAlign w:val="center"/>
          </w:tcPr>
          <w:p w14:paraId="2A87F188">
            <w:pPr>
              <w:adjustRightInd w:val="0"/>
              <w:snapToGrid w:val="0"/>
              <w:spacing w:before="50" w:line="360" w:lineRule="auto"/>
              <w:ind w:left="-88" w:leftChars="-42"/>
              <w:jc w:val="center"/>
              <w:rPr>
                <w:color w:val="auto"/>
                <w:szCs w:val="21"/>
              </w:rPr>
            </w:pPr>
          </w:p>
        </w:tc>
        <w:tc>
          <w:tcPr>
            <w:tcW w:w="905" w:type="pct"/>
            <w:noWrap w:val="0"/>
            <w:vAlign w:val="center"/>
          </w:tcPr>
          <w:p w14:paraId="5EB7431D">
            <w:pPr>
              <w:adjustRightInd w:val="0"/>
              <w:snapToGrid w:val="0"/>
              <w:spacing w:before="50" w:line="360" w:lineRule="auto"/>
              <w:ind w:left="-88" w:leftChars="-42"/>
              <w:jc w:val="center"/>
              <w:rPr>
                <w:color w:val="auto"/>
                <w:szCs w:val="21"/>
              </w:rPr>
            </w:pPr>
          </w:p>
        </w:tc>
        <w:tc>
          <w:tcPr>
            <w:tcW w:w="634" w:type="pct"/>
            <w:noWrap w:val="0"/>
            <w:vAlign w:val="center"/>
          </w:tcPr>
          <w:p w14:paraId="77859E8C">
            <w:pPr>
              <w:adjustRightInd w:val="0"/>
              <w:snapToGrid w:val="0"/>
              <w:spacing w:before="50" w:line="360" w:lineRule="auto"/>
              <w:ind w:left="-88" w:leftChars="-42"/>
              <w:jc w:val="center"/>
              <w:rPr>
                <w:color w:val="auto"/>
                <w:szCs w:val="21"/>
              </w:rPr>
            </w:pPr>
          </w:p>
        </w:tc>
      </w:tr>
      <w:tr w14:paraId="48DD3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405E158">
            <w:pPr>
              <w:adjustRightInd w:val="0"/>
              <w:snapToGrid w:val="0"/>
              <w:spacing w:before="50" w:line="360" w:lineRule="auto"/>
              <w:ind w:left="-88" w:leftChars="-42"/>
              <w:jc w:val="center"/>
              <w:rPr>
                <w:color w:val="auto"/>
                <w:szCs w:val="21"/>
              </w:rPr>
            </w:pPr>
          </w:p>
        </w:tc>
        <w:tc>
          <w:tcPr>
            <w:tcW w:w="1123" w:type="pct"/>
            <w:noWrap w:val="0"/>
            <w:vAlign w:val="center"/>
          </w:tcPr>
          <w:p w14:paraId="50934876">
            <w:pPr>
              <w:adjustRightInd w:val="0"/>
              <w:snapToGrid w:val="0"/>
              <w:spacing w:before="50" w:line="360" w:lineRule="auto"/>
              <w:ind w:left="-88" w:leftChars="-42"/>
              <w:jc w:val="center"/>
              <w:rPr>
                <w:color w:val="auto"/>
                <w:szCs w:val="21"/>
              </w:rPr>
            </w:pPr>
          </w:p>
        </w:tc>
        <w:tc>
          <w:tcPr>
            <w:tcW w:w="1000" w:type="pct"/>
            <w:noWrap w:val="0"/>
            <w:vAlign w:val="center"/>
          </w:tcPr>
          <w:p w14:paraId="57DF41CC">
            <w:pPr>
              <w:adjustRightInd w:val="0"/>
              <w:snapToGrid w:val="0"/>
              <w:spacing w:before="50" w:line="360" w:lineRule="auto"/>
              <w:ind w:left="-88" w:leftChars="-42"/>
              <w:jc w:val="center"/>
              <w:rPr>
                <w:color w:val="auto"/>
                <w:szCs w:val="21"/>
              </w:rPr>
            </w:pPr>
          </w:p>
        </w:tc>
        <w:tc>
          <w:tcPr>
            <w:tcW w:w="962" w:type="pct"/>
            <w:noWrap w:val="0"/>
            <w:vAlign w:val="center"/>
          </w:tcPr>
          <w:p w14:paraId="3CD87D67">
            <w:pPr>
              <w:adjustRightInd w:val="0"/>
              <w:snapToGrid w:val="0"/>
              <w:spacing w:before="50" w:line="360" w:lineRule="auto"/>
              <w:ind w:left="-88" w:leftChars="-42"/>
              <w:jc w:val="center"/>
              <w:rPr>
                <w:color w:val="auto"/>
                <w:szCs w:val="21"/>
              </w:rPr>
            </w:pPr>
          </w:p>
        </w:tc>
        <w:tc>
          <w:tcPr>
            <w:tcW w:w="905" w:type="pct"/>
            <w:noWrap w:val="0"/>
            <w:vAlign w:val="center"/>
          </w:tcPr>
          <w:p w14:paraId="6E10CB4E">
            <w:pPr>
              <w:adjustRightInd w:val="0"/>
              <w:snapToGrid w:val="0"/>
              <w:spacing w:before="50" w:line="360" w:lineRule="auto"/>
              <w:ind w:left="-88" w:leftChars="-42"/>
              <w:jc w:val="center"/>
              <w:rPr>
                <w:color w:val="auto"/>
                <w:szCs w:val="21"/>
              </w:rPr>
            </w:pPr>
          </w:p>
        </w:tc>
        <w:tc>
          <w:tcPr>
            <w:tcW w:w="634" w:type="pct"/>
            <w:noWrap w:val="0"/>
            <w:vAlign w:val="center"/>
          </w:tcPr>
          <w:p w14:paraId="661FDB6E">
            <w:pPr>
              <w:adjustRightInd w:val="0"/>
              <w:snapToGrid w:val="0"/>
              <w:spacing w:before="50" w:line="360" w:lineRule="auto"/>
              <w:ind w:left="-88" w:leftChars="-42"/>
              <w:jc w:val="center"/>
              <w:rPr>
                <w:color w:val="auto"/>
                <w:szCs w:val="21"/>
              </w:rPr>
            </w:pPr>
          </w:p>
        </w:tc>
      </w:tr>
      <w:tr w14:paraId="63886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19FEF56">
            <w:pPr>
              <w:rPr>
                <w:b/>
                <w:color w:val="auto"/>
              </w:rPr>
            </w:pPr>
            <w:r>
              <w:rPr>
                <w:b/>
                <w:color w:val="auto"/>
              </w:rPr>
              <w:t>投标人保证：我单位对招标文件的其他采购需求条款完全响应，无偏离。</w:t>
            </w:r>
          </w:p>
        </w:tc>
      </w:tr>
    </w:tbl>
    <w:p w14:paraId="376B2519">
      <w:pPr>
        <w:adjustRightInd w:val="0"/>
        <w:snapToGrid w:val="0"/>
        <w:spacing w:before="50" w:line="360" w:lineRule="auto"/>
        <w:ind w:left="-88" w:leftChars="-42"/>
        <w:rPr>
          <w:color w:val="auto"/>
          <w:sz w:val="24"/>
        </w:rPr>
      </w:pPr>
      <w:r>
        <w:rPr>
          <w:b/>
          <w:color w:val="auto"/>
          <w:sz w:val="24"/>
        </w:rPr>
        <w:t>备注</w:t>
      </w:r>
      <w:r>
        <w:rPr>
          <w:color w:val="auto"/>
          <w:sz w:val="24"/>
        </w:rPr>
        <w:t>：</w:t>
      </w:r>
    </w:p>
    <w:p w14:paraId="27BFA88B">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0B4CF7C">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3610C1F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15F6B5D7">
      <w:pPr>
        <w:rPr>
          <w:color w:val="auto"/>
        </w:rPr>
      </w:pPr>
    </w:p>
    <w:p w14:paraId="11F55F47"/>
    <w:p w14:paraId="4CB7BCD0"/>
    <w:p w14:paraId="3013C3C9"/>
    <w:p w14:paraId="2E11CD2C"/>
    <w:p w14:paraId="1B9940EC"/>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34A9">
    <w:pPr>
      <w:pStyle w:val="8"/>
      <w:rPr>
        <w:rFonts w:hint="eastAsia" w:ascii="仿宋_GB2312" w:eastAsia="仿宋_GB2312"/>
        <w:bCs/>
        <w:u w:val="single"/>
      </w:rPr>
    </w:pPr>
    <w:r>
      <w:rPr>
        <w:rFonts w:hint="eastAsia" w:ascii="仿宋_GB2312" w:eastAsia="仿宋_GB2312"/>
        <w:bCs/>
        <w:u w:val="single"/>
      </w:rPr>
      <w:t xml:space="preserve">                                                                                                 </w:t>
    </w:r>
  </w:p>
  <w:p w14:paraId="5A5FC963">
    <w:pPr>
      <w:adjustRightInd w:val="0"/>
      <w:snapToGrid w:val="0"/>
      <w:spacing w:line="260" w:lineRule="atLeast"/>
      <w:ind w:left="482" w:hanging="482"/>
      <w:rPr>
        <w:rFonts w:hint="eastAsia" w:ascii="宋体" w:hAnsi="宋体"/>
        <w:kern w:val="0"/>
        <w:sz w:val="18"/>
        <w:szCs w:val="21"/>
      </w:rPr>
    </w:pPr>
  </w:p>
  <w:p w14:paraId="23F24BC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9FE0">
    <w:pPr>
      <w:pStyle w:val="8"/>
      <w:rPr>
        <w:rFonts w:hint="eastAsia" w:ascii="仿宋_GB2312" w:eastAsia="仿宋_GB2312"/>
        <w:bCs/>
        <w:u w:val="single"/>
      </w:rPr>
    </w:pPr>
    <w:r>
      <w:rPr>
        <w:rFonts w:hint="eastAsia" w:ascii="仿宋_GB2312" w:eastAsia="仿宋_GB2312"/>
        <w:bCs/>
        <w:u w:val="single"/>
      </w:rPr>
      <w:t xml:space="preserve">                                                                                                 </w:t>
    </w:r>
  </w:p>
  <w:p w14:paraId="778A187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EBB">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282D5"/>
    <w:multiLevelType w:val="singleLevel"/>
    <w:tmpl w:val="A5D282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24A5A"/>
    <w:rsid w:val="2C124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0"/>
      <w:ind w:firstLine="880"/>
    </w:pPr>
    <w:rPr>
      <w:i/>
      <w:iCs/>
      <w:sz w:val="18"/>
    </w:rPr>
  </w:style>
  <w:style w:type="paragraph" w:styleId="3">
    <w:name w:val="Body Text"/>
    <w:basedOn w:val="1"/>
    <w:unhideWhenUsed/>
    <w:qFormat/>
    <w:uiPriority w:val="0"/>
    <w:pPr>
      <w:spacing w:after="120"/>
    </w:p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line="400" w:lineRule="exact"/>
      <w:ind w:left="420" w:leftChars="200"/>
    </w:pPr>
    <w:rPr>
      <w:rFonts w:ascii="Calibri" w:hAnsi="Calibri"/>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autoSpaceDE w:val="0"/>
      <w:autoSpaceDN w:val="0"/>
      <w:adjustRightInd w:val="0"/>
      <w:ind w:firstLine="420"/>
      <w:jc w:val="left"/>
    </w:pPr>
    <w:rPr>
      <w:kern w:val="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autoRedefine/>
    <w:qFormat/>
    <w:uiPriority w:val="99"/>
    <w:pPr>
      <w:ind w:firstLine="420" w:firstLineChars="200"/>
    </w:pPr>
  </w:style>
  <w:style w:type="paragraph" w:styleId="17">
    <w:name w:val="List Paragraph"/>
    <w:basedOn w:val="1"/>
    <w:qFormat/>
    <w:uiPriority w:val="34"/>
    <w:pPr>
      <w:ind w:firstLine="420" w:firstLineChars="200"/>
    </w:pPr>
  </w:style>
  <w:style w:type="paragraph" w:customStyle="1" w:styleId="18">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2024-11-20T07:21:00Z</dcterms:created>
  <dc:creator>是小豹子</dc:creator>
  <cp:lastModifiedBy>是小豹子</cp:lastModifiedBy>
  <dcterms:modified xsi:type="dcterms:W3CDTF">2024-11-20T07:28:42Z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1CD4D1BA53BA46F19B2B8D1AB32D47B5_11</vt:lpwstr>
  </property>
</Properties>
</file>