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9464A">
      <w:pPr>
        <w:pStyle w:val="4"/>
        <w:snapToGrid w:val="0"/>
        <w:jc w:val="center"/>
        <w:rPr>
          <w:rFonts w:ascii="Arial" w:hAnsi="Arial" w:eastAsia="方正小标宋简体" w:cs="Arial"/>
          <w:color w:val="auto"/>
          <w:sz w:val="72"/>
          <w:szCs w:val="72"/>
        </w:rPr>
      </w:pPr>
    </w:p>
    <w:p w14:paraId="60DA5924">
      <w:pPr>
        <w:pStyle w:val="4"/>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79AD7CA5">
      <w:pPr>
        <w:pStyle w:val="4"/>
        <w:snapToGrid w:val="0"/>
        <w:jc w:val="center"/>
        <w:rPr>
          <w:rFonts w:ascii="Arial" w:hAnsi="Arial" w:eastAsia="方正小标宋简体" w:cs="Arial"/>
          <w:color w:val="auto"/>
          <w:sz w:val="72"/>
          <w:szCs w:val="72"/>
        </w:rPr>
      </w:pPr>
    </w:p>
    <w:p w14:paraId="216DE2F6">
      <w:pPr>
        <w:pStyle w:val="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E61A7F8">
      <w:pPr>
        <w:pStyle w:val="4"/>
        <w:snapToGrid w:val="0"/>
        <w:jc w:val="center"/>
        <w:rPr>
          <w:rFonts w:ascii="Arial" w:hAnsi="Arial" w:eastAsia="方正小标宋简体" w:cs="Arial"/>
          <w:color w:val="auto"/>
          <w:sz w:val="72"/>
          <w:szCs w:val="72"/>
        </w:rPr>
      </w:pPr>
    </w:p>
    <w:p w14:paraId="7D487D6B">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0F52067">
      <w:pPr>
        <w:pStyle w:val="4"/>
        <w:snapToGrid w:val="0"/>
        <w:jc w:val="center"/>
        <w:rPr>
          <w:rFonts w:ascii="Arial" w:hAnsi="Arial" w:eastAsia="方正小标宋简体" w:cs="Arial"/>
          <w:color w:val="auto"/>
          <w:sz w:val="72"/>
          <w:szCs w:val="72"/>
        </w:rPr>
      </w:pPr>
    </w:p>
    <w:p w14:paraId="1B4E46D2">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83FC9C">
      <w:pPr>
        <w:pStyle w:val="4"/>
        <w:snapToGrid w:val="0"/>
        <w:jc w:val="center"/>
        <w:rPr>
          <w:rFonts w:ascii="Arial" w:hAnsi="Arial" w:eastAsia="方正小标宋简体" w:cs="Arial"/>
          <w:color w:val="auto"/>
          <w:sz w:val="72"/>
          <w:szCs w:val="72"/>
        </w:rPr>
      </w:pPr>
    </w:p>
    <w:p w14:paraId="3684409C">
      <w:pPr>
        <w:pStyle w:val="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320757D">
      <w:pPr>
        <w:pStyle w:val="4"/>
        <w:snapToGrid w:val="0"/>
        <w:jc w:val="center"/>
        <w:rPr>
          <w:rFonts w:ascii="Arial" w:hAnsi="Arial" w:cs="Arial"/>
          <w:color w:val="auto"/>
          <w:sz w:val="32"/>
          <w:szCs w:val="32"/>
        </w:rPr>
      </w:pPr>
    </w:p>
    <w:p w14:paraId="3C4D81A7">
      <w:pPr>
        <w:pStyle w:val="4"/>
        <w:snapToGrid w:val="0"/>
        <w:jc w:val="center"/>
        <w:rPr>
          <w:rFonts w:ascii="Arial" w:hAnsi="Arial" w:cs="Arial"/>
          <w:color w:val="auto"/>
          <w:sz w:val="32"/>
          <w:szCs w:val="32"/>
        </w:rPr>
      </w:pPr>
    </w:p>
    <w:p w14:paraId="03F859C5">
      <w:pPr>
        <w:pStyle w:val="4"/>
        <w:snapToGrid w:val="0"/>
        <w:jc w:val="center"/>
        <w:rPr>
          <w:rFonts w:ascii="Arial" w:hAnsi="Arial" w:cs="Arial"/>
          <w:color w:val="auto"/>
          <w:sz w:val="32"/>
          <w:szCs w:val="32"/>
        </w:rPr>
      </w:pPr>
    </w:p>
    <w:p w14:paraId="4CBDD461">
      <w:pPr>
        <w:spacing w:line="360" w:lineRule="auto"/>
        <w:rPr>
          <w:rFonts w:hint="eastAsia"/>
          <w:bCs/>
          <w:color w:val="auto"/>
          <w:sz w:val="32"/>
          <w:szCs w:val="32"/>
        </w:rPr>
      </w:pPr>
    </w:p>
    <w:p w14:paraId="203F5B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短信平台接口</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14:paraId="6EB330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523C58B">
      <w:pPr>
        <w:spacing w:line="320" w:lineRule="exact"/>
        <w:jc w:val="left"/>
        <w:rPr>
          <w:color w:val="auto"/>
          <w:sz w:val="24"/>
        </w:rPr>
      </w:pPr>
    </w:p>
    <w:p w14:paraId="02B17746">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四</w:t>
      </w:r>
      <w:r>
        <w:rPr>
          <w:rFonts w:hint="eastAsia" w:ascii="宋体" w:hAnsi="宋体" w:cs="宋体"/>
          <w:bCs/>
          <w:color w:val="auto"/>
          <w:sz w:val="32"/>
          <w:szCs w:val="32"/>
          <w:lang w:eastAsia="zh-CN"/>
        </w:rPr>
        <w:t>月</w:t>
      </w:r>
    </w:p>
    <w:p w14:paraId="182EA811">
      <w:pPr>
        <w:rPr>
          <w:rFonts w:hint="eastAsia" w:ascii="宋体" w:hAnsi="宋体" w:cs="宋体"/>
          <w:color w:val="auto"/>
          <w:sz w:val="44"/>
          <w:szCs w:val="44"/>
          <w:lang w:val="en-US" w:eastAsia="zh-CN"/>
        </w:rPr>
      </w:pPr>
    </w:p>
    <w:p w14:paraId="74631934">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54E23DE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短信平台接口</w:t>
      </w:r>
      <w:r>
        <w:rPr>
          <w:rFonts w:hint="eastAsia" w:ascii="仿宋_GB2312" w:hAnsi="Times New Roman" w:eastAsia="仿宋_GB2312" w:cs="仿宋_GB2312"/>
          <w:bCs/>
          <w:color w:val="auto"/>
          <w:kern w:val="0"/>
          <w:sz w:val="28"/>
          <w:szCs w:val="28"/>
          <w:lang w:val="en-US" w:eastAsia="zh-CN" w:bidi="ar-SA"/>
        </w:rPr>
        <w:t>项目进行单一来源采购，现邀请你单位（卫宁健康科技集团股份有限公司）参加协商。</w:t>
      </w:r>
    </w:p>
    <w:p w14:paraId="0EA99418">
      <w:pPr>
        <w:pStyle w:val="4"/>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64C4F6CF">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短信平台接口项目</w:t>
      </w:r>
    </w:p>
    <w:p w14:paraId="126B5DEB">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696F7924">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CB4BA86">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32EEADA5">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7FBB6DDC">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5045FEAB">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2B13FB83">
      <w:pPr>
        <w:pStyle w:val="4"/>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23122D16">
      <w:pPr>
        <w:pStyle w:val="4"/>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4741B056">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26C9E958">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323CCFBE">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15E07453">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39F63816">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1102E0E4">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67A74B68">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64CE8EDA">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762BFEDD">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E56E99">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5877B9FE">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2151C65F">
      <w:pPr>
        <w:pStyle w:val="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20959E6">
      <w:pPr>
        <w:pStyle w:val="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94C85D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6FB6257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177D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DC33E98">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5D6FFE37">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25651BAD">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14:paraId="604B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67571BA">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3A6002">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bookmarkStart w:id="4" w:name="_GoBack"/>
            <w:r>
              <w:rPr>
                <w:rFonts w:hint="eastAsia" w:ascii="仿宋_GB2312" w:eastAsia="仿宋_GB2312" w:cs="仿宋_GB2312"/>
                <w:bCs/>
                <w:color w:val="auto"/>
                <w:kern w:val="0"/>
                <w:sz w:val="28"/>
                <w:szCs w:val="28"/>
                <w:lang w:val="en-US" w:eastAsia="zh-CN" w:bidi="ar-SA"/>
              </w:rPr>
              <w:t>短信平台接口</w:t>
            </w:r>
            <w:bookmarkEnd w:id="4"/>
          </w:p>
        </w:tc>
        <w:tc>
          <w:tcPr>
            <w:tcW w:w="1972" w:type="dxa"/>
            <w:tcBorders>
              <w:top w:val="single" w:color="auto" w:sz="4" w:space="0"/>
              <w:left w:val="single" w:color="auto" w:sz="4" w:space="0"/>
              <w:bottom w:val="single" w:color="auto" w:sz="4" w:space="0"/>
              <w:right w:val="single" w:color="auto" w:sz="4" w:space="0"/>
            </w:tcBorders>
            <w:vAlign w:val="center"/>
          </w:tcPr>
          <w:p w14:paraId="211B5589">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7.0万元</w:t>
            </w:r>
          </w:p>
        </w:tc>
      </w:tr>
    </w:tbl>
    <w:p w14:paraId="6C6F42AE">
      <w:pPr>
        <w:spacing w:line="360" w:lineRule="auto"/>
        <w:rPr>
          <w:rFonts w:hint="default" w:ascii="仿宋_GB2312" w:hAnsi="Times New Roman" w:eastAsia="仿宋_GB2312" w:cs="仿宋_GB2312"/>
          <w:bCs/>
          <w:color w:val="auto"/>
          <w:kern w:val="0"/>
          <w:sz w:val="28"/>
          <w:szCs w:val="28"/>
          <w:lang w:val="en-US" w:eastAsia="zh-CN" w:bidi="ar-SA"/>
        </w:rPr>
      </w:pPr>
    </w:p>
    <w:p w14:paraId="72E34FE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875345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2F73C54B">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13E2ECE7">
      <w:pPr>
        <w:adjustRightInd w:val="0"/>
        <w:snapToGrid w:val="0"/>
        <w:spacing w:before="156" w:beforeLines="50" w:after="156" w:afterLines="50" w:line="360" w:lineRule="auto"/>
        <w:jc w:val="both"/>
        <w:rPr>
          <w:rFonts w:hint="default" w:ascii="仿宋" w:hAnsi="仿宋" w:eastAsia="仿宋"/>
          <w:b/>
          <w:color w:val="auto"/>
          <w:sz w:val="36"/>
          <w:szCs w:val="22"/>
          <w:lang w:val="en-US" w:eastAsia="zh-CN"/>
        </w:rPr>
      </w:pPr>
      <w:r>
        <w:rPr>
          <w:rFonts w:hint="eastAsia" w:ascii="仿宋" w:hAnsi="仿宋" w:eastAsia="仿宋"/>
          <w:b/>
          <w:color w:val="auto"/>
          <w:sz w:val="36"/>
          <w:szCs w:val="22"/>
          <w:lang w:val="en-US" w:eastAsia="zh-CN"/>
        </w:rPr>
        <w:t>（一）技术参数</w:t>
      </w:r>
    </w:p>
    <w:p w14:paraId="2A3F9A29">
      <w:pPr>
        <w:spacing w:line="360" w:lineRule="auto"/>
        <w:rPr>
          <w:rFonts w:ascii="仿宋" w:hAnsi="仿宋" w:eastAsia="仿宋"/>
          <w:b/>
          <w:color w:val="auto"/>
          <w:sz w:val="28"/>
        </w:rPr>
      </w:pPr>
      <w:r>
        <w:rPr>
          <w:rFonts w:hint="eastAsia" w:ascii="仿宋" w:hAnsi="仿宋" w:eastAsia="仿宋"/>
          <w:b/>
          <w:color w:val="auto"/>
          <w:sz w:val="28"/>
          <w:lang w:val="en-US" w:eastAsia="zh-CN"/>
        </w:rPr>
        <w:t>1</w:t>
      </w:r>
      <w:r>
        <w:rPr>
          <w:rFonts w:ascii="仿宋" w:hAnsi="仿宋" w:eastAsia="仿宋"/>
          <w:b/>
          <w:color w:val="auto"/>
          <w:sz w:val="28"/>
        </w:rPr>
        <w:t>、总体要求</w:t>
      </w:r>
    </w:p>
    <w:p w14:paraId="615239E2">
      <w:pPr>
        <w:adjustRightInd w:val="0"/>
        <w:snapToGrid w:val="0"/>
        <w:spacing w:before="156" w:beforeLines="50" w:after="156" w:afterLines="50" w:line="288"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为优化患者体验，加强信息传递，提高医院服务效率，结合我院业务需求，需实现医院HIS系统与短信平台之间、医技系统与短信平台的有效对接。按照《三网通短信平台H</w:t>
      </w:r>
      <w:r>
        <w:rPr>
          <w:rFonts w:hint="default" w:ascii="仿宋" w:hAnsi="仿宋" w:eastAsia="仿宋" w:cs="仿宋"/>
          <w:color w:val="auto"/>
          <w:kern w:val="2"/>
          <w:sz w:val="24"/>
          <w:szCs w:val="24"/>
        </w:rPr>
        <w:t>TTP</w:t>
      </w:r>
      <w:r>
        <w:rPr>
          <w:rFonts w:ascii="仿宋" w:hAnsi="仿宋" w:eastAsia="仿宋" w:cs="仿宋"/>
          <w:color w:val="auto"/>
          <w:kern w:val="2"/>
          <w:sz w:val="24"/>
          <w:szCs w:val="24"/>
        </w:rPr>
        <w:t>接口》与我院H</w:t>
      </w:r>
      <w:r>
        <w:rPr>
          <w:rFonts w:hint="default" w:ascii="仿宋" w:hAnsi="仿宋" w:eastAsia="仿宋" w:cs="仿宋"/>
          <w:color w:val="auto"/>
          <w:kern w:val="2"/>
          <w:sz w:val="24"/>
          <w:szCs w:val="24"/>
        </w:rPr>
        <w:t>IS</w:t>
      </w:r>
      <w:r>
        <w:rPr>
          <w:rFonts w:ascii="仿宋" w:hAnsi="仿宋" w:eastAsia="仿宋" w:cs="仿宋"/>
          <w:color w:val="auto"/>
          <w:kern w:val="2"/>
          <w:sz w:val="24"/>
          <w:szCs w:val="24"/>
        </w:rPr>
        <w:t>系统、医技系统完成接口对接，获取相关数据。</w:t>
      </w:r>
    </w:p>
    <w:p w14:paraId="53C5776C">
      <w:pPr>
        <w:adjustRightInd w:val="0"/>
        <w:snapToGrid w:val="0"/>
        <w:spacing w:before="156" w:beforeLines="50" w:after="156" w:afterLines="50" w:line="288"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实现以下场景发送短信给患者：</w:t>
      </w:r>
    </w:p>
    <w:p w14:paraId="74C77F98">
      <w:pPr>
        <w:pStyle w:val="19"/>
        <w:numPr>
          <w:ilvl w:val="0"/>
          <w:numId w:val="1"/>
        </w:numPr>
        <w:adjustRightInd w:val="0"/>
        <w:snapToGrid w:val="0"/>
        <w:spacing w:before="156" w:beforeLines="50" w:after="156" w:afterLines="50" w:line="288" w:lineRule="auto"/>
        <w:ind w:firstLineChars="0"/>
        <w:rPr>
          <w:rFonts w:hint="default" w:ascii="仿宋" w:hAnsi="仿宋" w:eastAsia="仿宋" w:cs="仿宋"/>
          <w:color w:val="auto"/>
          <w:kern w:val="2"/>
          <w:sz w:val="24"/>
          <w:szCs w:val="24"/>
        </w:rPr>
      </w:pPr>
      <w:r>
        <w:rPr>
          <w:rFonts w:ascii="仿宋" w:hAnsi="仿宋" w:eastAsia="仿宋" w:cs="仿宋"/>
          <w:color w:val="auto"/>
          <w:kern w:val="2"/>
          <w:sz w:val="24"/>
          <w:szCs w:val="24"/>
        </w:rPr>
        <w:t>患者挂号成功后，发送挂号成功相关信息给患者；</w:t>
      </w:r>
    </w:p>
    <w:p w14:paraId="105E7B0F">
      <w:pPr>
        <w:pStyle w:val="19"/>
        <w:numPr>
          <w:ilvl w:val="0"/>
          <w:numId w:val="1"/>
        </w:numPr>
        <w:adjustRightInd w:val="0"/>
        <w:snapToGrid w:val="0"/>
        <w:spacing w:before="156" w:beforeLines="50" w:after="156" w:afterLines="50" w:line="288" w:lineRule="auto"/>
        <w:ind w:firstLineChars="0"/>
        <w:rPr>
          <w:rFonts w:hint="default" w:ascii="仿宋" w:hAnsi="仿宋" w:eastAsia="仿宋" w:cs="仿宋"/>
          <w:color w:val="auto"/>
          <w:kern w:val="2"/>
          <w:sz w:val="24"/>
          <w:szCs w:val="24"/>
        </w:rPr>
      </w:pPr>
      <w:r>
        <w:rPr>
          <w:rFonts w:ascii="仿宋" w:hAnsi="仿宋" w:eastAsia="仿宋" w:cs="仿宋"/>
          <w:color w:val="auto"/>
          <w:kern w:val="2"/>
          <w:sz w:val="24"/>
          <w:szCs w:val="24"/>
        </w:rPr>
        <w:t>患者缴费成功后，发送缴费成功相关信息给患者；</w:t>
      </w:r>
    </w:p>
    <w:p w14:paraId="15A365CF">
      <w:pPr>
        <w:pStyle w:val="19"/>
        <w:numPr>
          <w:ilvl w:val="0"/>
          <w:numId w:val="1"/>
        </w:numPr>
        <w:adjustRightInd w:val="0"/>
        <w:snapToGrid w:val="0"/>
        <w:spacing w:before="156" w:beforeLines="50" w:after="156" w:afterLines="50" w:line="288" w:lineRule="auto"/>
        <w:ind w:firstLineChars="0"/>
        <w:rPr>
          <w:rFonts w:hint="default" w:ascii="仿宋" w:hAnsi="仿宋" w:eastAsia="仿宋" w:cs="仿宋"/>
          <w:color w:val="auto"/>
          <w:kern w:val="2"/>
          <w:sz w:val="24"/>
          <w:szCs w:val="24"/>
        </w:rPr>
      </w:pPr>
      <w:r>
        <w:rPr>
          <w:rFonts w:ascii="仿宋" w:hAnsi="仿宋" w:eastAsia="仿宋" w:cs="仿宋"/>
          <w:color w:val="auto"/>
          <w:kern w:val="2"/>
          <w:sz w:val="24"/>
          <w:szCs w:val="24"/>
        </w:rPr>
        <w:t>患者在完成检查预约后，发送检查项目、检查时间等相关信息给患者；</w:t>
      </w:r>
    </w:p>
    <w:p w14:paraId="6846EE58">
      <w:pPr>
        <w:pStyle w:val="19"/>
        <w:numPr>
          <w:ilvl w:val="0"/>
          <w:numId w:val="1"/>
        </w:numPr>
        <w:adjustRightInd w:val="0"/>
        <w:snapToGrid w:val="0"/>
        <w:spacing w:before="156" w:beforeLines="50" w:after="156" w:afterLines="50" w:line="288" w:lineRule="auto"/>
        <w:ind w:firstLineChars="0"/>
        <w:rPr>
          <w:rFonts w:hint="default" w:ascii="仿宋" w:hAnsi="仿宋" w:eastAsia="仿宋" w:cs="仿宋"/>
          <w:color w:val="auto"/>
          <w:kern w:val="2"/>
          <w:sz w:val="24"/>
          <w:szCs w:val="24"/>
        </w:rPr>
      </w:pPr>
      <w:r>
        <w:rPr>
          <w:rFonts w:ascii="仿宋" w:hAnsi="仿宋" w:eastAsia="仿宋" w:cs="仿宋"/>
          <w:color w:val="auto"/>
          <w:kern w:val="2"/>
          <w:sz w:val="24"/>
          <w:szCs w:val="24"/>
        </w:rPr>
        <w:t>在即将排队到患者做检查时，提前发送短信提示患者做检查；</w:t>
      </w:r>
    </w:p>
    <w:p w14:paraId="0047A886">
      <w:pPr>
        <w:pStyle w:val="19"/>
        <w:numPr>
          <w:ilvl w:val="0"/>
          <w:numId w:val="1"/>
        </w:numPr>
        <w:adjustRightInd w:val="0"/>
        <w:snapToGrid w:val="0"/>
        <w:spacing w:before="156" w:beforeLines="50" w:after="156" w:afterLines="50" w:line="288" w:lineRule="auto"/>
        <w:ind w:firstLineChars="0"/>
        <w:rPr>
          <w:rFonts w:hint="default" w:ascii="仿宋" w:hAnsi="仿宋" w:eastAsia="仿宋" w:cs="仿宋"/>
          <w:color w:val="auto"/>
          <w:kern w:val="2"/>
          <w:sz w:val="24"/>
          <w:szCs w:val="24"/>
        </w:rPr>
      </w:pPr>
      <w:r>
        <w:rPr>
          <w:rFonts w:ascii="仿宋" w:hAnsi="仿宋" w:eastAsia="仿宋" w:cs="仿宋"/>
          <w:color w:val="auto"/>
          <w:kern w:val="2"/>
          <w:sz w:val="24"/>
          <w:szCs w:val="24"/>
        </w:rPr>
        <w:t>检查结果出来时，发送短信通知患者。</w:t>
      </w:r>
    </w:p>
    <w:p w14:paraId="448B65D6">
      <w:pPr>
        <w:rPr>
          <w:rFonts w:ascii="仿宋" w:hAnsi="仿宋" w:eastAsia="仿宋"/>
          <w:b/>
          <w:color w:val="auto"/>
          <w:sz w:val="28"/>
        </w:rPr>
      </w:pPr>
      <w:r>
        <w:rPr>
          <w:rFonts w:hint="eastAsia" w:ascii="仿宋" w:hAnsi="仿宋" w:eastAsia="仿宋"/>
          <w:b/>
          <w:color w:val="auto"/>
          <w:sz w:val="28"/>
          <w:lang w:val="en-US" w:eastAsia="zh-CN"/>
        </w:rPr>
        <w:t>2</w:t>
      </w:r>
      <w:r>
        <w:rPr>
          <w:rFonts w:ascii="仿宋" w:hAnsi="仿宋" w:eastAsia="仿宋"/>
          <w:b/>
          <w:color w:val="auto"/>
          <w:sz w:val="28"/>
        </w:rPr>
        <w:t>、项目采购清单</w:t>
      </w:r>
    </w:p>
    <w:tbl>
      <w:tblPr>
        <w:tblStyle w:val="13"/>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3631"/>
        <w:gridCol w:w="1694"/>
      </w:tblGrid>
      <w:tr w14:paraId="0497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041" w:type="dxa"/>
            <w:noWrap/>
            <w:vAlign w:val="center"/>
          </w:tcPr>
          <w:p w14:paraId="32CEABB8">
            <w:pPr>
              <w:widowControl/>
              <w:jc w:val="center"/>
              <w:rPr>
                <w:rFonts w:ascii="仿宋" w:hAnsi="仿宋" w:eastAsia="仿宋" w:cs="宋体"/>
                <w:color w:val="auto"/>
                <w:sz w:val="24"/>
                <w:szCs w:val="24"/>
              </w:rPr>
            </w:pPr>
            <w:r>
              <w:rPr>
                <w:rFonts w:ascii="仿宋" w:hAnsi="仿宋" w:eastAsia="仿宋" w:cs="宋体"/>
                <w:color w:val="auto"/>
                <w:sz w:val="24"/>
                <w:szCs w:val="24"/>
              </w:rPr>
              <w:t>模块</w:t>
            </w:r>
          </w:p>
        </w:tc>
        <w:tc>
          <w:tcPr>
            <w:tcW w:w="3631" w:type="dxa"/>
            <w:noWrap/>
            <w:vAlign w:val="center"/>
          </w:tcPr>
          <w:p w14:paraId="3D9E77AD">
            <w:pPr>
              <w:widowControl/>
              <w:jc w:val="center"/>
              <w:rPr>
                <w:rFonts w:ascii="仿宋" w:hAnsi="仿宋" w:eastAsia="仿宋" w:cs="宋体"/>
                <w:color w:val="auto"/>
                <w:sz w:val="24"/>
                <w:szCs w:val="24"/>
              </w:rPr>
            </w:pPr>
            <w:r>
              <w:rPr>
                <w:rFonts w:ascii="仿宋" w:hAnsi="仿宋" w:eastAsia="仿宋" w:cs="宋体"/>
                <w:color w:val="auto"/>
                <w:sz w:val="24"/>
                <w:szCs w:val="24"/>
              </w:rPr>
              <w:t>主要产品</w:t>
            </w:r>
          </w:p>
        </w:tc>
        <w:tc>
          <w:tcPr>
            <w:tcW w:w="1694" w:type="dxa"/>
            <w:noWrap/>
            <w:vAlign w:val="center"/>
          </w:tcPr>
          <w:p w14:paraId="03620CC8">
            <w:pPr>
              <w:widowControl/>
              <w:jc w:val="center"/>
              <w:rPr>
                <w:rFonts w:ascii="仿宋" w:hAnsi="仿宋" w:eastAsia="仿宋" w:cs="宋体"/>
                <w:color w:val="auto"/>
                <w:sz w:val="24"/>
                <w:szCs w:val="24"/>
              </w:rPr>
            </w:pPr>
            <w:r>
              <w:rPr>
                <w:rFonts w:ascii="仿宋" w:hAnsi="仿宋" w:eastAsia="仿宋" w:cs="宋体"/>
                <w:color w:val="auto"/>
                <w:sz w:val="24"/>
                <w:szCs w:val="24"/>
              </w:rPr>
              <w:t>数量</w:t>
            </w:r>
          </w:p>
        </w:tc>
      </w:tr>
      <w:tr w14:paraId="479B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041" w:type="dxa"/>
            <w:noWrap/>
            <w:vAlign w:val="center"/>
          </w:tcPr>
          <w:p w14:paraId="350201FF">
            <w:pPr>
              <w:widowControl/>
              <w:jc w:val="center"/>
              <w:rPr>
                <w:rFonts w:ascii="仿宋" w:hAnsi="仿宋" w:eastAsia="仿宋" w:cs="宋体"/>
                <w:color w:val="auto"/>
                <w:sz w:val="24"/>
                <w:szCs w:val="24"/>
              </w:rPr>
            </w:pPr>
            <w:r>
              <w:rPr>
                <w:rFonts w:ascii="仿宋" w:hAnsi="仿宋" w:eastAsia="仿宋" w:cs="宋体"/>
                <w:color w:val="auto"/>
                <w:sz w:val="24"/>
                <w:szCs w:val="24"/>
              </w:rPr>
              <w:t>接口</w:t>
            </w:r>
          </w:p>
        </w:tc>
        <w:tc>
          <w:tcPr>
            <w:tcW w:w="3631" w:type="dxa"/>
            <w:noWrap/>
            <w:vAlign w:val="center"/>
          </w:tcPr>
          <w:p w14:paraId="29137319">
            <w:pPr>
              <w:widowControl/>
              <w:jc w:val="center"/>
              <w:rPr>
                <w:rFonts w:ascii="仿宋" w:hAnsi="仿宋" w:eastAsia="仿宋" w:cs="宋体"/>
                <w:color w:val="auto"/>
                <w:sz w:val="24"/>
                <w:szCs w:val="24"/>
              </w:rPr>
            </w:pPr>
            <w:r>
              <w:rPr>
                <w:rFonts w:ascii="仿宋" w:hAnsi="仿宋" w:eastAsia="仿宋" w:cs="宋体"/>
                <w:color w:val="auto"/>
                <w:sz w:val="24"/>
                <w:szCs w:val="24"/>
              </w:rPr>
              <w:t>医院短信平台接口</w:t>
            </w:r>
          </w:p>
        </w:tc>
        <w:tc>
          <w:tcPr>
            <w:tcW w:w="1694" w:type="dxa"/>
            <w:noWrap/>
            <w:vAlign w:val="center"/>
          </w:tcPr>
          <w:p w14:paraId="6A33494A">
            <w:pPr>
              <w:widowControl/>
              <w:jc w:val="center"/>
              <w:rPr>
                <w:rFonts w:ascii="仿宋" w:hAnsi="仿宋" w:eastAsia="仿宋" w:cs="宋体"/>
                <w:color w:val="auto"/>
                <w:sz w:val="24"/>
                <w:szCs w:val="24"/>
              </w:rPr>
            </w:pPr>
            <w:r>
              <w:rPr>
                <w:rFonts w:hint="default" w:ascii="仿宋" w:hAnsi="仿宋" w:eastAsia="仿宋" w:cs="宋体"/>
                <w:color w:val="auto"/>
                <w:sz w:val="24"/>
                <w:szCs w:val="24"/>
              </w:rPr>
              <w:t>1</w:t>
            </w:r>
            <w:r>
              <w:rPr>
                <w:rFonts w:ascii="仿宋" w:hAnsi="仿宋" w:eastAsia="仿宋" w:cs="宋体"/>
                <w:color w:val="auto"/>
                <w:sz w:val="24"/>
                <w:szCs w:val="24"/>
              </w:rPr>
              <w:t>套</w:t>
            </w:r>
          </w:p>
        </w:tc>
      </w:tr>
    </w:tbl>
    <w:p w14:paraId="1F2224BF">
      <w:pPr>
        <w:rPr>
          <w:rFonts w:ascii="仿宋" w:hAnsi="仿宋" w:eastAsia="仿宋"/>
          <w:b/>
          <w:color w:val="auto"/>
          <w:sz w:val="28"/>
        </w:rPr>
      </w:pPr>
      <w:r>
        <w:rPr>
          <w:rFonts w:hint="eastAsia" w:ascii="仿宋" w:hAnsi="仿宋" w:eastAsia="仿宋"/>
          <w:b/>
          <w:color w:val="auto"/>
          <w:sz w:val="28"/>
          <w:lang w:val="en-US" w:eastAsia="zh-CN"/>
        </w:rPr>
        <w:t>3</w:t>
      </w:r>
      <w:r>
        <w:rPr>
          <w:rFonts w:ascii="仿宋" w:hAnsi="仿宋" w:eastAsia="仿宋"/>
          <w:b/>
          <w:color w:val="auto"/>
          <w:sz w:val="28"/>
        </w:rPr>
        <w:t>、接口列表</w:t>
      </w:r>
    </w:p>
    <w:p w14:paraId="19A17225">
      <w:pPr>
        <w:rPr>
          <w:rFonts w:ascii="仿宋" w:hAnsi="仿宋" w:eastAsia="仿宋"/>
          <w:b/>
          <w:color w:val="auto"/>
          <w:sz w:val="28"/>
        </w:rPr>
      </w:pPr>
      <w:r>
        <w:rPr>
          <w:rFonts w:hint="default" w:ascii="仿宋" w:hAnsi="仿宋" w:eastAsia="仿宋"/>
          <w:b/>
          <w:color w:val="auto"/>
          <w:sz w:val="28"/>
        </w:rPr>
        <w:t>3.1</w:t>
      </w:r>
      <w:r>
        <w:rPr>
          <w:rFonts w:ascii="仿宋" w:hAnsi="仿宋" w:eastAsia="仿宋"/>
          <w:b/>
          <w:color w:val="auto"/>
          <w:sz w:val="28"/>
        </w:rPr>
        <w:t>、MT消息发送接口</w:t>
      </w:r>
    </w:p>
    <w:p w14:paraId="61A4A625">
      <w:pPr>
        <w:adjustRightInd w:val="0"/>
        <w:snapToGrid w:val="0"/>
        <w:spacing w:before="156" w:beforeLines="50" w:after="156" w:afterLines="50" w:line="288" w:lineRule="auto"/>
        <w:ind w:firstLine="480" w:firstLineChars="200"/>
        <w:rPr>
          <w:rFonts w:ascii="仿宋" w:hAnsi="仿宋" w:eastAsia="仿宋" w:cs="仿宋"/>
          <w:color w:val="auto"/>
          <w:kern w:val="2"/>
          <w:sz w:val="24"/>
          <w:szCs w:val="24"/>
        </w:rPr>
      </w:pPr>
      <w:r>
        <w:rPr>
          <w:rFonts w:ascii="仿宋" w:hAnsi="仿宋" w:eastAsia="仿宋" w:cs="仿宋"/>
          <w:color w:val="auto"/>
          <w:kern w:val="2"/>
          <w:sz w:val="24"/>
          <w:szCs w:val="24"/>
        </w:rPr>
        <w:t>MT消息发送接口，用于SP向行业汇聚平台提交MT消息，接口信息基本如下：</w:t>
      </w:r>
    </w:p>
    <w:tbl>
      <w:tblPr>
        <w:tblStyle w:val="14"/>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6316"/>
      </w:tblGrid>
      <w:tr w14:paraId="26058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E7E6E6" w:themeFill="background2"/>
          </w:tcPr>
          <w:p w14:paraId="0486B5D5">
            <w:pPr>
              <w:spacing w:line="360" w:lineRule="auto"/>
              <w:jc w:val="center"/>
              <w:rPr>
                <w:rFonts w:ascii="仿宋" w:hAnsi="仿宋" w:eastAsia="仿宋"/>
                <w:b/>
                <w:sz w:val="24"/>
                <w:szCs w:val="24"/>
              </w:rPr>
            </w:pPr>
            <w:r>
              <w:rPr>
                <w:rFonts w:ascii="仿宋" w:hAnsi="仿宋" w:eastAsia="仿宋"/>
                <w:b/>
                <w:sz w:val="24"/>
                <w:szCs w:val="24"/>
              </w:rPr>
              <w:t>接口参数</w:t>
            </w:r>
          </w:p>
        </w:tc>
        <w:tc>
          <w:tcPr>
            <w:tcW w:w="6316" w:type="dxa"/>
            <w:shd w:val="clear" w:color="auto" w:fill="E7E6E6" w:themeFill="background2"/>
          </w:tcPr>
          <w:p w14:paraId="3EFA5E6E">
            <w:pPr>
              <w:spacing w:line="360" w:lineRule="auto"/>
              <w:jc w:val="center"/>
              <w:rPr>
                <w:rFonts w:ascii="仿宋" w:hAnsi="仿宋" w:eastAsia="仿宋"/>
                <w:b/>
                <w:sz w:val="24"/>
                <w:szCs w:val="24"/>
              </w:rPr>
            </w:pPr>
            <w:r>
              <w:rPr>
                <w:rFonts w:ascii="仿宋" w:hAnsi="仿宋" w:eastAsia="仿宋"/>
                <w:b/>
                <w:sz w:val="24"/>
                <w:szCs w:val="24"/>
              </w:rPr>
              <w:t>值/说明</w:t>
            </w:r>
          </w:p>
        </w:tc>
      </w:tr>
      <w:tr w14:paraId="3A3D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D59A2E7">
            <w:pPr>
              <w:spacing w:line="360" w:lineRule="auto"/>
              <w:rPr>
                <w:rFonts w:ascii="仿宋" w:hAnsi="仿宋" w:eastAsia="仿宋"/>
                <w:sz w:val="24"/>
                <w:szCs w:val="24"/>
              </w:rPr>
            </w:pPr>
            <w:r>
              <w:rPr>
                <w:rFonts w:ascii="仿宋" w:hAnsi="仿宋" w:eastAsia="仿宋"/>
                <w:sz w:val="24"/>
                <w:szCs w:val="24"/>
              </w:rPr>
              <w:t>接口地址</w:t>
            </w:r>
          </w:p>
        </w:tc>
        <w:tc>
          <w:tcPr>
            <w:tcW w:w="6316" w:type="dxa"/>
          </w:tcPr>
          <w:p w14:paraId="32CB3F07">
            <w:pPr>
              <w:spacing w:line="360" w:lineRule="auto"/>
              <w:rPr>
                <w:rFonts w:ascii="仿宋" w:hAnsi="仿宋" w:eastAsia="仿宋"/>
                <w:sz w:val="24"/>
                <w:szCs w:val="24"/>
              </w:rPr>
            </w:pPr>
            <w:r>
              <w:fldChar w:fldCharType="begin"/>
            </w:r>
            <w:r>
              <w:instrText xml:space="preserve"> HYPERLINK "http://ip:port/submitsm" </w:instrText>
            </w:r>
            <w:r>
              <w:fldChar w:fldCharType="separate"/>
            </w:r>
            <w:r>
              <w:rPr>
                <w:rStyle w:val="16"/>
                <w:rFonts w:ascii="仿宋" w:hAnsi="仿宋" w:eastAsia="仿宋"/>
                <w:color w:val="000000" w:themeColor="text1"/>
                <w:sz w:val="24"/>
                <w:szCs w:val="24"/>
                <w14:textFill>
                  <w14:solidFill>
                    <w14:schemeClr w14:val="tx1"/>
                  </w14:solidFill>
                </w14:textFill>
              </w:rPr>
              <w:t>http://ip:port/submitsm</w:t>
            </w:r>
            <w:r>
              <w:rPr>
                <w:rStyle w:val="16"/>
                <w:rFonts w:ascii="仿宋" w:hAnsi="仿宋" w:eastAsia="仿宋"/>
                <w:color w:val="000000" w:themeColor="text1"/>
                <w:sz w:val="24"/>
                <w:szCs w:val="24"/>
                <w14:textFill>
                  <w14:solidFill>
                    <w14:schemeClr w14:val="tx1"/>
                  </w14:solidFill>
                </w14:textFill>
              </w:rPr>
              <w:fldChar w:fldCharType="end"/>
            </w:r>
            <w:r>
              <w:rPr>
                <w:rFonts w:ascii="仿宋" w:hAnsi="仿宋" w:eastAsia="仿宋"/>
                <w:color w:val="000000" w:themeColor="text1"/>
                <w:sz w:val="24"/>
                <w:szCs w:val="24"/>
                <w14:textFill>
                  <w14:solidFill>
                    <w14:schemeClr w14:val="tx1"/>
                  </w14:solidFill>
                </w14:textFill>
              </w:rPr>
              <w:t xml:space="preserve">   Ip和port申请接入时提供</w:t>
            </w:r>
          </w:p>
        </w:tc>
      </w:tr>
      <w:tr w14:paraId="3664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BCE8F87">
            <w:pPr>
              <w:spacing w:line="360" w:lineRule="auto"/>
              <w:rPr>
                <w:rFonts w:ascii="仿宋" w:hAnsi="仿宋" w:eastAsia="仿宋"/>
                <w:sz w:val="24"/>
                <w:szCs w:val="24"/>
              </w:rPr>
            </w:pPr>
            <w:r>
              <w:rPr>
                <w:rFonts w:ascii="仿宋" w:hAnsi="仿宋" w:eastAsia="仿宋"/>
                <w:sz w:val="24"/>
                <w:szCs w:val="24"/>
              </w:rPr>
              <w:t>接口提供方</w:t>
            </w:r>
          </w:p>
        </w:tc>
        <w:tc>
          <w:tcPr>
            <w:tcW w:w="6316" w:type="dxa"/>
          </w:tcPr>
          <w:p w14:paraId="6E6511B2">
            <w:pPr>
              <w:spacing w:line="360" w:lineRule="auto"/>
              <w:rPr>
                <w:rFonts w:ascii="仿宋" w:hAnsi="仿宋" w:eastAsia="仿宋"/>
                <w:sz w:val="24"/>
                <w:szCs w:val="24"/>
              </w:rPr>
            </w:pPr>
            <w:r>
              <w:rPr>
                <w:rFonts w:ascii="仿宋" w:hAnsi="仿宋" w:eastAsia="仿宋"/>
                <w:sz w:val="24"/>
                <w:szCs w:val="24"/>
              </w:rPr>
              <w:t>行业汇聚平台</w:t>
            </w:r>
          </w:p>
        </w:tc>
      </w:tr>
      <w:tr w14:paraId="5D68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3A586D0">
            <w:pPr>
              <w:spacing w:line="360" w:lineRule="auto"/>
              <w:rPr>
                <w:rFonts w:ascii="仿宋" w:hAnsi="仿宋" w:eastAsia="仿宋"/>
                <w:sz w:val="24"/>
                <w:szCs w:val="24"/>
              </w:rPr>
            </w:pPr>
            <w:r>
              <w:rPr>
                <w:rFonts w:ascii="仿宋" w:hAnsi="仿宋" w:eastAsia="仿宋"/>
                <w:sz w:val="24"/>
                <w:szCs w:val="24"/>
              </w:rPr>
              <w:t>接口调用方</w:t>
            </w:r>
          </w:p>
        </w:tc>
        <w:tc>
          <w:tcPr>
            <w:tcW w:w="6316" w:type="dxa"/>
          </w:tcPr>
          <w:p w14:paraId="1031B13B">
            <w:pPr>
              <w:spacing w:line="360" w:lineRule="auto"/>
              <w:rPr>
                <w:rFonts w:ascii="仿宋" w:hAnsi="仿宋" w:eastAsia="仿宋"/>
                <w:sz w:val="24"/>
                <w:szCs w:val="24"/>
              </w:rPr>
            </w:pPr>
            <w:r>
              <w:rPr>
                <w:rFonts w:ascii="仿宋" w:hAnsi="仿宋" w:eastAsia="仿宋"/>
                <w:sz w:val="24"/>
                <w:szCs w:val="24"/>
              </w:rPr>
              <w:t>SP</w:t>
            </w:r>
          </w:p>
        </w:tc>
      </w:tr>
      <w:tr w14:paraId="603D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D2C74EB">
            <w:pPr>
              <w:spacing w:line="360" w:lineRule="auto"/>
              <w:rPr>
                <w:rFonts w:ascii="仿宋" w:hAnsi="仿宋" w:eastAsia="仿宋"/>
                <w:sz w:val="24"/>
                <w:szCs w:val="24"/>
              </w:rPr>
            </w:pPr>
            <w:r>
              <w:rPr>
                <w:rFonts w:ascii="仿宋" w:hAnsi="仿宋" w:eastAsia="仿宋"/>
                <w:sz w:val="24"/>
                <w:szCs w:val="24"/>
              </w:rPr>
              <w:t>编码</w:t>
            </w:r>
          </w:p>
        </w:tc>
        <w:tc>
          <w:tcPr>
            <w:tcW w:w="6316" w:type="dxa"/>
          </w:tcPr>
          <w:p w14:paraId="4D8E1EBB">
            <w:pPr>
              <w:spacing w:line="360" w:lineRule="auto"/>
              <w:rPr>
                <w:rFonts w:ascii="仿宋" w:hAnsi="仿宋" w:eastAsia="仿宋"/>
                <w:sz w:val="24"/>
                <w:szCs w:val="24"/>
              </w:rPr>
            </w:pPr>
            <w:r>
              <w:rPr>
                <w:rFonts w:ascii="仿宋" w:hAnsi="仿宋" w:eastAsia="仿宋"/>
                <w:sz w:val="24"/>
                <w:szCs w:val="24"/>
              </w:rPr>
              <w:t>UTF8</w:t>
            </w:r>
          </w:p>
        </w:tc>
      </w:tr>
    </w:tbl>
    <w:p w14:paraId="71BD13FB">
      <w:pPr>
        <w:ind w:left="-2" w:leftChars="-1" w:firstLine="544" w:firstLineChars="227"/>
        <w:rPr>
          <w:rFonts w:ascii="仿宋" w:hAnsi="仿宋" w:eastAsia="仿宋"/>
          <w:bCs/>
          <w:color w:val="auto"/>
          <w:sz w:val="24"/>
          <w:szCs w:val="24"/>
        </w:rPr>
      </w:pPr>
    </w:p>
    <w:p w14:paraId="7616BB08">
      <w:pPr>
        <w:rPr>
          <w:rFonts w:ascii="仿宋" w:hAnsi="仿宋" w:eastAsia="仿宋"/>
          <w:b/>
          <w:color w:val="auto"/>
          <w:sz w:val="28"/>
        </w:rPr>
      </w:pPr>
      <w:r>
        <w:rPr>
          <w:rFonts w:hint="default" w:ascii="仿宋" w:hAnsi="仿宋" w:eastAsia="仿宋"/>
          <w:b/>
          <w:color w:val="auto"/>
          <w:sz w:val="28"/>
        </w:rPr>
        <w:t>3.2</w:t>
      </w:r>
      <w:r>
        <w:rPr>
          <w:rFonts w:ascii="仿宋" w:hAnsi="仿宋" w:eastAsia="仿宋"/>
          <w:b/>
          <w:color w:val="auto"/>
          <w:sz w:val="28"/>
        </w:rPr>
        <w:t>、MO及状态报告接口</w:t>
      </w:r>
    </w:p>
    <w:p w14:paraId="6112215C">
      <w:pPr>
        <w:adjustRightInd w:val="0"/>
        <w:snapToGrid w:val="0"/>
        <w:spacing w:before="156" w:beforeLines="50" w:after="156" w:afterLines="50" w:line="288" w:lineRule="auto"/>
        <w:ind w:firstLine="480" w:firstLineChars="200"/>
        <w:rPr>
          <w:rFonts w:ascii="仿宋" w:hAnsi="仿宋" w:eastAsia="仿宋" w:cs="仿宋"/>
          <w:color w:val="auto"/>
          <w:kern w:val="2"/>
          <w:sz w:val="24"/>
          <w:szCs w:val="24"/>
        </w:rPr>
      </w:pPr>
      <w:r>
        <w:rPr>
          <w:rFonts w:ascii="仿宋" w:hAnsi="仿宋" w:eastAsia="仿宋" w:cs="仿宋"/>
          <w:color w:val="auto"/>
          <w:kern w:val="2"/>
          <w:sz w:val="24"/>
          <w:szCs w:val="24"/>
        </w:rPr>
        <w:t>MO及状态报告接口，用于查询/获取MO和状态报告信息，SP应该定时调用此接口获取相关信息，接口信息基本如下：</w:t>
      </w:r>
    </w:p>
    <w:tbl>
      <w:tblPr>
        <w:tblStyle w:val="14"/>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5984"/>
      </w:tblGrid>
      <w:tr w14:paraId="208D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shd w:val="clear" w:color="auto" w:fill="E7E6E6" w:themeFill="background2"/>
          </w:tcPr>
          <w:p w14:paraId="0F969F37">
            <w:pPr>
              <w:spacing w:line="360" w:lineRule="auto"/>
              <w:jc w:val="center"/>
              <w:rPr>
                <w:rFonts w:ascii="仿宋" w:hAnsi="仿宋" w:eastAsia="仿宋"/>
                <w:b/>
                <w:sz w:val="24"/>
                <w:szCs w:val="24"/>
              </w:rPr>
            </w:pPr>
            <w:r>
              <w:rPr>
                <w:rFonts w:ascii="仿宋" w:hAnsi="仿宋" w:eastAsia="仿宋"/>
                <w:b/>
                <w:sz w:val="24"/>
                <w:szCs w:val="24"/>
              </w:rPr>
              <w:t>接口参数</w:t>
            </w:r>
          </w:p>
        </w:tc>
        <w:tc>
          <w:tcPr>
            <w:tcW w:w="5984" w:type="dxa"/>
            <w:shd w:val="clear" w:color="auto" w:fill="E7E6E6" w:themeFill="background2"/>
          </w:tcPr>
          <w:p w14:paraId="2066BDD3">
            <w:pPr>
              <w:spacing w:line="360" w:lineRule="auto"/>
              <w:jc w:val="center"/>
              <w:rPr>
                <w:rFonts w:ascii="仿宋" w:hAnsi="仿宋" w:eastAsia="仿宋"/>
                <w:b/>
                <w:sz w:val="24"/>
                <w:szCs w:val="24"/>
              </w:rPr>
            </w:pPr>
            <w:r>
              <w:rPr>
                <w:rFonts w:ascii="仿宋" w:hAnsi="仿宋" w:eastAsia="仿宋"/>
                <w:b/>
                <w:sz w:val="24"/>
                <w:szCs w:val="24"/>
              </w:rPr>
              <w:t>值/说明</w:t>
            </w:r>
          </w:p>
        </w:tc>
      </w:tr>
      <w:tr w14:paraId="6471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5E5F5212">
            <w:pPr>
              <w:spacing w:line="360" w:lineRule="auto"/>
              <w:rPr>
                <w:rFonts w:ascii="仿宋" w:hAnsi="仿宋" w:eastAsia="仿宋"/>
                <w:sz w:val="24"/>
                <w:szCs w:val="24"/>
              </w:rPr>
            </w:pPr>
            <w:r>
              <w:rPr>
                <w:rFonts w:ascii="仿宋" w:hAnsi="仿宋" w:eastAsia="仿宋"/>
                <w:sz w:val="24"/>
                <w:szCs w:val="24"/>
              </w:rPr>
              <w:t>接口地址</w:t>
            </w:r>
          </w:p>
        </w:tc>
        <w:tc>
          <w:tcPr>
            <w:tcW w:w="5984" w:type="dxa"/>
          </w:tcPr>
          <w:p w14:paraId="09DC533C">
            <w:pPr>
              <w:spacing w:line="360" w:lineRule="auto"/>
              <w:rPr>
                <w:rFonts w:ascii="仿宋" w:hAnsi="仿宋" w:eastAsia="仿宋"/>
                <w:sz w:val="24"/>
                <w:szCs w:val="24"/>
              </w:rPr>
            </w:pPr>
            <w:r>
              <w:fldChar w:fldCharType="begin"/>
            </w:r>
            <w:r>
              <w:instrText xml:space="preserve"> HYPERLINK "http://ip:port/" </w:instrText>
            </w:r>
            <w:r>
              <w:fldChar w:fldCharType="separate"/>
            </w:r>
            <w:r>
              <w:rPr>
                <w:rStyle w:val="16"/>
                <w:rFonts w:ascii="仿宋" w:hAnsi="仿宋" w:eastAsia="仿宋"/>
                <w:color w:val="000000" w:themeColor="text1"/>
                <w:sz w:val="24"/>
                <w:szCs w:val="24"/>
                <w14:textFill>
                  <w14:solidFill>
                    <w14:schemeClr w14:val="tx1"/>
                  </w14:solidFill>
                </w14:textFill>
              </w:rPr>
              <w:t>http://ip:port/</w:t>
            </w:r>
            <w:r>
              <w:rPr>
                <w:rStyle w:val="16"/>
                <w:rFonts w:ascii="仿宋" w:hAnsi="仿宋" w:eastAsia="仿宋"/>
                <w:color w:val="000000" w:themeColor="text1"/>
                <w:sz w:val="24"/>
                <w:szCs w:val="24"/>
                <w14:textFill>
                  <w14:solidFill>
                    <w14:schemeClr w14:val="tx1"/>
                  </w14:solidFill>
                </w14:textFill>
              </w:rPr>
              <w:fldChar w:fldCharType="end"/>
            </w:r>
            <w:r>
              <w:rPr>
                <w:rFonts w:ascii="仿宋" w:hAnsi="仿宋" w:eastAsia="仿宋"/>
                <w:color w:val="000000" w:themeColor="text1"/>
                <w:sz w:val="24"/>
                <w:szCs w:val="24"/>
                <w14:textFill>
                  <w14:solidFill>
                    <w14:schemeClr w14:val="tx1"/>
                  </w14:solidFill>
                </w14:textFill>
              </w:rPr>
              <w:t>rcvsms   Ip和port申请接入时提供</w:t>
            </w:r>
          </w:p>
        </w:tc>
      </w:tr>
      <w:tr w14:paraId="5234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7F6B9C9F">
            <w:pPr>
              <w:spacing w:line="360" w:lineRule="auto"/>
              <w:rPr>
                <w:rFonts w:ascii="仿宋" w:hAnsi="仿宋" w:eastAsia="仿宋"/>
                <w:sz w:val="24"/>
                <w:szCs w:val="24"/>
              </w:rPr>
            </w:pPr>
            <w:r>
              <w:rPr>
                <w:rFonts w:ascii="仿宋" w:hAnsi="仿宋" w:eastAsia="仿宋"/>
                <w:sz w:val="24"/>
                <w:szCs w:val="24"/>
              </w:rPr>
              <w:t>接口提供方</w:t>
            </w:r>
          </w:p>
        </w:tc>
        <w:tc>
          <w:tcPr>
            <w:tcW w:w="5984" w:type="dxa"/>
          </w:tcPr>
          <w:p w14:paraId="5E648AFA">
            <w:pPr>
              <w:spacing w:line="360" w:lineRule="auto"/>
              <w:rPr>
                <w:rFonts w:ascii="仿宋" w:hAnsi="仿宋" w:eastAsia="仿宋"/>
                <w:sz w:val="24"/>
                <w:szCs w:val="24"/>
              </w:rPr>
            </w:pPr>
            <w:r>
              <w:rPr>
                <w:rFonts w:ascii="仿宋" w:hAnsi="仿宋" w:eastAsia="仿宋"/>
                <w:sz w:val="24"/>
                <w:szCs w:val="24"/>
              </w:rPr>
              <w:t>行业汇聚平台</w:t>
            </w:r>
          </w:p>
        </w:tc>
      </w:tr>
      <w:tr w14:paraId="1731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43F3EE7A">
            <w:pPr>
              <w:spacing w:line="360" w:lineRule="auto"/>
              <w:rPr>
                <w:rFonts w:ascii="仿宋" w:hAnsi="仿宋" w:eastAsia="仿宋"/>
                <w:sz w:val="24"/>
                <w:szCs w:val="24"/>
              </w:rPr>
            </w:pPr>
            <w:r>
              <w:rPr>
                <w:rFonts w:ascii="仿宋" w:hAnsi="仿宋" w:eastAsia="仿宋"/>
                <w:sz w:val="24"/>
                <w:szCs w:val="24"/>
              </w:rPr>
              <w:t>接口调用方</w:t>
            </w:r>
          </w:p>
        </w:tc>
        <w:tc>
          <w:tcPr>
            <w:tcW w:w="5984" w:type="dxa"/>
          </w:tcPr>
          <w:p w14:paraId="00109504">
            <w:pPr>
              <w:spacing w:line="360" w:lineRule="auto"/>
              <w:rPr>
                <w:rFonts w:ascii="仿宋" w:hAnsi="仿宋" w:eastAsia="仿宋"/>
                <w:sz w:val="24"/>
                <w:szCs w:val="24"/>
              </w:rPr>
            </w:pPr>
            <w:r>
              <w:rPr>
                <w:rFonts w:ascii="仿宋" w:hAnsi="仿宋" w:eastAsia="仿宋"/>
                <w:sz w:val="24"/>
                <w:szCs w:val="24"/>
              </w:rPr>
              <w:t>SP</w:t>
            </w:r>
          </w:p>
        </w:tc>
      </w:tr>
      <w:tr w14:paraId="3861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5F3BEAA8">
            <w:pPr>
              <w:spacing w:line="360" w:lineRule="auto"/>
              <w:rPr>
                <w:rFonts w:ascii="仿宋" w:hAnsi="仿宋" w:eastAsia="仿宋"/>
                <w:sz w:val="24"/>
                <w:szCs w:val="24"/>
              </w:rPr>
            </w:pPr>
            <w:r>
              <w:rPr>
                <w:rFonts w:ascii="仿宋" w:hAnsi="仿宋" w:eastAsia="仿宋"/>
                <w:sz w:val="24"/>
                <w:szCs w:val="24"/>
              </w:rPr>
              <w:t>编码</w:t>
            </w:r>
          </w:p>
        </w:tc>
        <w:tc>
          <w:tcPr>
            <w:tcW w:w="5984" w:type="dxa"/>
          </w:tcPr>
          <w:p w14:paraId="18A6218B">
            <w:pPr>
              <w:spacing w:line="360" w:lineRule="auto"/>
              <w:rPr>
                <w:rFonts w:ascii="仿宋" w:hAnsi="仿宋" w:eastAsia="仿宋"/>
                <w:sz w:val="24"/>
                <w:szCs w:val="24"/>
              </w:rPr>
            </w:pPr>
            <w:r>
              <w:rPr>
                <w:rFonts w:ascii="仿宋" w:hAnsi="仿宋" w:eastAsia="仿宋"/>
                <w:sz w:val="24"/>
                <w:szCs w:val="24"/>
              </w:rPr>
              <w:t>UTF8</w:t>
            </w:r>
          </w:p>
        </w:tc>
      </w:tr>
    </w:tbl>
    <w:p w14:paraId="677DC08A">
      <w:pPr>
        <w:numPr>
          <w:numId w:val="0"/>
        </w:numPr>
        <w:adjustRightInd w:val="0"/>
        <w:snapToGrid w:val="0"/>
        <w:spacing w:before="156" w:beforeLines="50" w:after="156" w:afterLines="50" w:line="360" w:lineRule="auto"/>
        <w:jc w:val="both"/>
        <w:rPr>
          <w:rFonts w:hint="eastAsia" w:ascii="仿宋" w:hAnsi="仿宋" w:eastAsia="仿宋"/>
          <w:b/>
          <w:color w:val="auto"/>
          <w:sz w:val="36"/>
          <w:szCs w:val="22"/>
          <w:lang w:val="en-US" w:eastAsia="zh-CN"/>
        </w:rPr>
      </w:pPr>
      <w:r>
        <w:rPr>
          <w:rFonts w:hint="eastAsia" w:ascii="仿宋" w:hAnsi="仿宋" w:eastAsia="仿宋"/>
          <w:b/>
          <w:color w:val="auto"/>
          <w:sz w:val="36"/>
          <w:szCs w:val="22"/>
          <w:lang w:val="en-US" w:eastAsia="zh-CN"/>
        </w:rPr>
        <w:t>（二）商务参数</w:t>
      </w:r>
    </w:p>
    <w:p w14:paraId="090397C6">
      <w:pPr>
        <w:adjustRightInd w:val="0"/>
        <w:snapToGrid w:val="0"/>
        <w:spacing w:before="156" w:beforeLines="50" w:after="156" w:afterLines="50" w:line="288" w:lineRule="auto"/>
        <w:ind w:firstLine="480" w:firstLineChars="200"/>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1、乙方完成接口服务后通知甲方进行内部测试，在甲方书面确认后将接口上线，接口上线稳定运行达30日后，乙方通知甲方验收，并提供完整的技术文档等资料。甲方自收到乙方通知后 7 日内按本合同约定和采购需求进行验收，验收合格的签署验收合格报告；如经甲方验收不合格，乙方须在 3 日内无条件返工到位。</w:t>
      </w:r>
    </w:p>
    <w:p w14:paraId="36903B7D">
      <w:pPr>
        <w:adjustRightInd w:val="0"/>
        <w:snapToGrid w:val="0"/>
        <w:spacing w:before="156" w:beforeLines="50" w:after="156" w:afterLines="50" w:line="288" w:lineRule="auto"/>
        <w:ind w:firstLine="480" w:firstLineChars="200"/>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2、自本项目上线后并收到发票30日内，支付服务费用90%；自本项目经甲方书面验收合格之日起30日内，支付服务费用10%余款。</w:t>
      </w:r>
    </w:p>
    <w:p w14:paraId="3C6B638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36C4B7D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04D00D3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FFE207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5C380C6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5732FBD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5D5DE09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B87AA1A">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BEFC5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7A5FBB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9D9EB9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bookmarkStart w:id="1" w:name="_Toc16523574"/>
      <w:r>
        <w:rPr>
          <w:rFonts w:hint="eastAsia" w:ascii="宋体" w:hAnsi="宋体" w:eastAsia="宋体" w:cs="宋体"/>
          <w:color w:val="000000"/>
          <w:sz w:val="28"/>
          <w:szCs w:val="28"/>
          <w:lang w:val="en-US" w:eastAsia="zh-CN"/>
        </w:rPr>
        <w:t xml:space="preserve">                                                      合同编号：</w:t>
      </w:r>
    </w:p>
    <w:p w14:paraId="0A47917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w:t>
      </w:r>
    </w:p>
    <w:p w14:paraId="500B275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2E5B0DA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14:paraId="7EB1174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14:paraId="36D978A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14:paraId="7D096FE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14:paraId="4D7AE0C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5333E0C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为提升医疗服务质量，甲方需实现医院HIS系统与短信平台之间、医技系统与短信平台的有效对接，因乙方为</w:t>
      </w:r>
      <w:r>
        <w:rPr>
          <w:rFonts w:hint="eastAsia" w:ascii="宋体" w:hAnsi="宋体" w:cs="宋体"/>
          <w:color w:val="000000"/>
          <w:sz w:val="28"/>
          <w:szCs w:val="28"/>
          <w:lang w:val="en-US" w:eastAsia="zh-CN"/>
        </w:rPr>
        <w:t>HIS、</w:t>
      </w:r>
      <w:r>
        <w:rPr>
          <w:rFonts w:hint="eastAsia" w:ascii="宋体" w:hAnsi="宋体" w:eastAsia="宋体" w:cs="宋体"/>
          <w:color w:val="000000"/>
          <w:sz w:val="28"/>
          <w:szCs w:val="28"/>
          <w:lang w:val="en-US" w:eastAsia="zh-CN"/>
        </w:rPr>
        <w:t>医技系统软件开发商，现甲方采用院内单一来源采购方式向乙方采购</w:t>
      </w:r>
      <w:r>
        <w:rPr>
          <w:rFonts w:hint="eastAsia" w:ascii="宋体" w:hAnsi="宋体" w:cs="宋体"/>
          <w:color w:val="000000"/>
          <w:sz w:val="28"/>
          <w:szCs w:val="28"/>
          <w:u w:val="single"/>
          <w:lang w:val="en-US" w:eastAsia="zh-CN"/>
        </w:rPr>
        <w:t>短信平台接口服务</w:t>
      </w:r>
      <w:r>
        <w:rPr>
          <w:rFonts w:hint="eastAsia" w:ascii="宋体" w:hAnsi="宋体" w:eastAsia="宋体" w:cs="宋体"/>
          <w:color w:val="000000"/>
          <w:sz w:val="28"/>
          <w:szCs w:val="28"/>
          <w:lang w:val="en-US" w:eastAsia="zh-CN"/>
        </w:rPr>
        <w:t>。根据《中华人民共和国民法典》及相关法律法规规定，甲乙双方就</w:t>
      </w:r>
      <w:r>
        <w:rPr>
          <w:rFonts w:hint="eastAsia" w:ascii="宋体" w:hAnsi="宋体" w:cs="宋体"/>
          <w:color w:val="000000"/>
          <w:sz w:val="28"/>
          <w:szCs w:val="28"/>
          <w:u w:val="single"/>
          <w:lang w:val="en-US" w:eastAsia="zh-CN"/>
        </w:rPr>
        <w:t>短信平台接口服务</w:t>
      </w:r>
      <w:r>
        <w:rPr>
          <w:rFonts w:hint="eastAsia" w:ascii="宋体" w:hAnsi="宋体" w:eastAsia="宋体" w:cs="宋体"/>
          <w:color w:val="000000"/>
          <w:sz w:val="28"/>
          <w:szCs w:val="28"/>
          <w:lang w:val="en-US" w:eastAsia="zh-CN"/>
        </w:rPr>
        <w:t>事宜协商一致，特订立本合同，以资共同遵守。</w:t>
      </w:r>
    </w:p>
    <w:p w14:paraId="09998996">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14:paraId="260B52FC">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短信平台接口服务</w:t>
      </w:r>
      <w:r>
        <w:rPr>
          <w:rFonts w:hint="eastAsia" w:ascii="宋体" w:hAnsi="宋体" w:eastAsia="宋体" w:cs="宋体"/>
          <w:color w:val="000000"/>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114"/>
      </w:tblGrid>
      <w:tr w14:paraId="248B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14:paraId="4B2A7E6F">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14:paraId="0B08324E">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14:paraId="545A6E30">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114" w:type="dxa"/>
            <w:noWrap w:val="0"/>
            <w:vAlign w:val="center"/>
          </w:tcPr>
          <w:p w14:paraId="02B5A3F5">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14:paraId="5B17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14:paraId="274A353E">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eastAsia="宋体" w:cs="宋体"/>
                <w:color w:val="000000"/>
                <w:vertAlign w:val="baseline"/>
              </w:rPr>
              <w:t>卫宁健康医院信息管理软件V5.0</w:t>
            </w:r>
          </w:p>
        </w:tc>
        <w:tc>
          <w:tcPr>
            <w:tcW w:w="1541" w:type="dxa"/>
            <w:noWrap w:val="0"/>
            <w:vAlign w:val="center"/>
          </w:tcPr>
          <w:p w14:paraId="3C4F1BA3">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cs="宋体"/>
                <w:color w:val="000000"/>
                <w:vertAlign w:val="baseline"/>
                <w:lang w:val="en-US" w:eastAsia="zh-CN"/>
              </w:rPr>
              <w:t>短信平台接口</w:t>
            </w:r>
          </w:p>
        </w:tc>
        <w:tc>
          <w:tcPr>
            <w:tcW w:w="859" w:type="dxa"/>
            <w:noWrap w:val="0"/>
            <w:vAlign w:val="center"/>
          </w:tcPr>
          <w:p w14:paraId="1FDACE8D">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114" w:type="dxa"/>
            <w:noWrap w:val="0"/>
            <w:vAlign w:val="center"/>
          </w:tcPr>
          <w:p w14:paraId="7F80AB4E">
            <w:pPr>
              <w:pStyle w:val="9"/>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cs="Times New Roman"/>
                <w:color w:val="000000"/>
                <w:lang w:val="en-US" w:eastAsia="zh-CN"/>
              </w:rPr>
              <w:t>三网通短信平台HTTP接口</w:t>
            </w:r>
            <w:r>
              <w:rPr>
                <w:rFonts w:hint="eastAsia" w:ascii="Calibri" w:hAnsi="Calibri" w:eastAsia="宋体" w:cs="Times New Roman"/>
                <w:color w:val="000000"/>
                <w:lang w:val="en-US" w:eastAsia="zh-CN"/>
              </w:rPr>
              <w:t>》开发实施</w:t>
            </w:r>
            <w:r>
              <w:rPr>
                <w:rFonts w:hint="eastAsia" w:ascii="Calibri" w:hAnsi="Calibri" w:cs="Times New Roman"/>
                <w:color w:val="000000"/>
                <w:lang w:val="en-US" w:eastAsia="zh-CN"/>
              </w:rPr>
              <w:t>，详见附件。</w:t>
            </w:r>
          </w:p>
        </w:tc>
      </w:tr>
    </w:tbl>
    <w:p w14:paraId="4AD9BF78">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《三网通短信平台HTTP接口》</w:t>
      </w:r>
      <w:r>
        <w:rPr>
          <w:rFonts w:hint="eastAsia" w:ascii="宋体" w:hAnsi="宋体" w:eastAsia="宋体" w:cs="宋体"/>
          <w:color w:val="000000"/>
          <w:sz w:val="28"/>
          <w:szCs w:val="28"/>
          <w:lang w:val="en-US" w:eastAsia="zh-CN"/>
        </w:rPr>
        <w:t>。超出此接口文档范围的程序修改，甲乙双方进行充分协商后另行签订补充协议。</w:t>
      </w:r>
    </w:p>
    <w:p w14:paraId="41758E77">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14:paraId="4E502EB7">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14:paraId="30B33D5D">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14:paraId="0FCC6921">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14:paraId="520CFF06">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14:paraId="2920D011">
      <w:pPr>
        <w:pStyle w:val="1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14:paraId="30DD7899">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14:paraId="0803806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14:paraId="131ACAA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《三网通短信平台HTTP接口》</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14:paraId="6C5EA3E6">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14:paraId="1A1C649A">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404A05BA">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14:paraId="7751D3D1">
      <w:pPr>
        <w:pStyle w:val="3"/>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14:paraId="42B412C3">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14:paraId="4E52F5D2">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14:paraId="35B1D120">
      <w:pPr>
        <w:pStyle w:val="3"/>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4EDE2984">
      <w:pPr>
        <w:pStyle w:val="3"/>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000000"/>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14:paraId="1C59E967">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14:paraId="09526A82">
      <w:pPr>
        <w:pStyle w:val="4"/>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73990F63">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14:paraId="6CA445F1">
      <w:pPr>
        <w:pStyle w:val="4"/>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14:paraId="4253CD3B">
      <w:pPr>
        <w:pStyle w:val="4"/>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14:paraId="264DFA75">
      <w:pPr>
        <w:pStyle w:val="1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14:paraId="1D4D9F42">
      <w:pPr>
        <w:pStyle w:val="12"/>
        <w:widowControl w:val="0"/>
        <w:spacing w:line="480" w:lineRule="exact"/>
        <w:ind w:firstLine="560" w:firstLineChars="200"/>
        <w:rPr>
          <w:rFonts w:hint="eastAsia" w:ascii="宋体" w:hAnsi="宋体" w:eastAsia="宋体" w:cs="宋体"/>
          <w:color w:val="000000"/>
          <w:kern w:val="2"/>
          <w:sz w:val="28"/>
          <w:szCs w:val="28"/>
          <w:highlight w:val="none"/>
          <w:lang w:val="en-US" w:eastAsia="zh-CN"/>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14:paraId="622777E6">
      <w:pPr>
        <w:pStyle w:val="4"/>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14:paraId="0B6CB888">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14:paraId="0CEE7F24">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14:paraId="4C73F59B">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14:paraId="57AF11DA">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14:paraId="347816EB">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14:paraId="57612F17">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14:paraId="212550DF">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14:paraId="4634C15E">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14:paraId="6A62EC19">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14:paraId="6C60DBA2">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233D0923">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492CEAFC">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14:paraId="53185A37">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14:paraId="2B6B8812">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14:paraId="24C8A242">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元 </w:t>
      </w:r>
      <w:r>
        <w:rPr>
          <w:rFonts w:hint="eastAsia" w:ascii="宋体" w:hAnsi="宋体" w:eastAsia="宋体" w:cs="宋体"/>
          <w:color w:val="000000"/>
          <w:kern w:val="0"/>
          <w:sz w:val="28"/>
          <w:szCs w:val="28"/>
          <w:lang w:val="en-US" w:eastAsia="zh-CN" w:bidi="ar-SA"/>
        </w:rPr>
        <w:t>（小写：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14A42F28">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甲方通过银行转账分次支付服务费用至乙方指定收款账户：自本项目上线后并收到发票30日内，支付服务费用90%即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14:paraId="63371ADE">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14:paraId="466E0308">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14:paraId="3CF4A586">
      <w:pPr>
        <w:pStyle w:val="4"/>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14:paraId="10883E72">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14:paraId="3E964E64">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14:paraId="6C5D418E">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8.1 双方确定，在本合同有效期内，甲方指定</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 xml:space="preserve">（联系电话： </w:t>
      </w:r>
      <w:r>
        <w:rPr>
          <w:rFonts w:hint="eastAsia" w:ascii="宋体" w:hAnsi="宋体" w:eastAsia="宋体" w:cs="宋体"/>
          <w:color w:val="000000"/>
          <w:kern w:val="0"/>
          <w:sz w:val="28"/>
          <w:szCs w:val="28"/>
          <w:highlight w:val="none"/>
          <w:u w:val="single"/>
          <w:lang w:val="en-US" w:eastAsia="zh-CN" w:bidi="ar-SA"/>
        </w:rPr>
        <w:t xml:space="preserve">13973818325 </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14:paraId="59DCE5F6">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14:paraId="2843BED4">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14:paraId="0AAEEC1F">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71BDA70C">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14:paraId="1D0B5E6C">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13973818325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7591521@qq.com</w:t>
      </w:r>
      <w:r>
        <w:rPr>
          <w:rFonts w:hint="eastAsia" w:ascii="宋体" w:hAnsi="宋体" w:eastAsia="宋体" w:cs="宋体"/>
          <w:color w:val="000000"/>
          <w:kern w:val="0"/>
          <w:sz w:val="28"/>
          <w:szCs w:val="28"/>
          <w:lang w:val="en-US" w:eastAsia="zh-CN" w:bidi="ar-SA"/>
        </w:rPr>
        <w:t>。</w:t>
      </w:r>
    </w:p>
    <w:p w14:paraId="44DFE9BA">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14:paraId="7D54E5D0">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13E7C707">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4F09BFAB">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14:paraId="42D4A048">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14:paraId="24B012C3">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14:paraId="7A262C56">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14:paraId="5CD88828">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14:paraId="0F8CDB0A">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14:paraId="4BDC9D89">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14:paraId="57AE709C">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14:paraId="47393BCD">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14:paraId="0CCA0FD3">
      <w:pPr>
        <w:pStyle w:val="4"/>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14:paraId="37525C4A">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14:paraId="62931B72">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14:paraId="2A93E3F2">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14:paraId="01579753">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13F62E6C">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14:paraId="3837D309">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14:paraId="252BC0E7">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14:paraId="445F097E">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14:paraId="3EB53453">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14:paraId="4C335FDE">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14:paraId="190BE365">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本合同一式肆份，甲方执叁份，乙方执壹份，自双方签字并盖章之日起生效。</w:t>
      </w:r>
    </w:p>
    <w:p w14:paraId="652C5DA2">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485F4CB5">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14:paraId="655DC07D">
      <w:pPr>
        <w:pStyle w:val="4"/>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14:paraId="3A5916D4">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21EFBC7">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23789A18">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14:paraId="3FB7F67A">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BBF9027">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6D8D71F5">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14:paraId="4A879987">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4068DEA4">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A72E04E">
      <w:pPr>
        <w:pStyle w:val="4"/>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合同签订地履行地：娄底市娄星区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签订日期：   年   月   日</w:t>
      </w:r>
    </w:p>
    <w:p w14:paraId="2987C6A3">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0CB2EF6B">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3634D8E0">
      <w:pPr>
        <w:spacing w:line="420" w:lineRule="exact"/>
        <w:rPr>
          <w:rFonts w:hint="eastAsia" w:ascii="仿宋" w:hAnsi="仿宋" w:eastAsia="仿宋" w:cs="仿宋"/>
          <w:sz w:val="24"/>
        </w:rPr>
      </w:pPr>
    </w:p>
    <w:p w14:paraId="690287D2">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23A98D6">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9C3AECA">
      <w:pPr>
        <w:rPr>
          <w:rFonts w:hint="eastAsia" w:ascii="宋体" w:hAnsi="宋体" w:cs="宋体"/>
          <w:color w:val="auto"/>
        </w:rPr>
      </w:pPr>
    </w:p>
    <w:bookmarkEnd w:id="1"/>
    <w:p w14:paraId="38CAD843">
      <w:pPr>
        <w:rPr>
          <w:rFonts w:hint="eastAsia"/>
          <w:color w:val="auto"/>
        </w:rPr>
      </w:pPr>
    </w:p>
    <w:p w14:paraId="485B79B4">
      <w:pPr>
        <w:jc w:val="center"/>
        <w:rPr>
          <w:b/>
          <w:color w:val="auto"/>
          <w:sz w:val="24"/>
        </w:rPr>
      </w:pPr>
      <w:r>
        <w:rPr>
          <w:b/>
          <w:color w:val="auto"/>
          <w:sz w:val="28"/>
          <w:szCs w:val="28"/>
        </w:rPr>
        <w:t>第一部分、开标一览表</w:t>
      </w:r>
    </w:p>
    <w:p w14:paraId="6FA3850E">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560ABE0E">
      <w:pPr>
        <w:pStyle w:val="18"/>
        <w:rPr>
          <w:color w:val="auto"/>
        </w:rPr>
      </w:pPr>
    </w:p>
    <w:p w14:paraId="59A22EAB">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215F66D2">
      <w:pPr>
        <w:pStyle w:val="17"/>
        <w:rPr>
          <w:rFonts w:hint="eastAsia"/>
          <w:color w:val="auto"/>
          <w:lang w:eastAsia="zh-CN"/>
        </w:rPr>
      </w:pPr>
    </w:p>
    <w:p w14:paraId="3F07C1A5">
      <w:pPr>
        <w:adjustRightInd w:val="0"/>
        <w:snapToGrid w:val="0"/>
        <w:spacing w:line="360" w:lineRule="auto"/>
        <w:jc w:val="center"/>
        <w:rPr>
          <w:rFonts w:hint="eastAsia" w:ascii="宋体" w:hAnsi="宋体" w:cs="宋体"/>
          <w:b/>
          <w:color w:val="auto"/>
          <w:sz w:val="24"/>
          <w:szCs w:val="20"/>
        </w:rPr>
      </w:pPr>
    </w:p>
    <w:p w14:paraId="577CE723">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7A7ABB26">
      <w:pPr>
        <w:adjustRightInd w:val="0"/>
        <w:snapToGrid w:val="0"/>
        <w:spacing w:line="360" w:lineRule="auto"/>
        <w:rPr>
          <w:rFonts w:hint="eastAsia" w:ascii="宋体" w:hAnsi="宋体" w:cs="宋体"/>
          <w:b/>
          <w:color w:val="auto"/>
          <w:sz w:val="28"/>
          <w:szCs w:val="28"/>
        </w:rPr>
      </w:pPr>
    </w:p>
    <w:p w14:paraId="162B2A3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2B587E6A">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58C9BE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DA689D4">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247DC3C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0A3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04033DA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DF691C">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4AC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3BDC111">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0BFA746B">
      <w:pPr>
        <w:adjustRightInd w:val="0"/>
        <w:snapToGrid w:val="0"/>
        <w:spacing w:line="360" w:lineRule="auto"/>
        <w:rPr>
          <w:rFonts w:hint="eastAsia" w:ascii="宋体" w:hAnsi="宋体" w:cs="宋体"/>
          <w:color w:val="auto"/>
          <w:sz w:val="24"/>
        </w:rPr>
      </w:pPr>
    </w:p>
    <w:p w14:paraId="70AD8152">
      <w:pPr>
        <w:adjustRightInd w:val="0"/>
        <w:snapToGrid w:val="0"/>
        <w:spacing w:line="360" w:lineRule="auto"/>
        <w:rPr>
          <w:rFonts w:hint="eastAsia" w:ascii="宋体" w:hAnsi="宋体" w:cs="宋体"/>
          <w:color w:val="auto"/>
          <w:sz w:val="24"/>
        </w:rPr>
      </w:pPr>
    </w:p>
    <w:p w14:paraId="782EADC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15BEF6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1FA2BE3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6B80A15B">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CA743D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2C8EA4FA">
      <w:pPr>
        <w:pStyle w:val="17"/>
        <w:rPr>
          <w:rFonts w:hint="eastAsia"/>
          <w:color w:val="auto"/>
          <w:lang w:eastAsia="zh-CN"/>
        </w:rPr>
      </w:pPr>
    </w:p>
    <w:p w14:paraId="5A75FC83">
      <w:pPr>
        <w:spacing w:before="120" w:beforeLines="50" w:after="120" w:afterLines="50" w:line="276" w:lineRule="auto"/>
        <w:jc w:val="center"/>
        <w:rPr>
          <w:b/>
          <w:color w:val="auto"/>
          <w:sz w:val="24"/>
        </w:rPr>
      </w:pPr>
      <w:r>
        <w:rPr>
          <w:b/>
          <w:color w:val="auto"/>
          <w:sz w:val="24"/>
        </w:rPr>
        <w:t>采购需求响应</w:t>
      </w:r>
    </w:p>
    <w:p w14:paraId="175F3830">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7FB404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6BDCDDD0">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0C1E712">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68754132">
            <w:pPr>
              <w:adjustRightInd w:val="0"/>
              <w:snapToGrid w:val="0"/>
              <w:spacing w:before="50" w:line="360" w:lineRule="auto"/>
              <w:jc w:val="center"/>
              <w:rPr>
                <w:color w:val="auto"/>
              </w:rPr>
            </w:pPr>
            <w:r>
              <w:rPr>
                <w:color w:val="auto"/>
              </w:rPr>
              <w:t>招标文件要求</w:t>
            </w:r>
          </w:p>
        </w:tc>
        <w:tc>
          <w:tcPr>
            <w:tcW w:w="962" w:type="pct"/>
            <w:noWrap w:val="0"/>
            <w:vAlign w:val="top"/>
          </w:tcPr>
          <w:p w14:paraId="2C6E2D2E">
            <w:pPr>
              <w:adjustRightInd w:val="0"/>
              <w:snapToGrid w:val="0"/>
              <w:spacing w:before="50" w:line="360" w:lineRule="auto"/>
              <w:jc w:val="center"/>
              <w:rPr>
                <w:color w:val="auto"/>
              </w:rPr>
            </w:pPr>
            <w:r>
              <w:rPr>
                <w:color w:val="auto"/>
              </w:rPr>
              <w:t>投标文件应答</w:t>
            </w:r>
          </w:p>
        </w:tc>
        <w:tc>
          <w:tcPr>
            <w:tcW w:w="905" w:type="pct"/>
            <w:noWrap w:val="0"/>
            <w:vAlign w:val="center"/>
          </w:tcPr>
          <w:p w14:paraId="434F6BEA">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3E60E15">
            <w:pPr>
              <w:adjustRightInd w:val="0"/>
              <w:snapToGrid w:val="0"/>
              <w:spacing w:before="50" w:line="360" w:lineRule="auto"/>
              <w:ind w:left="-88" w:leftChars="-42"/>
              <w:jc w:val="center"/>
              <w:rPr>
                <w:color w:val="auto"/>
                <w:szCs w:val="21"/>
              </w:rPr>
            </w:pPr>
            <w:r>
              <w:rPr>
                <w:color w:val="auto"/>
                <w:szCs w:val="21"/>
              </w:rPr>
              <w:t>偏离说明</w:t>
            </w:r>
          </w:p>
        </w:tc>
      </w:tr>
      <w:tr w14:paraId="23E8D6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412C15C3">
            <w:pPr>
              <w:adjustRightInd w:val="0"/>
              <w:snapToGrid w:val="0"/>
              <w:spacing w:before="50" w:line="360" w:lineRule="auto"/>
              <w:ind w:left="-88" w:leftChars="-42"/>
              <w:jc w:val="center"/>
              <w:rPr>
                <w:color w:val="auto"/>
                <w:szCs w:val="21"/>
              </w:rPr>
            </w:pPr>
          </w:p>
        </w:tc>
        <w:tc>
          <w:tcPr>
            <w:tcW w:w="1123" w:type="pct"/>
            <w:noWrap w:val="0"/>
            <w:vAlign w:val="center"/>
          </w:tcPr>
          <w:p w14:paraId="0CB05FBC">
            <w:pPr>
              <w:adjustRightInd w:val="0"/>
              <w:snapToGrid w:val="0"/>
              <w:spacing w:before="50" w:line="360" w:lineRule="auto"/>
              <w:ind w:left="-88" w:leftChars="-42"/>
              <w:jc w:val="center"/>
              <w:rPr>
                <w:color w:val="auto"/>
                <w:szCs w:val="21"/>
              </w:rPr>
            </w:pPr>
          </w:p>
        </w:tc>
        <w:tc>
          <w:tcPr>
            <w:tcW w:w="1000" w:type="pct"/>
            <w:noWrap w:val="0"/>
            <w:vAlign w:val="center"/>
          </w:tcPr>
          <w:p w14:paraId="519AECB4">
            <w:pPr>
              <w:adjustRightInd w:val="0"/>
              <w:snapToGrid w:val="0"/>
              <w:spacing w:before="50" w:line="360" w:lineRule="auto"/>
              <w:ind w:left="-88" w:leftChars="-42"/>
              <w:jc w:val="center"/>
              <w:rPr>
                <w:color w:val="auto"/>
                <w:szCs w:val="21"/>
              </w:rPr>
            </w:pPr>
          </w:p>
        </w:tc>
        <w:tc>
          <w:tcPr>
            <w:tcW w:w="962" w:type="pct"/>
            <w:noWrap w:val="0"/>
            <w:vAlign w:val="center"/>
          </w:tcPr>
          <w:p w14:paraId="3B98A200">
            <w:pPr>
              <w:adjustRightInd w:val="0"/>
              <w:snapToGrid w:val="0"/>
              <w:spacing w:before="50" w:line="360" w:lineRule="auto"/>
              <w:ind w:left="-88" w:leftChars="-42"/>
              <w:jc w:val="center"/>
              <w:rPr>
                <w:color w:val="auto"/>
                <w:szCs w:val="21"/>
              </w:rPr>
            </w:pPr>
          </w:p>
        </w:tc>
        <w:tc>
          <w:tcPr>
            <w:tcW w:w="905" w:type="pct"/>
            <w:noWrap w:val="0"/>
            <w:vAlign w:val="center"/>
          </w:tcPr>
          <w:p w14:paraId="661BDD18">
            <w:pPr>
              <w:adjustRightInd w:val="0"/>
              <w:snapToGrid w:val="0"/>
              <w:spacing w:before="50" w:line="360" w:lineRule="auto"/>
              <w:ind w:left="-88" w:leftChars="-42"/>
              <w:jc w:val="center"/>
              <w:rPr>
                <w:color w:val="auto"/>
                <w:szCs w:val="21"/>
              </w:rPr>
            </w:pPr>
          </w:p>
        </w:tc>
        <w:tc>
          <w:tcPr>
            <w:tcW w:w="634" w:type="pct"/>
            <w:noWrap w:val="0"/>
            <w:vAlign w:val="center"/>
          </w:tcPr>
          <w:p w14:paraId="51046D47">
            <w:pPr>
              <w:adjustRightInd w:val="0"/>
              <w:snapToGrid w:val="0"/>
              <w:spacing w:before="50" w:line="360" w:lineRule="auto"/>
              <w:ind w:left="-88" w:leftChars="-42"/>
              <w:jc w:val="center"/>
              <w:rPr>
                <w:color w:val="auto"/>
                <w:szCs w:val="21"/>
              </w:rPr>
            </w:pPr>
          </w:p>
        </w:tc>
      </w:tr>
      <w:tr w14:paraId="1B5874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B9676F">
            <w:pPr>
              <w:adjustRightInd w:val="0"/>
              <w:snapToGrid w:val="0"/>
              <w:spacing w:before="50" w:line="360" w:lineRule="auto"/>
              <w:ind w:left="-88" w:leftChars="-42"/>
              <w:jc w:val="center"/>
              <w:rPr>
                <w:color w:val="auto"/>
                <w:szCs w:val="21"/>
              </w:rPr>
            </w:pPr>
          </w:p>
        </w:tc>
        <w:tc>
          <w:tcPr>
            <w:tcW w:w="1123" w:type="pct"/>
            <w:noWrap w:val="0"/>
            <w:vAlign w:val="center"/>
          </w:tcPr>
          <w:p w14:paraId="2C9A3F32">
            <w:pPr>
              <w:adjustRightInd w:val="0"/>
              <w:snapToGrid w:val="0"/>
              <w:spacing w:before="50" w:line="360" w:lineRule="auto"/>
              <w:ind w:left="-88" w:leftChars="-42"/>
              <w:jc w:val="center"/>
              <w:rPr>
                <w:color w:val="auto"/>
                <w:szCs w:val="21"/>
              </w:rPr>
            </w:pPr>
          </w:p>
        </w:tc>
        <w:tc>
          <w:tcPr>
            <w:tcW w:w="1000" w:type="pct"/>
            <w:noWrap w:val="0"/>
            <w:vAlign w:val="center"/>
          </w:tcPr>
          <w:p w14:paraId="49C78168">
            <w:pPr>
              <w:adjustRightInd w:val="0"/>
              <w:snapToGrid w:val="0"/>
              <w:spacing w:before="50" w:line="360" w:lineRule="auto"/>
              <w:ind w:left="-88" w:leftChars="-42"/>
              <w:jc w:val="center"/>
              <w:rPr>
                <w:color w:val="auto"/>
                <w:szCs w:val="21"/>
              </w:rPr>
            </w:pPr>
          </w:p>
        </w:tc>
        <w:tc>
          <w:tcPr>
            <w:tcW w:w="962" w:type="pct"/>
            <w:noWrap w:val="0"/>
            <w:vAlign w:val="center"/>
          </w:tcPr>
          <w:p w14:paraId="5679E7B4">
            <w:pPr>
              <w:adjustRightInd w:val="0"/>
              <w:snapToGrid w:val="0"/>
              <w:spacing w:before="50" w:line="360" w:lineRule="auto"/>
              <w:ind w:left="-88" w:leftChars="-42"/>
              <w:jc w:val="center"/>
              <w:rPr>
                <w:color w:val="auto"/>
                <w:szCs w:val="21"/>
              </w:rPr>
            </w:pPr>
          </w:p>
        </w:tc>
        <w:tc>
          <w:tcPr>
            <w:tcW w:w="905" w:type="pct"/>
            <w:noWrap w:val="0"/>
            <w:vAlign w:val="center"/>
          </w:tcPr>
          <w:p w14:paraId="380E7778">
            <w:pPr>
              <w:adjustRightInd w:val="0"/>
              <w:snapToGrid w:val="0"/>
              <w:spacing w:before="50" w:line="360" w:lineRule="auto"/>
              <w:ind w:left="-88" w:leftChars="-42"/>
              <w:jc w:val="center"/>
              <w:rPr>
                <w:color w:val="auto"/>
                <w:szCs w:val="21"/>
              </w:rPr>
            </w:pPr>
          </w:p>
        </w:tc>
        <w:tc>
          <w:tcPr>
            <w:tcW w:w="634" w:type="pct"/>
            <w:noWrap w:val="0"/>
            <w:vAlign w:val="center"/>
          </w:tcPr>
          <w:p w14:paraId="0A0F5CBC">
            <w:pPr>
              <w:adjustRightInd w:val="0"/>
              <w:snapToGrid w:val="0"/>
              <w:spacing w:before="50" w:line="360" w:lineRule="auto"/>
              <w:ind w:left="-88" w:leftChars="-42"/>
              <w:jc w:val="center"/>
              <w:rPr>
                <w:color w:val="auto"/>
                <w:szCs w:val="21"/>
              </w:rPr>
            </w:pPr>
          </w:p>
        </w:tc>
      </w:tr>
      <w:tr w14:paraId="5A756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268040E">
            <w:pPr>
              <w:adjustRightInd w:val="0"/>
              <w:snapToGrid w:val="0"/>
              <w:spacing w:before="50" w:line="360" w:lineRule="auto"/>
              <w:ind w:left="-88" w:leftChars="-42"/>
              <w:jc w:val="center"/>
              <w:rPr>
                <w:color w:val="auto"/>
                <w:szCs w:val="21"/>
              </w:rPr>
            </w:pPr>
          </w:p>
        </w:tc>
        <w:tc>
          <w:tcPr>
            <w:tcW w:w="1123" w:type="pct"/>
            <w:noWrap w:val="0"/>
            <w:vAlign w:val="center"/>
          </w:tcPr>
          <w:p w14:paraId="0874A469">
            <w:pPr>
              <w:adjustRightInd w:val="0"/>
              <w:snapToGrid w:val="0"/>
              <w:spacing w:before="50" w:line="360" w:lineRule="auto"/>
              <w:ind w:left="-88" w:leftChars="-42"/>
              <w:jc w:val="center"/>
              <w:rPr>
                <w:color w:val="auto"/>
                <w:szCs w:val="21"/>
              </w:rPr>
            </w:pPr>
          </w:p>
        </w:tc>
        <w:tc>
          <w:tcPr>
            <w:tcW w:w="1000" w:type="pct"/>
            <w:noWrap w:val="0"/>
            <w:vAlign w:val="center"/>
          </w:tcPr>
          <w:p w14:paraId="6B809441">
            <w:pPr>
              <w:adjustRightInd w:val="0"/>
              <w:snapToGrid w:val="0"/>
              <w:spacing w:before="50" w:line="360" w:lineRule="auto"/>
              <w:ind w:left="-88" w:leftChars="-42"/>
              <w:jc w:val="center"/>
              <w:rPr>
                <w:color w:val="auto"/>
                <w:szCs w:val="21"/>
              </w:rPr>
            </w:pPr>
          </w:p>
        </w:tc>
        <w:tc>
          <w:tcPr>
            <w:tcW w:w="962" w:type="pct"/>
            <w:noWrap w:val="0"/>
            <w:vAlign w:val="center"/>
          </w:tcPr>
          <w:p w14:paraId="48590382">
            <w:pPr>
              <w:adjustRightInd w:val="0"/>
              <w:snapToGrid w:val="0"/>
              <w:spacing w:before="50" w:line="360" w:lineRule="auto"/>
              <w:ind w:left="-88" w:leftChars="-42"/>
              <w:jc w:val="center"/>
              <w:rPr>
                <w:color w:val="auto"/>
                <w:szCs w:val="21"/>
              </w:rPr>
            </w:pPr>
          </w:p>
        </w:tc>
        <w:tc>
          <w:tcPr>
            <w:tcW w:w="905" w:type="pct"/>
            <w:noWrap w:val="0"/>
            <w:vAlign w:val="center"/>
          </w:tcPr>
          <w:p w14:paraId="3890C63E">
            <w:pPr>
              <w:adjustRightInd w:val="0"/>
              <w:snapToGrid w:val="0"/>
              <w:spacing w:before="50" w:line="360" w:lineRule="auto"/>
              <w:ind w:left="-88" w:leftChars="-42"/>
              <w:jc w:val="center"/>
              <w:rPr>
                <w:color w:val="auto"/>
                <w:szCs w:val="21"/>
              </w:rPr>
            </w:pPr>
          </w:p>
        </w:tc>
        <w:tc>
          <w:tcPr>
            <w:tcW w:w="634" w:type="pct"/>
            <w:noWrap w:val="0"/>
            <w:vAlign w:val="center"/>
          </w:tcPr>
          <w:p w14:paraId="5EE4F22B">
            <w:pPr>
              <w:adjustRightInd w:val="0"/>
              <w:snapToGrid w:val="0"/>
              <w:spacing w:before="50" w:line="360" w:lineRule="auto"/>
              <w:ind w:left="-88" w:leftChars="-42"/>
              <w:jc w:val="center"/>
              <w:rPr>
                <w:color w:val="auto"/>
                <w:szCs w:val="21"/>
              </w:rPr>
            </w:pPr>
          </w:p>
        </w:tc>
      </w:tr>
      <w:tr w14:paraId="50D63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E620137">
            <w:pPr>
              <w:rPr>
                <w:b/>
                <w:color w:val="auto"/>
              </w:rPr>
            </w:pPr>
            <w:r>
              <w:rPr>
                <w:b/>
                <w:color w:val="auto"/>
              </w:rPr>
              <w:t>投标人保证：我单位对招标文件的其他采购需求条款完全响应，无偏离。</w:t>
            </w:r>
          </w:p>
        </w:tc>
      </w:tr>
    </w:tbl>
    <w:p w14:paraId="1DB7CAA8">
      <w:pPr>
        <w:adjustRightInd w:val="0"/>
        <w:snapToGrid w:val="0"/>
        <w:spacing w:before="50" w:line="360" w:lineRule="auto"/>
        <w:ind w:left="-88" w:leftChars="-42"/>
        <w:rPr>
          <w:color w:val="auto"/>
          <w:sz w:val="24"/>
        </w:rPr>
      </w:pPr>
      <w:r>
        <w:rPr>
          <w:b/>
          <w:color w:val="auto"/>
          <w:sz w:val="24"/>
        </w:rPr>
        <w:t>备注</w:t>
      </w:r>
      <w:r>
        <w:rPr>
          <w:color w:val="auto"/>
          <w:sz w:val="24"/>
        </w:rPr>
        <w:t>：</w:t>
      </w:r>
    </w:p>
    <w:p w14:paraId="677E9091">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29C0D7D9">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4C313BF6">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0D4AFA01">
      <w:pPr>
        <w:rPr>
          <w:color w:val="auto"/>
        </w:rPr>
      </w:pPr>
    </w:p>
    <w:p w14:paraId="722B17DC"/>
    <w:p w14:paraId="360A21B4"/>
    <w:p w14:paraId="140DB040"/>
    <w:p w14:paraId="67D2B15F"/>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B2A20">
    <w:pPr>
      <w:pStyle w:val="7"/>
      <w:rPr>
        <w:rFonts w:hint="eastAsia" w:ascii="仿宋_GB2312" w:eastAsia="仿宋_GB2312"/>
        <w:bCs/>
        <w:u w:val="single"/>
      </w:rPr>
    </w:pPr>
    <w:r>
      <w:rPr>
        <w:rFonts w:hint="eastAsia" w:ascii="仿宋_GB2312" w:eastAsia="仿宋_GB2312"/>
        <w:bCs/>
        <w:u w:val="single"/>
      </w:rPr>
      <w:t xml:space="preserve">                                                                                                 </w:t>
    </w:r>
  </w:p>
  <w:p w14:paraId="5F76AD90">
    <w:pPr>
      <w:adjustRightInd w:val="0"/>
      <w:snapToGrid w:val="0"/>
      <w:spacing w:line="260" w:lineRule="atLeast"/>
      <w:ind w:left="482" w:hanging="482"/>
      <w:rPr>
        <w:rFonts w:hint="eastAsia" w:ascii="宋体" w:hAnsi="宋体"/>
        <w:kern w:val="0"/>
        <w:sz w:val="18"/>
        <w:szCs w:val="21"/>
      </w:rPr>
    </w:pPr>
  </w:p>
  <w:p w14:paraId="111D3B0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6FDF8">
    <w:pPr>
      <w:pStyle w:val="7"/>
      <w:rPr>
        <w:rFonts w:hint="eastAsia" w:ascii="仿宋_GB2312" w:eastAsia="仿宋_GB2312"/>
        <w:bCs/>
        <w:u w:val="single"/>
      </w:rPr>
    </w:pPr>
    <w:r>
      <w:rPr>
        <w:rFonts w:hint="eastAsia" w:ascii="仿宋_GB2312" w:eastAsia="仿宋_GB2312"/>
        <w:bCs/>
        <w:u w:val="single"/>
      </w:rPr>
      <w:t xml:space="preserve">                                                                                                 </w:t>
    </w:r>
  </w:p>
  <w:p w14:paraId="660817C8">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D15EE">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56405"/>
    <w:multiLevelType w:val="multilevel"/>
    <w:tmpl w:val="58B56405"/>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A72AA"/>
    <w:rsid w:val="5E6A7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widowControl/>
      <w:ind w:firstLine="420"/>
      <w:jc w:val="left"/>
    </w:pPr>
    <w:rPr>
      <w:kern w:val="0"/>
      <w:sz w:val="20"/>
      <w:szCs w:val="20"/>
    </w:rPr>
  </w:style>
  <w:style w:type="paragraph" w:customStyle="1" w:styleId="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5">
    <w:name w:val="Body Text"/>
    <w:basedOn w:val="1"/>
    <w:unhideWhenUsed/>
    <w:qFormat/>
    <w:uiPriority w:val="0"/>
    <w:pPr>
      <w:spacing w:after="120"/>
    </w:pPr>
  </w:style>
  <w:style w:type="paragraph" w:styleId="6">
    <w:name w:val="Body Text Indent"/>
    <w:basedOn w:val="1"/>
    <w:next w:val="1"/>
    <w:qFormat/>
    <w:uiPriority w:val="0"/>
    <w:pPr>
      <w:spacing w:after="120" w:line="400" w:lineRule="exact"/>
      <w:ind w:left="420" w:leftChars="200"/>
    </w:pPr>
    <w:rPr>
      <w:rFonts w:ascii="Calibri" w:hAnsi="Calibri"/>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w:basedOn w:val="5"/>
    <w:qFormat/>
    <w:uiPriority w:val="0"/>
    <w:pPr>
      <w:spacing w:after="0"/>
      <w:ind w:firstLine="880"/>
    </w:pPr>
    <w:rPr>
      <w:i/>
      <w:iCs/>
      <w:sz w:val="18"/>
    </w:rPr>
  </w:style>
  <w:style w:type="paragraph" w:styleId="12">
    <w:name w:val="Body Text First Indent 2"/>
    <w:basedOn w:val="6"/>
    <w:next w:val="3"/>
    <w:qFormat/>
    <w:uiPriority w:val="0"/>
    <w:pPr>
      <w:autoSpaceDE w:val="0"/>
      <w:autoSpaceDN w:val="0"/>
      <w:adjustRightInd w:val="0"/>
      <w:ind w:firstLine="420"/>
      <w:jc w:val="left"/>
    </w:pPr>
    <w:rPr>
      <w:kern w:val="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026E5" w:themeColor="hyperlink"/>
      <w:u w:val="single"/>
      <w14:textFill>
        <w14:solidFill>
          <w14:schemeClr w14:val="hlink"/>
        </w14:solidFill>
      </w14:textFill>
    </w:rPr>
  </w:style>
  <w:style w:type="paragraph" w:customStyle="1" w:styleId="17">
    <w:name w:val="列出段落1"/>
    <w:basedOn w:val="1"/>
    <w:autoRedefine/>
    <w:qFormat/>
    <w:uiPriority w:val="99"/>
    <w:pPr>
      <w:ind w:firstLine="420" w:firstLineChars="200"/>
    </w:pPr>
  </w:style>
  <w:style w:type="paragraph" w:customStyle="1" w:styleId="1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2024-11-20T07:32:00Z</dcterms:created>
  <dc:creator>是小豹子</dc:creator>
  <cp:lastModifiedBy>是小豹子</cp:lastModifiedBy>
  <dcterms:modified xsi:type="dcterms:W3CDTF">2024-11-20T07:36:48Z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C2765A4AA3644AFB80605C0BB034F4E6_11</vt:lpwstr>
  </property>
</Properties>
</file>