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ascii="Arial" w:hAnsi="Arial" w:eastAsia="方正小标宋简体" w:cs="Arial"/>
          <w:sz w:val="72"/>
          <w:szCs w:val="72"/>
        </w:rPr>
      </w:pPr>
      <w:bookmarkStart w:id="0" w:name="_Toc16523570"/>
      <w:r>
        <w:rPr>
          <w:rFonts w:hint="eastAsia" w:ascii="Arial" w:hAnsi="Arial" w:eastAsia="方正小标宋简体" w:cs="Arial"/>
          <w:sz w:val="72"/>
          <w:szCs w:val="72"/>
        </w:rPr>
        <w:t>娄底市中心医院院内</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spacing w:line="360" w:lineRule="auto"/>
        <w:rPr>
          <w:rFonts w:hint="eastAsia"/>
          <w:bCs/>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娄底中心医院感控工作间招标文件</w:t>
      </w:r>
      <w:r>
        <w:rPr>
          <w:rFonts w:hint="eastAsia"/>
          <w:bCs/>
          <w:sz w:val="32"/>
          <w:szCs w:val="32"/>
        </w:rPr>
        <w:t>（院内招标）</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四</w:t>
      </w:r>
      <w:r>
        <w:rPr>
          <w:rFonts w:hint="eastAsia" w:ascii="宋体" w:hAnsi="宋体" w:cs="宋体"/>
          <w:bCs/>
          <w:sz w:val="32"/>
          <w:szCs w:val="32"/>
        </w:rPr>
        <w:t>年</w:t>
      </w:r>
      <w:r>
        <w:rPr>
          <w:rFonts w:hint="eastAsia" w:ascii="宋体" w:hAnsi="宋体" w:cs="宋体"/>
          <w:bCs/>
          <w:sz w:val="32"/>
          <w:szCs w:val="32"/>
          <w:lang w:val="en-US" w:eastAsia="zh-CN"/>
        </w:rPr>
        <w:t>四</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lang w:val="en-US" w:eastAsia="zh-CN"/>
        </w:rPr>
        <w:t>感控工作间项目进行院内挂网招标</w:t>
      </w:r>
      <w:r>
        <w:rPr>
          <w:rFonts w:hint="eastAsia" w:asciiTheme="minorEastAsia" w:hAnsiTheme="minorEastAsia" w:eastAsiaTheme="minorEastAsia" w:cstheme="minorEastAsia"/>
          <w:bCs/>
          <w:color w:val="auto"/>
          <w:sz w:val="28"/>
          <w:szCs w:val="28"/>
        </w:rPr>
        <w:t>，将招标事项公告如下：</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lang w:val="en-US" w:eastAsia="zh-CN"/>
        </w:rPr>
        <w:t>感控工作间</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5"/>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2"/>
        <w:tblW w:w="777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397"/>
        <w:gridCol w:w="3143"/>
        <w:gridCol w:w="323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26" w:hRule="atLeast"/>
          <w:jc w:val="center"/>
        </w:trPr>
        <w:tc>
          <w:tcPr>
            <w:tcW w:w="139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31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项目名称</w:t>
            </w:r>
          </w:p>
        </w:tc>
        <w:tc>
          <w:tcPr>
            <w:tcW w:w="3238"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97" w:hRule="atLeast"/>
          <w:jc w:val="center"/>
        </w:trPr>
        <w:tc>
          <w:tcPr>
            <w:tcW w:w="139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31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感控工作间</w:t>
            </w:r>
          </w:p>
        </w:tc>
        <w:tc>
          <w:tcPr>
            <w:tcW w:w="3238"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4.398</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562" w:firstLineChars="200"/>
        <w:rPr>
          <w:rFonts w:hint="eastAsia" w:asciiTheme="minorEastAsia" w:hAnsiTheme="minorEastAsia" w:eastAsiaTheme="minorEastAsia" w:cstheme="minorEastAsia"/>
          <w:b/>
          <w:bCs w:val="0"/>
          <w:color w:val="auto"/>
          <w:kern w:val="0"/>
          <w:sz w:val="28"/>
          <w:szCs w:val="28"/>
          <w:lang w:val="en-US" w:eastAsia="zh-CN" w:bidi="ar-SA"/>
        </w:rPr>
      </w:pPr>
      <w:r>
        <w:rPr>
          <w:rFonts w:hint="eastAsia" w:asciiTheme="minorEastAsia" w:hAnsiTheme="minorEastAsia" w:eastAsiaTheme="minorEastAsia" w:cstheme="minorEastAsia"/>
          <w:b/>
          <w:bCs w:val="0"/>
          <w:color w:val="auto"/>
          <w:kern w:val="0"/>
          <w:sz w:val="28"/>
          <w:szCs w:val="28"/>
          <w:lang w:val="en-US" w:eastAsia="zh-CN" w:bidi="ar-SA"/>
        </w:rPr>
        <w:t>（一）采购背景与目的</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zh-CN" w:eastAsia="zh-CN" w:bidi="ar-SA"/>
        </w:rPr>
      </w:pPr>
      <w:r>
        <w:rPr>
          <w:rFonts w:hint="eastAsia" w:asciiTheme="minorEastAsia" w:hAnsiTheme="minorEastAsia" w:eastAsiaTheme="minorEastAsia" w:cstheme="minorEastAsia"/>
          <w:bCs/>
          <w:color w:val="auto"/>
          <w:kern w:val="0"/>
          <w:sz w:val="28"/>
          <w:szCs w:val="28"/>
          <w:lang w:val="zh-CN" w:eastAsia="zh-CN" w:bidi="ar-SA"/>
        </w:rPr>
        <w:t>医院感染预防控制的最终目的是：降低医院感染发病率及减少引起医院感染的危险因素，做到前期可以干预，达到预防的效果，将会对医院的感染控制管理起到很大的促进作用。目前国内的医院感染管理和控制理念也已经从探索反应、反击、规则和指南阶段，逐步发展到了实时监测，再到主动干预的阶段。目前我国很多医院已基本停止全面综合性检测，开展了重点科室和部门的目标检测和过程干预，如开展手卫生、感控培训以及手术切口感染和导管相关的血流感染等项目进行主动干预，做好员工教育、培训考核，同时满足医院感染管理科与临床科室便利沟通、加强督查环节，把关键的时间和精力做在感染发生前。这些必须借助一些互联网平台，同时国家出台了相关的政策、地方政策、规范鼓励进行信息化建设管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zh-CN" w:eastAsia="zh-CN" w:bidi="ar-SA"/>
        </w:rPr>
        <w:t>（</w:t>
      </w:r>
      <w:r>
        <w:rPr>
          <w:rFonts w:hint="eastAsia" w:asciiTheme="minorEastAsia" w:hAnsiTheme="minorEastAsia" w:eastAsiaTheme="minorEastAsia" w:cstheme="minorEastAsia"/>
          <w:bCs/>
          <w:color w:val="auto"/>
          <w:kern w:val="0"/>
          <w:sz w:val="28"/>
          <w:szCs w:val="28"/>
          <w:lang w:val="en-US" w:eastAsia="zh-CN" w:bidi="ar-SA"/>
        </w:rPr>
        <w:t>二</w:t>
      </w:r>
      <w:r>
        <w:rPr>
          <w:rFonts w:hint="eastAsia" w:asciiTheme="minorEastAsia" w:hAnsiTheme="minorEastAsia" w:eastAsiaTheme="minorEastAsia" w:cstheme="minorEastAsia"/>
          <w:bCs/>
          <w:color w:val="auto"/>
          <w:kern w:val="0"/>
          <w:sz w:val="28"/>
          <w:szCs w:val="28"/>
          <w:lang w:val="zh-CN" w:eastAsia="zh-CN" w:bidi="ar-SA"/>
        </w:rPr>
        <w:t>）</w:t>
      </w:r>
      <w:r>
        <w:rPr>
          <w:rFonts w:hint="eastAsia" w:asciiTheme="minorEastAsia" w:hAnsiTheme="minorEastAsia" w:eastAsiaTheme="minorEastAsia" w:cstheme="minorEastAsia"/>
          <w:bCs/>
          <w:color w:val="auto"/>
          <w:kern w:val="0"/>
          <w:sz w:val="28"/>
          <w:szCs w:val="28"/>
          <w:lang w:val="en-US" w:eastAsia="zh-CN" w:bidi="ar-SA"/>
        </w:rPr>
        <w:t>采购产品信息</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产品名称</w:t>
      </w:r>
      <w:r>
        <w:rPr>
          <w:rFonts w:hint="eastAsia" w:asciiTheme="minorEastAsia" w:hAnsiTheme="minorEastAsia" w:eastAsiaTheme="minorEastAsia" w:cstheme="minorEastAsia"/>
          <w:bCs/>
          <w:color w:val="auto"/>
          <w:kern w:val="0"/>
          <w:sz w:val="28"/>
          <w:szCs w:val="28"/>
          <w:lang w:val="zh-CN" w:eastAsia="zh-CN" w:bidi="ar-SA"/>
        </w:rPr>
        <w:t>：感控工作间</w:t>
      </w:r>
    </w:p>
    <w:p>
      <w:pPr>
        <w:spacing w:line="360" w:lineRule="auto"/>
        <w:ind w:firstLine="560" w:firstLineChars="200"/>
      </w:pPr>
      <w:r>
        <w:rPr>
          <w:rFonts w:hint="eastAsia" w:asciiTheme="minorEastAsia" w:hAnsiTheme="minorEastAsia" w:eastAsiaTheme="minorEastAsia" w:cstheme="minorEastAsia"/>
          <w:bCs/>
          <w:color w:val="auto"/>
          <w:kern w:val="0"/>
          <w:sz w:val="28"/>
          <w:szCs w:val="28"/>
          <w:lang w:val="en-US" w:eastAsia="zh-CN" w:bidi="ar-SA"/>
        </w:rPr>
        <w:t>功能需求：</w:t>
      </w:r>
    </w:p>
    <w:tbl>
      <w:tblPr>
        <w:tblStyle w:val="12"/>
        <w:tblpPr w:leftFromText="180" w:rightFromText="180" w:vertAnchor="text" w:horzAnchor="page" w:tblpX="1497" w:tblpY="356"/>
        <w:tblOverlap w:val="never"/>
        <w:tblW w:w="9563" w:type="dxa"/>
        <w:tblInd w:w="0" w:type="dxa"/>
        <w:tblLayout w:type="autofit"/>
        <w:tblCellMar>
          <w:top w:w="0" w:type="dxa"/>
          <w:left w:w="0" w:type="dxa"/>
          <w:bottom w:w="0" w:type="dxa"/>
          <w:right w:w="0" w:type="dxa"/>
        </w:tblCellMar>
      </w:tblPr>
      <w:tblGrid>
        <w:gridCol w:w="1827"/>
        <w:gridCol w:w="1684"/>
        <w:gridCol w:w="6052"/>
      </w:tblGrid>
      <w:tr>
        <w:tblPrEx>
          <w:tblCellMar>
            <w:top w:w="0" w:type="dxa"/>
            <w:left w:w="0" w:type="dxa"/>
            <w:bottom w:w="0" w:type="dxa"/>
            <w:right w:w="0" w:type="dxa"/>
          </w:tblCellMar>
        </w:tblPrEx>
        <w:trPr>
          <w:trHeight w:val="516" w:hRule="atLeast"/>
        </w:trPr>
        <w:tc>
          <w:tcPr>
            <w:tcW w:w="1827"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0" w:type="dxa"/>
              <w:left w:w="10" w:type="dxa"/>
              <w:right w:w="10" w:type="dxa"/>
            </w:tcMar>
            <w:vAlign w:val="center"/>
          </w:tcPr>
          <w:p>
            <w:pPr>
              <w:widowControl/>
              <w:jc w:val="center"/>
              <w:textAlignment w:val="center"/>
              <w:rPr>
                <w:rFonts w:hint="eastAsia" w:ascii="仿宋_GB2312" w:hAnsi="仿宋_GB2312" w:eastAsia="仿宋_GB2312" w:cs="仿宋_GB2312"/>
                <w:b/>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color w:val="000000" w:themeColor="text1"/>
                <w:kern w:val="0"/>
                <w:sz w:val="24"/>
                <w:szCs w:val="24"/>
                <w:lang w:val="en-US" w:eastAsia="zh-CN" w:bidi="ar"/>
                <w14:textFill>
                  <w14:solidFill>
                    <w14:schemeClr w14:val="tx1"/>
                  </w14:solidFill>
                </w14:textFill>
              </w:rPr>
              <w:t>服务内容</w:t>
            </w:r>
          </w:p>
        </w:tc>
        <w:tc>
          <w:tcPr>
            <w:tcW w:w="1684"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0" w:type="dxa"/>
              <w:left w:w="10" w:type="dxa"/>
              <w:right w:w="10" w:type="dxa"/>
            </w:tcMar>
            <w:vAlign w:val="center"/>
          </w:tcPr>
          <w:p>
            <w:pPr>
              <w:widowControl/>
              <w:jc w:val="center"/>
              <w:textAlignment w:val="center"/>
              <w:rPr>
                <w:rFonts w:hint="eastAsia" w:ascii="仿宋_GB2312" w:hAnsi="仿宋_GB2312" w:eastAsia="仿宋_GB2312" w:cs="仿宋_GB2312"/>
                <w:b/>
                <w:color w:val="000000" w:themeColor="text1"/>
                <w:sz w:val="24"/>
                <w:szCs w:val="24"/>
                <w14:textFill>
                  <w14:solidFill>
                    <w14:schemeClr w14:val="tx1"/>
                  </w14:solidFill>
                </w14:textFill>
              </w:rPr>
            </w:pPr>
            <w:r>
              <w:rPr>
                <w:rFonts w:hint="eastAsia" w:ascii="仿宋_GB2312" w:hAnsi="仿宋_GB2312" w:eastAsia="仿宋_GB2312" w:cs="仿宋_GB2312"/>
                <w:b/>
                <w:color w:val="000000" w:themeColor="text1"/>
                <w:kern w:val="0"/>
                <w:sz w:val="24"/>
                <w:szCs w:val="24"/>
                <w:lang w:bidi="ar"/>
                <w14:textFill>
                  <w14:solidFill>
                    <w14:schemeClr w14:val="tx1"/>
                  </w14:solidFill>
                </w14:textFill>
              </w:rPr>
              <w:t>功能说明</w:t>
            </w:r>
          </w:p>
        </w:tc>
        <w:tc>
          <w:tcPr>
            <w:tcW w:w="6052"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10" w:type="dxa"/>
              <w:left w:w="10" w:type="dxa"/>
              <w:right w:w="10" w:type="dxa"/>
            </w:tcMar>
            <w:vAlign w:val="center"/>
          </w:tcPr>
          <w:p>
            <w:pPr>
              <w:widowControl/>
              <w:jc w:val="center"/>
              <w:textAlignment w:val="center"/>
              <w:rPr>
                <w:rFonts w:hint="eastAsia" w:ascii="仿宋_GB2312" w:hAnsi="仿宋_GB2312" w:eastAsia="仿宋_GB2312" w:cs="仿宋_GB2312"/>
                <w:b/>
                <w:color w:val="000000" w:themeColor="text1"/>
                <w:sz w:val="24"/>
                <w:szCs w:val="24"/>
                <w14:textFill>
                  <w14:solidFill>
                    <w14:schemeClr w14:val="tx1"/>
                  </w14:solidFill>
                </w14:textFill>
              </w:rPr>
            </w:pPr>
            <w:r>
              <w:rPr>
                <w:rFonts w:hint="eastAsia" w:ascii="仿宋_GB2312" w:hAnsi="仿宋_GB2312" w:eastAsia="仿宋_GB2312" w:cs="仿宋_GB2312"/>
                <w:b/>
                <w:color w:val="000000" w:themeColor="text1"/>
                <w:kern w:val="0"/>
                <w:sz w:val="24"/>
                <w:szCs w:val="24"/>
                <w:lang w:bidi="ar"/>
                <w14:textFill>
                  <w14:solidFill>
                    <w14:schemeClr w14:val="tx1"/>
                  </w14:solidFill>
                </w14:textFill>
              </w:rPr>
              <w:t>详单</w:t>
            </w:r>
          </w:p>
        </w:tc>
      </w:tr>
      <w:tr>
        <w:tblPrEx>
          <w:tblCellMar>
            <w:top w:w="0" w:type="dxa"/>
            <w:left w:w="0" w:type="dxa"/>
            <w:bottom w:w="0" w:type="dxa"/>
            <w:right w:w="0" w:type="dxa"/>
          </w:tblCellMar>
        </w:tblPrEx>
        <w:trPr>
          <w:trHeight w:val="435" w:hRule="atLeast"/>
        </w:trPr>
        <w:tc>
          <w:tcPr>
            <w:tcW w:w="18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b/>
                <w:color w:val="000000" w:themeColor="text1"/>
                <w:sz w:val="24"/>
                <w:szCs w:val="24"/>
                <w14:textFill>
                  <w14:solidFill>
                    <w14:schemeClr w14:val="tx1"/>
                  </w14:solidFill>
                </w14:textFill>
              </w:rPr>
            </w:pPr>
            <w:r>
              <w:rPr>
                <w:rFonts w:hint="eastAsia" w:ascii="仿宋_GB2312" w:hAnsi="仿宋_GB2312" w:eastAsia="仿宋_GB2312" w:cs="仿宋_GB2312"/>
                <w:b/>
                <w:color w:val="000000" w:themeColor="text1"/>
                <w:kern w:val="0"/>
                <w:sz w:val="24"/>
                <w:szCs w:val="24"/>
                <w:lang w:bidi="ar"/>
                <w14:textFill>
                  <w14:solidFill>
                    <w14:schemeClr w14:val="tx1"/>
                  </w14:solidFill>
                </w14:textFill>
              </w:rPr>
              <w:t>1.医院感染管理组织在线</w:t>
            </w:r>
            <w:r>
              <w:rPr>
                <w:rStyle w:val="19"/>
                <w:rFonts w:hint="eastAsia" w:ascii="仿宋_GB2312" w:hAnsi="仿宋_GB2312" w:eastAsia="仿宋_GB2312" w:cs="仿宋_GB2312"/>
                <w:color w:val="000000" w:themeColor="text1"/>
                <w:sz w:val="24"/>
                <w:szCs w:val="24"/>
                <w:lang w:bidi="ar"/>
                <w14:textFill>
                  <w14:solidFill>
                    <w14:schemeClr w14:val="tx1"/>
                  </w14:solidFill>
                </w14:textFill>
              </w:rPr>
              <w:t>（正常使用准备）</w:t>
            </w:r>
          </w:p>
        </w:tc>
        <w:tc>
          <w:tcPr>
            <w:tcW w:w="1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人员、管理组织和权限管理</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单元管理（新增、修改、禁用/启用、删除）</w:t>
            </w:r>
          </w:p>
        </w:tc>
      </w:tr>
      <w:tr>
        <w:tblPrEx>
          <w:tblCellMar>
            <w:top w:w="0" w:type="dxa"/>
            <w:left w:w="0" w:type="dxa"/>
            <w:bottom w:w="0" w:type="dxa"/>
            <w:right w:w="0" w:type="dxa"/>
          </w:tblCellMar>
        </w:tblPrEx>
        <w:trPr>
          <w:trHeight w:val="43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color w:val="000000" w:themeColor="text1"/>
                <w:sz w:val="24"/>
                <w:szCs w:val="24"/>
                <w14:textFill>
                  <w14:solidFill>
                    <w14:schemeClr w14:val="tx1"/>
                  </w14:solidFill>
                </w14:textFill>
              </w:rPr>
            </w:pP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院区管理（新增、修改、禁用/启用、删除)</w:t>
            </w:r>
          </w:p>
        </w:tc>
      </w:tr>
      <w:tr>
        <w:tblPrEx>
          <w:tblCellMar>
            <w:top w:w="0" w:type="dxa"/>
            <w:left w:w="0" w:type="dxa"/>
            <w:bottom w:w="0" w:type="dxa"/>
            <w:right w:w="0" w:type="dxa"/>
          </w:tblCellMar>
        </w:tblPrEx>
        <w:trPr>
          <w:trHeight w:val="43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color w:val="000000" w:themeColor="text1"/>
                <w:sz w:val="24"/>
                <w:szCs w:val="24"/>
                <w14:textFill>
                  <w14:solidFill>
                    <w14:schemeClr w14:val="tx1"/>
                  </w14:solidFill>
                </w14:textFill>
              </w:rPr>
            </w:pP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员工管理（新增、修改、注销、审核）</w:t>
            </w:r>
          </w:p>
        </w:tc>
      </w:tr>
      <w:tr>
        <w:tblPrEx>
          <w:tblCellMar>
            <w:top w:w="0" w:type="dxa"/>
            <w:left w:w="0" w:type="dxa"/>
            <w:bottom w:w="0" w:type="dxa"/>
            <w:right w:w="0" w:type="dxa"/>
          </w:tblCellMar>
        </w:tblPrEx>
        <w:trPr>
          <w:trHeight w:val="43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color w:val="000000" w:themeColor="text1"/>
                <w:sz w:val="24"/>
                <w:szCs w:val="24"/>
                <w14:textFill>
                  <w14:solidFill>
                    <w14:schemeClr w14:val="tx1"/>
                  </w14:solidFill>
                </w14:textFill>
              </w:rPr>
            </w:pP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管理员权限设置</w:t>
            </w:r>
          </w:p>
        </w:tc>
      </w:tr>
      <w:tr>
        <w:tblPrEx>
          <w:tblCellMar>
            <w:top w:w="0" w:type="dxa"/>
            <w:left w:w="0" w:type="dxa"/>
            <w:bottom w:w="0" w:type="dxa"/>
            <w:right w:w="0" w:type="dxa"/>
          </w:tblCellMar>
        </w:tblPrEx>
        <w:trPr>
          <w:trHeight w:val="435" w:hRule="atLeast"/>
        </w:trPr>
        <w:tc>
          <w:tcPr>
            <w:tcW w:w="18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482" w:firstLineChars="200"/>
              <w:rPr>
                <w:rFonts w:hint="eastAsia" w:ascii="仿宋_GB2312" w:hAnsi="仿宋_GB2312" w:eastAsia="仿宋_GB2312" w:cs="仿宋_GB2312"/>
                <w:sz w:val="24"/>
                <w:szCs w:val="24"/>
              </w:rPr>
            </w:pPr>
            <w:r>
              <w:rPr>
                <w:rFonts w:hint="eastAsia" w:ascii="仿宋_GB2312" w:hAnsi="仿宋_GB2312" w:eastAsia="仿宋_GB2312" w:cs="仿宋_GB2312"/>
                <w:b/>
                <w:color w:val="000000" w:themeColor="text1"/>
                <w:kern w:val="0"/>
                <w:sz w:val="24"/>
                <w:szCs w:val="24"/>
                <w:lang w:val="en-US" w:eastAsia="zh-CN" w:bidi="ar"/>
                <w14:textFill>
                  <w14:solidFill>
                    <w14:schemeClr w14:val="tx1"/>
                  </w14:solidFill>
                </w14:textFill>
              </w:rPr>
              <w:t>2.</w:t>
            </w:r>
            <w:r>
              <w:rPr>
                <w:rFonts w:hint="eastAsia" w:ascii="仿宋_GB2312" w:hAnsi="仿宋_GB2312" w:eastAsia="仿宋_GB2312" w:cs="仿宋_GB2312"/>
                <w:b/>
                <w:color w:val="000000" w:themeColor="text1"/>
                <w:kern w:val="0"/>
                <w:sz w:val="24"/>
                <w:szCs w:val="24"/>
                <w:lang w:bidi="ar"/>
                <w14:textFill>
                  <w14:solidFill>
                    <w14:schemeClr w14:val="tx1"/>
                  </w14:solidFill>
                </w14:textFill>
              </w:rPr>
              <w:t>工作资料/内容在线</w:t>
            </w:r>
          </w:p>
          <w:p>
            <w:pPr>
              <w:widowControl/>
              <w:numPr>
                <w:ilvl w:val="0"/>
                <w:numId w:val="0"/>
              </w:numPr>
              <w:ind w:firstLine="480" w:firstLineChars="200"/>
              <w:jc w:val="left"/>
              <w:textAlignment w:val="center"/>
              <w:rPr>
                <w:rFonts w:hint="eastAsia" w:ascii="仿宋_GB2312" w:hAnsi="仿宋_GB2312" w:eastAsia="仿宋_GB2312" w:cs="仿宋_GB2312"/>
                <w:b/>
                <w:color w:val="000000" w:themeColor="text1"/>
                <w:sz w:val="24"/>
                <w:szCs w:val="24"/>
                <w14:textFill>
                  <w14:solidFill>
                    <w14:schemeClr w14:val="tx1"/>
                  </w14:solidFill>
                </w14:textFill>
              </w:rPr>
            </w:pPr>
            <w:r>
              <w:rPr>
                <w:rStyle w:val="19"/>
                <w:rFonts w:hint="eastAsia" w:ascii="仿宋_GB2312" w:hAnsi="仿宋_GB2312" w:eastAsia="仿宋_GB2312" w:cs="仿宋_GB2312"/>
                <w:color w:val="000000" w:themeColor="text1"/>
                <w:sz w:val="24"/>
                <w:szCs w:val="24"/>
                <w:lang w:bidi="ar"/>
                <w14:textFill>
                  <w14:solidFill>
                    <w14:schemeClr w14:val="tx1"/>
                  </w14:solidFill>
                </w14:textFill>
              </w:rPr>
              <w:t>（小蜘蛛：适用于查找感控相关指南、文献等内容库及学习与交流的平台）</w:t>
            </w:r>
          </w:p>
        </w:tc>
        <w:tc>
          <w:tcPr>
            <w:tcW w:w="168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资料库和知识社区</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每周持续</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更新</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的指南标准库</w:t>
            </w:r>
          </w:p>
        </w:tc>
      </w:tr>
      <w:tr>
        <w:tblPrEx>
          <w:tblCellMar>
            <w:top w:w="0" w:type="dxa"/>
            <w:left w:w="0" w:type="dxa"/>
            <w:bottom w:w="0" w:type="dxa"/>
            <w:right w:w="0" w:type="dxa"/>
          </w:tblCellMar>
        </w:tblPrEx>
        <w:trPr>
          <w:trHeight w:val="43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color w:val="000000" w:themeColor="text1"/>
                <w:sz w:val="24"/>
                <w:szCs w:val="24"/>
                <w14:textFill>
                  <w14:solidFill>
                    <w14:schemeClr w14:val="tx1"/>
                  </w14:solidFill>
                </w14:textFill>
              </w:rPr>
            </w:pP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不定期持续更新的公开课</w:t>
            </w:r>
          </w:p>
        </w:tc>
      </w:tr>
      <w:tr>
        <w:tblPrEx>
          <w:tblCellMar>
            <w:top w:w="0" w:type="dxa"/>
            <w:left w:w="0" w:type="dxa"/>
            <w:bottom w:w="0" w:type="dxa"/>
            <w:right w:w="0" w:type="dxa"/>
          </w:tblCellMar>
        </w:tblPrEx>
        <w:trPr>
          <w:trHeight w:val="43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color w:val="000000" w:themeColor="text1"/>
                <w:sz w:val="24"/>
                <w:szCs w:val="24"/>
                <w14:textFill>
                  <w14:solidFill>
                    <w14:schemeClr w14:val="tx1"/>
                  </w14:solidFill>
                </w14:textFill>
              </w:rPr>
            </w:pP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定期更新的国内外文献库</w:t>
            </w:r>
          </w:p>
        </w:tc>
      </w:tr>
      <w:tr>
        <w:tblPrEx>
          <w:tblCellMar>
            <w:top w:w="0" w:type="dxa"/>
            <w:left w:w="0" w:type="dxa"/>
            <w:bottom w:w="0" w:type="dxa"/>
            <w:right w:w="0" w:type="dxa"/>
          </w:tblCellMar>
        </w:tblPrEx>
        <w:trPr>
          <w:trHeight w:val="43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color w:val="000000" w:themeColor="text1"/>
                <w:sz w:val="24"/>
                <w:szCs w:val="24"/>
                <w14:textFill>
                  <w14:solidFill>
                    <w14:schemeClr w14:val="tx1"/>
                  </w14:solidFill>
                </w14:textFill>
              </w:rPr>
            </w:pP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各类专业问答互动搜索区</w:t>
            </w:r>
          </w:p>
        </w:tc>
      </w:tr>
      <w:tr>
        <w:tblPrEx>
          <w:tblCellMar>
            <w:top w:w="0" w:type="dxa"/>
            <w:left w:w="0" w:type="dxa"/>
            <w:bottom w:w="0" w:type="dxa"/>
            <w:right w:w="0" w:type="dxa"/>
          </w:tblCellMar>
        </w:tblPrEx>
        <w:trPr>
          <w:trHeight w:val="43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color w:val="000000" w:themeColor="text1"/>
                <w:sz w:val="24"/>
                <w:szCs w:val="24"/>
                <w14:textFill>
                  <w14:solidFill>
                    <w14:schemeClr w14:val="tx1"/>
                  </w14:solidFill>
                </w14:textFill>
              </w:rPr>
            </w:pP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使用用户经验分享区</w:t>
            </w:r>
          </w:p>
        </w:tc>
      </w:tr>
      <w:tr>
        <w:tblPrEx>
          <w:tblCellMar>
            <w:top w:w="0" w:type="dxa"/>
            <w:left w:w="0" w:type="dxa"/>
            <w:bottom w:w="0" w:type="dxa"/>
            <w:right w:w="0" w:type="dxa"/>
          </w:tblCellMar>
        </w:tblPrEx>
        <w:trPr>
          <w:trHeight w:val="871" w:hRule="atLeast"/>
        </w:trPr>
        <w:tc>
          <w:tcPr>
            <w:tcW w:w="18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b/>
                <w:color w:val="000000" w:themeColor="text1"/>
                <w:sz w:val="24"/>
                <w:szCs w:val="24"/>
                <w14:textFill>
                  <w14:solidFill>
                    <w14:schemeClr w14:val="tx1"/>
                  </w14:solidFill>
                </w14:textFill>
              </w:rPr>
            </w:pPr>
            <w:r>
              <w:rPr>
                <w:rFonts w:hint="eastAsia" w:ascii="仿宋_GB2312" w:hAnsi="仿宋_GB2312" w:eastAsia="仿宋_GB2312" w:cs="仿宋_GB2312"/>
                <w:b/>
                <w:color w:val="000000" w:themeColor="text1"/>
                <w:kern w:val="0"/>
                <w:sz w:val="24"/>
                <w:szCs w:val="24"/>
                <w:lang w:bidi="ar"/>
                <w14:textFill>
                  <w14:solidFill>
                    <w14:schemeClr w14:val="tx1"/>
                  </w14:solidFill>
                </w14:textFill>
              </w:rPr>
              <w:t>3.全员知识培训与测评（考试）在线</w:t>
            </w:r>
            <w:r>
              <w:rPr>
                <w:rStyle w:val="19"/>
                <w:rFonts w:hint="eastAsia" w:ascii="仿宋_GB2312" w:hAnsi="仿宋_GB2312" w:eastAsia="仿宋_GB2312" w:cs="仿宋_GB2312"/>
                <w:color w:val="000000" w:themeColor="text1"/>
                <w:sz w:val="24"/>
                <w:szCs w:val="24"/>
                <w:lang w:bidi="ar"/>
                <w14:textFill>
                  <w14:solidFill>
                    <w14:schemeClr w14:val="tx1"/>
                  </w14:solidFill>
                </w14:textFill>
              </w:rPr>
              <w:t>（培训易，适合各级医务人员学习、培训、测评、考试。</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支持预设学习考试任务</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支持预设学习、考试任务，自定义设置阅读时长、习题正确率、习题完成率</w:t>
            </w:r>
          </w:p>
        </w:tc>
      </w:tr>
      <w:tr>
        <w:tblPrEx>
          <w:tblCellMar>
            <w:top w:w="0" w:type="dxa"/>
            <w:left w:w="0" w:type="dxa"/>
            <w:bottom w:w="0" w:type="dxa"/>
            <w:right w:w="0" w:type="dxa"/>
          </w:tblCellMar>
        </w:tblPrEx>
        <w:trPr>
          <w:trHeight w:val="717"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参与形式不受限</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适用电脑或手机在线操作，各级各岗位医务人员二维码扫码参与（无需下载APP）</w:t>
            </w:r>
          </w:p>
        </w:tc>
      </w:tr>
      <w:tr>
        <w:tblPrEx>
          <w:tblCellMar>
            <w:top w:w="0" w:type="dxa"/>
            <w:left w:w="0" w:type="dxa"/>
            <w:bottom w:w="0" w:type="dxa"/>
            <w:right w:w="0" w:type="dxa"/>
          </w:tblCellMar>
        </w:tblPrEx>
        <w:trPr>
          <w:trHeight w:val="83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平台</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内容</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共享</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平台内3000道感染防控基础试题，1600多个课件与教学视频，可调用和添加在学习考试任务</w:t>
            </w:r>
          </w:p>
        </w:tc>
      </w:tr>
      <w:tr>
        <w:tblPrEx>
          <w:tblCellMar>
            <w:top w:w="0" w:type="dxa"/>
            <w:left w:w="0" w:type="dxa"/>
            <w:bottom w:w="0" w:type="dxa"/>
            <w:right w:w="0" w:type="dxa"/>
          </w:tblCellMar>
        </w:tblPrEx>
        <w:trPr>
          <w:trHeight w:val="1264"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建设院内</w:t>
            </w: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内容</w:t>
            </w:r>
            <w:r>
              <w:rPr>
                <w:rFonts w:hint="eastAsia" w:ascii="仿宋_GB2312" w:hAnsi="仿宋_GB2312" w:eastAsia="仿宋_GB2312" w:cs="仿宋_GB2312"/>
                <w:color w:val="000000" w:themeColor="text1"/>
                <w:kern w:val="0"/>
                <w:sz w:val="24"/>
                <w:szCs w:val="24"/>
                <w:lang w:bidi="ar"/>
                <w14:textFill>
                  <w14:solidFill>
                    <w14:schemeClr w14:val="tx1"/>
                  </w14:solidFill>
                </w14:textFill>
              </w:rPr>
              <w:t>库</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支持自定义上传指南标准、制度、流程、预案的文件、培训课件、教学视频等（指定格式视频+图像+PDF文件)</w:t>
            </w:r>
          </w:p>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支持自定义上传试题、试卷，也支持使用平台题库随机出卷</w:t>
            </w:r>
          </w:p>
        </w:tc>
      </w:tr>
      <w:tr>
        <w:tblPrEx>
          <w:tblCellMar>
            <w:top w:w="0" w:type="dxa"/>
            <w:left w:w="0" w:type="dxa"/>
            <w:bottom w:w="0" w:type="dxa"/>
            <w:right w:w="0" w:type="dxa"/>
          </w:tblCellMar>
        </w:tblPrEx>
        <w:trPr>
          <w:trHeight w:val="43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消息提醒</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学习考试任务消息提醒与推送功能</w:t>
            </w:r>
          </w:p>
        </w:tc>
      </w:tr>
      <w:tr>
        <w:tblPrEx>
          <w:tblCellMar>
            <w:top w:w="0" w:type="dxa"/>
            <w:left w:w="0" w:type="dxa"/>
            <w:bottom w:w="0" w:type="dxa"/>
            <w:right w:w="0" w:type="dxa"/>
          </w:tblCellMar>
        </w:tblPrEx>
        <w:trPr>
          <w:trHeight w:val="43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考卷存档</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试卷存档、考生考卷一键存档</w:t>
            </w:r>
          </w:p>
        </w:tc>
      </w:tr>
      <w:tr>
        <w:tblPrEx>
          <w:tblCellMar>
            <w:top w:w="0" w:type="dxa"/>
            <w:left w:w="0" w:type="dxa"/>
            <w:bottom w:w="0" w:type="dxa"/>
            <w:right w:w="0" w:type="dxa"/>
          </w:tblCellMar>
        </w:tblPrEx>
        <w:trPr>
          <w:trHeight w:val="102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学习统计报表</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学习统计分析报表（学习概况、已完成名单/未完成名单、课时学习统计、高级统计</w:t>
            </w:r>
          </w:p>
        </w:tc>
      </w:tr>
      <w:tr>
        <w:tblPrEx>
          <w:tblCellMar>
            <w:top w:w="0" w:type="dxa"/>
            <w:left w:w="0" w:type="dxa"/>
            <w:bottom w:w="0" w:type="dxa"/>
            <w:right w:w="0" w:type="dxa"/>
          </w:tblCellMar>
        </w:tblPrEx>
        <w:trPr>
          <w:trHeight w:val="953"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测评/考试统计报表</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参考情况、成绩概况、错题集及错题分析、成绩单/未考名单、高级统计</w:t>
            </w:r>
          </w:p>
        </w:tc>
      </w:tr>
      <w:tr>
        <w:tblPrEx>
          <w:tblCellMar>
            <w:top w:w="0" w:type="dxa"/>
            <w:left w:w="0" w:type="dxa"/>
            <w:bottom w:w="0" w:type="dxa"/>
            <w:right w:w="0" w:type="dxa"/>
          </w:tblCellMar>
        </w:tblPrEx>
        <w:trPr>
          <w:trHeight w:val="978" w:hRule="atLeast"/>
        </w:trPr>
        <w:tc>
          <w:tcPr>
            <w:tcW w:w="18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b/>
                <w:color w:val="000000" w:themeColor="text1"/>
                <w:sz w:val="24"/>
                <w:szCs w:val="24"/>
                <w14:textFill>
                  <w14:solidFill>
                    <w14:schemeClr w14:val="tx1"/>
                  </w14:solidFill>
                </w14:textFill>
              </w:rPr>
            </w:pPr>
            <w:r>
              <w:rPr>
                <w:rFonts w:hint="eastAsia" w:ascii="仿宋_GB2312" w:hAnsi="仿宋_GB2312" w:eastAsia="仿宋_GB2312" w:cs="仿宋_GB2312"/>
                <w:b/>
                <w:color w:val="000000" w:themeColor="text1"/>
                <w:kern w:val="0"/>
                <w:sz w:val="24"/>
                <w:szCs w:val="24"/>
                <w:lang w:bidi="ar"/>
                <w14:textFill>
                  <w14:solidFill>
                    <w14:schemeClr w14:val="tx1"/>
                  </w14:solidFill>
                </w14:textFill>
              </w:rPr>
              <w:t>4.督查改进多人协同在线</w:t>
            </w:r>
            <w:r>
              <w:rPr>
                <w:rStyle w:val="19"/>
                <w:rFonts w:hint="eastAsia" w:ascii="仿宋_GB2312" w:hAnsi="仿宋_GB2312" w:eastAsia="仿宋_GB2312" w:cs="仿宋_GB2312"/>
                <w:color w:val="000000" w:themeColor="text1"/>
                <w:sz w:val="24"/>
                <w:szCs w:val="24"/>
                <w:lang w:bidi="ar"/>
                <w14:textFill>
                  <w14:solidFill>
                    <w14:schemeClr w14:val="tx1"/>
                  </w14:solidFill>
                </w14:textFill>
              </w:rPr>
              <w:t>（督改易，适用于SDCA循环和PDCA循环）</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随机督查（PDCA）</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院科两级未启用电子查检表发现任何不规范操作、行为和场景或管理漏洞时从“发现不规范不达标项-分析-改进-评价/总结”全过程在线；</w:t>
            </w:r>
          </w:p>
        </w:tc>
      </w:tr>
      <w:tr>
        <w:tblPrEx>
          <w:tblCellMar>
            <w:top w:w="0" w:type="dxa"/>
            <w:left w:w="0" w:type="dxa"/>
            <w:bottom w:w="0" w:type="dxa"/>
            <w:right w:w="0" w:type="dxa"/>
          </w:tblCellMar>
        </w:tblPrEx>
        <w:trPr>
          <w:trHeight w:val="953"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标准督查（SDCA）</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院科两级制定电子查检表并启用电子查检表发现任何不规范操作、行为和场景或管理漏洞时从“发现不规范不达标项-分析-改进-评价/总结”全过程在线</w:t>
            </w:r>
          </w:p>
        </w:tc>
      </w:tr>
      <w:tr>
        <w:tblPrEx>
          <w:tblCellMar>
            <w:top w:w="0" w:type="dxa"/>
            <w:left w:w="0" w:type="dxa"/>
            <w:bottom w:w="0" w:type="dxa"/>
            <w:right w:w="0" w:type="dxa"/>
          </w:tblCellMar>
        </w:tblPrEx>
        <w:trPr>
          <w:trHeight w:val="43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消息提醒</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协同督导/改进环节消息提醒与推送功能</w:t>
            </w:r>
          </w:p>
        </w:tc>
      </w:tr>
      <w:tr>
        <w:tblPrEx>
          <w:tblCellMar>
            <w:top w:w="0" w:type="dxa"/>
            <w:left w:w="0" w:type="dxa"/>
            <w:bottom w:w="0" w:type="dxa"/>
            <w:right w:w="0" w:type="dxa"/>
          </w:tblCellMar>
        </w:tblPrEx>
        <w:trPr>
          <w:trHeight w:val="435"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改进过程可视化</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不规范不达标项改进列表</w:t>
            </w:r>
          </w:p>
        </w:tc>
      </w:tr>
      <w:tr>
        <w:tblPrEx>
          <w:tblCellMar>
            <w:top w:w="0" w:type="dxa"/>
            <w:left w:w="0" w:type="dxa"/>
            <w:bottom w:w="0" w:type="dxa"/>
            <w:right w:w="0" w:type="dxa"/>
          </w:tblCellMar>
        </w:tblPrEx>
        <w:trPr>
          <w:trHeight w:val="642"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统计报表</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任务详单、问题类别排名分析、科室问题类别构成分析、督导问题类别列表</w:t>
            </w:r>
          </w:p>
        </w:tc>
      </w:tr>
      <w:tr>
        <w:tblPrEx>
          <w:tblCellMar>
            <w:top w:w="0" w:type="dxa"/>
            <w:left w:w="0" w:type="dxa"/>
            <w:bottom w:w="0" w:type="dxa"/>
            <w:right w:w="0" w:type="dxa"/>
          </w:tblCellMar>
        </w:tblPrEx>
        <w:trPr>
          <w:trHeight w:val="516" w:hRule="atLeast"/>
        </w:trPr>
        <w:tc>
          <w:tcPr>
            <w:tcW w:w="18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r>
              <w:rPr>
                <w:rFonts w:hint="eastAsia" w:ascii="仿宋_GB2312" w:hAnsi="仿宋_GB2312" w:eastAsia="仿宋_GB2312" w:cs="仿宋_GB2312"/>
                <w:b/>
                <w:color w:val="000000" w:themeColor="text1"/>
                <w:sz w:val="24"/>
                <w:szCs w:val="24"/>
                <w:lang w:val="en-US" w:eastAsia="zh-CN"/>
                <w14:textFill>
                  <w14:solidFill>
                    <w14:schemeClr w14:val="tx1"/>
                  </w14:solidFill>
                </w14:textFill>
              </w:rPr>
              <w:t>5.移动智能查检在线</w:t>
            </w:r>
            <w:r>
              <w:rPr>
                <w:rFonts w:hint="eastAsia" w:ascii="仿宋_GB2312" w:hAnsi="仿宋_GB2312" w:eastAsia="仿宋_GB2312" w:cs="仿宋_GB2312"/>
                <w:b w:val="0"/>
                <w:bCs/>
                <w:color w:val="000000" w:themeColor="text1"/>
                <w:sz w:val="24"/>
                <w:szCs w:val="24"/>
                <w:lang w:val="en-US" w:eastAsia="zh-CN"/>
                <w14:textFill>
                  <w14:solidFill>
                    <w14:schemeClr w14:val="tx1"/>
                  </w14:solidFill>
                </w14:textFill>
              </w:rPr>
              <w:t>（智查易，适用各专项、专科督查）</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支持10种评价方式</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详见附件二</w:t>
            </w:r>
          </w:p>
        </w:tc>
      </w:tr>
      <w:tr>
        <w:tblPrEx>
          <w:tblCellMar>
            <w:top w:w="0" w:type="dxa"/>
            <w:left w:w="0" w:type="dxa"/>
            <w:bottom w:w="0" w:type="dxa"/>
            <w:right w:w="0" w:type="dxa"/>
          </w:tblCellMar>
        </w:tblPrEx>
        <w:trPr>
          <w:trHeight w:val="753"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专家推荐版移动智能查检表模板供参考使用</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i w:val="0"/>
                <w:iCs w:val="0"/>
                <w:color w:val="000000"/>
                <w:kern w:val="0"/>
                <w:sz w:val="24"/>
                <w:szCs w:val="24"/>
                <w:u w:val="none"/>
                <w:lang w:val="en-US" w:eastAsia="zh-CN" w:bidi="ar"/>
              </w:rPr>
              <w:t>“专家推荐版标准预防与全院通用感染防控电子化查检表”类，“专家推荐专科专项感染防控标准电子化查检表”类，“世界卫生组织（WHO)医疗机构感染防控自我评估框架IPCAF电子化调查表”类。</w:t>
            </w:r>
          </w:p>
        </w:tc>
      </w:tr>
      <w:tr>
        <w:tblPrEx>
          <w:tblCellMar>
            <w:top w:w="0" w:type="dxa"/>
            <w:left w:w="0" w:type="dxa"/>
            <w:bottom w:w="0" w:type="dxa"/>
            <w:right w:w="0" w:type="dxa"/>
          </w:tblCellMar>
        </w:tblPrEx>
        <w:trPr>
          <w:trHeight w:val="657"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自定义表格</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将院内的纸质查检表导入上传，编辑，并选择以上评价方式变为电子化查检表</w:t>
            </w:r>
          </w:p>
        </w:tc>
      </w:tr>
      <w:tr>
        <w:tblPrEx>
          <w:tblCellMar>
            <w:top w:w="0" w:type="dxa"/>
            <w:left w:w="0" w:type="dxa"/>
            <w:bottom w:w="0" w:type="dxa"/>
            <w:right w:w="0" w:type="dxa"/>
          </w:tblCellMar>
        </w:tblPrEx>
        <w:trPr>
          <w:trHeight w:val="642"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手卫生查检统计报表</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督导单元/岗位/个人-时机/指征-依从性/正确率、手卫生执行不规范分析</w:t>
            </w:r>
          </w:p>
        </w:tc>
      </w:tr>
      <w:tr>
        <w:tblPrEx>
          <w:tblCellMar>
            <w:top w:w="0" w:type="dxa"/>
            <w:left w:w="0" w:type="dxa"/>
            <w:bottom w:w="0" w:type="dxa"/>
            <w:right w:w="0" w:type="dxa"/>
          </w:tblCellMar>
        </w:tblPrEx>
        <w:trPr>
          <w:trHeight w:val="954"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多场景防控执行查检统计报表</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完成任务统计/督查得分及排名、督查条目分析等统计分析报表</w:t>
            </w:r>
          </w:p>
        </w:tc>
      </w:tr>
      <w:tr>
        <w:tblPrEx>
          <w:tblCellMar>
            <w:top w:w="0" w:type="dxa"/>
            <w:left w:w="0" w:type="dxa"/>
            <w:bottom w:w="0" w:type="dxa"/>
            <w:right w:w="0" w:type="dxa"/>
          </w:tblCellMar>
        </w:tblPrEx>
        <w:trPr>
          <w:trHeight w:val="657"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特殊患者管理查检统计报表</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完成任务统计/督查得分及排名、督查条目分析等统计分析报表</w:t>
            </w:r>
          </w:p>
        </w:tc>
      </w:tr>
      <w:tr>
        <w:tblPrEx>
          <w:tblCellMar>
            <w:top w:w="0" w:type="dxa"/>
            <w:left w:w="0" w:type="dxa"/>
            <w:bottom w:w="0" w:type="dxa"/>
            <w:right w:w="0" w:type="dxa"/>
          </w:tblCellMar>
        </w:tblPrEx>
        <w:trPr>
          <w:trHeight w:val="90" w:hRule="atLeast"/>
        </w:trPr>
        <w:tc>
          <w:tcPr>
            <w:tcW w:w="18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_GB2312" w:hAnsi="仿宋_GB2312" w:eastAsia="仿宋_GB2312" w:cs="仿宋_GB2312"/>
                <w:b/>
                <w:color w:val="000000" w:themeColor="text1"/>
                <w:sz w:val="24"/>
                <w:szCs w:val="24"/>
                <w14:textFill>
                  <w14:solidFill>
                    <w14:schemeClr w14:val="tx1"/>
                  </w14:solidFill>
                </w14:textFill>
              </w:rPr>
            </w:pPr>
            <w:r>
              <w:rPr>
                <w:rFonts w:hint="eastAsia" w:ascii="仿宋_GB2312" w:hAnsi="仿宋_GB2312" w:eastAsia="仿宋_GB2312" w:cs="仿宋_GB2312"/>
                <w:b/>
                <w:color w:val="000000" w:themeColor="text1"/>
                <w:sz w:val="24"/>
                <w:szCs w:val="24"/>
                <w:lang w:val="en-US" w:eastAsia="zh-CN"/>
                <w14:textFill>
                  <w14:solidFill>
                    <w14:schemeClr w14:val="tx1"/>
                  </w14:solidFill>
                </w14:textFill>
              </w:rPr>
              <w:t>6.用品消耗管理在线</w:t>
            </w:r>
            <w:r>
              <w:rPr>
                <w:rFonts w:hint="eastAsia" w:ascii="仿宋_GB2312" w:hAnsi="仿宋_GB2312" w:eastAsia="仿宋_GB2312" w:cs="仿宋_GB2312"/>
                <w:b w:val="0"/>
                <w:bCs/>
                <w:color w:val="000000" w:themeColor="text1"/>
                <w:sz w:val="24"/>
                <w:szCs w:val="24"/>
                <w:lang w:val="en-US" w:eastAsia="zh-CN"/>
                <w14:textFill>
                  <w14:solidFill>
                    <w14:schemeClr w14:val="tx1"/>
                  </w14:solidFill>
                </w14:textFill>
              </w:rPr>
              <w:t>（用品易，支持消耗品维护、领用及库存数据采集）</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用品使用登记</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消耗品（洗手液、快速手消毒液、消毒湿巾、干手纸等）维护、领用、库存数据采集</w:t>
            </w:r>
          </w:p>
        </w:tc>
      </w:tr>
      <w:tr>
        <w:tblPrEx>
          <w:tblCellMar>
            <w:top w:w="0" w:type="dxa"/>
            <w:left w:w="0" w:type="dxa"/>
            <w:bottom w:w="0" w:type="dxa"/>
            <w:right w:w="0" w:type="dxa"/>
          </w:tblCellMar>
        </w:tblPrEx>
        <w:trPr>
          <w:trHeight w:val="652" w:hRule="atLeast"/>
        </w:trPr>
        <w:tc>
          <w:tcPr>
            <w:tcW w:w="18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_GB2312" w:hAnsi="仿宋_GB2312" w:eastAsia="仿宋_GB2312" w:cs="仿宋_GB2312"/>
                <w:b/>
                <w:color w:val="000000" w:themeColor="text1"/>
                <w:sz w:val="24"/>
                <w:szCs w:val="24"/>
                <w14:textFill>
                  <w14:solidFill>
                    <w14:schemeClr w14:val="tx1"/>
                  </w14:solidFill>
                </w14:textFill>
              </w:rPr>
            </w:pP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统计报表</w:t>
            </w:r>
          </w:p>
        </w:tc>
        <w:tc>
          <w:tcPr>
            <w:tcW w:w="60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消耗量分析/排名/成本统计、总消耗量/人均消耗量/每床日消耗量统计</w:t>
            </w:r>
          </w:p>
        </w:tc>
      </w:tr>
    </w:tbl>
    <w:p>
      <w:pPr>
        <w:pStyle w:val="6"/>
        <w:bidi w:val="0"/>
        <w:rPr>
          <w:rFonts w:hint="eastAsia" w:asciiTheme="minorEastAsia" w:hAnsiTheme="minorEastAsia" w:eastAsiaTheme="minorEastAsia" w:cstheme="minorEastAsia"/>
          <w:b w:val="0"/>
          <w:bCs/>
          <w:color w:val="auto"/>
          <w:kern w:val="0"/>
          <w:sz w:val="28"/>
          <w:szCs w:val="28"/>
          <w:lang w:val="en-US" w:eastAsia="zh-CN" w:bidi="ar-SA"/>
        </w:rPr>
      </w:pPr>
      <w:r>
        <w:rPr>
          <w:rFonts w:hint="eastAsia" w:asciiTheme="minorEastAsia" w:hAnsiTheme="minorEastAsia" w:eastAsiaTheme="minorEastAsia" w:cstheme="minorEastAsia"/>
          <w:b w:val="0"/>
          <w:bCs/>
          <w:color w:val="auto"/>
          <w:kern w:val="0"/>
          <w:sz w:val="28"/>
          <w:szCs w:val="28"/>
          <w:lang w:val="en-US" w:eastAsia="zh-CN" w:bidi="ar-SA"/>
        </w:rPr>
        <w:t>（三）采购要求与标准</w:t>
      </w:r>
    </w:p>
    <w:p>
      <w:pPr>
        <w:pStyle w:val="18"/>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售后服务：安排专属服务人员，提供7*8小时在线技术支持与服务</w:t>
      </w:r>
    </w:p>
    <w:p>
      <w:pPr>
        <w:pStyle w:val="18"/>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质量要求：提供的服务包遵循中华人民共和国卫生部发布中华人民共和国卫生行业标准WS/T312-2023《医院感染监测规范》中所有数据元素与质量控制指标。</w:t>
      </w:r>
    </w:p>
    <w:p>
      <w:pPr>
        <w:pStyle w:val="18"/>
        <w:ind w:firstLine="560" w:firstLineChars="200"/>
        <w:rPr>
          <w:rFonts w:hint="eastAsia" w:asciiTheme="minorEastAsia" w:hAnsiTheme="minorEastAsia" w:eastAsiaTheme="minorEastAsia" w:cstheme="minorEastAsia"/>
          <w:b w:val="0"/>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w:t>
      </w:r>
      <w:r>
        <w:rPr>
          <w:rFonts w:hint="eastAsia" w:asciiTheme="minorEastAsia" w:hAnsiTheme="minorEastAsia" w:eastAsiaTheme="minorEastAsia" w:cstheme="minorEastAsia"/>
          <w:b w:val="0"/>
          <w:bCs/>
          <w:color w:val="auto"/>
          <w:kern w:val="0"/>
          <w:sz w:val="28"/>
          <w:szCs w:val="28"/>
          <w:lang w:val="en-US" w:eastAsia="zh-CN" w:bidi="ar-SA"/>
        </w:rPr>
        <w:t>管理和维护</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zh-CN" w:eastAsia="zh-CN" w:bidi="ar-SA"/>
        </w:rPr>
      </w:pPr>
      <w:r>
        <w:rPr>
          <w:rFonts w:hint="eastAsia" w:asciiTheme="minorEastAsia" w:hAnsiTheme="minorEastAsia" w:eastAsiaTheme="minorEastAsia" w:cstheme="minorEastAsia"/>
          <w:bCs/>
          <w:color w:val="auto"/>
          <w:kern w:val="0"/>
          <w:sz w:val="28"/>
          <w:szCs w:val="28"/>
          <w:lang w:val="zh-CN" w:eastAsia="zh-CN" w:bidi="ar-SA"/>
        </w:rPr>
        <w:t>1、</w:t>
      </w:r>
      <w:r>
        <w:rPr>
          <w:rFonts w:hint="eastAsia" w:asciiTheme="minorEastAsia" w:hAnsiTheme="minorEastAsia" w:eastAsiaTheme="minorEastAsia" w:cstheme="minorEastAsia"/>
          <w:bCs/>
          <w:color w:val="auto"/>
          <w:kern w:val="0"/>
          <w:sz w:val="28"/>
          <w:szCs w:val="28"/>
          <w:lang w:val="en-US" w:eastAsia="zh-CN" w:bidi="ar-SA"/>
        </w:rPr>
        <w:t>培训:</w:t>
      </w:r>
      <w:r>
        <w:rPr>
          <w:rFonts w:hint="eastAsia" w:asciiTheme="minorEastAsia" w:hAnsiTheme="minorEastAsia" w:eastAsiaTheme="minorEastAsia" w:cstheme="minorEastAsia"/>
          <w:bCs/>
          <w:color w:val="auto"/>
          <w:kern w:val="0"/>
          <w:sz w:val="28"/>
          <w:szCs w:val="28"/>
          <w:lang w:val="zh-CN" w:eastAsia="zh-CN" w:bidi="ar-SA"/>
        </w:rPr>
        <w:t>将按照内容要求逐个交付服务，并培训各项服务单元的使用方式，负责远程在线支持。免费提供技术</w:t>
      </w:r>
      <w:r>
        <w:rPr>
          <w:rFonts w:hint="eastAsia" w:asciiTheme="minorEastAsia" w:hAnsiTheme="minorEastAsia" w:eastAsiaTheme="minorEastAsia" w:cstheme="minorEastAsia"/>
          <w:bCs/>
          <w:color w:val="auto"/>
          <w:kern w:val="0"/>
          <w:sz w:val="28"/>
          <w:szCs w:val="28"/>
          <w:lang w:val="en-US" w:eastAsia="zh-CN" w:bidi="ar-SA"/>
        </w:rPr>
        <w:t>远程</w:t>
      </w:r>
      <w:r>
        <w:rPr>
          <w:rFonts w:hint="eastAsia" w:asciiTheme="minorEastAsia" w:hAnsiTheme="minorEastAsia" w:eastAsiaTheme="minorEastAsia" w:cstheme="minorEastAsia"/>
          <w:bCs/>
          <w:color w:val="auto"/>
          <w:kern w:val="0"/>
          <w:sz w:val="28"/>
          <w:szCs w:val="28"/>
          <w:lang w:val="zh-CN" w:eastAsia="zh-CN" w:bidi="ar-SA"/>
        </w:rPr>
        <w:t>培训服务。提供操作管理人员培训。保证医院院感科至少80%人员会使用感控工作间进行操作，保证重点科室中有1位兼职医生或者兼职护士能够正常使用。</w:t>
      </w:r>
      <w:r>
        <w:rPr>
          <w:rFonts w:hint="eastAsia" w:asciiTheme="minorEastAsia" w:hAnsiTheme="minorEastAsia" w:eastAsiaTheme="minorEastAsia" w:cstheme="minorEastAsia"/>
          <w:bCs/>
          <w:color w:val="auto"/>
          <w:kern w:val="0"/>
          <w:sz w:val="28"/>
          <w:szCs w:val="28"/>
          <w:lang w:val="en-US" w:eastAsia="zh-CN" w:bidi="ar-SA"/>
        </w:rPr>
        <w:t>并</w:t>
      </w:r>
      <w:r>
        <w:rPr>
          <w:rFonts w:hint="eastAsia" w:asciiTheme="minorEastAsia" w:hAnsiTheme="minorEastAsia" w:eastAsiaTheme="minorEastAsia" w:cstheme="minorEastAsia"/>
          <w:bCs/>
          <w:color w:val="auto"/>
          <w:kern w:val="0"/>
          <w:sz w:val="28"/>
          <w:szCs w:val="28"/>
          <w:lang w:val="zh-CN" w:eastAsia="zh-CN" w:bidi="ar-SA"/>
        </w:rPr>
        <w:t>提供有关软件的中文使用</w:t>
      </w:r>
      <w:r>
        <w:rPr>
          <w:rFonts w:hint="eastAsia" w:asciiTheme="minorEastAsia" w:hAnsiTheme="minorEastAsia" w:eastAsiaTheme="minorEastAsia" w:cstheme="minorEastAsia"/>
          <w:bCs/>
          <w:color w:val="auto"/>
          <w:kern w:val="0"/>
          <w:sz w:val="28"/>
          <w:szCs w:val="28"/>
          <w:lang w:val="en-US" w:eastAsia="zh-CN" w:bidi="ar-SA"/>
        </w:rPr>
        <w:t>操作</w:t>
      </w:r>
      <w:r>
        <w:rPr>
          <w:rFonts w:hint="eastAsia" w:asciiTheme="minorEastAsia" w:hAnsiTheme="minorEastAsia" w:eastAsiaTheme="minorEastAsia" w:cstheme="minorEastAsia"/>
          <w:bCs/>
          <w:color w:val="auto"/>
          <w:kern w:val="0"/>
          <w:sz w:val="28"/>
          <w:szCs w:val="28"/>
          <w:lang w:val="zh-CN" w:eastAsia="zh-CN" w:bidi="ar-SA"/>
        </w:rPr>
        <w:t>手册。</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zh-CN" w:eastAsia="zh-CN" w:bidi="ar-SA"/>
        </w:rPr>
      </w:pPr>
      <w:r>
        <w:rPr>
          <w:rFonts w:hint="eastAsia" w:asciiTheme="minorEastAsia" w:hAnsiTheme="minorEastAsia" w:eastAsiaTheme="minorEastAsia" w:cstheme="minorEastAsia"/>
          <w:bCs/>
          <w:color w:val="auto"/>
          <w:kern w:val="0"/>
          <w:sz w:val="28"/>
          <w:szCs w:val="28"/>
          <w:lang w:val="en-US" w:eastAsia="zh-CN" w:bidi="ar-SA"/>
        </w:rPr>
        <w:t>验收：</w:t>
      </w:r>
      <w:r>
        <w:rPr>
          <w:rFonts w:hint="eastAsia" w:asciiTheme="minorEastAsia" w:hAnsiTheme="minorEastAsia" w:eastAsiaTheme="minorEastAsia" w:cstheme="minorEastAsia"/>
          <w:bCs/>
          <w:color w:val="auto"/>
          <w:kern w:val="0"/>
          <w:sz w:val="28"/>
          <w:szCs w:val="28"/>
          <w:lang w:val="zh-CN" w:eastAsia="zh-CN" w:bidi="ar-SA"/>
        </w:rPr>
        <w:t>主动提交验收报告，由使用部门和技术部门验收合格后双方签字确认。由使用部门和技术部门验收合格后</w:t>
      </w:r>
      <w:r>
        <w:rPr>
          <w:rFonts w:hint="eastAsia" w:asciiTheme="minorEastAsia" w:hAnsiTheme="minorEastAsia" w:eastAsiaTheme="minorEastAsia" w:cstheme="minorEastAsia"/>
          <w:bCs/>
          <w:color w:val="auto"/>
          <w:kern w:val="0"/>
          <w:sz w:val="28"/>
          <w:szCs w:val="28"/>
          <w:lang w:val="en-US" w:eastAsia="zh-CN" w:bidi="ar-SA"/>
        </w:rPr>
        <w:t>付款。</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zh-CN" w:eastAsia="zh-CN" w:bidi="ar-SA"/>
        </w:rPr>
      </w:pPr>
      <w:r>
        <w:rPr>
          <w:rFonts w:hint="eastAsia" w:asciiTheme="minorEastAsia" w:hAnsiTheme="minorEastAsia" w:eastAsiaTheme="minorEastAsia" w:cstheme="minorEastAsia"/>
          <w:bCs/>
          <w:color w:val="auto"/>
          <w:kern w:val="0"/>
          <w:sz w:val="28"/>
          <w:szCs w:val="28"/>
          <w:lang w:val="zh-CN" w:eastAsia="zh-CN" w:bidi="ar-SA"/>
        </w:rPr>
        <w:t>2、将负责所有数据的存贮与备份、恢复。服务器满后将所有数据打包提交给用户，数据如有丢失，将支付违约金。</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zh-CN" w:eastAsia="zh-CN" w:bidi="ar-SA"/>
        </w:rPr>
      </w:pPr>
      <w:r>
        <w:rPr>
          <w:rFonts w:hint="eastAsia" w:asciiTheme="minorEastAsia" w:hAnsiTheme="minorEastAsia" w:eastAsiaTheme="minorEastAsia" w:cstheme="minorEastAsia"/>
          <w:bCs/>
          <w:color w:val="auto"/>
          <w:kern w:val="0"/>
          <w:sz w:val="28"/>
          <w:szCs w:val="28"/>
          <w:lang w:val="zh-CN" w:eastAsia="zh-CN" w:bidi="ar-SA"/>
        </w:rPr>
        <w:t>3、提供的服务包遵循中华人民共和国卫生部发布中华人民共和国卫生行业标准WS/T312-20</w:t>
      </w:r>
      <w:r>
        <w:rPr>
          <w:rFonts w:hint="eastAsia" w:asciiTheme="minorEastAsia" w:hAnsiTheme="minorEastAsia" w:eastAsiaTheme="minorEastAsia" w:cstheme="minorEastAsia"/>
          <w:bCs/>
          <w:color w:val="auto"/>
          <w:kern w:val="0"/>
          <w:sz w:val="28"/>
          <w:szCs w:val="28"/>
          <w:lang w:val="en-US" w:eastAsia="zh-CN" w:bidi="ar-SA"/>
        </w:rPr>
        <w:t>23</w:t>
      </w:r>
      <w:r>
        <w:rPr>
          <w:rFonts w:hint="eastAsia" w:asciiTheme="minorEastAsia" w:hAnsiTheme="minorEastAsia" w:eastAsiaTheme="minorEastAsia" w:cstheme="minorEastAsia"/>
          <w:bCs/>
          <w:color w:val="auto"/>
          <w:kern w:val="0"/>
          <w:sz w:val="28"/>
          <w:szCs w:val="28"/>
          <w:lang w:val="zh-CN" w:eastAsia="zh-CN" w:bidi="ar-SA"/>
        </w:rPr>
        <w:t>《医院感染监测规范》中所有数据元素与质量控制指标。</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zh-CN" w:eastAsia="zh-CN" w:bidi="ar-SA"/>
        </w:rPr>
      </w:pPr>
      <w:r>
        <w:rPr>
          <w:rFonts w:hint="eastAsia" w:asciiTheme="minorEastAsia" w:hAnsiTheme="minorEastAsia" w:eastAsiaTheme="minorEastAsia" w:cstheme="minorEastAsia"/>
          <w:bCs/>
          <w:color w:val="auto"/>
          <w:kern w:val="0"/>
          <w:sz w:val="28"/>
          <w:szCs w:val="28"/>
          <w:lang w:val="zh-CN" w:eastAsia="zh-CN" w:bidi="ar-SA"/>
        </w:rPr>
        <w:t>4、将免费提供服务期内服务包的技术支持和更新服务，包括全程使用保障、更新和技术维护。</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zh-CN" w:eastAsia="zh-CN" w:bidi="ar-SA"/>
        </w:rPr>
      </w:pPr>
      <w:bookmarkStart w:id="1" w:name="_Toc4360"/>
      <w:r>
        <w:rPr>
          <w:rFonts w:hint="eastAsia" w:asciiTheme="minorEastAsia" w:hAnsiTheme="minorEastAsia" w:eastAsiaTheme="minorEastAsia" w:cstheme="minorEastAsia"/>
          <w:bCs/>
          <w:color w:val="auto"/>
          <w:kern w:val="0"/>
          <w:sz w:val="28"/>
          <w:szCs w:val="28"/>
          <w:lang w:val="zh-CN" w:eastAsia="zh-CN" w:bidi="ar-SA"/>
        </w:rPr>
        <w:t>5、服务包自身故障导致甲方无法正常使用的，</w:t>
      </w:r>
      <w:r>
        <w:rPr>
          <w:rFonts w:hint="eastAsia" w:asciiTheme="minorEastAsia" w:hAnsiTheme="minorEastAsia" w:eastAsiaTheme="minorEastAsia" w:cstheme="minorEastAsia"/>
          <w:bCs/>
          <w:color w:val="auto"/>
          <w:kern w:val="0"/>
          <w:sz w:val="28"/>
          <w:szCs w:val="28"/>
          <w:lang w:val="en-US" w:eastAsia="zh-CN" w:bidi="ar-SA"/>
        </w:rPr>
        <w:t>需要</w:t>
      </w:r>
      <w:r>
        <w:rPr>
          <w:rFonts w:hint="eastAsia" w:asciiTheme="minorEastAsia" w:hAnsiTheme="minorEastAsia" w:eastAsiaTheme="minorEastAsia" w:cstheme="minorEastAsia"/>
          <w:bCs/>
          <w:color w:val="auto"/>
          <w:kern w:val="0"/>
          <w:sz w:val="28"/>
          <w:szCs w:val="28"/>
          <w:lang w:val="zh-CN" w:eastAsia="zh-CN" w:bidi="ar-SA"/>
        </w:rPr>
        <w:t>在2小时内做出响应。</w:t>
      </w:r>
      <w:bookmarkEnd w:id="1"/>
      <w:r>
        <w:rPr>
          <w:rFonts w:hint="eastAsia" w:asciiTheme="minorEastAsia" w:hAnsiTheme="minorEastAsia" w:eastAsiaTheme="minorEastAsia" w:cstheme="minorEastAsia"/>
          <w:bCs/>
          <w:color w:val="auto"/>
          <w:kern w:val="0"/>
          <w:sz w:val="28"/>
          <w:szCs w:val="28"/>
          <w:lang w:val="zh-CN" w:eastAsia="zh-CN" w:bidi="ar-SA"/>
        </w:rPr>
        <w:t>服务包所在的第三方云服务器系统出现问题或者第三方不可抗力导致的问题，要求及时联系云客服网管尽快解决，配合在5个工作日内解决；对于特殊性问题，在双方协商下，可以适当延长解决期限。</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zh-CN" w:eastAsia="zh-CN" w:bidi="ar-SA"/>
        </w:rPr>
      </w:pPr>
      <w:r>
        <w:rPr>
          <w:rFonts w:hint="eastAsia" w:asciiTheme="minorEastAsia" w:hAnsiTheme="minorEastAsia" w:eastAsiaTheme="minorEastAsia" w:cstheme="minorEastAsia"/>
          <w:bCs/>
          <w:color w:val="auto"/>
          <w:kern w:val="0"/>
          <w:sz w:val="28"/>
          <w:szCs w:val="28"/>
          <w:lang w:val="zh-CN" w:eastAsia="zh-CN" w:bidi="ar-SA"/>
        </w:rPr>
        <w:t>6、负责相关数据、统计、分析、系统性能优化及备份数据优化、对于可能存在的问题与风险及时与相关人员进行沟通、完善系统可用和稳定性。</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zh-CN" w:eastAsia="zh-CN" w:bidi="ar-SA"/>
        </w:rPr>
      </w:pPr>
      <w:r>
        <w:rPr>
          <w:rFonts w:hint="eastAsia" w:asciiTheme="minorEastAsia" w:hAnsiTheme="minorEastAsia" w:eastAsiaTheme="minorEastAsia" w:cstheme="minorEastAsia"/>
          <w:bCs/>
          <w:color w:val="auto"/>
          <w:kern w:val="0"/>
          <w:sz w:val="28"/>
          <w:szCs w:val="28"/>
          <w:lang w:val="zh-CN" w:eastAsia="zh-CN" w:bidi="ar-SA"/>
        </w:rPr>
        <w:t xml:space="preserve">7、对系统软件的错误进行免费的修改完善； </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zh-CN" w:eastAsia="zh-CN" w:bidi="ar-SA"/>
        </w:rPr>
      </w:pPr>
      <w:r>
        <w:rPr>
          <w:rFonts w:hint="eastAsia" w:asciiTheme="minorEastAsia" w:hAnsiTheme="minorEastAsia" w:eastAsiaTheme="minorEastAsia" w:cstheme="minorEastAsia"/>
          <w:bCs/>
          <w:color w:val="auto"/>
          <w:kern w:val="0"/>
          <w:sz w:val="28"/>
          <w:szCs w:val="28"/>
          <w:lang w:val="zh-CN" w:eastAsia="zh-CN" w:bidi="ar-SA"/>
        </w:rPr>
        <w:t>8、提供所有系统软件的最新安装文件和操作手册，提供系统数据备份和恢复工具。我司每半年备份数据存档。</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zh-CN" w:eastAsia="zh-CN" w:bidi="ar-SA"/>
        </w:rPr>
        <w:t>9、安排专属服务人员，提供7*8小时在线技术支持与服务，实现快速响应，及时有效的解决在运行与使用的过程中产生的问题，并为贵院解除在项目运行过程中的后顾之忧。</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9、投标文件必须胶装并用纸质文件袋封好（一正贰副），封口加盖单位公章，在开标现场验证时打开，采用现场开标的方式。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sectPr>
          <w:pgSz w:w="11906" w:h="16838"/>
          <w:pgMar w:top="1191" w:right="1587" w:bottom="1020" w:left="1587" w:header="567" w:footer="283" w:gutter="0"/>
          <w:pgNumType w:start="1"/>
          <w:cols w:space="720" w:num="1"/>
          <w:docGrid w:linePitch="312" w:charSpace="0"/>
        </w:sectPr>
      </w:pPr>
    </w:p>
    <w:p>
      <w:pPr>
        <w:pStyle w:val="6"/>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2" w:name="_Toc16523573"/>
      <w:r>
        <w:rPr>
          <w:rFonts w:hint="eastAsia" w:ascii="宋体" w:hAnsi="宋体" w:cs="宋体"/>
          <w:color w:val="auto"/>
          <w:sz w:val="44"/>
          <w:szCs w:val="44"/>
          <w:lang w:val="en-US" w:eastAsia="zh-CN"/>
        </w:rPr>
        <w:t>评标方法及标准</w:t>
      </w:r>
      <w:bookmarkEnd w:id="2"/>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660"/>
        <w:gridCol w:w="6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1" w:type="pct"/>
            <w:vAlign w:val="center"/>
          </w:tcPr>
          <w:p>
            <w:pPr>
              <w:spacing w:line="276" w:lineRule="auto"/>
              <w:rPr>
                <w:rFonts w:ascii="宋体" w:hAnsi="宋体" w:cs="宋体"/>
                <w:b/>
                <w:szCs w:val="21"/>
              </w:rPr>
            </w:pPr>
            <w:r>
              <w:rPr>
                <w:rFonts w:hint="eastAsia" w:ascii="宋体" w:hAnsi="宋体" w:cs="宋体"/>
                <w:b/>
                <w:szCs w:val="21"/>
              </w:rPr>
              <w:t>评分项目</w:t>
            </w:r>
          </w:p>
        </w:tc>
        <w:tc>
          <w:tcPr>
            <w:tcW w:w="369" w:type="pct"/>
            <w:vAlign w:val="center"/>
          </w:tcPr>
          <w:p>
            <w:pPr>
              <w:spacing w:line="276" w:lineRule="auto"/>
              <w:jc w:val="center"/>
              <w:rPr>
                <w:rFonts w:ascii="宋体" w:hAnsi="宋体" w:cs="宋体"/>
                <w:b/>
                <w:szCs w:val="21"/>
              </w:rPr>
            </w:pPr>
            <w:r>
              <w:rPr>
                <w:rFonts w:hint="eastAsia" w:ascii="宋体" w:hAnsi="宋体" w:cs="宋体"/>
                <w:b/>
                <w:szCs w:val="21"/>
              </w:rPr>
              <w:t>分值</w:t>
            </w:r>
          </w:p>
        </w:tc>
        <w:tc>
          <w:tcPr>
            <w:tcW w:w="3809" w:type="pct"/>
            <w:vAlign w:val="center"/>
          </w:tcPr>
          <w:p>
            <w:pPr>
              <w:spacing w:line="276" w:lineRule="auto"/>
              <w:rPr>
                <w:rFonts w:ascii="宋体" w:hAnsi="宋体" w:cs="宋体"/>
                <w:b/>
                <w:szCs w:val="21"/>
              </w:rPr>
            </w:pPr>
            <w:r>
              <w:rPr>
                <w:rFonts w:hint="eastAsia" w:ascii="宋体" w:hAnsi="宋体" w:cs="宋体"/>
                <w:b/>
                <w:szCs w:val="21"/>
              </w:rPr>
              <w:t>评标要点及说明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3"/>
            <w:vAlign w:val="center"/>
          </w:tcPr>
          <w:p>
            <w:pPr>
              <w:spacing w:line="276" w:lineRule="auto"/>
              <w:rPr>
                <w:rFonts w:ascii="宋体" w:hAnsi="宋体" w:cs="宋体"/>
                <w:b/>
                <w:szCs w:val="21"/>
              </w:rPr>
            </w:pPr>
            <w:r>
              <w:rPr>
                <w:rFonts w:hint="eastAsia" w:ascii="宋体" w:hAnsi="宋体" w:cs="宋体"/>
                <w:b/>
                <w:szCs w:val="21"/>
              </w:rPr>
              <w:t>一、报价部分(</w:t>
            </w:r>
            <w:r>
              <w:rPr>
                <w:rFonts w:hint="eastAsia" w:ascii="宋体" w:hAnsi="宋体" w:cs="宋体"/>
                <w:b/>
                <w:szCs w:val="21"/>
                <w:lang w:val="en-US" w:eastAsia="zh-CN"/>
              </w:rPr>
              <w:t>4</w:t>
            </w:r>
            <w:r>
              <w:rPr>
                <w:rFonts w:hint="eastAsia" w:ascii="宋体" w:hAnsi="宋体" w:cs="宋体"/>
                <w:b/>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1" w:type="pct"/>
            <w:vAlign w:val="center"/>
          </w:tcPr>
          <w:p>
            <w:pPr>
              <w:spacing w:line="276" w:lineRule="auto"/>
              <w:rPr>
                <w:rFonts w:ascii="宋体" w:hAnsi="宋体" w:cs="宋体"/>
                <w:szCs w:val="21"/>
              </w:rPr>
            </w:pPr>
            <w:r>
              <w:rPr>
                <w:rFonts w:hint="eastAsia" w:ascii="宋体" w:hAnsi="宋体" w:cs="宋体"/>
                <w:szCs w:val="21"/>
              </w:rPr>
              <w:t>投标报价</w:t>
            </w:r>
          </w:p>
        </w:tc>
        <w:tc>
          <w:tcPr>
            <w:tcW w:w="369" w:type="pct"/>
            <w:vAlign w:val="center"/>
          </w:tcPr>
          <w:p>
            <w:pPr>
              <w:spacing w:line="276" w:lineRule="auto"/>
              <w:jc w:val="center"/>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0</w:t>
            </w:r>
          </w:p>
        </w:tc>
        <w:tc>
          <w:tcPr>
            <w:tcW w:w="3809" w:type="pct"/>
            <w:vAlign w:val="center"/>
          </w:tcPr>
          <w:p>
            <w:pPr>
              <w:pStyle w:val="3"/>
              <w:snapToGrid w:val="0"/>
              <w:ind w:firstLine="0"/>
              <w:rPr>
                <w:rFonts w:ascii="宋体" w:hAnsi="宋体" w:cs="宋体"/>
                <w:color w:val="000000"/>
                <w:spacing w:val="-6"/>
                <w:sz w:val="21"/>
                <w:szCs w:val="21"/>
              </w:rPr>
            </w:pPr>
            <w:r>
              <w:rPr>
                <w:rFonts w:hint="eastAsia" w:ascii="宋体" w:hAnsi="宋体" w:cs="宋体"/>
                <w:color w:val="000000"/>
                <w:spacing w:val="-6"/>
                <w:sz w:val="21"/>
                <w:szCs w:val="21"/>
              </w:rPr>
              <w:t>评标基准价：满足招标文件要求且有效投标价格中的最低投标报价（评审价）为评标基准价，其价格分为满分</w:t>
            </w:r>
            <w:r>
              <w:rPr>
                <w:rFonts w:hint="eastAsia" w:ascii="宋体" w:hAnsi="宋体" w:cs="宋体"/>
                <w:color w:val="000000"/>
                <w:spacing w:val="-6"/>
                <w:sz w:val="21"/>
                <w:szCs w:val="21"/>
                <w:lang w:val="en-US" w:eastAsia="zh-CN"/>
              </w:rPr>
              <w:t>4</w:t>
            </w:r>
            <w:r>
              <w:rPr>
                <w:rFonts w:hint="eastAsia" w:ascii="宋体" w:hAnsi="宋体" w:cs="宋体"/>
                <w:color w:val="000000"/>
                <w:spacing w:val="-6"/>
                <w:sz w:val="21"/>
                <w:szCs w:val="21"/>
              </w:rPr>
              <w:t>0分。其他投标人的价格分统一按照下列公式计算：</w:t>
            </w:r>
          </w:p>
          <w:p>
            <w:pPr>
              <w:pStyle w:val="3"/>
              <w:snapToGrid w:val="0"/>
              <w:ind w:firstLine="0"/>
              <w:rPr>
                <w:rFonts w:hAnsi="宋体"/>
                <w:sz w:val="21"/>
                <w:szCs w:val="21"/>
              </w:rPr>
            </w:pPr>
            <w:r>
              <w:rPr>
                <w:rFonts w:hint="eastAsia" w:ascii="宋体" w:hAnsi="宋体" w:cs="宋体"/>
                <w:color w:val="000000"/>
                <w:spacing w:val="-6"/>
                <w:sz w:val="21"/>
                <w:szCs w:val="21"/>
              </w:rPr>
              <w:t>投标报价得分=（评标基准价/投标报价）×价格权值（即</w:t>
            </w:r>
            <w:r>
              <w:rPr>
                <w:rFonts w:hint="eastAsia" w:ascii="宋体" w:hAnsi="宋体" w:cs="宋体"/>
                <w:color w:val="000000"/>
                <w:spacing w:val="-6"/>
                <w:sz w:val="21"/>
                <w:szCs w:val="21"/>
                <w:lang w:val="en-US" w:eastAsia="zh-CN"/>
              </w:rPr>
              <w:t>4</w:t>
            </w:r>
            <w:r>
              <w:rPr>
                <w:rFonts w:hint="eastAsia" w:ascii="宋体" w:hAnsi="宋体" w:cs="宋体"/>
                <w:color w:val="000000"/>
                <w:spacing w:val="-6"/>
                <w:sz w:val="21"/>
                <w:szCs w:val="21"/>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3"/>
            <w:vAlign w:val="center"/>
          </w:tcPr>
          <w:p>
            <w:pPr>
              <w:pStyle w:val="3"/>
              <w:snapToGrid w:val="0"/>
              <w:ind w:firstLine="0"/>
              <w:rPr>
                <w:rFonts w:ascii="宋体" w:hAnsi="宋体" w:cs="宋体"/>
                <w:color w:val="000000"/>
                <w:spacing w:val="-6"/>
                <w:sz w:val="21"/>
                <w:szCs w:val="21"/>
              </w:rPr>
            </w:pPr>
            <w:r>
              <w:rPr>
                <w:rFonts w:hint="eastAsia" w:ascii="宋体" w:hAnsi="宋体" w:cs="宋体"/>
                <w:b/>
                <w:sz w:val="21"/>
                <w:szCs w:val="21"/>
              </w:rPr>
              <w:t>二、商务部分(</w:t>
            </w:r>
            <w:r>
              <w:rPr>
                <w:rFonts w:hint="eastAsia" w:ascii="宋体" w:hAnsi="宋体" w:cs="宋体"/>
                <w:b/>
                <w:sz w:val="21"/>
                <w:szCs w:val="21"/>
                <w:lang w:val="en-US" w:eastAsia="zh-CN"/>
              </w:rPr>
              <w:t>2</w:t>
            </w:r>
            <w:r>
              <w:rPr>
                <w:rFonts w:hint="eastAsia" w:ascii="宋体" w:hAnsi="宋体" w:cs="宋体"/>
                <w:b/>
                <w:sz w:val="21"/>
                <w:szCs w:val="21"/>
              </w:rPr>
              <w:t>0分</w:t>
            </w:r>
            <w:r>
              <w:rPr>
                <w:rFonts w:ascii="宋体" w:hAnsi="宋体" w:cs="宋体"/>
                <w:b/>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1" w:type="pct"/>
            <w:vAlign w:val="center"/>
          </w:tcPr>
          <w:p>
            <w:pPr>
              <w:spacing w:line="276" w:lineRule="auto"/>
              <w:rPr>
                <w:rFonts w:ascii="宋体" w:hAnsi="宋体" w:cs="宋体"/>
                <w:szCs w:val="21"/>
              </w:rPr>
            </w:pPr>
            <w:r>
              <w:rPr>
                <w:rFonts w:hint="eastAsia"/>
                <w:color w:val="auto"/>
                <w:szCs w:val="21"/>
              </w:rPr>
              <w:t>项目方案</w:t>
            </w:r>
            <w:r>
              <w:rPr>
                <w:rFonts w:hint="eastAsia" w:ascii="宋体" w:hAnsi="宋体" w:cs="宋体"/>
                <w:szCs w:val="21"/>
              </w:rPr>
              <w:t>（10分）</w:t>
            </w:r>
          </w:p>
        </w:tc>
        <w:tc>
          <w:tcPr>
            <w:tcW w:w="369" w:type="pct"/>
            <w:vAlign w:val="center"/>
          </w:tcPr>
          <w:p>
            <w:pPr>
              <w:spacing w:line="276" w:lineRule="auto"/>
              <w:jc w:val="center"/>
              <w:rPr>
                <w:rFonts w:ascii="宋体" w:hAnsi="宋体" w:cs="宋体"/>
                <w:bCs/>
                <w:szCs w:val="21"/>
              </w:rPr>
            </w:pPr>
            <w:r>
              <w:rPr>
                <w:rFonts w:hint="eastAsia" w:ascii="宋体" w:hAnsi="宋体" w:cs="宋体"/>
                <w:bCs/>
                <w:szCs w:val="21"/>
              </w:rPr>
              <w:t>10</w:t>
            </w:r>
          </w:p>
        </w:tc>
        <w:tc>
          <w:tcPr>
            <w:tcW w:w="3809" w:type="pct"/>
            <w:vAlign w:val="center"/>
          </w:tcPr>
          <w:p>
            <w:pPr>
              <w:wordWrap w:val="0"/>
              <w:rPr>
                <w:color w:val="auto"/>
                <w:szCs w:val="21"/>
              </w:rPr>
            </w:pPr>
            <w:r>
              <w:rPr>
                <w:color w:val="auto"/>
                <w:szCs w:val="21"/>
              </w:rPr>
              <w:t>（一）评分内容：</w:t>
            </w:r>
          </w:p>
          <w:p>
            <w:pPr>
              <w:wordWrap w:val="0"/>
              <w:rPr>
                <w:rFonts w:hint="eastAsia" w:ascii="宋体" w:hAnsi="宋体"/>
                <w:color w:val="auto"/>
                <w:szCs w:val="21"/>
              </w:rPr>
            </w:pPr>
            <w:r>
              <w:rPr>
                <w:rFonts w:hAnsi="宋体"/>
                <w:color w:val="auto"/>
                <w:szCs w:val="21"/>
              </w:rPr>
              <w:t>要求</w:t>
            </w:r>
            <w:r>
              <w:rPr>
                <w:rFonts w:hint="eastAsia" w:hAnsi="宋体"/>
                <w:color w:val="auto"/>
                <w:szCs w:val="21"/>
              </w:rPr>
              <w:t>提供项目实施方案，包含但不限于项目背景、项目价值及项目内容。</w:t>
            </w:r>
          </w:p>
          <w:p>
            <w:pPr>
              <w:wordWrap w:val="0"/>
              <w:rPr>
                <w:rFonts w:hint="eastAsia" w:ascii="宋体" w:hAnsi="宋体"/>
                <w:color w:val="auto"/>
                <w:szCs w:val="21"/>
              </w:rPr>
            </w:pPr>
            <w:r>
              <w:rPr>
                <w:color w:val="auto"/>
                <w:szCs w:val="21"/>
              </w:rPr>
              <w:t>（二）评分依据：</w:t>
            </w:r>
          </w:p>
          <w:p>
            <w:pPr>
              <w:wordWrap w:val="0"/>
              <w:rPr>
                <w:rFonts w:hint="eastAsia" w:ascii="宋体" w:hAnsi="宋体"/>
                <w:color w:val="auto"/>
                <w:szCs w:val="21"/>
              </w:rPr>
            </w:pPr>
            <w:r>
              <w:rPr>
                <w:rFonts w:hint="eastAsia" w:ascii="宋体" w:hAnsi="宋体"/>
                <w:color w:val="auto"/>
                <w:szCs w:val="21"/>
              </w:rPr>
              <w:t>1、根据提供的项目方案完整性、可行性，项目进度安排合理性综合评定。</w:t>
            </w:r>
          </w:p>
          <w:p>
            <w:pPr>
              <w:wordWrap w:val="0"/>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优</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提供产品服务清单，企业资质、软件著作权证书、项目建设价值、项目实施方案计划</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10</w:t>
            </w:r>
            <w:r>
              <w:rPr>
                <w:rFonts w:hint="eastAsia" w:ascii="宋体" w:hAnsi="宋体"/>
                <w:color w:val="000000" w:themeColor="text1"/>
                <w:szCs w:val="21"/>
                <w14:textFill>
                  <w14:solidFill>
                    <w14:schemeClr w14:val="tx1"/>
                  </w14:solidFill>
                </w14:textFill>
              </w:rPr>
              <w:t>分</w:t>
            </w:r>
            <w:r>
              <w:rPr>
                <w:rFonts w:hint="eastAsia" w:ascii="宋体" w:hAnsi="宋体"/>
                <w:color w:val="000000" w:themeColor="text1"/>
                <w:szCs w:val="21"/>
                <w:lang w:eastAsia="zh-CN"/>
                <w14:textFill>
                  <w14:solidFill>
                    <w14:schemeClr w14:val="tx1"/>
                  </w14:solidFill>
                </w14:textFill>
              </w:rPr>
              <w:t>；</w:t>
            </w:r>
          </w:p>
          <w:p>
            <w:pPr>
              <w:wordWrap w:val="0"/>
              <w:rPr>
                <w:rFonts w:hint="eastAsia"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良</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以上缺少一项</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5</w:t>
            </w:r>
            <w:r>
              <w:rPr>
                <w:rFonts w:hint="eastAsia" w:ascii="宋体" w:hAnsi="宋体"/>
                <w:color w:val="000000" w:themeColor="text1"/>
                <w:szCs w:val="21"/>
                <w14:textFill>
                  <w14:solidFill>
                    <w14:schemeClr w14:val="tx1"/>
                  </w14:solidFill>
                </w14:textFill>
              </w:rPr>
              <w:t>分</w:t>
            </w:r>
            <w:r>
              <w:rPr>
                <w:rFonts w:hint="eastAsia" w:ascii="宋体" w:hAnsi="宋体"/>
                <w:color w:val="000000" w:themeColor="text1"/>
                <w:szCs w:val="21"/>
                <w:lang w:eastAsia="zh-CN"/>
                <w14:textFill>
                  <w14:solidFill>
                    <w14:schemeClr w14:val="tx1"/>
                  </w14:solidFill>
                </w14:textFill>
              </w:rPr>
              <w:t>；</w:t>
            </w:r>
          </w:p>
          <w:p>
            <w:pPr>
              <w:wordWrap w:val="0"/>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中</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以上缺少两项</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lang w:eastAsia="zh-CN"/>
                <w14:textFill>
                  <w14:solidFill>
                    <w14:schemeClr w14:val="tx1"/>
                  </w14:solidFill>
                </w14:textFill>
              </w:rPr>
              <w:t>；</w:t>
            </w:r>
          </w:p>
          <w:p>
            <w:pPr>
              <w:spacing w:line="276" w:lineRule="auto"/>
              <w:rPr>
                <w:rFonts w:ascii="宋体" w:hAnsi="宋体"/>
                <w:szCs w:val="21"/>
              </w:rPr>
            </w:pPr>
            <w:r>
              <w:rPr>
                <w:rFonts w:hint="eastAsia" w:ascii="宋体" w:hAnsi="宋体"/>
                <w:color w:val="000000" w:themeColor="text1"/>
                <w:szCs w:val="21"/>
                <w14:textFill>
                  <w14:solidFill>
                    <w14:schemeClr w14:val="tx1"/>
                  </w14:solidFill>
                </w14:textFill>
              </w:rPr>
              <w:t>差</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以上缺少三项</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0</w:t>
            </w:r>
            <w:r>
              <w:rPr>
                <w:rFonts w:hint="eastAsia" w:ascii="宋体" w:hAnsi="宋体"/>
                <w:color w:val="000000" w:themeColor="text1"/>
                <w:szCs w:val="21"/>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1" w:type="pct"/>
            <w:vAlign w:val="center"/>
          </w:tcPr>
          <w:p>
            <w:pPr>
              <w:spacing w:line="276" w:lineRule="auto"/>
              <w:rPr>
                <w:rFonts w:ascii="宋体" w:hAnsi="宋体" w:cs="宋体"/>
                <w:szCs w:val="21"/>
              </w:rPr>
            </w:pPr>
            <w:r>
              <w:rPr>
                <w:rFonts w:hint="eastAsia" w:hAnsi="宋体"/>
                <w:color w:val="auto"/>
                <w:szCs w:val="21"/>
              </w:rPr>
              <w:t>售后</w:t>
            </w:r>
            <w:r>
              <w:rPr>
                <w:rFonts w:hAnsi="宋体"/>
                <w:color w:val="auto"/>
                <w:szCs w:val="21"/>
              </w:rPr>
              <w:t>服务</w:t>
            </w:r>
            <w:r>
              <w:rPr>
                <w:rFonts w:hint="eastAsia" w:ascii="宋体" w:hAnsi="宋体" w:cs="宋体"/>
                <w:szCs w:val="21"/>
              </w:rPr>
              <w:t>（</w:t>
            </w:r>
            <w:r>
              <w:rPr>
                <w:rFonts w:hint="eastAsia" w:ascii="宋体" w:hAnsi="宋体" w:cs="宋体"/>
                <w:szCs w:val="21"/>
                <w:lang w:val="en-US" w:eastAsia="zh-CN"/>
              </w:rPr>
              <w:t>5</w:t>
            </w:r>
            <w:r>
              <w:rPr>
                <w:rFonts w:hint="eastAsia" w:ascii="宋体" w:hAnsi="宋体" w:cs="宋体"/>
                <w:szCs w:val="21"/>
              </w:rPr>
              <w:t>分）</w:t>
            </w:r>
          </w:p>
        </w:tc>
        <w:tc>
          <w:tcPr>
            <w:tcW w:w="369" w:type="pct"/>
            <w:vAlign w:val="center"/>
          </w:tcPr>
          <w:p>
            <w:pPr>
              <w:spacing w:line="276" w:lineRule="auto"/>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3809" w:type="pct"/>
            <w:vAlign w:val="center"/>
          </w:tcPr>
          <w:p>
            <w:pPr>
              <w:numPr>
                <w:ilvl w:val="0"/>
                <w:numId w:val="1"/>
              </w:numPr>
              <w:jc w:val="left"/>
              <w:rPr>
                <w:rFonts w:hAnsi="宋体"/>
                <w:color w:val="auto"/>
                <w:szCs w:val="21"/>
              </w:rPr>
            </w:pPr>
            <w:r>
              <w:rPr>
                <w:rFonts w:hAnsi="宋体"/>
                <w:color w:val="auto"/>
                <w:szCs w:val="21"/>
              </w:rPr>
              <w:t>考察内容：</w:t>
            </w:r>
          </w:p>
          <w:p>
            <w:pPr>
              <w:jc w:val="left"/>
              <w:rPr>
                <w:color w:val="auto"/>
                <w:szCs w:val="21"/>
              </w:rPr>
            </w:pPr>
            <w:r>
              <w:rPr>
                <w:rFonts w:hint="eastAsia" w:hAnsi="宋体"/>
                <w:color w:val="auto"/>
                <w:szCs w:val="21"/>
              </w:rPr>
              <w:t>维保期内提供完善的售后服务</w:t>
            </w:r>
          </w:p>
          <w:p>
            <w:pPr>
              <w:rPr>
                <w:color w:val="auto"/>
                <w:szCs w:val="21"/>
              </w:rPr>
            </w:pPr>
            <w:r>
              <w:rPr>
                <w:color w:val="auto"/>
                <w:szCs w:val="21"/>
              </w:rPr>
              <w:t>（二）评分依据：</w:t>
            </w:r>
          </w:p>
          <w:p>
            <w:pPr>
              <w:jc w:val="left"/>
              <w:rPr>
                <w:rFonts w:hint="eastAsia" w:hAnsi="宋体"/>
                <w:color w:val="auto"/>
                <w:szCs w:val="21"/>
              </w:rPr>
            </w:pPr>
            <w:r>
              <w:rPr>
                <w:rFonts w:hint="eastAsia" w:hAnsi="宋体"/>
                <w:color w:val="auto"/>
                <w:szCs w:val="21"/>
              </w:rPr>
              <w:t>根据投标人服务承诺、供应商售后服务等情况综合评定，</w:t>
            </w:r>
          </w:p>
          <w:p>
            <w:pPr>
              <w:jc w:val="left"/>
              <w:rPr>
                <w:rFonts w:hint="eastAsia"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优</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提供培训服务、培训后有验收合格文档，售后响应时间15分钟之内</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5</w:t>
            </w:r>
            <w:r>
              <w:rPr>
                <w:rFonts w:hint="eastAsia" w:ascii="宋体" w:hAnsi="宋体"/>
                <w:color w:val="000000" w:themeColor="text1"/>
                <w:szCs w:val="21"/>
                <w14:textFill>
                  <w14:solidFill>
                    <w14:schemeClr w14:val="tx1"/>
                  </w14:solidFill>
                </w14:textFill>
              </w:rPr>
              <w:t>分</w:t>
            </w:r>
            <w:r>
              <w:rPr>
                <w:rFonts w:hint="eastAsia" w:ascii="宋体" w:hAnsi="宋体"/>
                <w:color w:val="000000" w:themeColor="text1"/>
                <w:szCs w:val="21"/>
                <w:lang w:eastAsia="zh-CN"/>
                <w14:textFill>
                  <w14:solidFill>
                    <w14:schemeClr w14:val="tx1"/>
                  </w14:solidFill>
                </w14:textFill>
              </w:rPr>
              <w:t>；</w:t>
            </w:r>
          </w:p>
          <w:p>
            <w:pPr>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良</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提供培训服务，培训后有培训确认书，售后响应时间30分钟之内</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分</w:t>
            </w:r>
          </w:p>
          <w:p>
            <w:pPr>
              <w:jc w:val="left"/>
              <w:rPr>
                <w:rFonts w:hint="default" w:ascii="Times New Roman" w:hAnsi="宋体" w:eastAsia="宋体" w:cs="Times New Roman"/>
                <w:color w:val="auto"/>
                <w:szCs w:val="21"/>
                <w:lang w:val="en-US"/>
              </w:rPr>
            </w:pPr>
            <w:r>
              <w:rPr>
                <w:rFonts w:hint="eastAsia" w:ascii="宋体" w:hAnsi="宋体"/>
                <w:color w:val="000000" w:themeColor="text1"/>
                <w:szCs w:val="21"/>
                <w14:textFill>
                  <w14:solidFill>
                    <w14:schemeClr w14:val="tx1"/>
                  </w14:solidFill>
                </w14:textFill>
              </w:rPr>
              <w:t>中</w:t>
            </w:r>
            <w:r>
              <w:rPr>
                <w:rFonts w:hint="eastAsia" w:ascii="Times New Roman" w:hAnsi="宋体" w:eastAsia="宋体" w:cs="Times New Roman"/>
                <w:color w:val="auto"/>
                <w:szCs w:val="21"/>
                <w:lang w:eastAsia="zh-CN"/>
              </w:rPr>
              <w:t>（</w:t>
            </w:r>
            <w:r>
              <w:rPr>
                <w:rFonts w:hint="eastAsia" w:ascii="Times New Roman" w:hAnsi="宋体" w:eastAsia="宋体" w:cs="Times New Roman"/>
                <w:color w:val="auto"/>
                <w:szCs w:val="21"/>
                <w:lang w:val="en-US" w:eastAsia="zh-CN"/>
              </w:rPr>
              <w:t>不提供培训，售后响应时间1小时之内</w:t>
            </w:r>
            <w:r>
              <w:rPr>
                <w:rFonts w:hint="eastAsia" w:ascii="Times New Roman" w:hAnsi="宋体" w:eastAsia="宋体" w:cs="Times New Roman"/>
                <w:color w:val="auto"/>
                <w:szCs w:val="21"/>
                <w:lang w:eastAsia="zh-CN"/>
              </w:rPr>
              <w:t>）</w:t>
            </w:r>
            <w:r>
              <w:rPr>
                <w:rFonts w:hint="eastAsia" w:ascii="Times New Roman" w:hAnsi="宋体" w:eastAsia="宋体" w:cs="Times New Roman"/>
                <w:color w:val="auto"/>
                <w:szCs w:val="21"/>
                <w:lang w:val="en-US" w:eastAsia="zh-CN"/>
              </w:rPr>
              <w:t>1分</w:t>
            </w:r>
          </w:p>
          <w:p>
            <w:pPr>
              <w:jc w:val="left"/>
              <w:rPr>
                <w:rFonts w:hint="eastAsia" w:ascii="Times New Roman" w:hAnsi="宋体" w:eastAsia="宋体" w:cs="Times New Roman"/>
                <w:color w:val="auto"/>
                <w:szCs w:val="21"/>
              </w:rPr>
            </w:pPr>
            <w:r>
              <w:rPr>
                <w:rFonts w:hint="eastAsia" w:ascii="Times New Roman" w:hAnsi="宋体" w:eastAsia="宋体" w:cs="Times New Roman"/>
                <w:color w:val="auto"/>
                <w:szCs w:val="21"/>
              </w:rPr>
              <w:t>差</w:t>
            </w:r>
            <w:r>
              <w:rPr>
                <w:rFonts w:hint="eastAsia" w:ascii="Times New Roman" w:hAnsi="宋体" w:eastAsia="宋体" w:cs="Times New Roman"/>
                <w:color w:val="auto"/>
                <w:szCs w:val="21"/>
                <w:lang w:eastAsia="zh-CN"/>
              </w:rPr>
              <w:t>（</w:t>
            </w:r>
            <w:r>
              <w:rPr>
                <w:rFonts w:hint="eastAsia" w:ascii="Times New Roman" w:hAnsi="宋体" w:eastAsia="宋体" w:cs="Times New Roman"/>
                <w:color w:val="auto"/>
                <w:szCs w:val="21"/>
                <w:lang w:val="en-US" w:eastAsia="zh-CN"/>
              </w:rPr>
              <w:t>不提供培训，售后响应无时间限制要求</w:t>
            </w:r>
            <w:r>
              <w:rPr>
                <w:rFonts w:hint="eastAsia" w:ascii="Times New Roman" w:hAnsi="宋体" w:eastAsia="宋体" w:cs="Times New Roman"/>
                <w:color w:val="auto"/>
                <w:szCs w:val="21"/>
                <w:lang w:eastAsia="zh-CN"/>
              </w:rPr>
              <w:t>）</w:t>
            </w:r>
            <w:r>
              <w:rPr>
                <w:rFonts w:hint="eastAsia" w:ascii="Times New Roman" w:hAnsi="宋体" w:eastAsia="宋体" w:cs="Times New Roman"/>
                <w:color w:val="auto"/>
                <w:szCs w:val="21"/>
                <w:lang w:val="en-US" w:eastAsia="zh-CN"/>
              </w:rPr>
              <w:t>0</w:t>
            </w:r>
            <w:r>
              <w:rPr>
                <w:rFonts w:hint="eastAsia" w:ascii="Times New Roman" w:hAnsi="宋体" w:eastAsia="宋体" w:cs="Times New Roman"/>
                <w:color w:val="auto"/>
                <w:szCs w:val="21"/>
              </w:rPr>
              <w:t>分。</w:t>
            </w:r>
          </w:p>
          <w:p>
            <w:pPr>
              <w:jc w:val="left"/>
              <w:rPr>
                <w:rFonts w:hint="default" w:eastAsia="宋体"/>
                <w:lang w:val="en-US" w:eastAsia="zh-CN"/>
              </w:rPr>
            </w:pPr>
            <w:r>
              <w:rPr>
                <w:rFonts w:hint="eastAsia" w:ascii="Times New Roman" w:hAnsi="宋体" w:eastAsia="宋体" w:cs="Times New Roman"/>
                <w:color w:val="auto"/>
                <w:szCs w:val="21"/>
                <w:lang w:val="en-US" w:eastAsia="zh-CN"/>
              </w:rPr>
              <w:t>培训服务和验收合格文档要求提供2家以上医院的材料作为佐证，无佐证材料不给分。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1" w:type="pct"/>
            <w:vAlign w:val="center"/>
          </w:tcPr>
          <w:p>
            <w:pPr>
              <w:spacing w:line="276" w:lineRule="auto"/>
              <w:rPr>
                <w:rFonts w:ascii="宋体" w:hAnsi="宋体" w:cs="宋体"/>
                <w:szCs w:val="21"/>
              </w:rPr>
            </w:pPr>
            <w:r>
              <w:rPr>
                <w:rFonts w:hint="default" w:hAnsi="宋体" w:eastAsia="宋体"/>
                <w:color w:val="auto"/>
                <w:szCs w:val="21"/>
                <w:lang w:val="en-US" w:eastAsia="zh-CN"/>
              </w:rPr>
              <w:t>具有独立承担民事责任的能力</w:t>
            </w:r>
            <w:r>
              <w:rPr>
                <w:rFonts w:hint="eastAsia" w:ascii="宋体" w:hAnsi="宋体" w:cs="宋体"/>
                <w:szCs w:val="21"/>
              </w:rPr>
              <w:t>（</w:t>
            </w:r>
            <w:r>
              <w:rPr>
                <w:rFonts w:hint="eastAsia" w:ascii="宋体" w:hAnsi="宋体" w:cs="宋体"/>
                <w:szCs w:val="21"/>
                <w:lang w:val="en-US" w:eastAsia="zh-CN"/>
              </w:rPr>
              <w:t>3</w:t>
            </w:r>
            <w:r>
              <w:rPr>
                <w:rFonts w:hint="eastAsia" w:ascii="宋体" w:hAnsi="宋体" w:cs="宋体"/>
                <w:szCs w:val="21"/>
              </w:rPr>
              <w:t>分）</w:t>
            </w:r>
          </w:p>
        </w:tc>
        <w:tc>
          <w:tcPr>
            <w:tcW w:w="369" w:type="pct"/>
            <w:vAlign w:val="center"/>
          </w:tcPr>
          <w:p>
            <w:pPr>
              <w:spacing w:line="276" w:lineRule="auto"/>
              <w:jc w:val="center"/>
              <w:rPr>
                <w:rFonts w:hint="eastAsia" w:ascii="宋体" w:hAnsi="宋体" w:eastAsia="宋体" w:cs="宋体"/>
                <w:bCs/>
                <w:szCs w:val="21"/>
                <w:lang w:eastAsia="zh-CN"/>
              </w:rPr>
            </w:pPr>
            <w:r>
              <w:rPr>
                <w:rFonts w:hint="eastAsia" w:ascii="宋体" w:hAnsi="宋体" w:cs="宋体"/>
                <w:bCs/>
                <w:szCs w:val="21"/>
                <w:lang w:val="en-US" w:eastAsia="zh-CN"/>
              </w:rPr>
              <w:t>3</w:t>
            </w:r>
          </w:p>
        </w:tc>
        <w:tc>
          <w:tcPr>
            <w:tcW w:w="3809" w:type="pct"/>
            <w:vAlign w:val="center"/>
          </w:tcPr>
          <w:p>
            <w:pPr>
              <w:pStyle w:val="5"/>
              <w:spacing w:line="276" w:lineRule="auto"/>
              <w:rPr>
                <w:rFonts w:hAnsi="宋体"/>
                <w:color w:val="auto"/>
                <w:sz w:val="21"/>
                <w:szCs w:val="21"/>
              </w:rPr>
            </w:pPr>
            <w:r>
              <w:rPr>
                <w:rFonts w:hint="default" w:ascii="Times New Roman" w:hAnsi="宋体" w:eastAsia="宋体" w:cs="Times New Roman"/>
                <w:color w:val="auto"/>
                <w:kern w:val="2"/>
                <w:sz w:val="21"/>
                <w:szCs w:val="21"/>
                <w:lang w:val="en-US" w:eastAsia="zh-CN" w:bidi="ar-SA"/>
              </w:rPr>
              <w:t>供应商法人营业执照（副本）或事业单位法人证书（副本）或个体工商户营业执照或有效的自然人身份证明、组织机构代码证复印件； 供应商法定代表人身份证明和法定代表人授权代表委托书。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1" w:type="pct"/>
            <w:vAlign w:val="center"/>
          </w:tcPr>
          <w:p>
            <w:pPr>
              <w:rPr>
                <w:rFonts w:ascii="宋体" w:hAnsi="宋体" w:cs="宋体"/>
                <w:szCs w:val="21"/>
              </w:rPr>
            </w:pPr>
            <w:r>
              <w:rPr>
                <w:color w:val="auto"/>
                <w:szCs w:val="21"/>
              </w:rPr>
              <w:t>诚信</w:t>
            </w:r>
            <w:r>
              <w:rPr>
                <w:rFonts w:hint="eastAsia" w:ascii="宋体" w:hAnsi="宋体" w:cs="宋体"/>
                <w:szCs w:val="21"/>
              </w:rPr>
              <w:t>（</w:t>
            </w:r>
            <w:r>
              <w:rPr>
                <w:rFonts w:hint="eastAsia" w:ascii="宋体" w:hAnsi="宋体" w:cs="宋体"/>
                <w:szCs w:val="21"/>
                <w:lang w:val="en-US" w:eastAsia="zh-CN"/>
              </w:rPr>
              <w:t>2</w:t>
            </w:r>
            <w:r>
              <w:rPr>
                <w:rFonts w:hint="eastAsia" w:ascii="宋体" w:hAnsi="宋体" w:cs="宋体"/>
                <w:szCs w:val="21"/>
              </w:rPr>
              <w:t>分）</w:t>
            </w:r>
          </w:p>
        </w:tc>
        <w:tc>
          <w:tcPr>
            <w:tcW w:w="369" w:type="pct"/>
            <w:vAlign w:val="center"/>
          </w:tcPr>
          <w:p>
            <w:pPr>
              <w:jc w:val="center"/>
              <w:rPr>
                <w:rFonts w:hint="eastAsia" w:ascii="宋体" w:hAnsi="宋体" w:eastAsia="宋体" w:cs="宋体"/>
                <w:bCs/>
                <w:szCs w:val="21"/>
                <w:lang w:eastAsia="zh-CN"/>
              </w:rPr>
            </w:pPr>
            <w:r>
              <w:rPr>
                <w:rFonts w:hint="eastAsia" w:ascii="宋体" w:hAnsi="宋体" w:cs="宋体"/>
                <w:bCs/>
                <w:szCs w:val="21"/>
                <w:lang w:val="en-US" w:eastAsia="zh-CN"/>
              </w:rPr>
              <w:t>2</w:t>
            </w:r>
          </w:p>
        </w:tc>
        <w:tc>
          <w:tcPr>
            <w:tcW w:w="3809" w:type="pct"/>
            <w:vAlign w:val="center"/>
          </w:tcPr>
          <w:p>
            <w:pPr>
              <w:pStyle w:val="5"/>
              <w:rPr>
                <w:rFonts w:hAnsi="宋体"/>
                <w:sz w:val="21"/>
                <w:szCs w:val="21"/>
              </w:rPr>
            </w:pPr>
            <w:r>
              <w:rPr>
                <w:rFonts w:hint="eastAsia" w:ascii="Times New Roman" w:hAnsi="宋体" w:eastAsia="宋体" w:cs="Times New Roman"/>
                <w:color w:val="auto"/>
                <w:kern w:val="2"/>
                <w:sz w:val="21"/>
                <w:szCs w:val="21"/>
                <w:lang w:val="en-US" w:eastAsia="zh-CN" w:bidi="ar-SA"/>
              </w:rPr>
              <w:t>投标人在参与政府采购活动中出现诚信相关问题且在相关主管部门处理措施实施期限内的本项不得分，否则得满分。（投标人须提供 “信用中国官网(www.creditchina.gov.cn) ”查询截图，未提供不得分。）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3"/>
            <w:vAlign w:val="center"/>
          </w:tcPr>
          <w:p>
            <w:pPr>
              <w:pStyle w:val="3"/>
              <w:snapToGrid w:val="0"/>
              <w:spacing w:line="276" w:lineRule="auto"/>
              <w:ind w:firstLine="0"/>
              <w:rPr>
                <w:rFonts w:ascii="宋体" w:hAnsi="宋体" w:cs="宋体"/>
                <w:b/>
                <w:color w:val="000000"/>
                <w:spacing w:val="-6"/>
                <w:sz w:val="21"/>
                <w:szCs w:val="21"/>
              </w:rPr>
            </w:pPr>
            <w:r>
              <w:rPr>
                <w:rFonts w:hint="eastAsia" w:ascii="宋体" w:hAnsi="宋体" w:cs="宋体"/>
                <w:b/>
                <w:sz w:val="21"/>
                <w:szCs w:val="21"/>
              </w:rPr>
              <w:t>三、技术部分（</w:t>
            </w:r>
            <w:r>
              <w:rPr>
                <w:rFonts w:hint="eastAsia" w:ascii="宋体" w:hAnsi="宋体" w:cs="宋体"/>
                <w:b/>
                <w:sz w:val="21"/>
                <w:szCs w:val="21"/>
                <w:lang w:val="en-US" w:eastAsia="zh-CN"/>
              </w:rPr>
              <w:t>4</w:t>
            </w:r>
            <w:r>
              <w:rPr>
                <w:rFonts w:ascii="宋体" w:hAnsi="宋体" w:cs="宋体"/>
                <w:b/>
                <w:sz w:val="21"/>
                <w:szCs w:val="21"/>
              </w:rPr>
              <w:t>0</w:t>
            </w:r>
            <w:r>
              <w:rPr>
                <w:rFonts w:hint="eastAsia" w:ascii="宋体" w:hAnsi="宋体" w:cs="宋体"/>
                <w:b/>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821" w:type="pct"/>
            <w:vAlign w:val="center"/>
          </w:tcPr>
          <w:p>
            <w:pPr>
              <w:spacing w:line="276" w:lineRule="auto"/>
              <w:rPr>
                <w:rFonts w:ascii="宋体" w:hAnsi="宋体" w:cs="宋体"/>
                <w:bCs/>
                <w:szCs w:val="21"/>
              </w:rPr>
            </w:pPr>
            <w:r>
              <w:rPr>
                <w:rFonts w:hint="eastAsia" w:ascii="宋体" w:hAnsi="宋体" w:cs="宋体"/>
                <w:szCs w:val="21"/>
              </w:rPr>
              <w:t>产品性能、技术指标（</w:t>
            </w:r>
            <w:r>
              <w:rPr>
                <w:rFonts w:hint="eastAsia" w:ascii="宋体" w:hAnsi="宋体" w:cs="宋体"/>
                <w:szCs w:val="21"/>
                <w:lang w:val="en-US" w:eastAsia="zh-CN"/>
              </w:rPr>
              <w:t>30</w:t>
            </w:r>
            <w:r>
              <w:rPr>
                <w:rFonts w:hint="eastAsia" w:ascii="宋体" w:hAnsi="宋体" w:cs="宋体"/>
                <w:szCs w:val="21"/>
              </w:rPr>
              <w:t>分）</w:t>
            </w:r>
          </w:p>
        </w:tc>
        <w:tc>
          <w:tcPr>
            <w:tcW w:w="369" w:type="pct"/>
            <w:vAlign w:val="center"/>
          </w:tcPr>
          <w:p>
            <w:pPr>
              <w:spacing w:line="276" w:lineRule="auto"/>
              <w:jc w:val="center"/>
              <w:rPr>
                <w:rFonts w:hint="default" w:ascii="宋体" w:hAnsi="宋体" w:eastAsia="宋体" w:cs="宋体"/>
                <w:bCs/>
                <w:szCs w:val="21"/>
                <w:lang w:val="en-US" w:eastAsia="zh-CN"/>
              </w:rPr>
            </w:pPr>
            <w:r>
              <w:rPr>
                <w:rFonts w:hint="eastAsia" w:ascii="宋体" w:hAnsi="宋体" w:cs="宋体"/>
                <w:bCs/>
                <w:szCs w:val="21"/>
                <w:lang w:val="en-US" w:eastAsia="zh-CN"/>
              </w:rPr>
              <w:t>30</w:t>
            </w:r>
          </w:p>
        </w:tc>
        <w:tc>
          <w:tcPr>
            <w:tcW w:w="3809" w:type="pct"/>
            <w:vAlign w:val="center"/>
          </w:tcPr>
          <w:p>
            <w:pPr>
              <w:rPr>
                <w:rFonts w:hint="eastAsia"/>
              </w:rPr>
            </w:pPr>
            <w:r>
              <w:rPr>
                <w:rFonts w:hint="eastAsia"/>
              </w:rPr>
              <w:t>1.建立本院院感管理组织和协同架构，能对全院人员、院区及科室等进行维护</w:t>
            </w:r>
          </w:p>
          <w:p>
            <w:pPr>
              <w:rPr>
                <w:rFonts w:hint="eastAsia"/>
              </w:rPr>
            </w:pPr>
            <w:r>
              <w:rPr>
                <w:rFonts w:hint="eastAsia"/>
              </w:rPr>
              <w:t>2.建立本院院感知识管理体系，包括法律法规、规范、指南、制度流程、学术科研资料等</w:t>
            </w:r>
          </w:p>
          <w:p>
            <w:pPr>
              <w:rPr>
                <w:rFonts w:hint="eastAsia"/>
              </w:rPr>
            </w:pPr>
            <w:r>
              <w:rPr>
                <w:rFonts w:hint="eastAsia"/>
              </w:rPr>
              <w:t>3.建立本院学习培训与胜任力评价体系，适合各级医务人员感控培训、测评考试，提供参考的课件及试题并支持上传本院自己的培训资料及试题</w:t>
            </w:r>
          </w:p>
          <w:p>
            <w:pPr>
              <w:rPr>
                <w:rFonts w:hint="eastAsia" w:eastAsia="宋体"/>
                <w:lang w:val="en-US" w:eastAsia="zh-CN"/>
              </w:rPr>
            </w:pPr>
            <w:r>
              <w:rPr>
                <w:rFonts w:hint="eastAsia"/>
              </w:rPr>
              <w:t>4.建立本院院科两级协同改进及风险管理体系，从“发现问题-分析-改进-评价/总结”全过程在线，包括督查常见问题与管理对策知识库、风险评估、风险因素库、风险解决方案库等内容体系</w:t>
            </w:r>
            <w:r>
              <w:rPr>
                <w:rFonts w:hint="eastAsia"/>
                <w:lang w:eastAsia="zh-CN"/>
              </w:rPr>
              <w:t>。</w:t>
            </w:r>
          </w:p>
          <w:p>
            <w:pPr>
              <w:rPr>
                <w:rFonts w:hint="eastAsia"/>
              </w:rPr>
            </w:pPr>
            <w:r>
              <w:rPr>
                <w:rFonts w:hint="eastAsia"/>
              </w:rPr>
              <w:t>5.建立本院院感质量管理体系，各项措施执行依从性督查，精细化管理持续改进流程；支出提供参考的智能查检表模板，同时可支持多种评价方式上传院内现有查检表</w:t>
            </w:r>
          </w:p>
          <w:p>
            <w:pPr>
              <w:rPr>
                <w:rFonts w:hint="eastAsia"/>
              </w:rPr>
            </w:pPr>
            <w:r>
              <w:rPr>
                <w:rFonts w:hint="eastAsia"/>
              </w:rPr>
              <w:t>6.建立本院用品消耗成本及消耗指标分析体系，通过用品消耗的各项指标分析，间接验证防控措施执行依从及成本收益评估.可供临床科室录入手消数据，同时系统自动汇总统计</w:t>
            </w:r>
          </w:p>
          <w:p>
            <w:pPr>
              <w:spacing w:line="320" w:lineRule="exact"/>
              <w:rPr>
                <w:rFonts w:hint="eastAsia"/>
                <w:szCs w:val="21"/>
              </w:rPr>
            </w:pPr>
          </w:p>
          <w:p>
            <w:pPr>
              <w:spacing w:line="276" w:lineRule="auto"/>
              <w:rPr>
                <w:rFonts w:ascii="宋体" w:hAnsi="宋体"/>
                <w:szCs w:val="21"/>
              </w:rPr>
            </w:pPr>
            <w:r>
              <w:rPr>
                <w:rFonts w:hint="eastAsia" w:hAnsi="宋体" w:cs="宋体"/>
                <w:bCs/>
                <w:szCs w:val="21"/>
                <w:lang w:val="en-US" w:eastAsia="zh-CN"/>
              </w:rPr>
              <w:t>以上共6条，每条</w:t>
            </w:r>
            <w:r>
              <w:rPr>
                <w:rFonts w:hint="eastAsia" w:hAnsi="宋体" w:cs="宋体"/>
                <w:bCs/>
                <w:szCs w:val="21"/>
              </w:rPr>
              <w:t>技术参数</w:t>
            </w:r>
            <w:r>
              <w:rPr>
                <w:rFonts w:hint="eastAsia" w:hAnsi="宋体" w:cs="宋体"/>
                <w:bCs/>
                <w:szCs w:val="21"/>
                <w:lang w:val="en-US" w:eastAsia="zh-CN"/>
              </w:rPr>
              <w:t>各5分，满足条件得5分，不满足得0分。</w:t>
            </w:r>
            <w:r>
              <w:rPr>
                <w:rFonts w:hint="eastAsia" w:hAnsi="宋体" w:cs="宋体"/>
                <w:bCs/>
                <w:szCs w:val="21"/>
              </w:rPr>
              <w:t>要求提供对应功能的详细介绍、软件界面截图、证明材料等真实资料作为佐证，否则不得分。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821" w:type="pct"/>
            <w:vAlign w:val="center"/>
          </w:tcPr>
          <w:p>
            <w:pPr>
              <w:spacing w:line="276" w:lineRule="auto"/>
              <w:rPr>
                <w:rFonts w:ascii="宋体" w:hAnsi="宋体" w:cs="宋体"/>
                <w:szCs w:val="21"/>
              </w:rPr>
            </w:pPr>
            <w:r>
              <w:rPr>
                <w:rFonts w:hAnsi="宋体"/>
                <w:color w:val="auto"/>
                <w:kern w:val="0"/>
                <w:szCs w:val="21"/>
              </w:rPr>
              <w:t>项目进度安排方案</w:t>
            </w:r>
            <w:r>
              <w:rPr>
                <w:rFonts w:hint="eastAsia" w:ascii="宋体" w:hAnsi="宋体" w:cs="宋体"/>
                <w:kern w:val="0"/>
                <w:szCs w:val="21"/>
              </w:rPr>
              <w:t>（</w:t>
            </w:r>
            <w:r>
              <w:rPr>
                <w:rFonts w:hint="eastAsia" w:ascii="宋体" w:hAnsi="宋体" w:cs="宋体"/>
                <w:kern w:val="0"/>
                <w:szCs w:val="21"/>
                <w:lang w:val="en-US" w:eastAsia="zh-CN"/>
              </w:rPr>
              <w:t>10</w:t>
            </w:r>
            <w:r>
              <w:rPr>
                <w:rFonts w:hint="eastAsia" w:ascii="宋体" w:hAnsi="宋体" w:cs="宋体"/>
                <w:kern w:val="0"/>
                <w:szCs w:val="21"/>
              </w:rPr>
              <w:t>分）</w:t>
            </w:r>
          </w:p>
        </w:tc>
        <w:tc>
          <w:tcPr>
            <w:tcW w:w="369" w:type="pct"/>
            <w:vAlign w:val="center"/>
          </w:tcPr>
          <w:p>
            <w:pPr>
              <w:spacing w:line="276" w:lineRule="auto"/>
              <w:jc w:val="center"/>
              <w:rPr>
                <w:rFonts w:hint="default" w:ascii="宋体" w:hAnsi="宋体" w:eastAsia="宋体" w:cs="宋体"/>
                <w:bCs/>
                <w:szCs w:val="21"/>
                <w:lang w:val="en-US" w:eastAsia="zh-CN"/>
              </w:rPr>
            </w:pPr>
            <w:r>
              <w:rPr>
                <w:rFonts w:hint="eastAsia" w:ascii="宋体" w:hAnsi="宋体" w:cs="宋体"/>
                <w:bCs/>
                <w:szCs w:val="21"/>
                <w:lang w:val="en-US" w:eastAsia="zh-CN"/>
              </w:rPr>
              <w:t>10</w:t>
            </w:r>
          </w:p>
        </w:tc>
        <w:tc>
          <w:tcPr>
            <w:tcW w:w="3809" w:type="pct"/>
            <w:vAlign w:val="center"/>
          </w:tcPr>
          <w:p>
            <w:pPr>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根据投标人项目实施团队的技术及服务团队人员数量及项目实施的时间合理性等综合评定。</w:t>
            </w:r>
          </w:p>
          <w:p>
            <w:pPr>
              <w:jc w:val="left"/>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优</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配置1名培训实施人员及1名售后服务人员，按照项目实施计划时间节点无延期</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10</w:t>
            </w:r>
            <w:r>
              <w:rPr>
                <w:rFonts w:hint="eastAsia" w:ascii="宋体" w:hAnsi="宋体"/>
                <w:color w:val="000000" w:themeColor="text1"/>
                <w:szCs w:val="21"/>
                <w14:textFill>
                  <w14:solidFill>
                    <w14:schemeClr w14:val="tx1"/>
                  </w14:solidFill>
                </w14:textFill>
              </w:rPr>
              <w:t>分</w:t>
            </w:r>
            <w:r>
              <w:rPr>
                <w:rFonts w:hint="eastAsia" w:ascii="宋体" w:hAnsi="宋体"/>
                <w:color w:val="000000" w:themeColor="text1"/>
                <w:szCs w:val="21"/>
                <w:lang w:eastAsia="zh-CN"/>
                <w14:textFill>
                  <w14:solidFill>
                    <w14:schemeClr w14:val="tx1"/>
                  </w14:solidFill>
                </w14:textFill>
              </w:rPr>
              <w:t>；</w:t>
            </w:r>
          </w:p>
          <w:p>
            <w:pPr>
              <w:jc w:val="left"/>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良</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配置1名培训实施人员及1名售后服务人员，项目实施计划存在延期两天以内</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6</w:t>
            </w:r>
            <w:r>
              <w:rPr>
                <w:rFonts w:hint="eastAsia" w:ascii="宋体" w:hAnsi="宋体"/>
                <w:color w:val="000000" w:themeColor="text1"/>
                <w:szCs w:val="21"/>
                <w14:textFill>
                  <w14:solidFill>
                    <w14:schemeClr w14:val="tx1"/>
                  </w14:solidFill>
                </w14:textFill>
              </w:rPr>
              <w:t>分</w:t>
            </w:r>
            <w:r>
              <w:rPr>
                <w:rFonts w:hint="eastAsia" w:ascii="宋体" w:hAnsi="宋体"/>
                <w:color w:val="000000" w:themeColor="text1"/>
                <w:szCs w:val="21"/>
                <w:lang w:eastAsia="zh-CN"/>
                <w14:textFill>
                  <w14:solidFill>
                    <w14:schemeClr w14:val="tx1"/>
                  </w14:solidFill>
                </w14:textFill>
              </w:rPr>
              <w:t>；</w:t>
            </w:r>
          </w:p>
          <w:p>
            <w:pPr>
              <w:jc w:val="left"/>
              <w:rPr>
                <w:rFonts w:hint="eastAsia"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中</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配置1名服务人员对接培训与售后，项目实施计划存在延期五天以内</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3分</w:t>
            </w:r>
            <w:r>
              <w:rPr>
                <w:rFonts w:hint="eastAsia" w:ascii="宋体" w:hAnsi="宋体"/>
                <w:color w:val="000000" w:themeColor="text1"/>
                <w:szCs w:val="21"/>
                <w:lang w:eastAsia="zh-CN"/>
                <w14:textFill>
                  <w14:solidFill>
                    <w14:schemeClr w14:val="tx1"/>
                  </w14:solidFill>
                </w14:textFill>
              </w:rPr>
              <w:t>；</w:t>
            </w:r>
          </w:p>
          <w:p>
            <w:pPr>
              <w:rPr>
                <w:rFonts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差</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不提供培训，安排1人售后服务人员，项目实施计划计划存在延期五天以上</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0</w:t>
            </w:r>
            <w:r>
              <w:rPr>
                <w:rFonts w:hint="eastAsia" w:ascii="宋体" w:hAnsi="宋体"/>
                <w:color w:val="000000" w:themeColor="text1"/>
                <w:szCs w:val="21"/>
                <w14:textFill>
                  <w14:solidFill>
                    <w14:schemeClr w14:val="tx1"/>
                  </w14:solidFill>
                </w14:textFill>
              </w:rPr>
              <w:t>分。</w:t>
            </w:r>
          </w:p>
        </w:tc>
      </w:tr>
    </w:tbl>
    <w:p>
      <w:pPr>
        <w:pStyle w:val="15"/>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w:t>
      </w:r>
      <w:bookmarkStart w:id="6" w:name="_GoBack"/>
      <w:bookmarkEnd w:id="6"/>
      <w:r>
        <w:rPr>
          <w:rFonts w:hint="eastAsia" w:ascii="宋体" w:hAnsi="宋体" w:cs="宋体"/>
          <w:color w:val="auto"/>
          <w:sz w:val="28"/>
          <w:szCs w:val="28"/>
        </w:rPr>
        <w:t>由低到高顺序排列；综合得分且投标报价得分相同的，按技术得分由高到低顺序排列。</w:t>
      </w:r>
    </w:p>
    <w:p>
      <w:pPr>
        <w:pStyle w:val="15"/>
        <w:rPr>
          <w:color w:val="auto"/>
        </w:rPr>
      </w:pPr>
    </w:p>
    <w:p>
      <w:pPr>
        <w:rPr>
          <w:color w:val="auto"/>
        </w:rPr>
      </w:pPr>
      <w:r>
        <w:rPr>
          <w:color w:val="auto"/>
        </w:rPr>
        <w:br w:type="page"/>
      </w:r>
    </w:p>
    <w:p>
      <w:pPr>
        <w:pStyle w:val="15"/>
        <w:rPr>
          <w:color w:val="auto"/>
        </w:rPr>
      </w:pPr>
    </w:p>
    <w:p>
      <w:pPr>
        <w:pStyle w:val="15"/>
        <w:widowControl w:val="0"/>
        <w:numPr>
          <w:ilvl w:val="0"/>
          <w:numId w:val="0"/>
        </w:numPr>
        <w:jc w:val="both"/>
        <w:rPr>
          <w:color w:val="auto"/>
          <w:sz w:val="28"/>
          <w:szCs w:val="28"/>
        </w:rPr>
      </w:pPr>
    </w:p>
    <w:p>
      <w:pPr>
        <w:pStyle w:val="15"/>
        <w:widowControl w:val="0"/>
        <w:numPr>
          <w:ilvl w:val="0"/>
          <w:numId w:val="0"/>
        </w:numPr>
        <w:jc w:val="both"/>
        <w:rPr>
          <w:color w:val="auto"/>
          <w:sz w:val="28"/>
          <w:szCs w:val="28"/>
        </w:rPr>
      </w:pPr>
    </w:p>
    <w:p>
      <w:pPr>
        <w:pStyle w:val="6"/>
        <w:numPr>
          <w:ilvl w:val="0"/>
          <w:numId w:val="3"/>
        </w:numPr>
        <w:spacing w:line="240" w:lineRule="auto"/>
        <w:ind w:firstLine="2409" w:firstLineChars="800"/>
        <w:jc w:val="both"/>
        <w:rPr>
          <w:rFonts w:hint="eastAsia" w:ascii="宋体" w:hAnsi="宋体" w:cs="宋体"/>
          <w:color w:val="auto"/>
          <w:sz w:val="30"/>
          <w:szCs w:val="30"/>
        </w:rPr>
      </w:pPr>
      <w:bookmarkStart w:id="3"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3"/>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7"/>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4" w:name="_Toc476514128"/>
      <w:bookmarkStart w:id="5" w:name="_Toc486424819"/>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4"/>
    <w:bookmarkEnd w:id="5"/>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5"/>
      </w:pPr>
    </w:p>
    <w:p>
      <w:pPr>
        <w:spacing w:before="120" w:beforeLines="50" w:after="120" w:afterLines="50" w:line="276" w:lineRule="auto"/>
        <w:rPr>
          <w:rFonts w:hint="eastAsia" w:eastAsia="宋体"/>
          <w:b/>
          <w:bCs/>
          <w:color w:val="auto"/>
          <w:sz w:val="28"/>
          <w:szCs w:val="28"/>
          <w:lang w:eastAsia="zh-CN"/>
        </w:rPr>
      </w:pPr>
    </w:p>
    <w:p>
      <w:pPr>
        <w:pStyle w:val="15"/>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6"/>
        <w:rPr>
          <w:color w:val="auto"/>
        </w:rPr>
      </w:pPr>
    </w:p>
    <w:p>
      <w:pPr>
        <w:pStyle w:val="16"/>
        <w:rPr>
          <w:color w:val="auto"/>
        </w:rPr>
      </w:pPr>
    </w:p>
    <w:p>
      <w:pPr>
        <w:pStyle w:val="16"/>
        <w:rPr>
          <w:color w:val="auto"/>
        </w:rPr>
      </w:pP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color w:val="auto"/>
        </w:rPr>
      </w:pPr>
    </w:p>
    <w:p>
      <w:pPr>
        <w:pStyle w:val="16"/>
        <w:rPr>
          <w:rFonts w:hint="eastAsia"/>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rFonts w:hint="eastAsia"/>
          <w:color w:val="auto"/>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7"/>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5"/>
        <w:numPr>
          <w:ilvl w:val="0"/>
          <w:numId w:val="0"/>
        </w:numPr>
        <w:rPr>
          <w:rFonts w:hint="eastAsia"/>
          <w:lang w:eastAsia="zh-CN"/>
        </w:rPr>
      </w:pPr>
    </w:p>
    <w:p/>
    <w:p/>
    <w:p/>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DA416E57"/>
    <w:multiLevelType w:val="singleLevel"/>
    <w:tmpl w:val="DA416E57"/>
    <w:lvl w:ilvl="0" w:tentative="0">
      <w:start w:val="1"/>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313E4ABB"/>
    <w:rsid w:val="313E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next w:val="4"/>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3">
    <w:name w:val="Body Text Indent"/>
    <w:basedOn w:val="1"/>
    <w:next w:val="1"/>
    <w:qFormat/>
    <w:uiPriority w:val="99"/>
    <w:pPr>
      <w:spacing w:line="400" w:lineRule="exact"/>
      <w:ind w:left="630"/>
    </w:pPr>
    <w:rPr>
      <w:rFonts w:ascii="楷体_GB2312"/>
      <w:sz w:val="30"/>
      <w:szCs w:val="30"/>
    </w:rPr>
  </w:style>
  <w:style w:type="paragraph" w:styleId="4">
    <w:name w:val="Normal Indent"/>
    <w:basedOn w:val="1"/>
    <w:next w:val="5"/>
    <w:qFormat/>
    <w:uiPriority w:val="0"/>
    <w:pPr>
      <w:spacing w:line="360" w:lineRule="auto"/>
      <w:ind w:firstLine="480" w:firstLineChars="200"/>
    </w:pPr>
    <w:rPr>
      <w:rFonts w:ascii="Times New Roman" w:hAnsi="Times New Roman"/>
      <w:color w:val="000000"/>
      <w:sz w:val="24"/>
      <w:szCs w:val="18"/>
    </w:rPr>
  </w:style>
  <w:style w:type="paragraph" w:customStyle="1" w:styleId="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Indent 3"/>
    <w:basedOn w:val="1"/>
    <w:next w:val="1"/>
    <w:qFormat/>
    <w:uiPriority w:val="0"/>
    <w:pPr>
      <w:spacing w:after="120"/>
      <w:ind w:left="420" w:leftChars="200"/>
    </w:pPr>
    <w:rPr>
      <w:sz w:val="16"/>
      <w:szCs w:val="16"/>
    </w:rPr>
  </w:style>
  <w:style w:type="paragraph" w:styleId="11">
    <w:name w:val="Normal (Web)"/>
    <w:basedOn w:val="1"/>
    <w:qFormat/>
    <w:uiPriority w:val="0"/>
    <w:rPr>
      <w:sz w:val="24"/>
    </w:rPr>
  </w:style>
  <w:style w:type="paragraph" w:customStyle="1" w:styleId="14">
    <w:name w:val="大标题"/>
    <w:basedOn w:val="1"/>
    <w:next w:val="2"/>
    <w:autoRedefine/>
    <w:qFormat/>
    <w:uiPriority w:val="0"/>
    <w:pPr>
      <w:jc w:val="center"/>
    </w:pPr>
    <w:rPr>
      <w:rFonts w:ascii="Arial" w:hAnsi="Arial" w:eastAsia="宋体"/>
      <w:b/>
      <w:sz w:val="28"/>
      <w:szCs w:val="24"/>
    </w:rPr>
  </w:style>
  <w:style w:type="paragraph" w:customStyle="1" w:styleId="15">
    <w:name w:val="列出段落1"/>
    <w:basedOn w:val="1"/>
    <w:autoRedefine/>
    <w:qFormat/>
    <w:uiPriority w:val="99"/>
    <w:pPr>
      <w:ind w:firstLine="420" w:firstLineChars="200"/>
    </w:pPr>
  </w:style>
  <w:style w:type="paragraph" w:customStyle="1" w:styleId="1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autoRedefine/>
    <w:qFormat/>
    <w:uiPriority w:val="34"/>
    <w:pPr>
      <w:ind w:firstLine="420" w:firstLineChars="200"/>
    </w:pPr>
    <w:rPr>
      <w:rFonts w:ascii="Calibri" w:hAnsi="Calibri"/>
      <w:szCs w:val="22"/>
    </w:rPr>
  </w:style>
  <w:style w:type="paragraph" w:customStyle="1" w:styleId="18">
    <w:name w:val="样式1"/>
    <w:basedOn w:val="1"/>
    <w:autoRedefine/>
    <w:qFormat/>
    <w:uiPriority w:val="99"/>
    <w:rPr>
      <w:rFonts w:eastAsia="仿宋_GB2312"/>
      <w:sz w:val="32"/>
    </w:rPr>
  </w:style>
  <w:style w:type="character" w:customStyle="1" w:styleId="19">
    <w:name w:val="font31"/>
    <w:basedOn w:val="13"/>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2024-04-10T01:03:00Z</dcterms:created>
  <dc:creator>是小豹子</dc:creator>
  <cp:lastModifiedBy>是小豹子</cp:lastModifiedBy>
  <dcterms:modified xsi:type="dcterms:W3CDTF">2024-04-10T01:22:40Z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79A80F5B5ED14F46AA486468D9F5BCBF_11</vt:lpwstr>
  </property>
</Properties>
</file>