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snapToGrid w:val="0"/>
        <w:jc w:val="center"/>
        <w:rPr>
          <w:rFonts w:ascii="Arial" w:hAnsi="Arial" w:eastAsia="方正小标宋简体" w:cs="Arial"/>
          <w:color w:val="auto"/>
          <w:sz w:val="72"/>
          <w:szCs w:val="72"/>
        </w:rPr>
      </w:pPr>
      <w:bookmarkStart w:id="0" w:name="_Toc16523570"/>
    </w:p>
    <w:p>
      <w:pPr>
        <w:pStyle w:val="17"/>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7"/>
        <w:snapToGrid w:val="0"/>
        <w:jc w:val="center"/>
        <w:rPr>
          <w:rFonts w:ascii="Arial" w:hAnsi="Arial" w:eastAsia="方正小标宋简体" w:cs="Arial"/>
          <w:sz w:val="72"/>
          <w:szCs w:val="72"/>
        </w:rPr>
      </w:pPr>
    </w:p>
    <w:p>
      <w:pPr>
        <w:pStyle w:val="17"/>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7"/>
        <w:snapToGrid w:val="0"/>
        <w:jc w:val="center"/>
        <w:rPr>
          <w:rFonts w:ascii="Arial" w:hAnsi="Arial" w:eastAsia="方正小标宋简体" w:cs="Arial"/>
          <w:sz w:val="72"/>
          <w:szCs w:val="72"/>
        </w:rPr>
      </w:pPr>
    </w:p>
    <w:p>
      <w:pPr>
        <w:pStyle w:val="17"/>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7"/>
        <w:snapToGrid w:val="0"/>
        <w:jc w:val="center"/>
        <w:rPr>
          <w:rFonts w:ascii="Arial" w:hAnsi="Arial" w:eastAsia="方正小标宋简体" w:cs="Arial"/>
          <w:sz w:val="72"/>
          <w:szCs w:val="72"/>
        </w:rPr>
      </w:pPr>
    </w:p>
    <w:p>
      <w:pPr>
        <w:pStyle w:val="17"/>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7"/>
        <w:snapToGrid w:val="0"/>
        <w:jc w:val="center"/>
        <w:rPr>
          <w:rFonts w:ascii="Arial" w:hAnsi="Arial" w:eastAsia="方正小标宋简体" w:cs="Arial"/>
          <w:sz w:val="72"/>
          <w:szCs w:val="72"/>
        </w:rPr>
      </w:pPr>
    </w:p>
    <w:p>
      <w:pPr>
        <w:pStyle w:val="17"/>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7"/>
        <w:snapToGrid w:val="0"/>
        <w:jc w:val="center"/>
        <w:rPr>
          <w:rFonts w:ascii="Arial" w:hAnsi="Arial" w:cs="Arial"/>
          <w:sz w:val="32"/>
          <w:szCs w:val="32"/>
        </w:rPr>
      </w:pPr>
    </w:p>
    <w:p>
      <w:pPr>
        <w:pStyle w:val="17"/>
        <w:snapToGrid w:val="0"/>
        <w:jc w:val="center"/>
        <w:rPr>
          <w:rFonts w:ascii="Arial" w:hAnsi="Arial" w:cs="Arial"/>
          <w:sz w:val="32"/>
          <w:szCs w:val="32"/>
        </w:rPr>
      </w:pPr>
    </w:p>
    <w:p>
      <w:pPr>
        <w:pStyle w:val="17"/>
        <w:snapToGrid w:val="0"/>
        <w:jc w:val="center"/>
        <w:rPr>
          <w:rFonts w:ascii="Arial" w:hAnsi="Arial" w:cs="Arial"/>
          <w:sz w:val="32"/>
          <w:szCs w:val="32"/>
        </w:rPr>
      </w:pPr>
    </w:p>
    <w:p>
      <w:pPr>
        <w:spacing w:line="360" w:lineRule="auto"/>
        <w:rPr>
          <w:rFonts w:hint="eastAsia"/>
          <w:bCs/>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ascii="宋体" w:hAnsi="宋体"/>
          <w:sz w:val="32"/>
          <w:szCs w:val="32"/>
          <w:lang w:eastAsia="zh-CN"/>
        </w:rPr>
        <w:t>娄底市中心医院Ⅰ期临床研究中心备案服务项目</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w:t>
      </w:r>
      <w:r>
        <w:rPr>
          <w:rFonts w:hint="eastAsia" w:ascii="Times New Roman" w:hAnsi="Times New Roman" w:eastAsia="宋体" w:cs="Times New Roman"/>
          <w:b/>
          <w:bCs/>
          <w:kern w:val="44"/>
          <w:sz w:val="32"/>
          <w:szCs w:val="32"/>
          <w:lang w:val="en-US" w:eastAsia="zh-CN" w:bidi="ar-SA"/>
        </w:rPr>
        <w:t>院内招标）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四</w:t>
      </w:r>
      <w:r>
        <w:rPr>
          <w:rFonts w:hint="eastAsia" w:ascii="宋体" w:hAnsi="宋体" w:cs="宋体"/>
          <w:bCs/>
          <w:sz w:val="32"/>
          <w:szCs w:val="32"/>
        </w:rPr>
        <w:t>年</w:t>
      </w:r>
      <w:r>
        <w:rPr>
          <w:rFonts w:hint="eastAsia" w:ascii="宋体" w:hAnsi="宋体" w:cs="宋体"/>
          <w:bCs/>
          <w:sz w:val="32"/>
          <w:szCs w:val="32"/>
          <w:lang w:val="en-US" w:eastAsia="zh-CN"/>
        </w:rPr>
        <w:t>八</w:t>
      </w:r>
      <w:r>
        <w:rPr>
          <w:rFonts w:hint="eastAsia" w:ascii="宋体" w:hAnsi="宋体" w:cs="宋体"/>
          <w:bCs/>
          <w:sz w:val="32"/>
          <w:szCs w:val="32"/>
        </w:rPr>
        <w:t>月</w:t>
      </w:r>
    </w:p>
    <w:p>
      <w:pPr>
        <w:pStyle w:val="3"/>
        <w:numPr>
          <w:ilvl w:val="0"/>
          <w:numId w:val="0"/>
        </w:numPr>
        <w:spacing w:line="240" w:lineRule="auto"/>
        <w:ind w:leftChars="0"/>
        <w:jc w:val="both"/>
        <w:rPr>
          <w:rFonts w:hint="eastAsia" w:ascii="宋体" w:hAnsi="宋体" w:cs="宋体"/>
          <w:color w:val="auto"/>
          <w:sz w:val="44"/>
          <w:szCs w:val="44"/>
          <w:lang w:val="en-US" w:eastAsia="zh-CN"/>
        </w:rPr>
      </w:pPr>
    </w:p>
    <w:p>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7"/>
        <w:numPr>
          <w:ilvl w:val="0"/>
          <w:numId w:val="0"/>
        </w:numPr>
        <w:tabs>
          <w:tab w:val="left" w:pos="312"/>
        </w:tabs>
        <w:snapToGrid w:val="0"/>
        <w:spacing w:line="480" w:lineRule="auto"/>
        <w:ind w:firstLine="640" w:firstLineChars="200"/>
        <w:rPr>
          <w:rFonts w:hint="eastAsia" w:asciiTheme="minorEastAsia" w:hAnsiTheme="minorEastAsia" w:eastAsiaTheme="minorEastAsia" w:cstheme="minorEastAsia"/>
          <w:bCs/>
          <w:color w:val="auto"/>
          <w:sz w:val="28"/>
          <w:szCs w:val="28"/>
          <w:lang w:val="en-US" w:eastAsia="zh-CN"/>
        </w:rPr>
      </w:pPr>
      <w:r>
        <w:rPr>
          <w:rFonts w:hint="eastAsia" w:ascii="宋体" w:hAnsi="宋体"/>
          <w:sz w:val="32"/>
          <w:szCs w:val="32"/>
          <w:u w:val="single"/>
          <w:lang w:eastAsia="zh-CN"/>
        </w:rPr>
        <w:t>娄底市中心医院Ⅰ期临床研究中心备案服务项目</w:t>
      </w:r>
      <w:r>
        <w:rPr>
          <w:rFonts w:hint="eastAsia" w:asciiTheme="minorEastAsia" w:hAnsiTheme="minorEastAsia" w:eastAsiaTheme="minorEastAsia" w:cstheme="minorEastAsia"/>
          <w:bCs/>
          <w:color w:val="auto"/>
          <w:sz w:val="28"/>
          <w:szCs w:val="28"/>
          <w:lang w:val="en-US" w:eastAsia="zh-CN"/>
        </w:rPr>
        <w:t>进行院内挂网招标，将招标事项公告如下：</w:t>
      </w:r>
    </w:p>
    <w:p>
      <w:pPr>
        <w:pStyle w:val="17"/>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7"/>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宋体" w:hAnsi="宋体"/>
          <w:sz w:val="32"/>
          <w:szCs w:val="32"/>
          <w:u w:val="single"/>
          <w:lang w:eastAsia="zh-CN"/>
        </w:rPr>
        <w:t>娄底市中心医院Ⅰ期临床研究中心备案服务项目</w:t>
      </w:r>
      <w:r>
        <w:rPr>
          <w:rFonts w:hint="eastAsia" w:asciiTheme="minorEastAsia" w:hAnsiTheme="minorEastAsia" w:eastAsiaTheme="minorEastAsia" w:cstheme="minorEastAsia"/>
          <w:b w:val="0"/>
          <w:bCs/>
          <w:color w:val="auto"/>
          <w:sz w:val="28"/>
          <w:szCs w:val="28"/>
          <w:lang w:val="en-US" w:eastAsia="zh-CN"/>
        </w:rPr>
        <w:t>采购项目</w:t>
      </w:r>
    </w:p>
    <w:p>
      <w:pPr>
        <w:pStyle w:val="17"/>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7"/>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1.院内公开挂网招标，根据投标人的资格性文件、商务标文件，重点参照投标人企业资质、信誉、类似项目情况、技术方案、服务方案以及投标报价，综合评定，综合得分由高到低排序。</w:t>
      </w:r>
    </w:p>
    <w:p>
      <w:pPr>
        <w:pStyle w:val="17"/>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p>
      <w:pPr>
        <w:pStyle w:val="17"/>
        <w:numPr>
          <w:ilvl w:val="0"/>
          <w:numId w:val="0"/>
        </w:numPr>
        <w:tabs>
          <w:tab w:val="left" w:pos="312"/>
        </w:tabs>
        <w:snapToGrid w:val="0"/>
        <w:spacing w:line="480" w:lineRule="auto"/>
        <w:ind w:firstLine="562" w:firstLineChars="200"/>
        <w:rPr>
          <w:rFonts w:hint="default" w:asciiTheme="minorEastAsia" w:hAnsiTheme="minorEastAsia" w:eastAsiaTheme="minorEastAsia" w:cstheme="minorEastAsia"/>
          <w:b/>
          <w:bCs w:val="0"/>
          <w:color w:val="auto"/>
          <w:sz w:val="28"/>
          <w:szCs w:val="28"/>
          <w:lang w:val="en-US" w:eastAsia="zh-CN" w:bidi="ar-SA"/>
        </w:rPr>
      </w:pPr>
      <w:r>
        <w:rPr>
          <w:rFonts w:hint="default" w:asciiTheme="minorEastAsia" w:hAnsiTheme="minorEastAsia" w:eastAsiaTheme="minorEastAsia" w:cstheme="minorEastAsia"/>
          <w:b/>
          <w:bCs w:val="0"/>
          <w:color w:val="auto"/>
          <w:sz w:val="28"/>
          <w:szCs w:val="28"/>
          <w:lang w:val="en-US" w:eastAsia="zh-CN" w:bidi="ar-SA"/>
        </w:rPr>
        <w:t>注意事项：</w:t>
      </w:r>
    </w:p>
    <w:p>
      <w:pPr>
        <w:pStyle w:val="17"/>
        <w:numPr>
          <w:ilvl w:val="0"/>
          <w:numId w:val="0"/>
        </w:numPr>
        <w:tabs>
          <w:tab w:val="left" w:pos="312"/>
        </w:tabs>
        <w:snapToGrid w:val="0"/>
        <w:spacing w:line="480" w:lineRule="auto"/>
        <w:ind w:firstLine="560" w:firstLineChars="200"/>
        <w:rPr>
          <w:rFonts w:hint="default" w:asciiTheme="minorEastAsia" w:hAnsiTheme="minorEastAsia" w:eastAsiaTheme="minorEastAsia" w:cstheme="minorEastAsia"/>
          <w:bCs/>
          <w:color w:val="auto"/>
          <w:sz w:val="28"/>
          <w:szCs w:val="28"/>
          <w:lang w:val="en-US" w:eastAsia="zh-CN" w:bidi="ar-SA"/>
        </w:rPr>
      </w:pPr>
      <w:r>
        <w:rPr>
          <w:rFonts w:hint="default" w:asciiTheme="minorEastAsia" w:hAnsiTheme="minorEastAsia" w:eastAsiaTheme="minorEastAsia" w:cstheme="minorEastAsia"/>
          <w:bCs/>
          <w:color w:val="auto"/>
          <w:sz w:val="28"/>
          <w:szCs w:val="28"/>
          <w:lang w:val="en-US" w:eastAsia="zh-CN" w:bidi="ar-SA"/>
        </w:rPr>
        <w:t>投标单位在提交投标文件时，应确保所提供的资料真实、准确、完整，并符合招标文件的要求。</w:t>
      </w:r>
    </w:p>
    <w:p>
      <w:pPr>
        <w:pStyle w:val="17"/>
        <w:numPr>
          <w:ilvl w:val="0"/>
          <w:numId w:val="0"/>
        </w:numPr>
        <w:tabs>
          <w:tab w:val="left" w:pos="312"/>
        </w:tabs>
        <w:snapToGrid w:val="0"/>
        <w:spacing w:line="480" w:lineRule="auto"/>
        <w:ind w:firstLine="560" w:firstLineChars="200"/>
        <w:rPr>
          <w:rFonts w:hint="default" w:asciiTheme="minorEastAsia" w:hAnsiTheme="minorEastAsia" w:eastAsiaTheme="minorEastAsia" w:cstheme="minorEastAsia"/>
          <w:bCs/>
          <w:color w:val="auto"/>
          <w:sz w:val="28"/>
          <w:szCs w:val="28"/>
          <w:lang w:val="en-US" w:eastAsia="zh-CN" w:bidi="ar-SA"/>
        </w:rPr>
      </w:pPr>
      <w:r>
        <w:rPr>
          <w:rFonts w:hint="default" w:asciiTheme="minorEastAsia" w:hAnsiTheme="minorEastAsia" w:eastAsiaTheme="minorEastAsia" w:cstheme="minorEastAsia"/>
          <w:bCs/>
          <w:color w:val="auto"/>
          <w:sz w:val="28"/>
          <w:szCs w:val="28"/>
          <w:lang w:val="en-US" w:eastAsia="zh-CN" w:bidi="ar-SA"/>
        </w:rPr>
        <w:t>中标单位在获得业务量份额后，需严格遵守合同约定，按时按质完成项目工作，否则将承担相应的违约责任。</w:t>
      </w:r>
    </w:p>
    <w:p>
      <w:pPr>
        <w:pStyle w:val="17"/>
        <w:numPr>
          <w:ilvl w:val="0"/>
          <w:numId w:val="0"/>
        </w:numPr>
        <w:tabs>
          <w:tab w:val="left" w:pos="312"/>
        </w:tabs>
        <w:snapToGrid w:val="0"/>
        <w:spacing w:line="480" w:lineRule="auto"/>
        <w:ind w:firstLine="560" w:firstLineChars="200"/>
        <w:rPr>
          <w:rFonts w:hint="default" w:asciiTheme="minorEastAsia" w:hAnsiTheme="minorEastAsia" w:eastAsiaTheme="minorEastAsia" w:cstheme="minorEastAsia"/>
          <w:bCs/>
          <w:color w:val="auto"/>
          <w:sz w:val="28"/>
          <w:szCs w:val="28"/>
          <w:lang w:val="en-US" w:eastAsia="zh-CN" w:bidi="ar-SA"/>
        </w:rPr>
      </w:pPr>
      <w:r>
        <w:rPr>
          <w:rFonts w:hint="default" w:asciiTheme="minorEastAsia" w:hAnsiTheme="minorEastAsia" w:eastAsiaTheme="minorEastAsia" w:cstheme="minorEastAsia"/>
          <w:bCs/>
          <w:color w:val="auto"/>
          <w:sz w:val="28"/>
          <w:szCs w:val="28"/>
          <w:lang w:val="en-US" w:eastAsia="zh-CN" w:bidi="ar-SA"/>
        </w:rPr>
        <w:t>招标单位保留对中标单位进行资格后审的权利，如发现中标单位在投标过程中存在虚假陈述、欺诈行为或其他不符合招标文件要求的情形，招标单位有权取消其中标资格，并追究其法律责任。</w:t>
      </w:r>
    </w:p>
    <w:bookmarkEnd w:id="0"/>
    <w:p>
      <w:pPr>
        <w:pStyle w:val="17"/>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17"/>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  1、具有独立法人地位，营业执照具有相应的经营范围；</w:t>
      </w:r>
    </w:p>
    <w:p>
      <w:pPr>
        <w:pStyle w:val="17"/>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17"/>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17"/>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default" w:asciiTheme="minorEastAsia" w:hAnsiTheme="minorEastAsia" w:eastAsiaTheme="minorEastAsia" w:cstheme="minorEastAsia"/>
          <w:b w:val="0"/>
          <w:bCs/>
          <w:color w:val="auto"/>
          <w:sz w:val="28"/>
          <w:szCs w:val="28"/>
          <w:lang w:val="en-US" w:eastAsia="zh-CN" w:bidi="ar-SA"/>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1.投标报名截止时间：2024年8月16日18：00（北京时间）</w:t>
      </w:r>
    </w:p>
    <w:p>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2.开标时间：2024年8月14</w:t>
      </w:r>
      <w:bookmarkStart w:id="5" w:name="_GoBack"/>
      <w:bookmarkEnd w:id="5"/>
      <w:r>
        <w:rPr>
          <w:rFonts w:hint="eastAsia" w:asciiTheme="minorEastAsia" w:hAnsiTheme="minorEastAsia" w:eastAsiaTheme="minorEastAsia" w:cstheme="minorEastAsia"/>
          <w:bCs/>
          <w:color w:val="auto"/>
          <w:sz w:val="28"/>
          <w:szCs w:val="28"/>
          <w:lang w:val="en-US" w:eastAsia="zh-CN"/>
        </w:rPr>
        <w:t xml:space="preserve">日9:00 </w:t>
      </w:r>
    </w:p>
    <w:p>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3.开标地点：娄底市长青中街51号E区6楼评标室（远程会诊中心）</w:t>
      </w:r>
    </w:p>
    <w:p>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4.报名方式：通过短信形式报名（报名格式：参与项目名称，公司名称，联系人，联系方式。）</w:t>
      </w:r>
    </w:p>
    <w:p>
      <w:pPr>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br w:type="page"/>
      </w:r>
    </w:p>
    <w:p>
      <w:pPr>
        <w:rPr>
          <w:rFonts w:hint="default" w:asciiTheme="minorEastAsia" w:hAnsiTheme="minorEastAsia" w:eastAsiaTheme="minorEastAsia" w:cstheme="minorEastAsia"/>
          <w:bCs/>
          <w:color w:val="auto"/>
          <w:sz w:val="28"/>
          <w:szCs w:val="28"/>
          <w:lang w:val="en-US" w:eastAsia="zh-CN"/>
        </w:rPr>
      </w:pPr>
    </w:p>
    <w:p>
      <w:pPr>
        <w:pStyle w:val="17"/>
        <w:numPr>
          <w:ilvl w:val="0"/>
          <w:numId w:val="0"/>
        </w:numPr>
        <w:tabs>
          <w:tab w:val="left" w:pos="312"/>
        </w:tabs>
        <w:snapToGrid w:val="0"/>
        <w:spacing w:line="480" w:lineRule="auto"/>
        <w:jc w:val="center"/>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13"/>
        <w:tblW w:w="4366"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086"/>
        <w:gridCol w:w="2792"/>
        <w:gridCol w:w="2013"/>
        <w:gridCol w:w="192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47" w:hRule="atLeast"/>
          <w:jc w:val="center"/>
        </w:trPr>
        <w:tc>
          <w:tcPr>
            <w:tcW w:w="695" w:type="pct"/>
            <w:noWrap w:val="0"/>
            <w:vAlign w:val="center"/>
          </w:tcPr>
          <w:p>
            <w:pPr>
              <w:jc w:val="center"/>
              <w:rPr>
                <w:rFonts w:hint="eastAsia" w:ascii="Times New Roman" w:hAnsi="Times New Roman" w:eastAsia="宋体" w:cs="Times New Roman"/>
                <w:color w:val="auto"/>
                <w:kern w:val="2"/>
                <w:sz w:val="24"/>
                <w:szCs w:val="24"/>
                <w:highlight w:val="none"/>
                <w:lang w:val="en-US" w:eastAsia="zh-CN" w:bidi="ar-SA"/>
              </w:rPr>
            </w:pPr>
            <w:r>
              <w:rPr>
                <w:rFonts w:hint="eastAsia"/>
                <w:color w:val="auto"/>
                <w:sz w:val="24"/>
                <w:highlight w:val="none"/>
                <w:lang w:val="en-US" w:eastAsia="zh-CN"/>
              </w:rPr>
              <w:t>包</w:t>
            </w:r>
            <w:r>
              <w:rPr>
                <w:rFonts w:hint="eastAsia"/>
                <w:color w:val="auto"/>
                <w:sz w:val="24"/>
                <w:highlight w:val="none"/>
                <w:lang w:eastAsia="zh-CN"/>
              </w:rPr>
              <w:t>号</w:t>
            </w:r>
          </w:p>
        </w:tc>
        <w:tc>
          <w:tcPr>
            <w:tcW w:w="1786" w:type="pct"/>
            <w:noWrap w:val="0"/>
            <w:vAlign w:val="center"/>
          </w:tcPr>
          <w:p>
            <w:pPr>
              <w:jc w:val="center"/>
              <w:rPr>
                <w:rFonts w:hint="eastAsia" w:eastAsia="宋体"/>
                <w:color w:val="auto"/>
                <w:sz w:val="24"/>
                <w:highlight w:val="none"/>
                <w:lang w:eastAsia="zh-CN"/>
              </w:rPr>
            </w:pPr>
            <w:r>
              <w:rPr>
                <w:rFonts w:hint="eastAsia"/>
                <w:color w:val="auto"/>
                <w:sz w:val="24"/>
                <w:highlight w:val="none"/>
                <w:lang w:val="en-US" w:eastAsia="zh-CN"/>
              </w:rPr>
              <w:t>包名</w:t>
            </w:r>
          </w:p>
        </w:tc>
        <w:tc>
          <w:tcPr>
            <w:tcW w:w="1288" w:type="pct"/>
            <w:noWrap w:val="0"/>
            <w:vAlign w:val="center"/>
          </w:tcPr>
          <w:p>
            <w:pPr>
              <w:jc w:val="center"/>
              <w:rPr>
                <w:rFonts w:hint="default"/>
                <w:color w:val="auto"/>
                <w:sz w:val="24"/>
                <w:highlight w:val="none"/>
                <w:lang w:val="en-US" w:eastAsia="zh-CN"/>
              </w:rPr>
            </w:pPr>
            <w:r>
              <w:rPr>
                <w:rFonts w:hint="eastAsia"/>
                <w:color w:val="auto"/>
                <w:sz w:val="24"/>
                <w:highlight w:val="none"/>
                <w:lang w:val="en-US" w:eastAsia="zh-CN"/>
              </w:rPr>
              <w:t>服务期限</w:t>
            </w:r>
          </w:p>
        </w:tc>
        <w:tc>
          <w:tcPr>
            <w:tcW w:w="1229" w:type="pct"/>
            <w:noWrap w:val="0"/>
            <w:vAlign w:val="center"/>
          </w:tcPr>
          <w:p>
            <w:pPr>
              <w:jc w:val="center"/>
              <w:rPr>
                <w:rFonts w:hint="eastAsia" w:ascii="Times New Roman" w:hAnsi="Times New Roman" w:eastAsia="宋体" w:cs="Times New Roman"/>
                <w:color w:val="auto"/>
                <w:sz w:val="24"/>
                <w:highlight w:val="none"/>
                <w:lang w:val="en-US" w:eastAsia="zh-CN"/>
              </w:rPr>
            </w:pPr>
            <w:r>
              <w:rPr>
                <w:rFonts w:hint="eastAsia" w:ascii="Times New Roman" w:hAnsi="Times New Roman" w:eastAsia="宋体" w:cs="Times New Roman"/>
                <w:color w:val="auto"/>
                <w:sz w:val="24"/>
                <w:highlight w:val="none"/>
                <w:lang w:val="en-US" w:eastAsia="zh-CN"/>
              </w:rPr>
              <w:t>年采购预算</w:t>
            </w:r>
          </w:p>
          <w:p>
            <w:pPr>
              <w:jc w:val="center"/>
              <w:rPr>
                <w:rFonts w:hint="default" w:ascii="Times New Roman" w:hAnsi="Times New Roman" w:eastAsia="宋体" w:cs="Times New Roman"/>
                <w:color w:val="auto"/>
                <w:sz w:val="24"/>
                <w:highlight w:val="none"/>
                <w:lang w:val="en-US" w:eastAsia="zh-CN"/>
              </w:rPr>
            </w:pPr>
            <w:r>
              <w:rPr>
                <w:rFonts w:hint="eastAsia" w:ascii="Times New Roman" w:hAnsi="Times New Roman" w:eastAsia="宋体" w:cs="Times New Roman"/>
                <w:color w:val="auto"/>
                <w:sz w:val="24"/>
                <w:highlight w:val="none"/>
                <w:lang w:val="en-US" w:eastAsia="zh-CN"/>
              </w:rPr>
              <w:t>(万元）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695" w:type="pct"/>
            <w:noWrap w:val="0"/>
            <w:vAlign w:val="center"/>
          </w:tcPr>
          <w:p>
            <w:pPr>
              <w:jc w:val="center"/>
              <w:rPr>
                <w:rFonts w:hint="eastAsia" w:ascii="Times New Roman" w:hAnsi="Times New Roman" w:eastAsia="宋体" w:cs="Times New Roman"/>
                <w:color w:val="auto"/>
                <w:kern w:val="2"/>
                <w:sz w:val="24"/>
                <w:szCs w:val="24"/>
                <w:highlight w:val="none"/>
                <w:lang w:val="en-US" w:eastAsia="zh-CN" w:bidi="ar-SA"/>
              </w:rPr>
            </w:pPr>
            <w:r>
              <w:rPr>
                <w:rFonts w:hint="eastAsia"/>
                <w:color w:val="auto"/>
                <w:sz w:val="24"/>
                <w:highlight w:val="none"/>
              </w:rPr>
              <w:t>1</w:t>
            </w:r>
          </w:p>
        </w:tc>
        <w:tc>
          <w:tcPr>
            <w:tcW w:w="1786" w:type="pct"/>
            <w:noWrap w:val="0"/>
            <w:vAlign w:val="center"/>
          </w:tcPr>
          <w:p>
            <w:pPr>
              <w:jc w:val="center"/>
              <w:rPr>
                <w:rFonts w:hint="default"/>
                <w:color w:val="auto"/>
                <w:sz w:val="24"/>
                <w:highlight w:val="none"/>
                <w:lang w:val="en-US" w:eastAsia="zh-CN"/>
              </w:rPr>
            </w:pPr>
            <w:r>
              <w:rPr>
                <w:rFonts w:hint="default"/>
                <w:color w:val="auto"/>
                <w:sz w:val="24"/>
                <w:highlight w:val="none"/>
                <w:lang w:val="en-US" w:eastAsia="zh-CN"/>
              </w:rPr>
              <w:t>Ⅰ期临床研究中心备案服务项目</w:t>
            </w:r>
          </w:p>
        </w:tc>
        <w:tc>
          <w:tcPr>
            <w:tcW w:w="1288" w:type="pct"/>
            <w:noWrap w:val="0"/>
            <w:vAlign w:val="center"/>
          </w:tcPr>
          <w:p>
            <w:pPr>
              <w:jc w:val="center"/>
              <w:rPr>
                <w:rFonts w:hint="default" w:ascii="Times New Roman" w:hAnsi="Times New Roman" w:eastAsia="宋体" w:cs="Times New Roman"/>
                <w:color w:val="auto"/>
                <w:sz w:val="24"/>
                <w:highlight w:val="none"/>
                <w:lang w:val="en-US" w:eastAsia="zh-CN"/>
              </w:rPr>
            </w:pPr>
            <w:r>
              <w:rPr>
                <w:rFonts w:hint="eastAsia" w:ascii="Times New Roman" w:hAnsi="Times New Roman" w:eastAsia="宋体" w:cs="Times New Roman"/>
                <w:color w:val="auto"/>
                <w:sz w:val="24"/>
                <w:highlight w:val="none"/>
                <w:lang w:val="en-US" w:eastAsia="zh-CN"/>
              </w:rPr>
              <w:t>1年</w:t>
            </w:r>
          </w:p>
        </w:tc>
        <w:tc>
          <w:tcPr>
            <w:tcW w:w="1229" w:type="pct"/>
            <w:noWrap w:val="0"/>
            <w:vAlign w:val="center"/>
          </w:tcPr>
          <w:p>
            <w:pPr>
              <w:jc w:val="center"/>
              <w:rPr>
                <w:rFonts w:hint="default" w:ascii="Times New Roman" w:hAnsi="Times New Roman" w:eastAsia="宋体" w:cs="Times New Roman"/>
                <w:color w:val="auto"/>
                <w:sz w:val="24"/>
                <w:highlight w:val="none"/>
                <w:lang w:val="en-US" w:eastAsia="zh-CN"/>
              </w:rPr>
            </w:pPr>
            <w:r>
              <w:rPr>
                <w:rFonts w:hint="eastAsia" w:cs="Times New Roman"/>
                <w:color w:val="auto"/>
                <w:sz w:val="24"/>
                <w:highlight w:val="none"/>
                <w:lang w:val="en-US" w:eastAsia="zh-CN"/>
              </w:rPr>
              <w:t>23.85</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pPr>
        <w:pStyle w:val="24"/>
        <w:spacing w:after="0" w:line="360" w:lineRule="auto"/>
        <w:ind w:firstLine="480" w:firstLineChars="200"/>
        <w:rPr>
          <w:sz w:val="24"/>
          <w:szCs w:val="24"/>
        </w:rPr>
      </w:pPr>
      <w:r>
        <w:rPr>
          <w:rFonts w:hint="eastAsia"/>
          <w:sz w:val="24"/>
          <w:szCs w:val="24"/>
        </w:rPr>
        <w:t>1.项目名称：</w:t>
      </w:r>
      <w:r>
        <w:rPr>
          <w:rFonts w:hint="eastAsia"/>
          <w:color w:val="auto"/>
          <w:sz w:val="24"/>
          <w:highlight w:val="none"/>
          <w:lang w:val="en-US" w:eastAsia="zh-CN"/>
        </w:rPr>
        <w:t>娄底市</w:t>
      </w:r>
      <w:r>
        <w:rPr>
          <w:rFonts w:hint="default"/>
          <w:color w:val="auto"/>
          <w:sz w:val="24"/>
          <w:highlight w:val="none"/>
          <w:lang w:val="en-US" w:eastAsia="zh-CN"/>
        </w:rPr>
        <w:t>中心医院Ⅰ期临床研究中心备案服务项目</w:t>
      </w:r>
    </w:p>
    <w:p>
      <w:pPr>
        <w:spacing w:after="0"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sz w:val="24"/>
          <w:szCs w:val="24"/>
        </w:rPr>
        <w:t>2.</w:t>
      </w:r>
      <w:r>
        <w:rPr>
          <w:rFonts w:hint="eastAsia" w:ascii="宋体" w:hAnsi="宋体" w:eastAsia="宋体" w:cs="宋体"/>
          <w:sz w:val="24"/>
          <w:szCs w:val="24"/>
          <w:lang w:val="en-US" w:eastAsia="zh-CN"/>
        </w:rPr>
        <w:t>商务要求</w:t>
      </w:r>
      <w:r>
        <w:rPr>
          <w:rFonts w:hint="eastAsia" w:ascii="宋体" w:hAnsi="宋体" w:eastAsia="宋体" w:cs="宋体"/>
          <w:kern w:val="0"/>
          <w:sz w:val="24"/>
          <w:szCs w:val="24"/>
          <w:lang w:val="en-US" w:eastAsia="zh-CN" w:bidi="ar-SA"/>
        </w:rPr>
        <w:t>：</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61" w:type="dxa"/>
            <w:noWrap w:val="0"/>
            <w:vAlign w:val="center"/>
          </w:tcPr>
          <w:p>
            <w:pPr>
              <w:spacing w:after="0"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标的提供的时间</w:t>
            </w:r>
          </w:p>
        </w:tc>
        <w:tc>
          <w:tcPr>
            <w:tcW w:w="4261" w:type="dxa"/>
            <w:noWrap w:val="0"/>
            <w:vAlign w:val="top"/>
          </w:tcPr>
          <w:p>
            <w:pPr>
              <w:spacing w:after="0" w:line="360" w:lineRule="auto"/>
              <w:ind w:firstLine="0" w:firstLineChars="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签订合同12个月内。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4261" w:type="dxa"/>
            <w:noWrap w:val="0"/>
            <w:vAlign w:val="center"/>
          </w:tcPr>
          <w:p>
            <w:pPr>
              <w:spacing w:after="0"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标的提供的地点</w:t>
            </w:r>
          </w:p>
        </w:tc>
        <w:tc>
          <w:tcPr>
            <w:tcW w:w="4261" w:type="dxa"/>
            <w:noWrap w:val="0"/>
            <w:vAlign w:val="top"/>
          </w:tcPr>
          <w:p>
            <w:pPr>
              <w:spacing w:after="0" w:line="360" w:lineRule="auto"/>
              <w:rPr>
                <w:rFonts w:hint="default" w:ascii="宋体" w:hAnsi="宋体" w:eastAsia="宋体" w:cs="宋体"/>
                <w:kern w:val="0"/>
                <w:sz w:val="24"/>
                <w:szCs w:val="24"/>
                <w:lang w:val="en-US" w:eastAsia="zh-CN" w:bidi="ar-SA"/>
              </w:rPr>
            </w:pPr>
            <w:r>
              <w:rPr>
                <w:rFonts w:hint="eastAsia" w:ascii="宋体" w:hAnsi="宋体" w:cs="宋体"/>
                <w:kern w:val="0"/>
                <w:sz w:val="24"/>
                <w:szCs w:val="24"/>
                <w:lang w:val="en-US" w:eastAsia="zh-CN" w:bidi="ar-SA"/>
              </w:rPr>
              <w:t>娄底市中心医院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center"/>
          </w:tcPr>
          <w:p>
            <w:pPr>
              <w:spacing w:after="0"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投标有效期</w:t>
            </w:r>
          </w:p>
        </w:tc>
        <w:tc>
          <w:tcPr>
            <w:tcW w:w="4261" w:type="dxa"/>
            <w:noWrap w:val="0"/>
            <w:vAlign w:val="top"/>
          </w:tcPr>
          <w:p>
            <w:pPr>
              <w:spacing w:after="0" w:line="360" w:lineRule="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从提交投标（响应）文件的截止之日起90日历天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center"/>
          </w:tcPr>
          <w:p>
            <w:pPr>
              <w:spacing w:after="0"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付款方式</w:t>
            </w:r>
          </w:p>
        </w:tc>
        <w:tc>
          <w:tcPr>
            <w:tcW w:w="4261" w:type="dxa"/>
            <w:noWrap w:val="0"/>
            <w:vAlign w:val="top"/>
          </w:tcPr>
          <w:p>
            <w:pPr>
              <w:spacing w:after="0" w:line="360" w:lineRule="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第一期：合同签订后10日内，支付中标供应商合同金额的40%；</w:t>
            </w:r>
          </w:p>
          <w:p>
            <w:pPr>
              <w:spacing w:after="0" w:line="360" w:lineRule="auto"/>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第二期：甲方在乙方完成本合同约定专项服务并通过国家药品监督管理局I期临床研究中心备案后10日，向乙方支付总费用的60%。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center"/>
          </w:tcPr>
          <w:p>
            <w:pPr>
              <w:spacing w:after="0"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验收要求</w:t>
            </w:r>
          </w:p>
        </w:tc>
        <w:tc>
          <w:tcPr>
            <w:tcW w:w="4261" w:type="dxa"/>
            <w:noWrap w:val="0"/>
            <w:vAlign w:val="top"/>
          </w:tcPr>
          <w:p>
            <w:pPr>
              <w:spacing w:after="0" w:line="360" w:lineRule="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通过国家药品监督管理局药物临床试验机构备案审核视为合格。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center"/>
          </w:tcPr>
          <w:p>
            <w:pPr>
              <w:spacing w:after="0"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履约保证金</w:t>
            </w:r>
          </w:p>
        </w:tc>
        <w:tc>
          <w:tcPr>
            <w:tcW w:w="4261" w:type="dxa"/>
            <w:noWrap w:val="0"/>
            <w:vAlign w:val="top"/>
          </w:tcPr>
          <w:p>
            <w:pPr>
              <w:spacing w:after="0"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center"/>
          </w:tcPr>
          <w:p>
            <w:pPr>
              <w:spacing w:after="0"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其他</w:t>
            </w:r>
          </w:p>
        </w:tc>
        <w:tc>
          <w:tcPr>
            <w:tcW w:w="4261" w:type="dxa"/>
            <w:noWrap w:val="0"/>
            <w:vAlign w:val="top"/>
          </w:tcPr>
          <w:p>
            <w:pPr>
              <w:spacing w:after="0" w:line="360" w:lineRule="auto"/>
              <w:ind w:firstLine="480" w:firstLineChars="200"/>
              <w:rPr>
                <w:rFonts w:hint="eastAsia" w:ascii="宋体" w:hAnsi="宋体" w:eastAsia="宋体" w:cs="宋体"/>
                <w:kern w:val="0"/>
                <w:sz w:val="24"/>
                <w:szCs w:val="24"/>
                <w:lang w:val="en-US" w:eastAsia="zh-CN" w:bidi="ar-SA"/>
              </w:rPr>
            </w:pPr>
          </w:p>
        </w:tc>
      </w:tr>
    </w:tbl>
    <w:p>
      <w:pPr>
        <w:numPr>
          <w:ilvl w:val="0"/>
          <w:numId w:val="2"/>
        </w:numPr>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具体技术(参数)要求</w:t>
      </w:r>
    </w:p>
    <w:tbl>
      <w:tblPr>
        <w:tblStyle w:val="14"/>
        <w:tblW w:w="85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5"/>
        <w:gridCol w:w="7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noWrap w:val="0"/>
            <w:vAlign w:val="top"/>
          </w:tcPr>
          <w:p>
            <w:pPr>
              <w:pStyle w:val="5"/>
              <w:numPr>
                <w:ilvl w:val="0"/>
                <w:numId w:val="0"/>
              </w:numPr>
              <w:ind w:firstLine="0"/>
              <w:jc w:val="center"/>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序号</w:t>
            </w:r>
          </w:p>
        </w:tc>
        <w:tc>
          <w:tcPr>
            <w:tcW w:w="7867" w:type="dxa"/>
            <w:noWrap w:val="0"/>
            <w:vAlign w:val="top"/>
          </w:tcPr>
          <w:p>
            <w:pPr>
              <w:pStyle w:val="5"/>
              <w:numPr>
                <w:ilvl w:val="0"/>
                <w:numId w:val="0"/>
              </w:numPr>
              <w:ind w:firstLine="0"/>
              <w:jc w:val="center"/>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具体技术(参数)要求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noWrap w:val="0"/>
            <w:vAlign w:val="top"/>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1</w:t>
            </w:r>
          </w:p>
        </w:tc>
        <w:tc>
          <w:tcPr>
            <w:tcW w:w="7867" w:type="dxa"/>
            <w:noWrap w:val="0"/>
            <w:vAlign w:val="center"/>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确保医院完成Ⅰ期临床试验研究室专业国家局备案</w:t>
            </w:r>
            <w:r>
              <w:rPr>
                <w:rFonts w:hint="eastAsia" w:ascii="宋体" w:hAnsi="宋体" w:eastAsia="宋体" w:cs="宋体"/>
                <w:kern w:val="0"/>
                <w:sz w:val="24"/>
                <w:szCs w:val="24"/>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noWrap w:val="0"/>
            <w:vAlign w:val="top"/>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2</w:t>
            </w:r>
          </w:p>
        </w:tc>
        <w:tc>
          <w:tcPr>
            <w:tcW w:w="7867" w:type="dxa"/>
            <w:noWrap w:val="0"/>
            <w:vAlign w:val="center"/>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协助医院选择并确定研究型病房场地；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noWrap w:val="0"/>
            <w:vAlign w:val="top"/>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3</w:t>
            </w:r>
          </w:p>
        </w:tc>
        <w:tc>
          <w:tcPr>
            <w:tcW w:w="7867" w:type="dxa"/>
            <w:noWrap w:val="0"/>
            <w:vAlign w:val="center"/>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负责提供I期/BE临床研究病房场地设备设施清单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noWrap w:val="0"/>
            <w:vAlign w:val="top"/>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4</w:t>
            </w:r>
          </w:p>
        </w:tc>
        <w:tc>
          <w:tcPr>
            <w:tcW w:w="7867" w:type="dxa"/>
            <w:noWrap w:val="0"/>
            <w:vAlign w:val="center"/>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协助完成I期/BE临床研究病房设施设备采购指导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noWrap w:val="0"/>
            <w:vAlign w:val="top"/>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5</w:t>
            </w:r>
          </w:p>
        </w:tc>
        <w:tc>
          <w:tcPr>
            <w:tcW w:w="7867" w:type="dxa"/>
            <w:noWrap w:val="0"/>
            <w:vAlign w:val="center"/>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提供并协助建立I期/BE临床研究病房管理制度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noWrap w:val="0"/>
            <w:vAlign w:val="top"/>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6</w:t>
            </w:r>
          </w:p>
        </w:tc>
        <w:tc>
          <w:tcPr>
            <w:tcW w:w="7867" w:type="dxa"/>
            <w:noWrap w:val="0"/>
            <w:vAlign w:val="center"/>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协助指导I期/BE临床研究病房上墙管理制度及温馨提示要求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noWrap w:val="0"/>
            <w:vAlign w:val="top"/>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7</w:t>
            </w:r>
          </w:p>
        </w:tc>
        <w:tc>
          <w:tcPr>
            <w:tcW w:w="7867" w:type="dxa"/>
            <w:noWrap w:val="0"/>
            <w:vAlign w:val="center"/>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协助建立I期/BE临床研究病房标准操作规程及工作表单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noWrap w:val="0"/>
            <w:vAlign w:val="top"/>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8</w:t>
            </w:r>
          </w:p>
        </w:tc>
        <w:tc>
          <w:tcPr>
            <w:tcW w:w="7867" w:type="dxa"/>
            <w:noWrap w:val="0"/>
            <w:vAlign w:val="center"/>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协助建立I期/BE临床研究病房应急预案、急救预案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noWrap w:val="0"/>
            <w:vAlign w:val="top"/>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9</w:t>
            </w:r>
          </w:p>
        </w:tc>
        <w:tc>
          <w:tcPr>
            <w:tcW w:w="7867" w:type="dxa"/>
            <w:noWrap w:val="0"/>
            <w:vAlign w:val="center"/>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指导I期/BE临床研究病房项目流程及场地介绍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noWrap w:val="0"/>
            <w:vAlign w:val="top"/>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10</w:t>
            </w:r>
          </w:p>
        </w:tc>
        <w:tc>
          <w:tcPr>
            <w:tcW w:w="7867" w:type="dxa"/>
            <w:noWrap w:val="0"/>
            <w:vAlign w:val="center"/>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指导医院根据省药监局要求提交相关资料进行备案申请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noWrap w:val="0"/>
            <w:vAlign w:val="top"/>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11</w:t>
            </w:r>
          </w:p>
        </w:tc>
        <w:tc>
          <w:tcPr>
            <w:tcW w:w="7867" w:type="dxa"/>
            <w:noWrap w:val="0"/>
            <w:vAlign w:val="center"/>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I期/BE临床研究病房建设完成前期，对首个项目开展过程提供指导咨询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noWrap w:val="0"/>
            <w:vAlign w:val="top"/>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12</w:t>
            </w:r>
          </w:p>
        </w:tc>
        <w:tc>
          <w:tcPr>
            <w:tcW w:w="7867" w:type="dxa"/>
            <w:noWrap w:val="0"/>
            <w:vAlign w:val="center"/>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协助确定并组建符合GCP要求的I期临床专业研究人员组织架构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noWrap w:val="0"/>
            <w:vAlign w:val="top"/>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13</w:t>
            </w:r>
          </w:p>
        </w:tc>
        <w:tc>
          <w:tcPr>
            <w:tcW w:w="7867" w:type="dxa"/>
            <w:noWrap w:val="0"/>
            <w:vAlign w:val="center"/>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提供并协助梳理I期临床专业研究团队的岗位职责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noWrap w:val="0"/>
            <w:vAlign w:val="top"/>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14</w:t>
            </w:r>
          </w:p>
        </w:tc>
        <w:tc>
          <w:tcPr>
            <w:tcW w:w="7867" w:type="dxa"/>
            <w:noWrap w:val="0"/>
            <w:vAlign w:val="center"/>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指导I期临床专业团队进行符合GCP要求的体系知识培训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noWrap w:val="0"/>
            <w:vAlign w:val="top"/>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15</w:t>
            </w:r>
          </w:p>
        </w:tc>
        <w:tc>
          <w:tcPr>
            <w:tcW w:w="7867" w:type="dxa"/>
            <w:noWrap w:val="0"/>
            <w:vAlign w:val="center"/>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负责提供I期临床专业团队法律法规学习材料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noWrap w:val="0"/>
            <w:vAlign w:val="top"/>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16</w:t>
            </w:r>
          </w:p>
        </w:tc>
        <w:tc>
          <w:tcPr>
            <w:tcW w:w="7867" w:type="dxa"/>
            <w:noWrap w:val="0"/>
            <w:vAlign w:val="center"/>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负责提供I期临床专业团队应知应会学习材料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noWrap w:val="0"/>
            <w:vAlign w:val="top"/>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17</w:t>
            </w:r>
          </w:p>
        </w:tc>
        <w:tc>
          <w:tcPr>
            <w:tcW w:w="7867" w:type="dxa"/>
            <w:noWrap w:val="0"/>
            <w:vAlign w:val="center"/>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负责提供对I期临床专业团队的强化 GCP 相关知识的培训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noWrap w:val="0"/>
            <w:vAlign w:val="top"/>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18</w:t>
            </w:r>
          </w:p>
        </w:tc>
        <w:tc>
          <w:tcPr>
            <w:tcW w:w="7867" w:type="dxa"/>
            <w:noWrap w:val="0"/>
            <w:vAlign w:val="center"/>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培训I期临床专业如何应对检查（评估、省局检查）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noWrap w:val="0"/>
            <w:vAlign w:val="top"/>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19</w:t>
            </w:r>
          </w:p>
        </w:tc>
        <w:tc>
          <w:tcPr>
            <w:tcW w:w="7867" w:type="dxa"/>
            <w:noWrap w:val="0"/>
            <w:vAlign w:val="center"/>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负责组织在专家现场检查前对I期临床专业进行一次模拟评估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noWrap w:val="0"/>
            <w:vAlign w:val="top"/>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20</w:t>
            </w:r>
          </w:p>
        </w:tc>
        <w:tc>
          <w:tcPr>
            <w:tcW w:w="7867" w:type="dxa"/>
            <w:noWrap w:val="0"/>
            <w:vAlign w:val="center"/>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对I期临床专业模拟评估问题进行整改指导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noWrap w:val="0"/>
            <w:vAlign w:val="top"/>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21</w:t>
            </w:r>
          </w:p>
        </w:tc>
        <w:tc>
          <w:tcPr>
            <w:tcW w:w="7867" w:type="dxa"/>
            <w:noWrap w:val="0"/>
            <w:vAlign w:val="center"/>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指导I期临床专业在专家评估前的相关资料准备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noWrap w:val="0"/>
            <w:vAlign w:val="top"/>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22</w:t>
            </w:r>
          </w:p>
        </w:tc>
        <w:tc>
          <w:tcPr>
            <w:tcW w:w="7867" w:type="dxa"/>
            <w:noWrap w:val="0"/>
            <w:vAlign w:val="center"/>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组织外部专家对I期临床专业进行一次评估并出具评估报告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noWrap w:val="0"/>
            <w:vAlign w:val="top"/>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23</w:t>
            </w:r>
          </w:p>
        </w:tc>
        <w:tc>
          <w:tcPr>
            <w:tcW w:w="7867" w:type="dxa"/>
            <w:noWrap w:val="0"/>
            <w:vAlign w:val="center"/>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对专家评估问题进行整改指导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noWrap w:val="0"/>
            <w:vAlign w:val="top"/>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24</w:t>
            </w:r>
          </w:p>
        </w:tc>
        <w:tc>
          <w:tcPr>
            <w:tcW w:w="7867" w:type="dxa"/>
            <w:noWrap w:val="0"/>
            <w:vAlign w:val="center"/>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协助I期临床专业PI进修学习，获得项目经验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noWrap w:val="0"/>
            <w:vAlign w:val="top"/>
          </w:tcPr>
          <w:p>
            <w:pPr>
              <w:pStyle w:val="5"/>
              <w:numPr>
                <w:ilvl w:val="0"/>
                <w:numId w:val="0"/>
              </w:numPr>
              <w:ind w:firstLine="0"/>
              <w:rPr>
                <w:rFonts w:hint="default" w:ascii="宋体" w:hAnsi="宋体" w:eastAsia="宋体" w:cs="宋体"/>
                <w:kern w:val="0"/>
                <w:sz w:val="24"/>
                <w:szCs w:val="24"/>
                <w:lang w:val="en-US" w:eastAsia="zh-CN" w:bidi="ar-SA"/>
              </w:rPr>
            </w:pPr>
            <w:r>
              <w:rPr>
                <w:rFonts w:hint="eastAsia" w:ascii="宋体" w:hAnsi="宋体" w:cs="宋体"/>
                <w:kern w:val="0"/>
                <w:sz w:val="24"/>
                <w:szCs w:val="24"/>
                <w:lang w:val="en-US" w:eastAsia="zh-CN" w:bidi="ar-SA"/>
              </w:rPr>
              <w:t>25</w:t>
            </w:r>
          </w:p>
        </w:tc>
        <w:tc>
          <w:tcPr>
            <w:tcW w:w="7867" w:type="dxa"/>
            <w:noWrap w:val="0"/>
            <w:vAlign w:val="center"/>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协助医院完成I期临床专业备案申报资料系统、申报表填写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noWrap w:val="0"/>
            <w:vAlign w:val="top"/>
          </w:tcPr>
          <w:p>
            <w:pPr>
              <w:pStyle w:val="5"/>
              <w:numPr>
                <w:ilvl w:val="0"/>
                <w:numId w:val="0"/>
              </w:numPr>
              <w:ind w:firstLine="0"/>
              <w:rPr>
                <w:rFonts w:hint="default" w:ascii="宋体" w:hAnsi="宋体" w:eastAsia="宋体" w:cs="宋体"/>
                <w:kern w:val="0"/>
                <w:sz w:val="24"/>
                <w:szCs w:val="24"/>
                <w:lang w:val="en-US" w:eastAsia="zh-CN" w:bidi="ar-SA"/>
              </w:rPr>
            </w:pPr>
            <w:r>
              <w:rPr>
                <w:rFonts w:hint="eastAsia" w:ascii="宋体" w:hAnsi="宋体" w:cs="宋体"/>
                <w:kern w:val="0"/>
                <w:sz w:val="24"/>
                <w:szCs w:val="24"/>
                <w:lang w:val="en-US" w:eastAsia="zh-CN" w:bidi="ar-SA"/>
              </w:rPr>
              <w:t>26</w:t>
            </w:r>
          </w:p>
        </w:tc>
        <w:tc>
          <w:tcPr>
            <w:tcW w:w="7867" w:type="dxa"/>
            <w:noWrap w:val="0"/>
            <w:vAlign w:val="center"/>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指导I期临床专业完成核查前准备汇报 PPT 的制作等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noWrap w:val="0"/>
            <w:vAlign w:val="top"/>
          </w:tcPr>
          <w:p>
            <w:pPr>
              <w:pStyle w:val="5"/>
              <w:numPr>
                <w:ilvl w:val="0"/>
                <w:numId w:val="0"/>
              </w:numPr>
              <w:ind w:firstLine="0"/>
              <w:rPr>
                <w:rFonts w:hint="default" w:ascii="宋体" w:hAnsi="宋体" w:eastAsia="宋体" w:cs="宋体"/>
                <w:kern w:val="0"/>
                <w:sz w:val="24"/>
                <w:szCs w:val="24"/>
                <w:lang w:val="en-US" w:eastAsia="zh-CN" w:bidi="ar-SA"/>
              </w:rPr>
            </w:pPr>
            <w:r>
              <w:rPr>
                <w:rFonts w:hint="eastAsia" w:ascii="宋体" w:hAnsi="宋体" w:cs="宋体"/>
                <w:kern w:val="0"/>
                <w:sz w:val="24"/>
                <w:szCs w:val="24"/>
                <w:lang w:val="en-US" w:eastAsia="zh-CN" w:bidi="ar-SA"/>
              </w:rPr>
              <w:t>27</w:t>
            </w:r>
          </w:p>
        </w:tc>
        <w:tc>
          <w:tcPr>
            <w:tcW w:w="7867" w:type="dxa"/>
            <w:noWrap w:val="0"/>
            <w:vAlign w:val="center"/>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指导医院I期临床专业申报完成备案后首次省局现场检查的相关准备工作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noWrap w:val="0"/>
            <w:vAlign w:val="top"/>
          </w:tcPr>
          <w:p>
            <w:pPr>
              <w:pStyle w:val="5"/>
              <w:numPr>
                <w:ilvl w:val="0"/>
                <w:numId w:val="0"/>
              </w:numPr>
              <w:ind w:firstLine="0"/>
              <w:rPr>
                <w:rFonts w:hint="default" w:ascii="宋体" w:hAnsi="宋体" w:eastAsia="宋体" w:cs="宋体"/>
                <w:kern w:val="0"/>
                <w:sz w:val="24"/>
                <w:szCs w:val="24"/>
                <w:lang w:val="en-US" w:eastAsia="zh-CN" w:bidi="ar-SA"/>
              </w:rPr>
            </w:pPr>
            <w:r>
              <w:rPr>
                <w:rFonts w:hint="eastAsia" w:ascii="宋体" w:hAnsi="宋体" w:cs="宋体"/>
                <w:kern w:val="0"/>
                <w:sz w:val="24"/>
                <w:szCs w:val="24"/>
                <w:lang w:val="en-US" w:eastAsia="zh-CN" w:bidi="ar-SA"/>
              </w:rPr>
              <w:t>28</w:t>
            </w:r>
          </w:p>
        </w:tc>
        <w:tc>
          <w:tcPr>
            <w:tcW w:w="7867" w:type="dxa"/>
            <w:noWrap w:val="0"/>
            <w:vAlign w:val="center"/>
          </w:tcPr>
          <w:p>
            <w:pPr>
              <w:pStyle w:val="5"/>
              <w:numPr>
                <w:ilvl w:val="0"/>
                <w:numId w:val="0"/>
              </w:numPr>
              <w:ind w:firstLine="0"/>
              <w:rPr>
                <w:rFonts w:hint="default" w:ascii="宋体" w:hAnsi="宋体" w:eastAsia="宋体" w:cs="宋体"/>
                <w:kern w:val="0"/>
                <w:sz w:val="24"/>
                <w:szCs w:val="24"/>
                <w:lang w:val="en-US" w:eastAsia="zh-CN" w:bidi="ar-SA"/>
              </w:rPr>
            </w:pPr>
            <w:r>
              <w:rPr>
                <w:rFonts w:hint="default" w:ascii="宋体" w:hAnsi="宋体" w:eastAsia="宋体" w:cs="宋体"/>
                <w:kern w:val="0"/>
                <w:sz w:val="24"/>
                <w:szCs w:val="24"/>
                <w:lang w:val="en-US" w:eastAsia="zh-CN" w:bidi="ar-SA"/>
              </w:rPr>
              <w:t>指导协助医院I期临床专业申报接受备案后首次的省局现场检查</w:t>
            </w:r>
          </w:p>
        </w:tc>
      </w:tr>
    </w:tbl>
    <w:p>
      <w:pPr>
        <w:adjustRightInd w:val="0"/>
        <w:snapToGrid w:val="0"/>
        <w:spacing w:beforeLines="50" w:line="360" w:lineRule="auto"/>
        <w:jc w:val="left"/>
        <w:rPr>
          <w:rFonts w:asciiTheme="minorEastAsia" w:hAnsiTheme="minorEastAsia" w:eastAsiaTheme="minorEastAsia"/>
          <w:b/>
          <w:bCs/>
          <w:sz w:val="24"/>
        </w:rPr>
      </w:pPr>
      <w:r>
        <w:rPr>
          <w:rFonts w:hint="eastAsia" w:asciiTheme="minorEastAsia" w:hAnsiTheme="minorEastAsia" w:eastAsiaTheme="minorEastAsia" w:cstheme="minorEastAsia"/>
          <w:bCs/>
          <w:color w:val="auto"/>
          <w:kern w:val="0"/>
          <w:sz w:val="28"/>
          <w:szCs w:val="28"/>
          <w:lang w:val="en-US" w:eastAsia="zh-CN" w:bidi="ar-SA"/>
        </w:rPr>
        <w:t>三、投标报价</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投标人应以招标文件规定的供货及服务要求、责任范围和合同条件为基础进行报价。投标人的报价应包括为完成本项目所要求的全部内容可能发生的全部费用和税费、规费、保险费（如果有）等，采购人将不再支付报价以外的任何费用。</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投标人的总投标报价不得超过项目最高限价（总价限价），投标分项报价不得超过对应项的最高单价限价，投标分项报价之和必须与总投标报价相等，否则其投标无效。采购项目预算、最高限价见【采购项目表】。</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3.投标人应在分项报价明细表中对每项内容给予详细分项报价。</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4.投标人对采购项目内容只允许有一个投标报价，否则其投标无效。</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一副），标书必须“A4规格纸张胶制（非打孔或夹装）装订成册，并编制总目录”,要求密封，否则视为符合性审查不合格，作无效投标处理，在开标现场验证时打开，采用现场开标的方式。</w:t>
      </w:r>
    </w:p>
    <w:p>
      <w:pPr>
        <w:pStyle w:val="4"/>
        <w:keepNext w:val="0"/>
        <w:keepLines w:val="0"/>
        <w:adjustRightInd w:val="0"/>
        <w:snapToGrid w:val="0"/>
        <w:spacing w:beforeLines="50" w:after="0" w:line="360" w:lineRule="auto"/>
        <w:rPr>
          <w:rFonts w:hint="eastAsia" w:asciiTheme="minorEastAsia" w:hAnsiTheme="minorEastAsia" w:eastAsiaTheme="minorEastAsia" w:cstheme="minorEastAsia"/>
          <w:b w:val="0"/>
          <w:bCs/>
          <w:color w:val="auto"/>
          <w:kern w:val="0"/>
          <w:sz w:val="28"/>
          <w:szCs w:val="28"/>
          <w:lang w:val="en-US" w:eastAsia="zh-CN" w:bidi="ar-SA"/>
        </w:rPr>
      </w:pPr>
      <w:r>
        <w:rPr>
          <w:rFonts w:hint="eastAsia" w:asciiTheme="minorEastAsia" w:hAnsiTheme="minorEastAsia" w:eastAsiaTheme="minorEastAsia" w:cstheme="minorEastAsia"/>
          <w:b w:val="0"/>
          <w:bCs/>
          <w:color w:val="auto"/>
          <w:kern w:val="0"/>
          <w:sz w:val="28"/>
          <w:szCs w:val="28"/>
          <w:lang w:val="en-US" w:eastAsia="zh-CN" w:bidi="ar-SA"/>
        </w:rPr>
        <w:t>五、投标文件的澄清</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1.对于投标文件中含义不明确、同类问题表述不一致或者有明显文字和计算错误的内容，评标委员会应当以书面形式要求投标人作出必要的澄清、说明或者补正。</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2.投标文件的投标报价出现前后不一致的，按照下列规定修正：</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（1）投标文件中开标一览表内容与投标文件中相应内容不一致的，以开标一览表为准；</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（2）大写金额和小写金额不一致的，以大写金额为准；</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（3）单价金额小数点或者百分比有明显错位的，以开标一览表的总价为准，并修改单价；</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（4）总价金额与按单价汇总金额不一致的，以单价金额计算结果为准。</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3.投标文件报价同时出现两种以上不一致的，按照前款规定的顺序修正。修正后的报价由投标人代表签字或者加盖单位章确认后产生约束力，投标人不确认的，其投标无效。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投标人的澄清、说明或者补正应当采用书面形式，并加盖公章，或者由法定代表人或其授权的代表签字，并按评标委员会的通知要求递交。投标人的澄清、说明或者补正不得超出投标文件的范围或者改变投标文件的实质性内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5.有效的书面澄清材料，是投标文件的补充材料，成为投标文件的组成部分。</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投标无效处理。</w:t>
      </w:r>
    </w:p>
    <w:p>
      <w:pPr>
        <w:rPr>
          <w:rFonts w:hint="eastAsia" w:asciiTheme="minorEastAsia" w:hAnsiTheme="minorEastAsia" w:eastAsiaTheme="minorEastAsia" w:cstheme="minorEastAsia"/>
          <w:bCs/>
          <w:color w:val="auto"/>
          <w:kern w:val="0"/>
          <w:sz w:val="28"/>
          <w:szCs w:val="28"/>
          <w:lang w:val="en-US" w:eastAsia="zh-CN" w:bidi="ar-SA"/>
        </w:rPr>
      </w:pPr>
    </w:p>
    <w:p>
      <w:pPr>
        <w:spacing w:line="360" w:lineRule="auto"/>
        <w:jc w:val="center"/>
        <w:rPr>
          <w:rFonts w:hint="eastAsia" w:ascii="宋体" w:hAnsi="宋体" w:cs="宋体"/>
          <w:color w:val="auto"/>
          <w:sz w:val="44"/>
          <w:szCs w:val="44"/>
          <w:lang w:val="en-US" w:eastAsia="zh-CN"/>
        </w:rPr>
      </w:pPr>
    </w:p>
    <w:p>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pPr>
        <w:spacing w:line="360" w:lineRule="auto"/>
        <w:jc w:val="cente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pStyle w:val="4"/>
        <w:spacing w:before="0" w:after="0"/>
        <w:jc w:val="center"/>
        <w:rPr>
          <w:rFonts w:hint="eastAsia" w:ascii="宋体" w:hAnsi="宋体"/>
          <w:sz w:val="28"/>
          <w:szCs w:val="28"/>
        </w:rPr>
      </w:pPr>
      <w:r>
        <w:rPr>
          <w:rFonts w:hint="eastAsia" w:ascii="宋体" w:hAnsi="宋体"/>
          <w:sz w:val="28"/>
          <w:szCs w:val="28"/>
        </w:rPr>
        <w:t>评</w:t>
      </w:r>
      <w:r>
        <w:rPr>
          <w:rFonts w:hint="eastAsia" w:ascii="宋体" w:hAnsi="宋体"/>
          <w:sz w:val="28"/>
          <w:szCs w:val="28"/>
          <w:lang w:eastAsia="zh-CN"/>
        </w:rPr>
        <w:t>审</w:t>
      </w:r>
      <w:r>
        <w:rPr>
          <w:rFonts w:hint="eastAsia" w:ascii="宋体" w:hAnsi="宋体"/>
          <w:sz w:val="28"/>
          <w:szCs w:val="28"/>
        </w:rPr>
        <w:t>因素及标准</w:t>
      </w:r>
    </w:p>
    <w:p>
      <w:pPr>
        <w:adjustRightInd w:val="0"/>
        <w:snapToGrid w:val="0"/>
        <w:spacing w:line="360" w:lineRule="auto"/>
        <w:jc w:val="center"/>
        <w:rPr>
          <w:bCs/>
          <w:sz w:val="24"/>
        </w:rPr>
      </w:pPr>
      <w:r>
        <w:rPr>
          <w:rFonts w:hint="eastAsia"/>
          <w:b/>
          <w:sz w:val="24"/>
          <w:szCs w:val="20"/>
        </w:rPr>
        <w:t>评标标准</w:t>
      </w:r>
    </w:p>
    <w:p>
      <w:pPr>
        <w:adjustRightInd w:val="0"/>
        <w:snapToGrid w:val="0"/>
        <w:spacing w:line="360" w:lineRule="auto"/>
        <w:jc w:val="center"/>
        <w:rPr>
          <w:rFonts w:hint="eastAsia" w:ascii="宋体" w:hAnsi="宋体" w:cs="宋体"/>
          <w:b/>
          <w:sz w:val="24"/>
          <w:szCs w:val="20"/>
        </w:rPr>
      </w:pPr>
      <w:r>
        <w:rPr>
          <w:rFonts w:hint="eastAsia" w:ascii="宋体" w:hAnsi="宋体" w:cs="宋体"/>
          <w:b/>
          <w:sz w:val="24"/>
          <w:szCs w:val="20"/>
        </w:rPr>
        <w:t>投标人综合评分表</w:t>
      </w:r>
    </w:p>
    <w:tbl>
      <w:tblPr>
        <w:tblStyle w:val="13"/>
        <w:tblW w:w="90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1355"/>
        <w:gridCol w:w="503"/>
        <w:gridCol w:w="6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2465" w:type="dxa"/>
            <w:gridSpan w:val="2"/>
            <w:noWrap w:val="0"/>
            <w:vAlign w:val="center"/>
          </w:tcPr>
          <w:p>
            <w:pPr>
              <w:spacing w:line="3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投标报价</w:t>
            </w:r>
          </w:p>
          <w:p>
            <w:pPr>
              <w:pStyle w:val="2"/>
              <w:rPr>
                <w:rFonts w:hint="default" w:eastAsia="宋体"/>
                <w:color w:val="000000" w:themeColor="text1"/>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  （40分）</w:t>
            </w:r>
          </w:p>
        </w:tc>
        <w:tc>
          <w:tcPr>
            <w:tcW w:w="503" w:type="dxa"/>
            <w:noWrap w:val="0"/>
            <w:vAlign w:val="center"/>
          </w:tcPr>
          <w:p>
            <w:pPr>
              <w:spacing w:line="360" w:lineRule="exact"/>
              <w:jc w:val="center"/>
              <w:rPr>
                <w:rFonts w:hint="default" w:ascii="宋体" w:hAnsi="宋体"/>
                <w:color w:val="000000" w:themeColor="text1"/>
                <w:szCs w:val="21"/>
                <w:highlight w:val="none"/>
                <w:lang w:val="en-US"/>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40</w:t>
            </w:r>
          </w:p>
        </w:tc>
        <w:tc>
          <w:tcPr>
            <w:tcW w:w="6078" w:type="dxa"/>
            <w:noWrap w:val="0"/>
            <w:vAlign w:val="center"/>
          </w:tcPr>
          <w:p>
            <w:pPr>
              <w:spacing w:line="300" w:lineRule="exact"/>
              <w:rPr>
                <w:rFonts w:hint="eastAsia" w:ascii="宋体" w:hAnsi="宋体" w:eastAsia="宋体" w:cs="Times New Roman"/>
                <w:color w:val="000000" w:themeColor="text1"/>
                <w:szCs w:val="21"/>
                <w:highlight w:val="none"/>
                <w14:textFill>
                  <w14:solidFill>
                    <w14:schemeClr w14:val="tx1"/>
                  </w14:solidFill>
                </w14:textFill>
              </w:rPr>
            </w:pPr>
            <w:r>
              <w:rPr>
                <w:rFonts w:hint="eastAsia" w:ascii="宋体" w:hAnsi="宋体" w:eastAsia="宋体" w:cs="Times New Roman"/>
                <w:color w:val="000000" w:themeColor="text1"/>
                <w:szCs w:val="21"/>
                <w:highlight w:val="none"/>
                <w14:textFill>
                  <w14:solidFill>
                    <w14:schemeClr w14:val="tx1"/>
                  </w14:solidFill>
                </w14:textFill>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eastAsia="宋体" w:cs="Times New Roman"/>
                <w:color w:val="000000" w:themeColor="text1"/>
                <w:szCs w:val="21"/>
                <w:highlight w:val="none"/>
                <w:lang w:val="en-US" w:eastAsia="zh-CN"/>
                <w14:textFill>
                  <w14:solidFill>
                    <w14:schemeClr w14:val="tx1"/>
                  </w14:solidFill>
                </w14:textFill>
              </w:rPr>
              <w:t>40</w:t>
            </w:r>
            <w:r>
              <w:rPr>
                <w:rFonts w:hint="eastAsia" w:ascii="宋体" w:hAnsi="宋体" w:eastAsia="宋体" w:cs="Times New Roman"/>
                <w:color w:val="000000" w:themeColor="text1"/>
                <w:szCs w:val="21"/>
                <w:highlight w:val="none"/>
                <w14:textFill>
                  <w14:solidFill>
                    <w14:schemeClr w14:val="tx1"/>
                  </w14:solidFill>
                </w14:textFill>
              </w:rPr>
              <w:t>。</w:t>
            </w:r>
          </w:p>
          <w:p>
            <w:pPr>
              <w:spacing w:line="300" w:lineRule="exact"/>
              <w:rPr>
                <w:rFonts w:hint="default" w:ascii="宋体" w:hAnsi="宋体"/>
                <w:color w:val="000000" w:themeColor="text1"/>
                <w:szCs w:val="21"/>
                <w:highlight w:val="none"/>
                <w:lang w:val="en-US"/>
                <w14:textFill>
                  <w14:solidFill>
                    <w14:schemeClr w14:val="tx1"/>
                  </w14:solidFill>
                </w14:textFill>
              </w:rPr>
            </w:pPr>
            <w:r>
              <w:rPr>
                <w:rFonts w:hint="eastAsia" w:ascii="宋体" w:hAnsi="宋体" w:eastAsia="宋体" w:cs="Times New Roman"/>
                <w:color w:val="000000" w:themeColor="text1"/>
                <w:szCs w:val="21"/>
                <w:highlight w:val="none"/>
                <w14:textFill>
                  <w14:solidFill>
                    <w14:schemeClr w14:val="tx1"/>
                  </w14:solidFill>
                </w14:textFill>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000000" w:themeColor="text1"/>
                <w:szCs w:val="21"/>
                <w:highlight w:val="none"/>
                <w14:textFill>
                  <w14:solidFill>
                    <w14:schemeClr w14:val="tx1"/>
                  </w14:solidFill>
                </w14:textFill>
              </w:rPr>
              <w:t>;</w:t>
            </w:r>
            <w:r>
              <w:rPr>
                <w:rFonts w:hint="eastAsia" w:ascii="宋体" w:hAnsi="宋体" w:eastAsia="宋体" w:cs="Times New Roman"/>
                <w:color w:val="000000" w:themeColor="text1"/>
                <w:szCs w:val="21"/>
                <w:highlight w:val="none"/>
                <w14:textFill>
                  <w14:solidFill>
                    <w14:schemeClr w14:val="tx1"/>
                  </w14:solidFill>
                </w14:textFill>
              </w:rPr>
              <w:t>投标人不能证明其报价合理性的，评标委员会应当将其作为无效投标处理。”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3" w:hRule="atLeast"/>
          <w:jc w:val="center"/>
        </w:trPr>
        <w:tc>
          <w:tcPr>
            <w:tcW w:w="1110" w:type="dxa"/>
            <w:vMerge w:val="restart"/>
            <w:noWrap w:val="0"/>
            <w:vAlign w:val="center"/>
          </w:tcPr>
          <w:p>
            <w:pPr>
              <w:pStyle w:val="6"/>
              <w:spacing w:line="360" w:lineRule="exact"/>
              <w:jc w:val="center"/>
              <w:rPr>
                <w:rFonts w:hint="eastAsia" w:ascii="宋体" w:hAnsi="宋体"/>
                <w:color w:val="000000" w:themeColor="text1"/>
                <w:szCs w:val="21"/>
                <w:highlight w:val="none"/>
                <w14:textFill>
                  <w14:solidFill>
                    <w14:schemeClr w14:val="tx1"/>
                  </w14:solidFill>
                </w14:textFill>
              </w:rPr>
            </w:pPr>
          </w:p>
          <w:p>
            <w:pPr>
              <w:pStyle w:val="6"/>
              <w:spacing w:line="360" w:lineRule="exact"/>
              <w:jc w:val="center"/>
              <w:rPr>
                <w:rFonts w:hint="eastAsia" w:ascii="宋体" w:hAnsi="宋体"/>
                <w:color w:val="000000" w:themeColor="text1"/>
                <w:szCs w:val="21"/>
                <w:highlight w:val="none"/>
                <w14:textFill>
                  <w14:solidFill>
                    <w14:schemeClr w14:val="tx1"/>
                  </w14:solidFill>
                </w14:textFill>
              </w:rPr>
            </w:pPr>
          </w:p>
          <w:p>
            <w:pPr>
              <w:pStyle w:val="6"/>
              <w:spacing w:line="360" w:lineRule="exact"/>
              <w:jc w:val="center"/>
              <w:rPr>
                <w:rFonts w:hint="eastAsia" w:ascii="宋体" w:hAnsi="宋体"/>
                <w:color w:val="000000" w:themeColor="text1"/>
                <w:szCs w:val="21"/>
                <w:highlight w:val="none"/>
                <w14:textFill>
                  <w14:solidFill>
                    <w14:schemeClr w14:val="tx1"/>
                  </w14:solidFill>
                </w14:textFill>
              </w:rPr>
            </w:pPr>
          </w:p>
          <w:p>
            <w:pPr>
              <w:pStyle w:val="6"/>
              <w:spacing w:line="360" w:lineRule="exact"/>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技术部分（</w:t>
            </w:r>
            <w:r>
              <w:rPr>
                <w:rFonts w:hint="eastAsia" w:ascii="宋体" w:hAnsi="宋体"/>
                <w:color w:val="000000" w:themeColor="text1"/>
                <w:szCs w:val="21"/>
                <w:highlight w:val="none"/>
                <w:lang w:val="en-US" w:eastAsia="zh-CN"/>
                <w14:textFill>
                  <w14:solidFill>
                    <w14:schemeClr w14:val="tx1"/>
                  </w14:solidFill>
                </w14:textFill>
              </w:rPr>
              <w:t>47</w:t>
            </w:r>
            <w:r>
              <w:rPr>
                <w:rFonts w:hint="eastAsia" w:ascii="宋体" w:hAnsi="宋体"/>
                <w:color w:val="000000" w:themeColor="text1"/>
                <w:szCs w:val="21"/>
                <w:highlight w:val="none"/>
                <w14:textFill>
                  <w14:solidFill>
                    <w14:schemeClr w14:val="tx1"/>
                  </w14:solidFill>
                </w14:textFill>
              </w:rPr>
              <w:t>分）</w:t>
            </w:r>
          </w:p>
          <w:p>
            <w:pPr>
              <w:pStyle w:val="6"/>
              <w:spacing w:line="360" w:lineRule="exact"/>
              <w:jc w:val="center"/>
              <w:rPr>
                <w:rFonts w:hint="eastAsia" w:ascii="宋体" w:hAnsi="宋体"/>
                <w:color w:val="000000" w:themeColor="text1"/>
                <w:szCs w:val="21"/>
                <w:highlight w:val="none"/>
                <w:lang w:val="en-US" w:eastAsia="zh-CN"/>
                <w14:textFill>
                  <w14:solidFill>
                    <w14:schemeClr w14:val="tx1"/>
                  </w14:solidFill>
                </w14:textFill>
              </w:rPr>
            </w:pPr>
          </w:p>
          <w:p>
            <w:pPr>
              <w:pStyle w:val="6"/>
              <w:spacing w:line="360" w:lineRule="exact"/>
              <w:jc w:val="center"/>
              <w:rPr>
                <w:rFonts w:hint="eastAsia" w:ascii="宋体" w:hAnsi="宋体"/>
                <w:color w:val="000000" w:themeColor="text1"/>
                <w:szCs w:val="21"/>
                <w:highlight w:val="none"/>
                <w:lang w:val="en-US" w:eastAsia="zh-CN"/>
                <w14:textFill>
                  <w14:solidFill>
                    <w14:schemeClr w14:val="tx1"/>
                  </w14:solidFill>
                </w14:textFill>
              </w:rPr>
            </w:pPr>
          </w:p>
          <w:p>
            <w:pPr>
              <w:pStyle w:val="6"/>
              <w:spacing w:line="360" w:lineRule="exact"/>
              <w:jc w:val="center"/>
              <w:rPr>
                <w:rFonts w:hint="eastAsia" w:ascii="宋体" w:hAnsi="宋体"/>
                <w:color w:val="000000" w:themeColor="text1"/>
                <w:szCs w:val="21"/>
                <w:highlight w:val="none"/>
                <w:lang w:val="en-US" w:eastAsia="zh-CN"/>
                <w14:textFill>
                  <w14:solidFill>
                    <w14:schemeClr w14:val="tx1"/>
                  </w14:solidFill>
                </w14:textFill>
              </w:rPr>
            </w:pPr>
          </w:p>
          <w:p>
            <w:pPr>
              <w:pStyle w:val="6"/>
              <w:spacing w:line="360" w:lineRule="exact"/>
              <w:jc w:val="center"/>
              <w:rPr>
                <w:rFonts w:hint="eastAsia" w:ascii="宋体" w:hAnsi="宋体"/>
                <w:color w:val="000000" w:themeColor="text1"/>
                <w:szCs w:val="21"/>
                <w:highlight w:val="none"/>
                <w:lang w:val="en-US" w:eastAsia="zh-CN"/>
                <w14:textFill>
                  <w14:solidFill>
                    <w14:schemeClr w14:val="tx1"/>
                  </w14:solidFill>
                </w14:textFill>
              </w:rPr>
            </w:pPr>
          </w:p>
          <w:p>
            <w:pPr>
              <w:pStyle w:val="6"/>
              <w:spacing w:line="360" w:lineRule="exact"/>
              <w:jc w:val="center"/>
              <w:rPr>
                <w:rFonts w:hint="eastAsia" w:ascii="宋体" w:hAnsi="宋体"/>
                <w:color w:val="000000" w:themeColor="text1"/>
                <w:szCs w:val="21"/>
                <w:highlight w:val="none"/>
                <w:lang w:val="en-US" w:eastAsia="zh-CN"/>
                <w14:textFill>
                  <w14:solidFill>
                    <w14:schemeClr w14:val="tx1"/>
                  </w14:solidFill>
                </w14:textFill>
              </w:rPr>
            </w:pPr>
          </w:p>
          <w:p>
            <w:pPr>
              <w:pStyle w:val="6"/>
              <w:spacing w:line="360" w:lineRule="exact"/>
              <w:jc w:val="center"/>
              <w:rPr>
                <w:rFonts w:hint="eastAsia" w:ascii="宋体" w:hAnsi="宋体"/>
                <w:color w:val="000000" w:themeColor="text1"/>
                <w:szCs w:val="21"/>
                <w:highlight w:val="none"/>
                <w:lang w:val="en-US" w:eastAsia="zh-CN"/>
                <w14:textFill>
                  <w14:solidFill>
                    <w14:schemeClr w14:val="tx1"/>
                  </w14:solidFill>
                </w14:textFill>
              </w:rPr>
            </w:pPr>
          </w:p>
        </w:tc>
        <w:tc>
          <w:tcPr>
            <w:tcW w:w="1355" w:type="dxa"/>
            <w:noWrap w:val="0"/>
            <w:vAlign w:val="center"/>
          </w:tcPr>
          <w:p>
            <w:pPr>
              <w:widowControl/>
              <w:jc w:val="center"/>
              <w:rPr>
                <w:rFonts w:hint="default" w:ascii="宋体" w:hAnsi="宋体" w:eastAsia="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项目实施方案</w:t>
            </w:r>
          </w:p>
        </w:tc>
        <w:tc>
          <w:tcPr>
            <w:tcW w:w="503" w:type="dxa"/>
            <w:noWrap w:val="0"/>
            <w:vAlign w:val="center"/>
          </w:tcPr>
          <w:p>
            <w:pPr>
              <w:widowControl/>
              <w:jc w:val="center"/>
              <w:rPr>
                <w:rFonts w:hint="default" w:ascii="宋体" w:hAnsi="宋体" w:eastAsia="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1</w:t>
            </w:r>
            <w:r>
              <w:rPr>
                <w:rFonts w:hint="eastAsia" w:ascii="宋体" w:hAnsi="宋体" w:eastAsia="宋体"/>
                <w:color w:val="000000" w:themeColor="text1"/>
                <w:szCs w:val="21"/>
                <w:highlight w:val="none"/>
                <w:lang w:val="en-US" w:eastAsia="zh-CN"/>
                <w14:textFill>
                  <w14:solidFill>
                    <w14:schemeClr w14:val="tx1"/>
                  </w14:solidFill>
                </w14:textFill>
              </w:rPr>
              <w:t>0</w:t>
            </w:r>
          </w:p>
        </w:tc>
        <w:tc>
          <w:tcPr>
            <w:tcW w:w="6078" w:type="dxa"/>
            <w:noWrap w:val="0"/>
            <w:vAlign w:val="center"/>
          </w:tcPr>
          <w:p>
            <w:pPr>
              <w:spacing w:line="300" w:lineRule="exac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根据投标人提供的整体服务方案</w:t>
            </w:r>
            <w:r>
              <w:rPr>
                <w:rFonts w:hint="eastAsia" w:ascii="宋体" w:hAnsi="宋体"/>
                <w:color w:val="000000" w:themeColor="text1"/>
                <w:szCs w:val="21"/>
                <w:highlight w:val="none"/>
                <w14:textFill>
                  <w14:solidFill>
                    <w14:schemeClr w14:val="tx1"/>
                  </w14:solidFill>
                </w14:textFill>
              </w:rPr>
              <w:t>（包括</w:t>
            </w:r>
            <w:r>
              <w:rPr>
                <w:rFonts w:hint="eastAsia" w:ascii="宋体" w:hAnsi="宋体"/>
                <w:color w:val="000000" w:themeColor="text1"/>
                <w:szCs w:val="21"/>
                <w:highlight w:val="none"/>
                <w:lang w:val="en-US" w:eastAsia="zh-CN"/>
                <w14:textFill>
                  <w14:solidFill>
                    <w14:schemeClr w14:val="tx1"/>
                  </w14:solidFill>
                </w14:textFill>
              </w:rPr>
              <w:t>但不限于</w:t>
            </w:r>
            <w:r>
              <w:rPr>
                <w:rFonts w:hint="eastAsia" w:ascii="宋体" w:hAnsi="宋体"/>
                <w:color w:val="000000" w:themeColor="text1"/>
                <w:szCs w:val="21"/>
                <w:highlight w:val="none"/>
                <w14:textFill>
                  <w14:solidFill>
                    <w14:schemeClr w14:val="tx1"/>
                  </w14:solidFill>
                </w14:textFill>
              </w:rPr>
              <w:t>服务范围、内容、职责、流程、和各类预案措施等）的完整、详细、专业、合理、可行程度进行横向综合比较评定：</w:t>
            </w:r>
            <w:r>
              <w:rPr>
                <w:rFonts w:hint="eastAsia" w:ascii="宋体" w:hAnsi="宋体"/>
                <w:color w:val="000000" w:themeColor="text1"/>
                <w:szCs w:val="21"/>
                <w:highlight w:val="none"/>
                <w:lang w:val="en-US" w:eastAsia="zh-CN"/>
                <w14:textFill>
                  <w14:solidFill>
                    <w14:schemeClr w14:val="tx1"/>
                  </w14:solidFill>
                </w14:textFill>
              </w:rPr>
              <w:t>完全满足招标文件要求的计10分，较为满足招标文件要求的计7分，基本满足招标文件要求的计4分，未提供不计分。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1110" w:type="dxa"/>
            <w:vMerge w:val="continue"/>
            <w:noWrap w:val="0"/>
            <w:vAlign w:val="center"/>
          </w:tcPr>
          <w:p>
            <w:pPr>
              <w:pStyle w:val="6"/>
              <w:spacing w:line="360" w:lineRule="exact"/>
              <w:jc w:val="center"/>
              <w:rPr>
                <w:rFonts w:hint="eastAsia" w:ascii="宋体" w:hAnsi="宋体"/>
                <w:color w:val="000000" w:themeColor="text1"/>
                <w:szCs w:val="21"/>
                <w:highlight w:val="none"/>
                <w14:textFill>
                  <w14:solidFill>
                    <w14:schemeClr w14:val="tx1"/>
                  </w14:solidFill>
                </w14:textFill>
              </w:rPr>
            </w:pPr>
          </w:p>
        </w:tc>
        <w:tc>
          <w:tcPr>
            <w:tcW w:w="1355" w:type="dxa"/>
            <w:vMerge w:val="restart"/>
            <w:noWrap w:val="0"/>
            <w:vAlign w:val="center"/>
          </w:tcPr>
          <w:p>
            <w:pPr>
              <w:pStyle w:val="25"/>
              <w:keepNext w:val="0"/>
              <w:keepLines w:val="0"/>
              <w:pageBreakBefore w:val="0"/>
              <w:widowControl w:val="0"/>
              <w:kinsoku/>
              <w:wordWrap/>
              <w:overflowPunct/>
              <w:topLinePunct w:val="0"/>
              <w:autoSpaceDE/>
              <w:autoSpaceDN/>
              <w:bidi w:val="0"/>
              <w:adjustRightInd/>
              <w:snapToGrid/>
              <w:spacing w:before="10" w:line="340" w:lineRule="exact"/>
              <w:ind w:left="111" w:leftChars="0" w:right="103" w:rightChars="0"/>
              <w:jc w:val="center"/>
              <w:textAlignment w:val="auto"/>
              <w:rPr>
                <w:rFonts w:hint="default" w:ascii="宋体" w:hAnsi="宋体" w:eastAsia="宋体"/>
                <w:color w:val="000000" w:themeColor="text1"/>
                <w:szCs w:val="21"/>
                <w:highlight w:val="none"/>
                <w:lang w:val="en-US" w:eastAsia="zh-CN"/>
                <w14:textFill>
                  <w14:solidFill>
                    <w14:schemeClr w14:val="tx1"/>
                  </w14:solidFill>
                </w14:textFill>
              </w:rPr>
            </w:pPr>
            <w:r>
              <w:rPr>
                <w:rStyle w:val="26"/>
                <w:color w:val="000000" w:themeColor="text1"/>
                <w:lang w:val="en-US" w:eastAsia="zh-CN" w:bidi="ar"/>
                <w14:textFill>
                  <w14:solidFill>
                    <w14:schemeClr w14:val="tx1"/>
                  </w14:solidFill>
                </w14:textFill>
              </w:rPr>
              <w:t>人员配备方案</w:t>
            </w:r>
          </w:p>
        </w:tc>
        <w:tc>
          <w:tcPr>
            <w:tcW w:w="503" w:type="dxa"/>
            <w:noWrap w:val="0"/>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宋体" w:hAnsi="宋体" w:eastAsia="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10</w:t>
            </w:r>
          </w:p>
        </w:tc>
        <w:tc>
          <w:tcPr>
            <w:tcW w:w="6078" w:type="dxa"/>
            <w:noWrap w:val="0"/>
            <w:vAlign w:val="top"/>
          </w:tcPr>
          <w:p>
            <w:pPr>
              <w:spacing w:line="300" w:lineRule="exac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针对本项目的人员配备方案，项目组人员配备方案、项目组织的架构的针对性、可行性、合理性等情况进行评审：完全满足招标文件要求的计10分，较为满足招标文件要求的计7分，基本满足招标文件要求的计4分，未提供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1110" w:type="dxa"/>
            <w:vMerge w:val="continue"/>
            <w:noWrap w:val="0"/>
            <w:vAlign w:val="center"/>
          </w:tcPr>
          <w:p>
            <w:pPr>
              <w:pStyle w:val="6"/>
              <w:spacing w:line="360" w:lineRule="exact"/>
              <w:jc w:val="center"/>
              <w:rPr>
                <w:rFonts w:hint="eastAsia" w:ascii="宋体" w:hAnsi="宋体"/>
                <w:color w:val="000000" w:themeColor="text1"/>
                <w:szCs w:val="21"/>
                <w:highlight w:val="none"/>
                <w14:textFill>
                  <w14:solidFill>
                    <w14:schemeClr w14:val="tx1"/>
                  </w14:solidFill>
                </w14:textFill>
              </w:rPr>
            </w:pPr>
          </w:p>
        </w:tc>
        <w:tc>
          <w:tcPr>
            <w:tcW w:w="1355" w:type="dxa"/>
            <w:vMerge w:val="continue"/>
            <w:noWrap w:val="0"/>
            <w:vAlign w:val="center"/>
          </w:tcPr>
          <w:p>
            <w:pPr>
              <w:widowControl/>
              <w:spacing w:line="340" w:lineRule="exact"/>
              <w:jc w:val="center"/>
              <w:rPr>
                <w:rFonts w:hint="eastAsia" w:ascii="宋体" w:hAnsi="宋体"/>
                <w:color w:val="000000" w:themeColor="text1"/>
                <w:szCs w:val="21"/>
                <w:highlight w:val="none"/>
                <w:lang w:val="en-US" w:eastAsia="zh-CN"/>
                <w14:textFill>
                  <w14:solidFill>
                    <w14:schemeClr w14:val="tx1"/>
                  </w14:solidFill>
                </w14:textFill>
              </w:rPr>
            </w:pPr>
          </w:p>
        </w:tc>
        <w:tc>
          <w:tcPr>
            <w:tcW w:w="503" w:type="dxa"/>
            <w:noWrap w:val="0"/>
            <w:vAlign w:val="center"/>
          </w:tcPr>
          <w:p>
            <w:pPr>
              <w:spacing w:line="360" w:lineRule="auto"/>
              <w:jc w:val="center"/>
              <w:rPr>
                <w:rFonts w:hint="default"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12</w:t>
            </w:r>
          </w:p>
        </w:tc>
        <w:tc>
          <w:tcPr>
            <w:tcW w:w="6078" w:type="dxa"/>
            <w:noWrap w:val="0"/>
            <w:vAlign w:val="top"/>
          </w:tcPr>
          <w:p>
            <w:pPr>
              <w:spacing w:line="300" w:lineRule="exact"/>
              <w:rPr>
                <w:rFonts w:hint="eastAsia"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Times New Roman"/>
                <w:color w:val="000000" w:themeColor="text1"/>
                <w:szCs w:val="21"/>
                <w:highlight w:val="none"/>
                <w:lang w:val="en-US" w:eastAsia="zh-CN"/>
                <w14:textFill>
                  <w14:solidFill>
                    <w14:schemeClr w14:val="tx1"/>
                  </w14:solidFill>
                </w14:textFill>
              </w:rPr>
              <w:t>1.拟投入的项目负责人需具有有效期内的PMP证书、GCP证书，提供复印件并加盖公章，得5分，未提供或证书无效不得分；</w:t>
            </w:r>
          </w:p>
          <w:p>
            <w:pPr>
              <w:spacing w:line="300" w:lineRule="exact"/>
              <w:rPr>
                <w:rFonts w:hint="eastAsia"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Times New Roman"/>
                <w:color w:val="000000" w:themeColor="text1"/>
                <w:szCs w:val="21"/>
                <w:highlight w:val="none"/>
                <w:lang w:val="en-US" w:eastAsia="zh-CN"/>
                <w14:textFill>
                  <w14:solidFill>
                    <w14:schemeClr w14:val="tx1"/>
                  </w14:solidFill>
                </w14:textFill>
              </w:rPr>
              <w:t>2.项目团队成员需为医学或药学专业人员，且拥有有效期内的药物临床试验培训经历并获得相关证书，每提供1人得1分（需提供证书复印件及开标前一年内连续缴纳社保的证明并加盖公章），本项最多得3分，不提供或不符合要求不得分；</w:t>
            </w:r>
          </w:p>
          <w:p>
            <w:pPr>
              <w:spacing w:line="300" w:lineRule="exact"/>
              <w:rPr>
                <w:rFonts w:hint="eastAsia"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Times New Roman"/>
                <w:color w:val="000000" w:themeColor="text1"/>
                <w:szCs w:val="21"/>
                <w:highlight w:val="none"/>
                <w:lang w:val="en-US" w:eastAsia="zh-CN"/>
                <w14:textFill>
                  <w14:solidFill>
                    <w14:schemeClr w14:val="tx1"/>
                  </w14:solidFill>
                </w14:textFill>
              </w:rPr>
              <w:t>3.投标人需配置护理相关专业人员负责临床试验相关工作，且拥有有效期内的药物临床试验培训经历并获得相关证书，每提供1人得2分（需提供证书复印件及开标前一年内连续缴纳社保的证明并加盖公章），共4分。</w:t>
            </w:r>
          </w:p>
          <w:p>
            <w:pPr>
              <w:spacing w:line="300" w:lineRule="exact"/>
              <w:rPr>
                <w:rFonts w:hint="eastAsia"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Times New Roman"/>
                <w:color w:val="000000" w:themeColor="text1"/>
                <w:szCs w:val="21"/>
                <w:highlight w:val="none"/>
                <w:lang w:val="en-US" w:eastAsia="zh-CN"/>
                <w14:textFill>
                  <w14:solidFill>
                    <w14:schemeClr w14:val="tx1"/>
                  </w14:solidFill>
                </w14:textFill>
              </w:rPr>
              <w:t>注：提供资格证书证明资料。提供相应证明文件复印件加盖公章，并提供配备人员开标前一年内连续缴纳社保的证明并加盖公章，不提供的不得分。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1110" w:type="dxa"/>
            <w:vMerge w:val="continue"/>
            <w:noWrap w:val="0"/>
            <w:vAlign w:val="center"/>
          </w:tcPr>
          <w:p>
            <w:pPr>
              <w:pStyle w:val="6"/>
              <w:spacing w:line="360" w:lineRule="exact"/>
              <w:jc w:val="center"/>
              <w:rPr>
                <w:rFonts w:hint="eastAsia" w:ascii="宋体" w:hAnsi="宋体"/>
                <w:color w:val="000000" w:themeColor="text1"/>
                <w:szCs w:val="21"/>
                <w:highlight w:val="none"/>
                <w14:textFill>
                  <w14:solidFill>
                    <w14:schemeClr w14:val="tx1"/>
                  </w14:solidFill>
                </w14:textFill>
              </w:rPr>
            </w:pPr>
          </w:p>
        </w:tc>
        <w:tc>
          <w:tcPr>
            <w:tcW w:w="1355" w:type="dxa"/>
            <w:noWrap w:val="0"/>
            <w:vAlign w:val="center"/>
          </w:tcPr>
          <w:p>
            <w:pPr>
              <w:widowControl/>
              <w:spacing w:line="340" w:lineRule="exact"/>
              <w:jc w:val="center"/>
              <w:rPr>
                <w:rFonts w:hint="eastAsia" w:ascii="宋体" w:hAnsi="宋体"/>
                <w:color w:val="000000" w:themeColor="text1"/>
                <w:szCs w:val="21"/>
                <w:highlight w:val="none"/>
                <w14:textFill>
                  <w14:solidFill>
                    <w14:schemeClr w14:val="tx1"/>
                  </w14:solidFill>
                </w14:textFill>
              </w:rPr>
            </w:pPr>
            <w:r>
              <w:rPr>
                <w:rStyle w:val="20"/>
                <w:color w:val="000000" w:themeColor="text1"/>
                <w:lang w:val="en-US" w:eastAsia="zh-CN" w:bidi="ar"/>
                <w14:textFill>
                  <w14:solidFill>
                    <w14:schemeClr w14:val="tx1"/>
                  </w14:solidFill>
                </w14:textFill>
              </w:rPr>
              <w:t>培训方案</w:t>
            </w:r>
          </w:p>
        </w:tc>
        <w:tc>
          <w:tcPr>
            <w:tcW w:w="503" w:type="dxa"/>
            <w:noWrap w:val="0"/>
            <w:vAlign w:val="center"/>
          </w:tcPr>
          <w:p>
            <w:pPr>
              <w:widowControl/>
              <w:jc w:val="center"/>
              <w:rPr>
                <w:rFonts w:hint="default" w:ascii="宋体" w:hAnsi="宋体" w:eastAsia="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10</w:t>
            </w:r>
          </w:p>
        </w:tc>
        <w:tc>
          <w:tcPr>
            <w:tcW w:w="6078" w:type="dxa"/>
            <w:noWrap w:val="0"/>
            <w:vAlign w:val="center"/>
          </w:tcPr>
          <w:p>
            <w:pPr>
              <w:spacing w:line="300" w:lineRule="exac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根据人员培训方案的针对性、可行性、合理性等情况进行评分，完全满足招标文件要求的计10分，较为满足招标文件要求的计7分，基本满足招标文件要求的计4分，未提供不计分。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1110" w:type="dxa"/>
            <w:vMerge w:val="continue"/>
            <w:noWrap w:val="0"/>
            <w:vAlign w:val="center"/>
          </w:tcPr>
          <w:p>
            <w:pPr>
              <w:pStyle w:val="6"/>
              <w:spacing w:line="360" w:lineRule="exact"/>
              <w:jc w:val="center"/>
              <w:rPr>
                <w:rFonts w:hint="eastAsia" w:ascii="宋体" w:hAnsi="宋体"/>
                <w:color w:val="000000" w:themeColor="text1"/>
                <w:szCs w:val="21"/>
                <w:highlight w:val="none"/>
                <w14:textFill>
                  <w14:solidFill>
                    <w14:schemeClr w14:val="tx1"/>
                  </w14:solidFill>
                </w14:textFill>
              </w:rPr>
            </w:pPr>
          </w:p>
        </w:tc>
        <w:tc>
          <w:tcPr>
            <w:tcW w:w="1355" w:type="dxa"/>
            <w:noWrap w:val="0"/>
            <w:vAlign w:val="center"/>
          </w:tcPr>
          <w:p>
            <w:pPr>
              <w:widowControl/>
              <w:jc w:val="center"/>
              <w:rPr>
                <w:rFonts w:hint="eastAsia" w:ascii="宋体" w:hAnsi="宋体"/>
                <w:color w:val="000000" w:themeColor="text1"/>
                <w:szCs w:val="21"/>
                <w:highlight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合理化建议</w:t>
            </w:r>
          </w:p>
        </w:tc>
        <w:tc>
          <w:tcPr>
            <w:tcW w:w="503" w:type="dxa"/>
            <w:noWrap w:val="0"/>
            <w:vAlign w:val="center"/>
          </w:tcPr>
          <w:p>
            <w:pPr>
              <w:widowControl/>
              <w:jc w:val="center"/>
              <w:rPr>
                <w:rFonts w:hint="default" w:ascii="宋体" w:hAnsi="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5</w:t>
            </w:r>
          </w:p>
        </w:tc>
        <w:tc>
          <w:tcPr>
            <w:tcW w:w="6078" w:type="dxa"/>
            <w:noWrap w:val="0"/>
            <w:vAlign w:val="center"/>
          </w:tcPr>
          <w:p>
            <w:pPr>
              <w:spacing w:line="300" w:lineRule="exac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针对本项目提供合理化建议进行评审，建议切实可行、专业性强并具有一定的措施；完全满足招标文件要求的计5分，较为满足招标文件要求的计3分，基本满足招标文件要求的计1分，未提供不计分。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110" w:type="dxa"/>
            <w:vMerge w:val="restart"/>
            <w:noWrap w:val="0"/>
            <w:vAlign w:val="center"/>
          </w:tcPr>
          <w:p>
            <w:pPr>
              <w:pStyle w:val="6"/>
              <w:spacing w:line="360" w:lineRule="exact"/>
              <w:jc w:val="center"/>
              <w:rPr>
                <w:rFonts w:hint="eastAsia" w:ascii="宋体" w:hAnsi="宋体"/>
                <w:color w:val="auto"/>
                <w:szCs w:val="21"/>
                <w:highlight w:val="none"/>
              </w:rPr>
            </w:pPr>
            <w:r>
              <w:rPr>
                <w:rFonts w:hint="eastAsia" w:ascii="宋体" w:hAnsi="宋体"/>
                <w:color w:val="auto"/>
                <w:szCs w:val="21"/>
                <w:highlight w:val="none"/>
              </w:rPr>
              <w:t>商务部分（</w:t>
            </w:r>
            <w:r>
              <w:rPr>
                <w:rFonts w:hint="eastAsia" w:ascii="宋体" w:hAnsi="宋体"/>
                <w:color w:val="auto"/>
                <w:szCs w:val="21"/>
                <w:highlight w:val="none"/>
                <w:lang w:val="en-US" w:eastAsia="zh-CN"/>
              </w:rPr>
              <w:t>13</w:t>
            </w:r>
            <w:r>
              <w:rPr>
                <w:rFonts w:hint="eastAsia" w:ascii="宋体" w:hAnsi="宋体"/>
                <w:color w:val="auto"/>
                <w:szCs w:val="21"/>
                <w:highlight w:val="none"/>
              </w:rPr>
              <w:t>分）</w:t>
            </w:r>
          </w:p>
        </w:tc>
        <w:tc>
          <w:tcPr>
            <w:tcW w:w="1355" w:type="dxa"/>
            <w:noWrap w:val="0"/>
            <w:vAlign w:val="center"/>
          </w:tcPr>
          <w:p>
            <w:pPr>
              <w:jc w:val="center"/>
              <w:rPr>
                <w:rFonts w:ascii="宋体" w:hAnsi="宋体"/>
                <w:color w:val="auto"/>
                <w:kern w:val="2"/>
                <w:sz w:val="21"/>
                <w:szCs w:val="21"/>
                <w:highlight w:val="none"/>
                <w:lang w:val="en-US" w:eastAsia="zh-CN" w:bidi="ar-SA"/>
              </w:rPr>
            </w:pPr>
            <w:r>
              <w:rPr>
                <w:rFonts w:hint="eastAsia" w:ascii="宋体" w:hAnsi="宋体" w:cs="宋体"/>
                <w:bCs/>
                <w:color w:val="auto"/>
                <w:szCs w:val="21"/>
                <w:highlight w:val="none"/>
              </w:rPr>
              <w:t>类似业绩</w:t>
            </w:r>
          </w:p>
        </w:tc>
        <w:tc>
          <w:tcPr>
            <w:tcW w:w="503" w:type="dxa"/>
            <w:noWrap w:val="0"/>
            <w:vAlign w:val="center"/>
          </w:tcPr>
          <w:p>
            <w:pPr>
              <w:jc w:val="center"/>
              <w:rPr>
                <w:rFonts w:hint="default" w:ascii="宋体" w:hAnsi="宋体" w:eastAsia="宋体"/>
                <w:color w:val="auto"/>
                <w:kern w:val="2"/>
                <w:sz w:val="21"/>
                <w:szCs w:val="21"/>
                <w:highlight w:val="none"/>
                <w:lang w:val="en-US" w:eastAsia="zh-CN" w:bidi="ar-SA"/>
              </w:rPr>
            </w:pPr>
            <w:r>
              <w:rPr>
                <w:rFonts w:hint="eastAsia" w:ascii="宋体" w:hAnsi="宋体" w:eastAsia="宋体"/>
                <w:color w:val="auto"/>
                <w:szCs w:val="21"/>
                <w:highlight w:val="none"/>
                <w:lang w:val="en-US" w:eastAsia="zh-CN"/>
              </w:rPr>
              <w:t>1</w:t>
            </w:r>
            <w:r>
              <w:rPr>
                <w:rFonts w:hint="eastAsia" w:ascii="宋体" w:hAnsi="宋体"/>
                <w:color w:val="auto"/>
                <w:szCs w:val="21"/>
                <w:highlight w:val="none"/>
                <w:lang w:val="en-US" w:eastAsia="zh-CN"/>
              </w:rPr>
              <w:t>0</w:t>
            </w:r>
          </w:p>
        </w:tc>
        <w:tc>
          <w:tcPr>
            <w:tcW w:w="6078" w:type="dxa"/>
            <w:noWrap w:val="0"/>
            <w:vAlign w:val="center"/>
          </w:tcPr>
          <w:p>
            <w:pPr>
              <w:spacing w:line="300" w:lineRule="exact"/>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投标人提供</w:t>
            </w:r>
            <w:r>
              <w:rPr>
                <w:rFonts w:hint="eastAsia" w:ascii="宋体" w:hAnsi="宋体"/>
                <w:color w:val="auto"/>
                <w:szCs w:val="21"/>
                <w:highlight w:val="none"/>
              </w:rPr>
              <w:t>投标截止</w:t>
            </w:r>
            <w:r>
              <w:rPr>
                <w:rFonts w:hint="eastAsia" w:ascii="宋体" w:hAnsi="宋体"/>
                <w:color w:val="auto"/>
                <w:szCs w:val="21"/>
                <w:highlight w:val="none"/>
                <w:lang w:val="en-US" w:eastAsia="zh-CN"/>
              </w:rPr>
              <w:t>前36个月内</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以合同签订时间为准</w:t>
            </w:r>
            <w:r>
              <w:rPr>
                <w:rFonts w:hint="eastAsia" w:ascii="宋体" w:hAnsi="宋体"/>
                <w:color w:val="auto"/>
                <w:szCs w:val="21"/>
                <w:highlight w:val="none"/>
                <w:lang w:eastAsia="zh-CN"/>
              </w:rPr>
              <w:t>）</w:t>
            </w:r>
            <w:r>
              <w:rPr>
                <w:rFonts w:hint="eastAsia" w:ascii="宋体" w:hAnsi="宋体"/>
                <w:color w:val="auto"/>
                <w:szCs w:val="21"/>
                <w:highlight w:val="none"/>
              </w:rPr>
              <w:t>类似项目业绩，每提供一个</w:t>
            </w:r>
            <w:r>
              <w:rPr>
                <w:rFonts w:hint="eastAsia" w:ascii="宋体" w:hAnsi="宋体"/>
                <w:color w:val="auto"/>
                <w:szCs w:val="21"/>
                <w:highlight w:val="none"/>
                <w:lang w:val="en-US" w:eastAsia="zh-CN"/>
              </w:rPr>
              <w:t>I期建设指导备案项目</w:t>
            </w:r>
            <w:r>
              <w:rPr>
                <w:rFonts w:hint="eastAsia" w:ascii="宋体" w:hAnsi="宋体"/>
                <w:color w:val="auto"/>
                <w:szCs w:val="21"/>
                <w:highlight w:val="none"/>
              </w:rPr>
              <w:t>计</w:t>
            </w:r>
            <w:r>
              <w:rPr>
                <w:rFonts w:hint="eastAsia" w:ascii="宋体" w:hAnsi="宋体"/>
                <w:color w:val="auto"/>
                <w:szCs w:val="21"/>
                <w:highlight w:val="none"/>
                <w:lang w:val="en-US" w:eastAsia="zh-CN"/>
              </w:rPr>
              <w:t>2</w:t>
            </w:r>
            <w:r>
              <w:rPr>
                <w:rFonts w:hint="eastAsia" w:ascii="宋体" w:hAnsi="宋体"/>
                <w:color w:val="auto"/>
                <w:szCs w:val="21"/>
                <w:highlight w:val="none"/>
              </w:rPr>
              <w:t>分</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最多计10分</w:t>
            </w:r>
            <w:r>
              <w:rPr>
                <w:rFonts w:hint="eastAsia" w:ascii="宋体" w:hAnsi="宋体"/>
                <w:color w:val="auto"/>
                <w:szCs w:val="21"/>
                <w:highlight w:val="none"/>
              </w:rPr>
              <w:t>）</w:t>
            </w:r>
            <w:r>
              <w:rPr>
                <w:rFonts w:hint="eastAsia" w:ascii="宋体" w:hAnsi="宋体"/>
                <w:color w:val="auto"/>
                <w:szCs w:val="21"/>
                <w:highlight w:val="none"/>
                <w:lang w:eastAsia="zh-CN"/>
              </w:rPr>
              <w:t>，并提供通过证明。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3" w:hRule="atLeast"/>
          <w:jc w:val="center"/>
        </w:trPr>
        <w:tc>
          <w:tcPr>
            <w:tcW w:w="1110" w:type="dxa"/>
            <w:vMerge w:val="continue"/>
            <w:noWrap w:val="0"/>
            <w:vAlign w:val="center"/>
          </w:tcPr>
          <w:p>
            <w:pPr>
              <w:pStyle w:val="6"/>
              <w:spacing w:line="360" w:lineRule="exact"/>
              <w:jc w:val="center"/>
              <w:rPr>
                <w:rFonts w:hint="eastAsia" w:ascii="宋体" w:hAnsi="宋体"/>
                <w:color w:val="auto"/>
                <w:szCs w:val="21"/>
                <w:highlight w:val="none"/>
              </w:rPr>
            </w:pPr>
          </w:p>
        </w:tc>
        <w:tc>
          <w:tcPr>
            <w:tcW w:w="1355" w:type="dxa"/>
            <w:noWrap w:val="0"/>
            <w:vAlign w:val="center"/>
          </w:tcPr>
          <w:p>
            <w:pPr>
              <w:widowControl/>
              <w:jc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企业综合</w:t>
            </w:r>
          </w:p>
          <w:p>
            <w:pPr>
              <w:widowControl/>
              <w:jc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实力</w:t>
            </w:r>
          </w:p>
          <w:p>
            <w:pPr>
              <w:widowControl/>
              <w:jc w:val="center"/>
              <w:rPr>
                <w:rFonts w:hint="default" w:ascii="宋体" w:hAnsi="宋体"/>
                <w:color w:val="auto"/>
                <w:szCs w:val="21"/>
                <w:highlight w:val="none"/>
                <w:lang w:val="en-US" w:eastAsia="zh-CN"/>
              </w:rPr>
            </w:pPr>
          </w:p>
        </w:tc>
        <w:tc>
          <w:tcPr>
            <w:tcW w:w="503" w:type="dxa"/>
            <w:noWrap w:val="0"/>
            <w:vAlign w:val="center"/>
          </w:tcPr>
          <w:p>
            <w:pPr>
              <w:widowControl/>
              <w:jc w:val="center"/>
              <w:rPr>
                <w:rFonts w:hint="default" w:ascii="宋体" w:hAnsi="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val="en-US" w:eastAsia="zh-CN" w:bidi="ar-SA"/>
              </w:rPr>
              <w:t>3</w:t>
            </w:r>
          </w:p>
        </w:tc>
        <w:tc>
          <w:tcPr>
            <w:tcW w:w="6078" w:type="dxa"/>
            <w:noWrap w:val="0"/>
            <w:vAlign w:val="center"/>
          </w:tcPr>
          <w:p>
            <w:pPr>
              <w:pStyle w:val="25"/>
              <w:numPr>
                <w:ilvl w:val="0"/>
                <w:numId w:val="0"/>
              </w:numPr>
              <w:spacing w:before="77" w:line="360" w:lineRule="auto"/>
              <w:jc w:val="both"/>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投标人具备</w:t>
            </w:r>
            <w:r>
              <w:rPr>
                <w:rFonts w:hint="default" w:ascii="宋体" w:hAnsi="宋体" w:eastAsia="宋体" w:cs="Times New Roman"/>
                <w:color w:val="auto"/>
                <w:kern w:val="2"/>
                <w:sz w:val="21"/>
                <w:szCs w:val="21"/>
                <w:highlight w:val="none"/>
                <w:lang w:val="en-US" w:eastAsia="zh-CN" w:bidi="ar-SA"/>
              </w:rPr>
              <w:t>《质量管理体系认证证书》得</w:t>
            </w:r>
            <w:r>
              <w:rPr>
                <w:rFonts w:hint="eastAsia" w:ascii="宋体" w:hAnsi="宋体" w:eastAsia="宋体" w:cs="Times New Roman"/>
                <w:color w:val="auto"/>
                <w:kern w:val="2"/>
                <w:sz w:val="21"/>
                <w:szCs w:val="21"/>
                <w:highlight w:val="none"/>
                <w:lang w:val="en-US" w:eastAsia="zh-CN" w:bidi="ar-SA"/>
              </w:rPr>
              <w:t>3</w:t>
            </w:r>
            <w:r>
              <w:rPr>
                <w:rFonts w:hint="default" w:ascii="宋体" w:hAnsi="宋体" w:eastAsia="宋体" w:cs="Times New Roman"/>
                <w:color w:val="auto"/>
                <w:kern w:val="2"/>
                <w:sz w:val="21"/>
                <w:szCs w:val="21"/>
                <w:highlight w:val="none"/>
                <w:lang w:val="en-US" w:eastAsia="zh-CN" w:bidi="ar-SA"/>
              </w:rPr>
              <w:t>分，提供证书复印件并加盖公章方可得分</w:t>
            </w:r>
            <w:r>
              <w:rPr>
                <w:rFonts w:hint="eastAsia" w:ascii="宋体" w:hAnsi="宋体" w:eastAsia="宋体" w:cs="Times New Roman"/>
                <w:color w:val="auto"/>
                <w:kern w:val="2"/>
                <w:sz w:val="21"/>
                <w:szCs w:val="21"/>
                <w:highlight w:val="none"/>
                <w:lang w:val="en-US" w:eastAsia="zh-CN" w:bidi="ar-SA"/>
              </w:rPr>
              <w:t>，</w:t>
            </w:r>
            <w:r>
              <w:rPr>
                <w:rFonts w:hint="default" w:ascii="宋体" w:hAnsi="宋体" w:eastAsia="宋体" w:cs="Times New Roman"/>
                <w:color w:val="auto"/>
                <w:kern w:val="2"/>
                <w:sz w:val="21"/>
                <w:szCs w:val="21"/>
                <w:highlight w:val="none"/>
                <w:lang w:val="en-US" w:eastAsia="zh-CN" w:bidi="ar-SA"/>
              </w:rPr>
              <w:t>不提供则不得分；</w:t>
            </w:r>
          </w:p>
        </w:tc>
      </w:tr>
    </w:tbl>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注：（1）评标委员会对投标人评分的算数平均值即为该投标人的最终评标得分（不得去</w:t>
      </w:r>
      <w:r>
        <w:rPr>
          <w:rFonts w:hint="eastAsia" w:ascii="宋体" w:hAnsi="宋体" w:cs="宋体"/>
          <w:color w:val="auto"/>
          <w:sz w:val="28"/>
          <w:szCs w:val="28"/>
          <w:lang w:val="en-US" w:eastAsia="zh-CN"/>
        </w:rPr>
        <w:t>掉</w:t>
      </w:r>
      <w:r>
        <w:rPr>
          <w:rFonts w:hint="eastAsia" w:ascii="宋体" w:hAnsi="宋体" w:cs="宋体"/>
          <w:color w:val="auto"/>
          <w:sz w:val="28"/>
          <w:szCs w:val="28"/>
        </w:rPr>
        <w:t>评分项目的最高得分和最低得分），评分分值计算保留小数点后两位，小数点后第三位“四舍五入”。</w:t>
      </w:r>
    </w:p>
    <w:p>
      <w:pPr>
        <w:numPr>
          <w:ilvl w:val="0"/>
          <w:numId w:val="3"/>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评标结果按评审后得分由高到低顺序排列；综合得分相同的，按投标报价由低到高顺序排列；综合得分且投标报价相同的，按技术得分由高到低顺序排列。</w:t>
      </w:r>
    </w:p>
    <w:p>
      <w:pPr>
        <w:numPr>
          <w:ilvl w:val="0"/>
          <w:numId w:val="3"/>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投标人投标文件中提供的资料应真实、清晰，如经评委一致认定投标文件提供的资料不清晰、模糊不清的，该项资料所对应的评分分值为0分</w:t>
      </w:r>
      <w:r>
        <w:rPr>
          <w:rFonts w:hint="eastAsia" w:ascii="宋体" w:hAnsi="宋体" w:cs="宋体"/>
          <w:color w:val="auto"/>
          <w:sz w:val="28"/>
          <w:szCs w:val="28"/>
          <w:lang w:eastAsia="zh-CN"/>
        </w:rPr>
        <w:t>。</w:t>
      </w:r>
    </w:p>
    <w:p>
      <w:pPr>
        <w:pStyle w:val="21"/>
        <w:rPr>
          <w:color w:val="auto"/>
        </w:rPr>
      </w:pPr>
    </w:p>
    <w:p>
      <w:pPr>
        <w:rPr>
          <w:color w:val="auto"/>
        </w:rPr>
      </w:pPr>
      <w:r>
        <w:rPr>
          <w:color w:val="auto"/>
        </w:rPr>
        <w:br w:type="page"/>
      </w:r>
    </w:p>
    <w:p>
      <w:pPr>
        <w:pStyle w:val="21"/>
        <w:rPr>
          <w:color w:val="auto"/>
        </w:rPr>
      </w:pPr>
    </w:p>
    <w:p>
      <w:pPr>
        <w:pStyle w:val="21"/>
        <w:widowControl w:val="0"/>
        <w:numPr>
          <w:ilvl w:val="0"/>
          <w:numId w:val="0"/>
        </w:numPr>
        <w:jc w:val="both"/>
        <w:rPr>
          <w:color w:val="auto"/>
          <w:sz w:val="28"/>
          <w:szCs w:val="28"/>
        </w:rPr>
      </w:pPr>
    </w:p>
    <w:p>
      <w:pPr>
        <w:pStyle w:val="21"/>
        <w:widowControl w:val="0"/>
        <w:numPr>
          <w:ilvl w:val="0"/>
          <w:numId w:val="0"/>
        </w:numPr>
        <w:jc w:val="both"/>
        <w:rPr>
          <w:color w:val="auto"/>
          <w:sz w:val="28"/>
          <w:szCs w:val="28"/>
        </w:rPr>
      </w:pPr>
    </w:p>
    <w:p>
      <w:pPr>
        <w:pStyle w:val="3"/>
        <w:numPr>
          <w:ilvl w:val="0"/>
          <w:numId w:val="4"/>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3"/>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22"/>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21"/>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pPr>
        <w:pStyle w:val="21"/>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6"/>
        <w:gridCol w:w="2026"/>
        <w:gridCol w:w="1521"/>
        <w:gridCol w:w="1608"/>
        <w:gridCol w:w="1513"/>
        <w:gridCol w:w="106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212"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91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212" w:type="pct"/>
            <w:noWrap w:val="0"/>
            <w:vAlign w:val="center"/>
          </w:tcPr>
          <w:p>
            <w:pPr>
              <w:adjustRightInd w:val="0"/>
              <w:snapToGrid w:val="0"/>
              <w:spacing w:before="50" w:line="360" w:lineRule="auto"/>
              <w:ind w:left="-88" w:leftChars="-42"/>
              <w:jc w:val="center"/>
              <w:rPr>
                <w:color w:val="auto"/>
                <w:szCs w:val="21"/>
              </w:rPr>
            </w:pPr>
          </w:p>
        </w:tc>
        <w:tc>
          <w:tcPr>
            <w:tcW w:w="91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212" w:type="pct"/>
            <w:noWrap w:val="0"/>
            <w:vAlign w:val="center"/>
          </w:tcPr>
          <w:p>
            <w:pPr>
              <w:adjustRightInd w:val="0"/>
              <w:snapToGrid w:val="0"/>
              <w:spacing w:before="50" w:line="360" w:lineRule="auto"/>
              <w:ind w:left="-88" w:leftChars="-42"/>
              <w:jc w:val="center"/>
              <w:rPr>
                <w:color w:val="auto"/>
                <w:szCs w:val="21"/>
              </w:rPr>
            </w:pPr>
          </w:p>
        </w:tc>
        <w:tc>
          <w:tcPr>
            <w:tcW w:w="91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212" w:type="pct"/>
            <w:noWrap w:val="0"/>
            <w:vAlign w:val="center"/>
          </w:tcPr>
          <w:p>
            <w:pPr>
              <w:adjustRightInd w:val="0"/>
              <w:snapToGrid w:val="0"/>
              <w:spacing w:before="50" w:line="360" w:lineRule="auto"/>
              <w:ind w:left="-88" w:leftChars="-42"/>
              <w:jc w:val="center"/>
              <w:rPr>
                <w:color w:val="auto"/>
                <w:szCs w:val="21"/>
              </w:rPr>
            </w:pPr>
          </w:p>
        </w:tc>
        <w:tc>
          <w:tcPr>
            <w:tcW w:w="91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7"/>
      </w:pPr>
    </w:p>
    <w:p>
      <w:pPr>
        <w:spacing w:before="120" w:beforeLines="50" w:after="120" w:afterLines="50" w:line="276" w:lineRule="auto"/>
        <w:rPr>
          <w:rFonts w:hint="eastAsia" w:eastAsia="宋体"/>
          <w:b/>
          <w:bCs/>
          <w:color w:val="auto"/>
          <w:sz w:val="28"/>
          <w:szCs w:val="28"/>
          <w:lang w:eastAsia="zh-CN"/>
        </w:rPr>
      </w:pPr>
    </w:p>
    <w:p>
      <w:pPr>
        <w:pStyle w:val="21"/>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22"/>
        <w:rPr>
          <w:color w:val="auto"/>
        </w:rPr>
      </w:pPr>
    </w:p>
    <w:p>
      <w:pPr>
        <w:pStyle w:val="22"/>
        <w:rPr>
          <w:color w:val="auto"/>
        </w:rPr>
      </w:pPr>
    </w:p>
    <w:p>
      <w:pPr>
        <w:pStyle w:val="22"/>
        <w:rPr>
          <w:color w:val="auto"/>
        </w:rPr>
      </w:pPr>
    </w:p>
    <w:p>
      <w:pPr>
        <w:pStyle w:val="22"/>
        <w:rPr>
          <w:color w:val="auto"/>
        </w:rPr>
      </w:pPr>
    </w:p>
    <w:p>
      <w:pPr>
        <w:pStyle w:val="23"/>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22"/>
        <w:rPr>
          <w:color w:val="auto"/>
        </w:rPr>
      </w:pPr>
    </w:p>
    <w:p>
      <w:pPr>
        <w:pStyle w:val="22"/>
        <w:rPr>
          <w:rFonts w:hint="eastAsia"/>
          <w:color w:val="auto"/>
        </w:rPr>
      </w:pPr>
    </w:p>
    <w:p>
      <w:pPr>
        <w:pStyle w:val="22"/>
        <w:rPr>
          <w:color w:val="auto"/>
        </w:rPr>
      </w:pPr>
    </w:p>
    <w:p>
      <w:pPr>
        <w:pStyle w:val="22"/>
        <w:rPr>
          <w:color w:val="auto"/>
        </w:rPr>
      </w:pPr>
    </w:p>
    <w:p>
      <w:pPr>
        <w:pStyle w:val="22"/>
        <w:rPr>
          <w:color w:val="auto"/>
        </w:rPr>
      </w:pPr>
    </w:p>
    <w:p>
      <w:pPr>
        <w:pStyle w:val="22"/>
        <w:rPr>
          <w:color w:val="auto"/>
        </w:rPr>
      </w:pPr>
    </w:p>
    <w:p>
      <w:pPr>
        <w:pStyle w:val="22"/>
        <w:rPr>
          <w:color w:val="auto"/>
        </w:rPr>
      </w:pPr>
    </w:p>
    <w:p>
      <w:pPr>
        <w:pStyle w:val="22"/>
        <w:rPr>
          <w:rFonts w:hint="eastAsia"/>
          <w:color w:val="auto"/>
        </w:rPr>
      </w:pPr>
    </w:p>
    <w:p>
      <w:pPr>
        <w:pStyle w:val="23"/>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23"/>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23"/>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21"/>
        <w:rPr>
          <w:rFonts w:hint="eastAsia"/>
          <w:lang w:eastAsia="zh-CN"/>
        </w:rPr>
      </w:pPr>
    </w:p>
    <w:p>
      <w:pPr>
        <w:pStyle w:val="23"/>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23"/>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23"/>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23"/>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5"/>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p/>
    <w:p>
      <w:pPr>
        <w:pStyle w:val="28"/>
        <w:keepNext w:val="0"/>
        <w:keepLines w:val="0"/>
        <w:pageBreakBefore w:val="0"/>
        <w:widowControl w:val="0"/>
        <w:tabs>
          <w:tab w:val="left" w:pos="2520"/>
        </w:tabs>
        <w:kinsoku/>
        <w:wordWrap/>
        <w:overflowPunct/>
        <w:topLinePunct w:val="0"/>
        <w:autoSpaceDE/>
        <w:autoSpaceDN/>
        <w:bidi w:val="0"/>
        <w:adjustRightInd/>
        <w:snapToGrid/>
        <w:spacing w:beforeAutospacing="0" w:afterAutospacing="0" w:line="520" w:lineRule="exact"/>
        <w:ind w:firstLine="6720" w:firstLineChars="2400"/>
        <w:jc w:val="left"/>
        <w:textAlignment w:val="baseline"/>
        <w:rPr>
          <w:rStyle w:val="29"/>
          <w:rFonts w:hint="eastAsia" w:ascii="仿宋_GB2312" w:hAnsi="仿宋_GB2312" w:eastAsia="仿宋_GB2312" w:cs="仿宋_GB2312"/>
          <w:sz w:val="28"/>
          <w:szCs w:val="28"/>
          <w:lang w:val="en-US" w:eastAsia="zh-CN"/>
        </w:rPr>
      </w:pPr>
      <w:r>
        <w:rPr>
          <w:rStyle w:val="29"/>
          <w:rFonts w:hint="eastAsia" w:ascii="仿宋_GB2312" w:hAnsi="仿宋_GB2312" w:eastAsia="仿宋_GB2312" w:cs="仿宋_GB2312"/>
          <w:sz w:val="28"/>
          <w:szCs w:val="28"/>
          <w:lang w:val="en-US" w:eastAsia="zh-CN"/>
        </w:rPr>
        <w:t>合同编号：</w:t>
      </w:r>
    </w:p>
    <w:p>
      <w:pPr>
        <w:pStyle w:val="28"/>
        <w:keepNext w:val="0"/>
        <w:keepLines w:val="0"/>
        <w:pageBreakBefore w:val="0"/>
        <w:widowControl w:val="0"/>
        <w:tabs>
          <w:tab w:val="left" w:pos="2520"/>
        </w:tabs>
        <w:kinsoku/>
        <w:wordWrap/>
        <w:overflowPunct/>
        <w:topLinePunct w:val="0"/>
        <w:autoSpaceDE/>
        <w:autoSpaceDN/>
        <w:bidi w:val="0"/>
        <w:adjustRightInd/>
        <w:snapToGrid/>
        <w:spacing w:beforeAutospacing="0" w:afterAutospacing="0" w:line="520" w:lineRule="exact"/>
        <w:jc w:val="center"/>
        <w:textAlignment w:val="baseline"/>
        <w:rPr>
          <w:rStyle w:val="29"/>
          <w:rFonts w:hint="eastAsia" w:ascii="微软雅黑" w:hAnsi="微软雅黑" w:eastAsia="微软雅黑" w:cs="微软雅黑"/>
          <w:b w:val="0"/>
          <w:bCs/>
          <w:sz w:val="44"/>
          <w:szCs w:val="44"/>
        </w:rPr>
      </w:pPr>
      <w:r>
        <w:rPr>
          <w:rStyle w:val="29"/>
          <w:rFonts w:hint="eastAsia" w:ascii="微软雅黑" w:hAnsi="微软雅黑" w:eastAsia="微软雅黑" w:cs="微软雅黑"/>
          <w:b w:val="0"/>
          <w:bCs/>
          <w:sz w:val="44"/>
          <w:szCs w:val="44"/>
        </w:rPr>
        <w:t>Ⅰ期临床研究中心备案</w:t>
      </w:r>
      <w:r>
        <w:rPr>
          <w:rStyle w:val="29"/>
          <w:rFonts w:hint="eastAsia" w:ascii="微软雅黑" w:hAnsi="微软雅黑" w:eastAsia="微软雅黑" w:cs="微软雅黑"/>
          <w:b w:val="0"/>
          <w:bCs/>
          <w:sz w:val="44"/>
          <w:szCs w:val="44"/>
          <w:lang w:eastAsia="zh-CN"/>
        </w:rPr>
        <w:t>专项</w:t>
      </w:r>
      <w:r>
        <w:rPr>
          <w:rStyle w:val="29"/>
          <w:rFonts w:hint="eastAsia" w:ascii="微软雅黑" w:hAnsi="微软雅黑" w:eastAsia="微软雅黑" w:cs="微软雅黑"/>
          <w:b w:val="0"/>
          <w:bCs/>
          <w:sz w:val="44"/>
          <w:szCs w:val="44"/>
        </w:rPr>
        <w:t>服务合同</w:t>
      </w:r>
    </w:p>
    <w:p>
      <w:pPr>
        <w:pStyle w:val="28"/>
        <w:keepNext w:val="0"/>
        <w:keepLines w:val="0"/>
        <w:pageBreakBefore w:val="0"/>
        <w:widowControl w:val="0"/>
        <w:tabs>
          <w:tab w:val="left" w:pos="2520"/>
        </w:tabs>
        <w:kinsoku/>
        <w:wordWrap/>
        <w:overflowPunct/>
        <w:topLinePunct w:val="0"/>
        <w:autoSpaceDE/>
        <w:autoSpaceDN/>
        <w:bidi w:val="0"/>
        <w:adjustRightInd/>
        <w:snapToGrid/>
        <w:spacing w:beforeAutospacing="0" w:afterAutospacing="0" w:line="520" w:lineRule="exact"/>
        <w:jc w:val="center"/>
        <w:textAlignment w:val="baseline"/>
        <w:rPr>
          <w:rStyle w:val="29"/>
          <w:rFonts w:hint="eastAsia" w:ascii="微软雅黑" w:hAnsi="微软雅黑" w:eastAsia="微软雅黑" w:cs="微软雅黑"/>
          <w:b w:val="0"/>
          <w:bCs/>
          <w:sz w:val="44"/>
          <w:szCs w:val="44"/>
        </w:rPr>
      </w:pPr>
    </w:p>
    <w:p>
      <w:pPr>
        <w:pStyle w:val="28"/>
        <w:keepNext w:val="0"/>
        <w:keepLines w:val="0"/>
        <w:pageBreakBefore w:val="0"/>
        <w:widowControl w:val="0"/>
        <w:tabs>
          <w:tab w:val="left" w:pos="2520"/>
        </w:tabs>
        <w:kinsoku/>
        <w:wordWrap/>
        <w:overflowPunct/>
        <w:topLinePunct w:val="0"/>
        <w:autoSpaceDE/>
        <w:autoSpaceDN/>
        <w:bidi w:val="0"/>
        <w:adjustRightInd/>
        <w:snapToGrid/>
        <w:spacing w:beforeAutospacing="0" w:afterAutospacing="0" w:line="520" w:lineRule="exact"/>
        <w:jc w:val="left"/>
        <w:textAlignment w:val="baseline"/>
        <w:rPr>
          <w:rStyle w:val="29"/>
          <w:rFonts w:hint="eastAsia" w:ascii="仿宋_GB2312" w:hAnsi="仿宋_GB2312" w:eastAsia="仿宋_GB2312" w:cs="仿宋_GB2312"/>
          <w:sz w:val="28"/>
          <w:szCs w:val="28"/>
          <w:u w:val="single" w:color="000000"/>
        </w:rPr>
      </w:pPr>
      <w:r>
        <w:rPr>
          <w:rStyle w:val="29"/>
          <w:rFonts w:hint="eastAsia" w:ascii="仿宋_GB2312" w:hAnsi="仿宋_GB2312" w:eastAsia="仿宋_GB2312" w:cs="仿宋_GB2312"/>
          <w:sz w:val="28"/>
          <w:szCs w:val="28"/>
        </w:rPr>
        <w:t>委托方（甲方）：</w:t>
      </w:r>
      <w:r>
        <w:rPr>
          <w:rStyle w:val="29"/>
          <w:rFonts w:hint="eastAsia" w:ascii="仿宋_GB2312" w:hAnsi="仿宋_GB2312" w:eastAsia="仿宋_GB2312" w:cs="仿宋_GB2312"/>
          <w:sz w:val="28"/>
          <w:szCs w:val="28"/>
          <w:u w:val="single"/>
          <w:lang w:val="en-US" w:eastAsia="zh-CN"/>
        </w:rPr>
        <w:t>娄底市中心医院</w:t>
      </w:r>
      <w:r>
        <w:rPr>
          <w:rStyle w:val="29"/>
          <w:rFonts w:hint="eastAsia" w:ascii="仿宋_GB2312" w:hAnsi="仿宋_GB2312" w:eastAsia="仿宋_GB2312" w:cs="仿宋_GB2312"/>
          <w:sz w:val="28"/>
          <w:szCs w:val="28"/>
          <w:u w:val="single" w:color="000000"/>
        </w:rPr>
        <w:t xml:space="preserve"> </w:t>
      </w:r>
    </w:p>
    <w:p>
      <w:pPr>
        <w:pStyle w:val="28"/>
        <w:keepNext w:val="0"/>
        <w:keepLines w:val="0"/>
        <w:pageBreakBefore w:val="0"/>
        <w:widowControl w:val="0"/>
        <w:tabs>
          <w:tab w:val="left" w:pos="2520"/>
        </w:tabs>
        <w:kinsoku/>
        <w:wordWrap/>
        <w:overflowPunct/>
        <w:topLinePunct w:val="0"/>
        <w:autoSpaceDE/>
        <w:autoSpaceDN/>
        <w:bidi w:val="0"/>
        <w:adjustRightInd/>
        <w:snapToGrid/>
        <w:spacing w:beforeAutospacing="0" w:afterAutospacing="0" w:line="520" w:lineRule="exact"/>
        <w:jc w:val="left"/>
        <w:textAlignment w:val="baseline"/>
        <w:rPr>
          <w:rStyle w:val="29"/>
          <w:rFonts w:hint="eastAsia" w:ascii="仿宋_GB2312" w:hAnsi="仿宋_GB2312" w:eastAsia="仿宋_GB2312" w:cs="仿宋_GB2312"/>
          <w:sz w:val="28"/>
          <w:szCs w:val="28"/>
          <w:lang w:val="en-US" w:eastAsia="zh-CN"/>
        </w:rPr>
      </w:pPr>
      <w:r>
        <w:rPr>
          <w:rStyle w:val="29"/>
          <w:rFonts w:hint="eastAsia" w:ascii="仿宋_GB2312" w:hAnsi="仿宋_GB2312" w:eastAsia="仿宋_GB2312" w:cs="仿宋_GB2312"/>
          <w:sz w:val="28"/>
          <w:szCs w:val="28"/>
        </w:rPr>
        <w:t>法定代表人</w:t>
      </w:r>
      <w:r>
        <w:rPr>
          <w:rStyle w:val="29"/>
          <w:rFonts w:hint="eastAsia" w:ascii="仿宋_GB2312" w:hAnsi="仿宋_GB2312" w:eastAsia="仿宋_GB2312" w:cs="仿宋_GB2312"/>
          <w:sz w:val="28"/>
          <w:szCs w:val="28"/>
          <w:lang w:eastAsia="zh-CN"/>
        </w:rPr>
        <w:t>：</w:t>
      </w:r>
      <w:r>
        <w:rPr>
          <w:rStyle w:val="29"/>
          <w:rFonts w:hint="eastAsia" w:ascii="仿宋_GB2312" w:hAnsi="仿宋_GB2312" w:eastAsia="仿宋_GB2312" w:cs="仿宋_GB2312"/>
          <w:sz w:val="28"/>
          <w:szCs w:val="28"/>
          <w:u w:val="single"/>
          <w:lang w:val="en-US" w:eastAsia="zh-CN"/>
        </w:rPr>
        <w:t>左建辉</w:t>
      </w:r>
    </w:p>
    <w:p>
      <w:pPr>
        <w:pStyle w:val="28"/>
        <w:keepNext w:val="0"/>
        <w:keepLines w:val="0"/>
        <w:pageBreakBefore w:val="0"/>
        <w:widowControl w:val="0"/>
        <w:tabs>
          <w:tab w:val="left" w:pos="2520"/>
        </w:tabs>
        <w:kinsoku/>
        <w:wordWrap/>
        <w:overflowPunct/>
        <w:topLinePunct w:val="0"/>
        <w:autoSpaceDE/>
        <w:autoSpaceDN/>
        <w:bidi w:val="0"/>
        <w:adjustRightInd/>
        <w:snapToGrid/>
        <w:spacing w:beforeAutospacing="0" w:afterAutospacing="0" w:line="520" w:lineRule="exact"/>
        <w:jc w:val="left"/>
        <w:textAlignment w:val="baseline"/>
        <w:rPr>
          <w:rStyle w:val="29"/>
          <w:rFonts w:hint="eastAsia" w:ascii="仿宋_GB2312" w:hAnsi="仿宋_GB2312" w:eastAsia="仿宋_GB2312" w:cs="仿宋_GB2312"/>
          <w:sz w:val="28"/>
          <w:szCs w:val="28"/>
        </w:rPr>
      </w:pPr>
      <w:r>
        <w:rPr>
          <w:rStyle w:val="29"/>
          <w:rFonts w:hint="eastAsia" w:ascii="仿宋_GB2312" w:hAnsi="仿宋_GB2312" w:eastAsia="仿宋_GB2312" w:cs="仿宋_GB2312"/>
          <w:color w:val="0000FF"/>
          <w:sz w:val="28"/>
          <w:szCs w:val="28"/>
          <w:u w:val="none" w:color="auto"/>
          <w:lang w:eastAsia="zh-CN"/>
        </w:rPr>
        <w:t>统一社会信用代码：</w:t>
      </w:r>
      <w:r>
        <w:rPr>
          <w:rStyle w:val="29"/>
          <w:rFonts w:hint="eastAsia" w:ascii="仿宋_GB2312" w:hAnsi="仿宋_GB2312" w:eastAsia="仿宋_GB2312" w:cs="仿宋_GB2312"/>
          <w:color w:val="0000FF"/>
          <w:sz w:val="28"/>
          <w:szCs w:val="28"/>
          <w:u w:val="single" w:color="auto"/>
          <w:lang w:eastAsia="zh-CN"/>
        </w:rPr>
        <w:t>12431300447162073W</w:t>
      </w:r>
      <w:r>
        <w:rPr>
          <w:rStyle w:val="29"/>
          <w:rFonts w:hint="eastAsia" w:ascii="仿宋_GB2312" w:hAnsi="仿宋_GB2312" w:eastAsia="仿宋_GB2312" w:cs="仿宋_GB2312"/>
          <w:sz w:val="28"/>
          <w:szCs w:val="28"/>
          <w:u w:val="single" w:color="000000"/>
        </w:rPr>
        <w:t xml:space="preserve">    </w:t>
      </w:r>
    </w:p>
    <w:p>
      <w:pPr>
        <w:pStyle w:val="28"/>
        <w:keepNext w:val="0"/>
        <w:keepLines w:val="0"/>
        <w:pageBreakBefore w:val="0"/>
        <w:widowControl w:val="0"/>
        <w:tabs>
          <w:tab w:val="left" w:pos="2520"/>
        </w:tabs>
        <w:kinsoku/>
        <w:wordWrap/>
        <w:overflowPunct/>
        <w:topLinePunct w:val="0"/>
        <w:autoSpaceDE/>
        <w:autoSpaceDN/>
        <w:bidi w:val="0"/>
        <w:adjustRightInd/>
        <w:snapToGrid/>
        <w:spacing w:beforeAutospacing="0" w:afterAutospacing="0" w:line="520" w:lineRule="exact"/>
        <w:jc w:val="left"/>
        <w:textAlignment w:val="baseline"/>
        <w:rPr>
          <w:rStyle w:val="29"/>
          <w:rFonts w:hint="eastAsia" w:ascii="仿宋_GB2312" w:hAnsi="仿宋_GB2312" w:eastAsia="仿宋_GB2312" w:cs="仿宋_GB2312"/>
          <w:sz w:val="28"/>
          <w:szCs w:val="28"/>
          <w:u w:val="single"/>
        </w:rPr>
      </w:pPr>
      <w:r>
        <w:rPr>
          <w:rStyle w:val="29"/>
          <w:rFonts w:hint="eastAsia" w:ascii="仿宋_GB2312" w:hAnsi="仿宋_GB2312" w:eastAsia="仿宋_GB2312" w:cs="仿宋_GB2312"/>
          <w:sz w:val="28"/>
          <w:szCs w:val="28"/>
        </w:rPr>
        <w:t>地     址：</w:t>
      </w:r>
      <w:r>
        <w:rPr>
          <w:rStyle w:val="29"/>
          <w:rFonts w:hint="eastAsia" w:ascii="仿宋_GB2312" w:hAnsi="仿宋_GB2312" w:eastAsia="仿宋_GB2312" w:cs="仿宋_GB2312"/>
          <w:sz w:val="28"/>
          <w:szCs w:val="28"/>
          <w:u w:val="single" w:color="000000"/>
        </w:rPr>
        <w:t xml:space="preserve">  </w:t>
      </w:r>
      <w:r>
        <w:rPr>
          <w:rStyle w:val="29"/>
          <w:rFonts w:hint="eastAsia" w:ascii="仿宋_GB2312" w:hAnsi="仿宋_GB2312" w:eastAsia="仿宋_GB2312" w:cs="仿宋_GB2312"/>
          <w:sz w:val="28"/>
          <w:szCs w:val="28"/>
          <w:u w:val="single" w:color="000000"/>
          <w:lang w:val="en-US" w:eastAsia="zh-CN"/>
        </w:rPr>
        <w:t>娄底市娄星区长青中街51号娄底市中心医院</w:t>
      </w:r>
      <w:r>
        <w:rPr>
          <w:rStyle w:val="29"/>
          <w:rFonts w:hint="eastAsia" w:ascii="仿宋_GB2312" w:hAnsi="仿宋_GB2312" w:eastAsia="仿宋_GB2312" w:cs="仿宋_GB2312"/>
          <w:sz w:val="28"/>
          <w:szCs w:val="28"/>
          <w:u w:val="single" w:color="000000"/>
        </w:rPr>
        <w:t xml:space="preserve">        </w:t>
      </w:r>
    </w:p>
    <w:p>
      <w:pPr>
        <w:pStyle w:val="30"/>
        <w:keepNext w:val="0"/>
        <w:keepLines w:val="0"/>
        <w:pageBreakBefore w:val="0"/>
        <w:widowControl w:val="0"/>
        <w:shd w:val="clear" w:color="auto"/>
        <w:kinsoku/>
        <w:wordWrap/>
        <w:overflowPunct/>
        <w:topLinePunct w:val="0"/>
        <w:autoSpaceDE/>
        <w:autoSpaceDN/>
        <w:bidi w:val="0"/>
        <w:adjustRightInd/>
        <w:snapToGrid/>
        <w:spacing w:before="0" w:beforeAutospacing="0" w:after="0" w:afterAutospacing="0" w:line="520" w:lineRule="exact"/>
        <w:textAlignment w:val="baseline"/>
        <w:rPr>
          <w:rStyle w:val="29"/>
          <w:rFonts w:hint="eastAsia" w:ascii="仿宋_GB2312" w:hAnsi="仿宋_GB2312" w:eastAsia="仿宋_GB2312" w:cs="仿宋_GB2312"/>
          <w:sz w:val="28"/>
          <w:szCs w:val="28"/>
        </w:rPr>
      </w:pPr>
    </w:p>
    <w:p>
      <w:pPr>
        <w:pStyle w:val="30"/>
        <w:keepNext w:val="0"/>
        <w:keepLines w:val="0"/>
        <w:pageBreakBefore w:val="0"/>
        <w:widowControl w:val="0"/>
        <w:shd w:val="clear" w:color="auto"/>
        <w:kinsoku/>
        <w:wordWrap/>
        <w:overflowPunct/>
        <w:topLinePunct w:val="0"/>
        <w:autoSpaceDE/>
        <w:autoSpaceDN/>
        <w:bidi w:val="0"/>
        <w:adjustRightInd/>
        <w:snapToGrid/>
        <w:spacing w:before="0" w:beforeAutospacing="0" w:after="0" w:afterAutospacing="0" w:line="520" w:lineRule="exact"/>
        <w:textAlignment w:val="baseline"/>
        <w:rPr>
          <w:rStyle w:val="29"/>
          <w:rFonts w:hint="eastAsia" w:ascii="仿宋_GB2312" w:hAnsi="仿宋_GB2312" w:eastAsia="仿宋_GB2312" w:cs="仿宋_GB2312"/>
          <w:sz w:val="28"/>
          <w:szCs w:val="28"/>
          <w:u w:val="single" w:color="000000"/>
        </w:rPr>
      </w:pPr>
      <w:r>
        <w:rPr>
          <w:rStyle w:val="29"/>
          <w:rFonts w:hint="eastAsia" w:ascii="仿宋_GB2312" w:hAnsi="仿宋_GB2312" w:eastAsia="仿宋_GB2312" w:cs="仿宋_GB2312"/>
          <w:sz w:val="28"/>
          <w:szCs w:val="28"/>
        </w:rPr>
        <w:t>受托方（乙方）：</w:t>
      </w:r>
      <w:r>
        <w:rPr>
          <w:rStyle w:val="29"/>
          <w:rFonts w:hint="eastAsia" w:ascii="仿宋_GB2312" w:hAnsi="仿宋_GB2312" w:eastAsia="仿宋_GB2312" w:cs="仿宋_GB2312"/>
          <w:sz w:val="28"/>
          <w:szCs w:val="28"/>
          <w:u w:val="single" w:color="000000"/>
        </w:rPr>
        <w:t xml:space="preserve">          </w:t>
      </w:r>
    </w:p>
    <w:p>
      <w:pPr>
        <w:pStyle w:val="30"/>
        <w:keepNext w:val="0"/>
        <w:keepLines w:val="0"/>
        <w:pageBreakBefore w:val="0"/>
        <w:widowControl w:val="0"/>
        <w:shd w:val="clear" w:color="auto"/>
        <w:kinsoku/>
        <w:wordWrap/>
        <w:overflowPunct/>
        <w:topLinePunct w:val="0"/>
        <w:autoSpaceDE/>
        <w:autoSpaceDN/>
        <w:bidi w:val="0"/>
        <w:adjustRightInd/>
        <w:snapToGrid/>
        <w:spacing w:before="0" w:beforeAutospacing="0" w:after="0" w:afterAutospacing="0" w:line="520" w:lineRule="exact"/>
        <w:textAlignment w:val="baseline"/>
        <w:rPr>
          <w:rStyle w:val="29"/>
          <w:rFonts w:hint="eastAsia" w:ascii="仿宋_GB2312" w:hAnsi="仿宋_GB2312" w:eastAsia="仿宋_GB2312" w:cs="仿宋_GB2312"/>
          <w:sz w:val="28"/>
          <w:szCs w:val="28"/>
        </w:rPr>
      </w:pPr>
      <w:r>
        <w:rPr>
          <w:rStyle w:val="29"/>
          <w:rFonts w:hint="eastAsia" w:ascii="仿宋_GB2312" w:hAnsi="仿宋_GB2312" w:eastAsia="仿宋_GB2312" w:cs="仿宋_GB2312"/>
          <w:sz w:val="28"/>
          <w:szCs w:val="28"/>
        </w:rPr>
        <w:t>法定代表人：</w:t>
      </w:r>
      <w:r>
        <w:rPr>
          <w:rStyle w:val="29"/>
          <w:rFonts w:hint="eastAsia" w:ascii="仿宋_GB2312" w:hAnsi="仿宋_GB2312" w:eastAsia="仿宋_GB2312" w:cs="仿宋_GB2312"/>
          <w:sz w:val="28"/>
          <w:szCs w:val="28"/>
          <w:u w:val="single" w:color="000000"/>
        </w:rPr>
        <w:t xml:space="preserve">             </w:t>
      </w:r>
      <w:r>
        <w:rPr>
          <w:rStyle w:val="29"/>
          <w:rFonts w:hint="eastAsia" w:ascii="仿宋_GB2312" w:hAnsi="仿宋_GB2312" w:eastAsia="仿宋_GB2312" w:cs="仿宋_GB2312"/>
          <w:sz w:val="28"/>
          <w:szCs w:val="28"/>
        </w:rPr>
        <w:t xml:space="preserve"> </w:t>
      </w:r>
    </w:p>
    <w:p>
      <w:pPr>
        <w:pStyle w:val="30"/>
        <w:keepNext w:val="0"/>
        <w:keepLines w:val="0"/>
        <w:pageBreakBefore w:val="0"/>
        <w:widowControl w:val="0"/>
        <w:shd w:val="clear" w:color="auto"/>
        <w:kinsoku/>
        <w:wordWrap/>
        <w:overflowPunct/>
        <w:topLinePunct w:val="0"/>
        <w:autoSpaceDE/>
        <w:autoSpaceDN/>
        <w:bidi w:val="0"/>
        <w:adjustRightInd/>
        <w:snapToGrid/>
        <w:spacing w:before="0" w:beforeAutospacing="0" w:after="0" w:afterAutospacing="0" w:line="520" w:lineRule="exact"/>
        <w:textAlignment w:val="baseline"/>
        <w:rPr>
          <w:rStyle w:val="29"/>
          <w:rFonts w:hint="eastAsia" w:ascii="仿宋_GB2312" w:hAnsi="仿宋_GB2312" w:eastAsia="仿宋_GB2312" w:cs="仿宋_GB2312"/>
          <w:sz w:val="28"/>
          <w:szCs w:val="28"/>
          <w:u w:val="single" w:color="000000"/>
        </w:rPr>
      </w:pPr>
      <w:r>
        <w:rPr>
          <w:rStyle w:val="29"/>
          <w:rFonts w:hint="eastAsia" w:ascii="仿宋_GB2312" w:hAnsi="仿宋_GB2312" w:eastAsia="仿宋_GB2312" w:cs="仿宋_GB2312"/>
          <w:color w:val="0000FF"/>
          <w:sz w:val="28"/>
          <w:szCs w:val="28"/>
          <w:u w:val="none" w:color="auto"/>
          <w:lang w:eastAsia="zh-CN"/>
        </w:rPr>
        <w:t>统一社会信用代码：</w:t>
      </w:r>
    </w:p>
    <w:p>
      <w:pPr>
        <w:pStyle w:val="30"/>
        <w:keepNext w:val="0"/>
        <w:keepLines w:val="0"/>
        <w:pageBreakBefore w:val="0"/>
        <w:widowControl w:val="0"/>
        <w:shd w:val="clear" w:color="auto"/>
        <w:kinsoku/>
        <w:wordWrap/>
        <w:overflowPunct/>
        <w:topLinePunct w:val="0"/>
        <w:autoSpaceDE/>
        <w:autoSpaceDN/>
        <w:bidi w:val="0"/>
        <w:adjustRightInd/>
        <w:snapToGrid/>
        <w:spacing w:before="0" w:beforeAutospacing="0" w:after="0" w:afterAutospacing="0" w:line="520" w:lineRule="exact"/>
        <w:textAlignment w:val="baseline"/>
        <w:rPr>
          <w:rStyle w:val="29"/>
          <w:rFonts w:hint="eastAsia" w:ascii="仿宋_GB2312" w:hAnsi="仿宋_GB2312" w:eastAsia="仿宋_GB2312" w:cs="仿宋_GB2312"/>
          <w:sz w:val="28"/>
          <w:szCs w:val="28"/>
          <w:u w:val="single"/>
        </w:rPr>
      </w:pPr>
      <w:r>
        <w:rPr>
          <w:rStyle w:val="29"/>
          <w:rFonts w:hint="eastAsia" w:ascii="仿宋_GB2312" w:hAnsi="仿宋_GB2312" w:eastAsia="仿宋_GB2312" w:cs="仿宋_GB2312"/>
          <w:sz w:val="28"/>
          <w:szCs w:val="28"/>
        </w:rPr>
        <w:t>地    址：</w:t>
      </w:r>
    </w:p>
    <w:p>
      <w:pPr>
        <w:pStyle w:val="30"/>
        <w:keepNext w:val="0"/>
        <w:keepLines w:val="0"/>
        <w:pageBreakBefore w:val="0"/>
        <w:widowControl w:val="0"/>
        <w:shd w:val="clear" w:color="auto"/>
        <w:kinsoku/>
        <w:wordWrap/>
        <w:overflowPunct/>
        <w:topLinePunct w:val="0"/>
        <w:autoSpaceDE/>
        <w:autoSpaceDN/>
        <w:bidi w:val="0"/>
        <w:adjustRightInd/>
        <w:snapToGrid/>
        <w:spacing w:before="0" w:beforeAutospacing="0" w:after="0" w:afterAutospacing="0" w:line="520" w:lineRule="exact"/>
        <w:textAlignment w:val="baseline"/>
        <w:rPr>
          <w:rStyle w:val="16"/>
          <w:rFonts w:hint="eastAsia" w:ascii="仿宋_GB2312" w:hAnsi="仿宋_GB2312" w:eastAsia="仿宋_GB2312" w:cs="仿宋_GB2312"/>
          <w:color w:val="auto"/>
          <w:sz w:val="28"/>
          <w:szCs w:val="28"/>
          <w:u w:color="000000"/>
        </w:rPr>
      </w:pPr>
    </w:p>
    <w:p>
      <w:pPr>
        <w:pStyle w:val="30"/>
        <w:keepNext w:val="0"/>
        <w:keepLines w:val="0"/>
        <w:pageBreakBefore w:val="0"/>
        <w:widowControl w:val="0"/>
        <w:shd w:val="clear" w:color="auto"/>
        <w:kinsoku/>
        <w:wordWrap/>
        <w:overflowPunct/>
        <w:topLinePunct w:val="0"/>
        <w:autoSpaceDE/>
        <w:autoSpaceDN/>
        <w:bidi w:val="0"/>
        <w:adjustRightInd/>
        <w:snapToGrid/>
        <w:spacing w:before="0" w:beforeAutospacing="0" w:after="0" w:afterAutospacing="0" w:line="520" w:lineRule="exact"/>
        <w:ind w:left="0" w:leftChars="0" w:firstLine="560" w:firstLineChars="200"/>
        <w:textAlignment w:val="baseline"/>
        <w:rPr>
          <w:rStyle w:val="29"/>
          <w:rFonts w:hint="eastAsia" w:ascii="仿宋_GB2312" w:hAnsi="仿宋_GB2312" w:eastAsia="仿宋_GB2312" w:cs="仿宋_GB2312"/>
          <w:sz w:val="28"/>
          <w:szCs w:val="28"/>
        </w:rPr>
      </w:pPr>
      <w:r>
        <w:rPr>
          <w:rStyle w:val="29"/>
          <w:rFonts w:hint="eastAsia" w:ascii="仿宋_GB2312" w:hAnsi="仿宋_GB2312" w:eastAsia="仿宋_GB2312" w:cs="仿宋_GB2312"/>
          <w:sz w:val="28"/>
          <w:szCs w:val="28"/>
          <w:lang w:eastAsia="zh-CN"/>
        </w:rPr>
        <w:t>甲方通过</w:t>
      </w:r>
      <w:r>
        <w:rPr>
          <w:rStyle w:val="29"/>
          <w:rFonts w:hint="eastAsia" w:ascii="仿宋_GB2312" w:hAnsi="仿宋_GB2312" w:eastAsia="仿宋_GB2312" w:cs="仿宋_GB2312"/>
          <w:sz w:val="28"/>
          <w:szCs w:val="28"/>
          <w:u w:val="single"/>
          <w:lang w:eastAsia="zh-CN"/>
        </w:rPr>
        <w:t xml:space="preserve">  </w:t>
      </w:r>
      <w:r>
        <w:rPr>
          <w:rStyle w:val="29"/>
          <w:rFonts w:hint="eastAsia" w:ascii="仿宋_GB2312" w:hAnsi="仿宋_GB2312" w:eastAsia="仿宋_GB2312" w:cs="仿宋_GB2312"/>
          <w:sz w:val="28"/>
          <w:szCs w:val="28"/>
          <w:u w:val="single"/>
          <w:lang w:val="en-US" w:eastAsia="zh-CN"/>
        </w:rPr>
        <w:t>医院官网公开挂网</w:t>
      </w:r>
      <w:r>
        <w:rPr>
          <w:rStyle w:val="29"/>
          <w:rFonts w:hint="eastAsia" w:ascii="仿宋_GB2312" w:hAnsi="仿宋_GB2312" w:eastAsia="仿宋_GB2312" w:cs="仿宋_GB2312"/>
          <w:sz w:val="28"/>
          <w:szCs w:val="28"/>
          <w:u w:val="single"/>
          <w:lang w:eastAsia="zh-CN"/>
        </w:rPr>
        <w:t xml:space="preserve"> </w:t>
      </w:r>
      <w:r>
        <w:rPr>
          <w:rStyle w:val="29"/>
          <w:rFonts w:hint="eastAsia" w:ascii="仿宋_GB2312" w:hAnsi="仿宋_GB2312" w:eastAsia="仿宋_GB2312" w:cs="仿宋_GB2312"/>
          <w:sz w:val="28"/>
          <w:szCs w:val="28"/>
          <w:lang w:eastAsia="zh-CN"/>
        </w:rPr>
        <w:t>方式采购</w:t>
      </w:r>
      <w:r>
        <w:rPr>
          <w:rStyle w:val="29"/>
          <w:rFonts w:hint="eastAsia" w:ascii="仿宋_GB2312" w:hAnsi="仿宋_GB2312" w:eastAsia="仿宋_GB2312" w:cs="仿宋_GB2312"/>
          <w:sz w:val="28"/>
          <w:szCs w:val="28"/>
          <w:lang w:val="en-US" w:eastAsia="zh-CN"/>
        </w:rPr>
        <w:t>Ⅰ期临床研究中心备案专项服务，乙方为中选服务商。现</w:t>
      </w:r>
      <w:r>
        <w:rPr>
          <w:rStyle w:val="29"/>
          <w:rFonts w:hint="eastAsia" w:ascii="仿宋_GB2312" w:hAnsi="仿宋_GB2312" w:eastAsia="仿宋_GB2312" w:cs="仿宋_GB2312"/>
          <w:sz w:val="28"/>
          <w:szCs w:val="28"/>
        </w:rPr>
        <w:t>按照我国现行</w:t>
      </w:r>
      <w:r>
        <w:rPr>
          <w:rStyle w:val="29"/>
          <w:rFonts w:hint="eastAsia" w:ascii="仿宋_GB2312" w:hAnsi="仿宋_GB2312" w:eastAsia="仿宋_GB2312" w:cs="仿宋_GB2312"/>
          <w:bCs/>
          <w:sz w:val="28"/>
          <w:szCs w:val="28"/>
        </w:rPr>
        <w:t>《中华人民共和国民法典</w:t>
      </w:r>
      <w:r>
        <w:rPr>
          <w:rStyle w:val="29"/>
          <w:rFonts w:hint="eastAsia" w:ascii="仿宋_GB2312" w:hAnsi="仿宋_GB2312" w:eastAsia="仿宋_GB2312" w:cs="仿宋_GB2312"/>
          <w:bCs/>
          <w:sz w:val="28"/>
          <w:szCs w:val="28"/>
          <w:lang w:eastAsia="zh-CN"/>
        </w:rPr>
        <w:t>》《</w:t>
      </w:r>
      <w:r>
        <w:rPr>
          <w:rStyle w:val="29"/>
          <w:rFonts w:hint="eastAsia" w:ascii="仿宋_GB2312" w:hAnsi="仿宋_GB2312" w:eastAsia="仿宋_GB2312" w:cs="仿宋_GB2312"/>
          <w:bCs/>
          <w:sz w:val="28"/>
          <w:szCs w:val="28"/>
        </w:rPr>
        <w:t>药物临床试验质量管理规范</w:t>
      </w:r>
      <w:r>
        <w:rPr>
          <w:rStyle w:val="29"/>
          <w:rFonts w:hint="eastAsia" w:ascii="仿宋_GB2312" w:hAnsi="仿宋_GB2312" w:eastAsia="仿宋_GB2312" w:cs="仿宋_GB2312"/>
          <w:bCs/>
          <w:sz w:val="28"/>
          <w:szCs w:val="28"/>
          <w:lang w:eastAsia="zh-CN"/>
        </w:rPr>
        <w:t>》《</w:t>
      </w:r>
      <w:r>
        <w:rPr>
          <w:rStyle w:val="29"/>
          <w:rFonts w:hint="eastAsia" w:ascii="仿宋_GB2312" w:hAnsi="仿宋_GB2312" w:eastAsia="仿宋_GB2312" w:cs="仿宋_GB2312"/>
          <w:bCs/>
          <w:sz w:val="28"/>
          <w:szCs w:val="28"/>
        </w:rPr>
        <w:t>药物临床试验机构管理规定</w:t>
      </w:r>
      <w:r>
        <w:rPr>
          <w:rStyle w:val="29"/>
          <w:rFonts w:hint="eastAsia" w:ascii="仿宋_GB2312" w:hAnsi="仿宋_GB2312" w:eastAsia="仿宋_GB2312" w:cs="仿宋_GB2312"/>
          <w:bCs/>
          <w:sz w:val="28"/>
          <w:szCs w:val="28"/>
          <w:lang w:eastAsia="zh-CN"/>
        </w:rPr>
        <w:t>》《</w:t>
      </w:r>
      <w:r>
        <w:rPr>
          <w:rStyle w:val="29"/>
          <w:rFonts w:hint="eastAsia" w:ascii="仿宋_GB2312" w:hAnsi="仿宋_GB2312" w:eastAsia="仿宋_GB2312" w:cs="仿宋_GB2312"/>
          <w:bCs/>
          <w:sz w:val="28"/>
          <w:szCs w:val="28"/>
        </w:rPr>
        <w:t>涉及人的临床研究伦理审查委员会建设指南</w:t>
      </w:r>
      <w:r>
        <w:rPr>
          <w:rStyle w:val="29"/>
          <w:rFonts w:hint="eastAsia" w:ascii="仿宋_GB2312" w:hAnsi="仿宋_GB2312" w:eastAsia="仿宋_GB2312" w:cs="仿宋_GB2312"/>
          <w:bCs/>
          <w:color w:val="0000FF"/>
          <w:sz w:val="28"/>
          <w:szCs w:val="28"/>
          <w:lang w:eastAsia="zh-CN"/>
        </w:rPr>
        <w:t>（</w:t>
      </w:r>
      <w:r>
        <w:rPr>
          <w:rStyle w:val="29"/>
          <w:rFonts w:hint="eastAsia" w:ascii="仿宋_GB2312" w:hAnsi="仿宋_GB2312" w:eastAsia="仿宋_GB2312" w:cs="仿宋_GB2312"/>
          <w:bCs/>
          <w:color w:val="0000FF"/>
          <w:sz w:val="28"/>
          <w:szCs w:val="28"/>
          <w:lang w:val="en-US" w:eastAsia="zh-CN"/>
        </w:rPr>
        <w:t>2023版）</w:t>
      </w:r>
      <w:r>
        <w:rPr>
          <w:rStyle w:val="29"/>
          <w:rFonts w:hint="eastAsia" w:ascii="仿宋_GB2312" w:hAnsi="仿宋_GB2312" w:eastAsia="仿宋_GB2312" w:cs="仿宋_GB2312"/>
          <w:bCs/>
          <w:sz w:val="28"/>
          <w:szCs w:val="28"/>
        </w:rPr>
        <w:t>》</w:t>
      </w:r>
      <w:r>
        <w:rPr>
          <w:rStyle w:val="29"/>
          <w:rFonts w:hint="eastAsia" w:ascii="仿宋_GB2312" w:hAnsi="仿宋_GB2312" w:eastAsia="仿宋_GB2312" w:cs="仿宋_GB2312"/>
          <w:sz w:val="28"/>
          <w:szCs w:val="28"/>
        </w:rPr>
        <w:t>及相关法规之规定，甲乙双方在平等互惠、协商一致的基础上</w:t>
      </w:r>
      <w:r>
        <w:rPr>
          <w:rStyle w:val="29"/>
          <w:rFonts w:hint="eastAsia" w:ascii="仿宋_GB2312" w:hAnsi="仿宋_GB2312" w:eastAsia="仿宋_GB2312" w:cs="仿宋_GB2312"/>
          <w:sz w:val="28"/>
          <w:szCs w:val="28"/>
          <w:lang w:val="en-US" w:eastAsia="zh-CN"/>
        </w:rPr>
        <w:t>就乙方为甲方提供Ⅰ期临床研究中心备案专项服务相关事宜充分协商，</w:t>
      </w:r>
      <w:r>
        <w:rPr>
          <w:rStyle w:val="29"/>
          <w:rFonts w:hint="eastAsia" w:ascii="仿宋_GB2312" w:hAnsi="仿宋_GB2312" w:eastAsia="仿宋_GB2312" w:cs="仿宋_GB2312"/>
          <w:sz w:val="28"/>
          <w:szCs w:val="28"/>
        </w:rPr>
        <w:t>达成如下条款，以</w:t>
      </w:r>
      <w:r>
        <w:rPr>
          <w:rStyle w:val="29"/>
          <w:rFonts w:hint="eastAsia" w:ascii="仿宋_GB2312" w:hAnsi="仿宋_GB2312" w:eastAsia="仿宋_GB2312" w:cs="仿宋_GB2312"/>
          <w:sz w:val="28"/>
          <w:szCs w:val="28"/>
          <w:lang w:val="en-US" w:eastAsia="zh-CN"/>
        </w:rPr>
        <w:t>资</w:t>
      </w:r>
      <w:r>
        <w:rPr>
          <w:rStyle w:val="29"/>
          <w:rFonts w:hint="eastAsia" w:ascii="仿宋_GB2312" w:hAnsi="仿宋_GB2312" w:eastAsia="仿宋_GB2312" w:cs="仿宋_GB2312"/>
          <w:sz w:val="28"/>
          <w:szCs w:val="28"/>
        </w:rPr>
        <w:t>共同遵守。</w:t>
      </w:r>
    </w:p>
    <w:p>
      <w:pPr>
        <w:keepNext w:val="0"/>
        <w:keepLines w:val="0"/>
        <w:pageBreakBefore w:val="0"/>
        <w:widowControl w:val="0"/>
        <w:tabs>
          <w:tab w:val="left" w:pos="704"/>
        </w:tabs>
        <w:kinsoku/>
        <w:wordWrap/>
        <w:overflowPunct/>
        <w:topLinePunct w:val="0"/>
        <w:autoSpaceDE/>
        <w:autoSpaceDN/>
        <w:bidi w:val="0"/>
        <w:adjustRightInd/>
        <w:snapToGrid/>
        <w:spacing w:beforeAutospacing="0" w:afterAutospacing="0" w:line="520" w:lineRule="exact"/>
        <w:ind w:left="0" w:leftChars="0" w:firstLine="562" w:firstLineChars="200"/>
        <w:textAlignment w:val="baseline"/>
        <w:rPr>
          <w:rStyle w:val="29"/>
          <w:rFonts w:hint="eastAsia" w:ascii="仿宋_GB2312" w:hAnsi="仿宋_GB2312" w:eastAsia="仿宋_GB2312" w:cs="仿宋_GB2312"/>
          <w:b/>
          <w:sz w:val="28"/>
          <w:szCs w:val="28"/>
        </w:rPr>
      </w:pPr>
      <w:r>
        <w:rPr>
          <w:rStyle w:val="29"/>
          <w:rFonts w:hint="eastAsia" w:ascii="仿宋_GB2312" w:hAnsi="仿宋_GB2312" w:eastAsia="仿宋_GB2312" w:cs="仿宋_GB2312"/>
          <w:b/>
          <w:sz w:val="28"/>
          <w:szCs w:val="28"/>
        </w:rPr>
        <w:t>一、</w:t>
      </w:r>
      <w:r>
        <w:rPr>
          <w:rStyle w:val="29"/>
          <w:rFonts w:hint="eastAsia" w:ascii="仿宋_GB2312" w:hAnsi="仿宋_GB2312" w:eastAsia="仿宋_GB2312" w:cs="仿宋_GB2312"/>
          <w:b/>
          <w:sz w:val="28"/>
          <w:szCs w:val="28"/>
          <w:lang w:val="en-US" w:eastAsia="zh-CN"/>
        </w:rPr>
        <w:t>服务内容</w:t>
      </w:r>
    </w:p>
    <w:p>
      <w:pPr>
        <w:keepNext w:val="0"/>
        <w:keepLines w:val="0"/>
        <w:pageBreakBefore w:val="0"/>
        <w:widowControl w:val="0"/>
        <w:tabs>
          <w:tab w:val="left" w:pos="704"/>
        </w:tabs>
        <w:kinsoku/>
        <w:wordWrap/>
        <w:overflowPunct/>
        <w:topLinePunct w:val="0"/>
        <w:autoSpaceDE/>
        <w:autoSpaceDN/>
        <w:bidi w:val="0"/>
        <w:adjustRightInd/>
        <w:snapToGrid/>
        <w:spacing w:beforeAutospacing="0" w:afterAutospacing="0" w:line="520" w:lineRule="exact"/>
        <w:ind w:left="0" w:leftChars="0" w:firstLine="560" w:firstLineChars="200"/>
        <w:textAlignment w:val="baseline"/>
        <w:rPr>
          <w:rStyle w:val="29"/>
          <w:rFonts w:hint="eastAsia" w:ascii="仿宋_GB2312" w:hAnsi="仿宋_GB2312" w:eastAsia="仿宋_GB2312" w:cs="仿宋_GB2312"/>
          <w:sz w:val="28"/>
          <w:szCs w:val="28"/>
        </w:rPr>
      </w:pPr>
      <w:r>
        <w:rPr>
          <w:rStyle w:val="29"/>
          <w:rFonts w:hint="eastAsia" w:ascii="仿宋_GB2312" w:hAnsi="仿宋_GB2312" w:eastAsia="仿宋_GB2312" w:cs="仿宋_GB2312"/>
          <w:sz w:val="28"/>
          <w:szCs w:val="28"/>
        </w:rPr>
        <w:t>甲方根据药物临床试验机构建设发展需要，</w:t>
      </w:r>
      <w:r>
        <w:rPr>
          <w:rStyle w:val="29"/>
          <w:rFonts w:hint="eastAsia" w:ascii="仿宋_GB2312" w:hAnsi="仿宋_GB2312" w:eastAsia="仿宋_GB2312" w:cs="仿宋_GB2312"/>
          <w:sz w:val="28"/>
          <w:szCs w:val="28"/>
          <w:lang w:val="en-US" w:eastAsia="zh-CN"/>
        </w:rPr>
        <w:t>委托乙方为甲方</w:t>
      </w:r>
      <w:r>
        <w:rPr>
          <w:rStyle w:val="29"/>
          <w:rFonts w:hint="eastAsia" w:ascii="仿宋_GB2312" w:hAnsi="仿宋_GB2312" w:eastAsia="仿宋_GB2312" w:cs="仿宋_GB2312"/>
          <w:sz w:val="28"/>
          <w:szCs w:val="28"/>
        </w:rPr>
        <w:t>完成以下专项服务</w:t>
      </w:r>
      <w:r>
        <w:rPr>
          <w:rStyle w:val="29"/>
          <w:rFonts w:hint="eastAsia" w:ascii="仿宋_GB2312" w:hAnsi="仿宋_GB2312" w:eastAsia="仿宋_GB2312" w:cs="仿宋_GB2312"/>
          <w:sz w:val="28"/>
          <w:szCs w:val="28"/>
          <w:lang w:val="en-US" w:eastAsia="zh-CN"/>
        </w:rPr>
        <w:t>：</w:t>
      </w:r>
    </w:p>
    <w:tbl>
      <w:tblPr>
        <w:tblStyle w:val="14"/>
        <w:tblW w:w="8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
        <w:gridCol w:w="8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noWrap w:val="0"/>
            <w:vAlign w:val="top"/>
          </w:tcPr>
          <w:p>
            <w:pPr>
              <w:pStyle w:val="5"/>
              <w:numPr>
                <w:ilvl w:val="0"/>
                <w:numId w:val="0"/>
              </w:numPr>
              <w:ind w:firstLine="0"/>
              <w:jc w:val="center"/>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序号</w:t>
            </w:r>
          </w:p>
        </w:tc>
        <w:tc>
          <w:tcPr>
            <w:tcW w:w="8015" w:type="dxa"/>
            <w:noWrap w:val="0"/>
            <w:vAlign w:val="top"/>
          </w:tcPr>
          <w:p>
            <w:pPr>
              <w:pStyle w:val="5"/>
              <w:numPr>
                <w:ilvl w:val="0"/>
                <w:numId w:val="0"/>
              </w:numPr>
              <w:ind w:firstLine="0"/>
              <w:jc w:val="center"/>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具体技术(参数)要求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noWrap w:val="0"/>
            <w:vAlign w:val="top"/>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1</w:t>
            </w:r>
          </w:p>
        </w:tc>
        <w:tc>
          <w:tcPr>
            <w:tcW w:w="8015" w:type="dxa"/>
            <w:noWrap w:val="0"/>
            <w:vAlign w:val="center"/>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确保医院完成Ⅰ期临床试验研究室专业国家局备案</w:t>
            </w:r>
            <w:r>
              <w:rPr>
                <w:rStyle w:val="29"/>
                <w:rFonts w:hint="eastAsia" w:ascii="仿宋_GB2312" w:hAnsi="仿宋_GB2312" w:eastAsia="仿宋_GB2312" w:cs="仿宋_GB2312"/>
                <w:kern w:val="2"/>
                <w:sz w:val="28"/>
                <w:szCs w:val="28"/>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noWrap w:val="0"/>
            <w:vAlign w:val="top"/>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2</w:t>
            </w:r>
          </w:p>
        </w:tc>
        <w:tc>
          <w:tcPr>
            <w:tcW w:w="8015" w:type="dxa"/>
            <w:noWrap w:val="0"/>
            <w:vAlign w:val="center"/>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协助医院选择并确定研究型病房场地；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noWrap w:val="0"/>
            <w:vAlign w:val="top"/>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3</w:t>
            </w:r>
          </w:p>
        </w:tc>
        <w:tc>
          <w:tcPr>
            <w:tcW w:w="8015" w:type="dxa"/>
            <w:noWrap w:val="0"/>
            <w:vAlign w:val="center"/>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负责提供I期/BE临床研究病房场地设备设施清单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noWrap w:val="0"/>
            <w:vAlign w:val="top"/>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4</w:t>
            </w:r>
          </w:p>
        </w:tc>
        <w:tc>
          <w:tcPr>
            <w:tcW w:w="8015" w:type="dxa"/>
            <w:noWrap w:val="0"/>
            <w:vAlign w:val="center"/>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协助完成I期/BE临床研究病房设施设备采购指导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noWrap w:val="0"/>
            <w:vAlign w:val="top"/>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5</w:t>
            </w:r>
          </w:p>
        </w:tc>
        <w:tc>
          <w:tcPr>
            <w:tcW w:w="8015" w:type="dxa"/>
            <w:noWrap w:val="0"/>
            <w:vAlign w:val="center"/>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提供并协助建立I期/BE临床研究病房管理制度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noWrap w:val="0"/>
            <w:vAlign w:val="top"/>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6</w:t>
            </w:r>
          </w:p>
        </w:tc>
        <w:tc>
          <w:tcPr>
            <w:tcW w:w="8015" w:type="dxa"/>
            <w:noWrap w:val="0"/>
            <w:vAlign w:val="center"/>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协助指导I期/BE临床研究病房上墙管理制度及温馨提示要求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noWrap w:val="0"/>
            <w:vAlign w:val="top"/>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7</w:t>
            </w:r>
          </w:p>
        </w:tc>
        <w:tc>
          <w:tcPr>
            <w:tcW w:w="8015" w:type="dxa"/>
            <w:noWrap w:val="0"/>
            <w:vAlign w:val="center"/>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协助建立I期/BE临床研究病房标准操作规程及工作表单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noWrap w:val="0"/>
            <w:vAlign w:val="top"/>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8</w:t>
            </w:r>
          </w:p>
        </w:tc>
        <w:tc>
          <w:tcPr>
            <w:tcW w:w="8015" w:type="dxa"/>
            <w:noWrap w:val="0"/>
            <w:vAlign w:val="center"/>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协助建立I期/BE临床研究病房应急预案、急救预案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noWrap w:val="0"/>
            <w:vAlign w:val="top"/>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9</w:t>
            </w:r>
          </w:p>
        </w:tc>
        <w:tc>
          <w:tcPr>
            <w:tcW w:w="8015" w:type="dxa"/>
            <w:noWrap w:val="0"/>
            <w:vAlign w:val="center"/>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指导I期/BE临床研究病房项目流程及场地介绍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noWrap w:val="0"/>
            <w:vAlign w:val="top"/>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10</w:t>
            </w:r>
          </w:p>
        </w:tc>
        <w:tc>
          <w:tcPr>
            <w:tcW w:w="8015" w:type="dxa"/>
            <w:noWrap w:val="0"/>
            <w:vAlign w:val="center"/>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指导医院根据省药监局要求提交相关资料进行备案申请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noWrap w:val="0"/>
            <w:vAlign w:val="top"/>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11</w:t>
            </w:r>
          </w:p>
        </w:tc>
        <w:tc>
          <w:tcPr>
            <w:tcW w:w="8015" w:type="dxa"/>
            <w:noWrap w:val="0"/>
            <w:vAlign w:val="center"/>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I期/BE临床研究病房建设完成前期，对首个项目开展过程提供指导咨询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noWrap w:val="0"/>
            <w:vAlign w:val="top"/>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12</w:t>
            </w:r>
          </w:p>
        </w:tc>
        <w:tc>
          <w:tcPr>
            <w:tcW w:w="8015" w:type="dxa"/>
            <w:noWrap w:val="0"/>
            <w:vAlign w:val="center"/>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协助确定并组建符合GCP要求的I期临床专业研究人员组织架构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noWrap w:val="0"/>
            <w:vAlign w:val="top"/>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13</w:t>
            </w:r>
          </w:p>
        </w:tc>
        <w:tc>
          <w:tcPr>
            <w:tcW w:w="8015" w:type="dxa"/>
            <w:noWrap w:val="0"/>
            <w:vAlign w:val="center"/>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提供并协助梳理I期临床专业研究团队的岗位职责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noWrap w:val="0"/>
            <w:vAlign w:val="top"/>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14</w:t>
            </w:r>
          </w:p>
        </w:tc>
        <w:tc>
          <w:tcPr>
            <w:tcW w:w="8015" w:type="dxa"/>
            <w:noWrap w:val="0"/>
            <w:vAlign w:val="center"/>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指导I期临床专业团队进行符合GCP要求的体系知识培训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noWrap w:val="0"/>
            <w:vAlign w:val="top"/>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15</w:t>
            </w:r>
          </w:p>
        </w:tc>
        <w:tc>
          <w:tcPr>
            <w:tcW w:w="8015" w:type="dxa"/>
            <w:noWrap w:val="0"/>
            <w:vAlign w:val="center"/>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负责提供I期临床专业团队法律法规学习材料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noWrap w:val="0"/>
            <w:vAlign w:val="top"/>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16</w:t>
            </w:r>
          </w:p>
        </w:tc>
        <w:tc>
          <w:tcPr>
            <w:tcW w:w="8015" w:type="dxa"/>
            <w:noWrap w:val="0"/>
            <w:vAlign w:val="center"/>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负责提供I期临床专业团队应知应会学习材料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noWrap w:val="0"/>
            <w:vAlign w:val="top"/>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17</w:t>
            </w:r>
          </w:p>
        </w:tc>
        <w:tc>
          <w:tcPr>
            <w:tcW w:w="8015" w:type="dxa"/>
            <w:noWrap w:val="0"/>
            <w:vAlign w:val="center"/>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负责提供对I期临床专业团队的强化 GCP 相关知识的培训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noWrap w:val="0"/>
            <w:vAlign w:val="top"/>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18</w:t>
            </w:r>
          </w:p>
        </w:tc>
        <w:tc>
          <w:tcPr>
            <w:tcW w:w="8015" w:type="dxa"/>
            <w:noWrap w:val="0"/>
            <w:vAlign w:val="center"/>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培训I期临床专业如何应对检查（评估、省局检查）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noWrap w:val="0"/>
            <w:vAlign w:val="top"/>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19</w:t>
            </w:r>
          </w:p>
        </w:tc>
        <w:tc>
          <w:tcPr>
            <w:tcW w:w="8015" w:type="dxa"/>
            <w:noWrap w:val="0"/>
            <w:vAlign w:val="center"/>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负责组织在专家现场检查前对I期临床专业进行一次模拟评估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noWrap w:val="0"/>
            <w:vAlign w:val="top"/>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20</w:t>
            </w:r>
          </w:p>
        </w:tc>
        <w:tc>
          <w:tcPr>
            <w:tcW w:w="8015" w:type="dxa"/>
            <w:noWrap w:val="0"/>
            <w:vAlign w:val="center"/>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对I期临床专业模拟评估问题进行整改指导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noWrap w:val="0"/>
            <w:vAlign w:val="top"/>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21</w:t>
            </w:r>
          </w:p>
        </w:tc>
        <w:tc>
          <w:tcPr>
            <w:tcW w:w="8015" w:type="dxa"/>
            <w:noWrap w:val="0"/>
            <w:vAlign w:val="center"/>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指导I期临床专业在专家评估前的相关资料准备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noWrap w:val="0"/>
            <w:vAlign w:val="top"/>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22</w:t>
            </w:r>
          </w:p>
        </w:tc>
        <w:tc>
          <w:tcPr>
            <w:tcW w:w="8015" w:type="dxa"/>
            <w:noWrap w:val="0"/>
            <w:vAlign w:val="center"/>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组织外部专家对I期临床专业进行一次评估并出具评估报告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noWrap w:val="0"/>
            <w:vAlign w:val="top"/>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23</w:t>
            </w:r>
          </w:p>
        </w:tc>
        <w:tc>
          <w:tcPr>
            <w:tcW w:w="8015" w:type="dxa"/>
            <w:noWrap w:val="0"/>
            <w:vAlign w:val="center"/>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对专家评估问题进行整改指导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noWrap w:val="0"/>
            <w:vAlign w:val="top"/>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24</w:t>
            </w:r>
          </w:p>
        </w:tc>
        <w:tc>
          <w:tcPr>
            <w:tcW w:w="8015" w:type="dxa"/>
            <w:noWrap w:val="0"/>
            <w:vAlign w:val="center"/>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协助I期临床专业PI进修学习，获得项目经验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noWrap w:val="0"/>
            <w:vAlign w:val="top"/>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eastAsia" w:ascii="仿宋_GB2312" w:hAnsi="仿宋_GB2312" w:eastAsia="仿宋_GB2312" w:cs="仿宋_GB2312"/>
                <w:kern w:val="2"/>
                <w:sz w:val="28"/>
                <w:szCs w:val="28"/>
                <w:lang w:val="en-US" w:eastAsia="zh-CN" w:bidi="ar-SA"/>
              </w:rPr>
              <w:t>25</w:t>
            </w:r>
          </w:p>
        </w:tc>
        <w:tc>
          <w:tcPr>
            <w:tcW w:w="8015" w:type="dxa"/>
            <w:noWrap w:val="0"/>
            <w:vAlign w:val="center"/>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协助医院完成I期临床专业备案申报资料系统、申报表填写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noWrap w:val="0"/>
            <w:vAlign w:val="top"/>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eastAsia" w:ascii="仿宋_GB2312" w:hAnsi="仿宋_GB2312" w:eastAsia="仿宋_GB2312" w:cs="仿宋_GB2312"/>
                <w:kern w:val="2"/>
                <w:sz w:val="28"/>
                <w:szCs w:val="28"/>
                <w:lang w:val="en-US" w:eastAsia="zh-CN" w:bidi="ar-SA"/>
              </w:rPr>
              <w:t>26</w:t>
            </w:r>
          </w:p>
        </w:tc>
        <w:tc>
          <w:tcPr>
            <w:tcW w:w="8015" w:type="dxa"/>
            <w:noWrap w:val="0"/>
            <w:vAlign w:val="center"/>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指导I期临床专业完成核查前准备汇报 PPT 的制作等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noWrap w:val="0"/>
            <w:vAlign w:val="top"/>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eastAsia" w:ascii="仿宋_GB2312" w:hAnsi="仿宋_GB2312" w:eastAsia="仿宋_GB2312" w:cs="仿宋_GB2312"/>
                <w:kern w:val="2"/>
                <w:sz w:val="28"/>
                <w:szCs w:val="28"/>
                <w:lang w:val="en-US" w:eastAsia="zh-CN" w:bidi="ar-SA"/>
              </w:rPr>
              <w:t>27</w:t>
            </w:r>
          </w:p>
        </w:tc>
        <w:tc>
          <w:tcPr>
            <w:tcW w:w="8015" w:type="dxa"/>
            <w:noWrap w:val="0"/>
            <w:vAlign w:val="center"/>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指导医院I期临床专业申报完成备案后首次省局现场检查的相关准备工作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 w:type="dxa"/>
            <w:noWrap w:val="0"/>
            <w:vAlign w:val="top"/>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eastAsia" w:ascii="仿宋_GB2312" w:hAnsi="仿宋_GB2312" w:eastAsia="仿宋_GB2312" w:cs="仿宋_GB2312"/>
                <w:kern w:val="2"/>
                <w:sz w:val="28"/>
                <w:szCs w:val="28"/>
                <w:lang w:val="en-US" w:eastAsia="zh-CN" w:bidi="ar-SA"/>
              </w:rPr>
              <w:t>28</w:t>
            </w:r>
          </w:p>
        </w:tc>
        <w:tc>
          <w:tcPr>
            <w:tcW w:w="8015" w:type="dxa"/>
            <w:noWrap w:val="0"/>
            <w:vAlign w:val="center"/>
          </w:tcPr>
          <w:p>
            <w:pPr>
              <w:pStyle w:val="5"/>
              <w:numPr>
                <w:ilvl w:val="0"/>
                <w:numId w:val="0"/>
              </w:numPr>
              <w:ind w:firstLine="0"/>
              <w:rPr>
                <w:rStyle w:val="29"/>
                <w:rFonts w:hint="default" w:ascii="仿宋_GB2312" w:hAnsi="仿宋_GB2312" w:eastAsia="仿宋_GB2312" w:cs="仿宋_GB2312"/>
                <w:kern w:val="2"/>
                <w:sz w:val="28"/>
                <w:szCs w:val="28"/>
                <w:lang w:val="en-US" w:eastAsia="zh-CN" w:bidi="ar-SA"/>
              </w:rPr>
            </w:pPr>
            <w:r>
              <w:rPr>
                <w:rStyle w:val="29"/>
                <w:rFonts w:hint="default" w:ascii="仿宋_GB2312" w:hAnsi="仿宋_GB2312" w:eastAsia="仿宋_GB2312" w:cs="仿宋_GB2312"/>
                <w:kern w:val="2"/>
                <w:sz w:val="28"/>
                <w:szCs w:val="28"/>
                <w:lang w:val="en-US" w:eastAsia="zh-CN" w:bidi="ar-SA"/>
              </w:rPr>
              <w:t>指导协助医院I期临床专业申报接受备案后首次的省局现场检查</w:t>
            </w:r>
          </w:p>
        </w:tc>
      </w:tr>
    </w:tbl>
    <w:p>
      <w:pPr>
        <w:pStyle w:val="31"/>
        <w:keepNext w:val="0"/>
        <w:keepLines w:val="0"/>
        <w:pageBreakBefore w:val="0"/>
        <w:widowControl w:val="0"/>
        <w:tabs>
          <w:tab w:val="left" w:pos="704"/>
        </w:tabs>
        <w:kinsoku/>
        <w:wordWrap/>
        <w:overflowPunct/>
        <w:topLinePunct w:val="0"/>
        <w:autoSpaceDE/>
        <w:autoSpaceDN/>
        <w:bidi w:val="0"/>
        <w:adjustRightInd/>
        <w:snapToGrid/>
        <w:spacing w:beforeAutospacing="0" w:afterAutospacing="0" w:line="520" w:lineRule="exact"/>
        <w:ind w:left="0" w:leftChars="0" w:firstLine="562" w:firstLineChars="200"/>
        <w:textAlignment w:val="baseline"/>
        <w:rPr>
          <w:rStyle w:val="29"/>
          <w:rFonts w:hint="eastAsia" w:ascii="仿宋_GB2312" w:hAnsi="仿宋_GB2312" w:eastAsia="仿宋_GB2312" w:cs="仿宋_GB2312"/>
          <w:b/>
          <w:sz w:val="28"/>
          <w:szCs w:val="28"/>
          <w:lang w:val="en-US" w:eastAsia="zh-CN"/>
        </w:rPr>
      </w:pPr>
      <w:r>
        <w:rPr>
          <w:rStyle w:val="29"/>
          <w:rFonts w:hint="eastAsia" w:ascii="仿宋_GB2312" w:hAnsi="仿宋_GB2312" w:eastAsia="仿宋_GB2312" w:cs="仿宋_GB2312"/>
          <w:b/>
          <w:sz w:val="28"/>
          <w:szCs w:val="28"/>
          <w:lang w:val="en-US" w:eastAsia="zh-CN"/>
        </w:rPr>
        <w:t>二、服务期限</w:t>
      </w:r>
    </w:p>
    <w:p>
      <w:pPr>
        <w:keepNext w:val="0"/>
        <w:keepLines w:val="0"/>
        <w:pageBreakBefore w:val="0"/>
        <w:widowControl w:val="0"/>
        <w:tabs>
          <w:tab w:val="left" w:pos="704"/>
        </w:tabs>
        <w:kinsoku/>
        <w:wordWrap/>
        <w:overflowPunct/>
        <w:topLinePunct w:val="0"/>
        <w:autoSpaceDE/>
        <w:autoSpaceDN/>
        <w:bidi w:val="0"/>
        <w:adjustRightInd/>
        <w:snapToGrid/>
        <w:spacing w:beforeAutospacing="0" w:afterAutospacing="0" w:line="520" w:lineRule="exact"/>
        <w:ind w:left="0" w:leftChars="0" w:firstLine="560" w:firstLineChars="200"/>
        <w:textAlignment w:val="baseline"/>
        <w:rPr>
          <w:rStyle w:val="29"/>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Style w:val="29"/>
          <w:rFonts w:hint="eastAsia" w:ascii="仿宋_GB2312" w:hAnsi="仿宋_GB2312" w:eastAsia="仿宋_GB2312" w:cs="仿宋_GB2312"/>
          <w:color w:val="000000" w:themeColor="text1"/>
          <w:sz w:val="28"/>
          <w:szCs w:val="28"/>
          <w:lang w:val="en-US" w:eastAsia="zh-CN"/>
          <w14:textFill>
            <w14:solidFill>
              <w14:schemeClr w14:val="tx1"/>
            </w14:solidFill>
          </w14:textFill>
        </w:rPr>
        <w:t>1.服务期限为1年，自本合同签订之日起至甲方</w:t>
      </w:r>
      <w:r>
        <w:rPr>
          <w:rStyle w:val="29"/>
          <w:rFonts w:hint="eastAsia" w:ascii="仿宋_GB2312" w:hAnsi="仿宋_GB2312" w:eastAsia="仿宋_GB2312" w:cs="仿宋_GB2312"/>
          <w:color w:val="000000" w:themeColor="text1"/>
          <w:sz w:val="28"/>
          <w:szCs w:val="28"/>
          <w14:textFill>
            <w14:solidFill>
              <w14:schemeClr w14:val="tx1"/>
            </w14:solidFill>
          </w14:textFill>
        </w:rPr>
        <w:t>通过国家药品监督管理局</w:t>
      </w:r>
      <w:r>
        <w:rPr>
          <w:rStyle w:val="29"/>
          <w:rFonts w:hint="eastAsia" w:ascii="仿宋_GB2312" w:hAnsi="仿宋_GB2312" w:eastAsia="仿宋_GB2312" w:cs="仿宋_GB2312"/>
          <w:sz w:val="28"/>
          <w:szCs w:val="28"/>
        </w:rPr>
        <w:t>I</w:t>
      </w:r>
      <w:r>
        <w:rPr>
          <w:rStyle w:val="29"/>
          <w:rFonts w:hint="eastAsia" w:ascii="仿宋_GB2312" w:hAnsi="仿宋_GB2312" w:eastAsia="仿宋_GB2312" w:cs="仿宋_GB2312"/>
          <w:sz w:val="28"/>
          <w:szCs w:val="28"/>
          <w:lang w:val="en-US" w:eastAsia="zh-Hans"/>
        </w:rPr>
        <w:t>期临床研究中心</w:t>
      </w:r>
      <w:r>
        <w:rPr>
          <w:rStyle w:val="29"/>
          <w:rFonts w:hint="eastAsia" w:ascii="仿宋_GB2312" w:hAnsi="仿宋_GB2312" w:eastAsia="仿宋_GB2312" w:cs="仿宋_GB2312"/>
          <w:color w:val="000000" w:themeColor="text1"/>
          <w:sz w:val="28"/>
          <w:szCs w:val="28"/>
          <w14:textFill>
            <w14:solidFill>
              <w14:schemeClr w14:val="tx1"/>
            </w14:solidFill>
          </w14:textFill>
        </w:rPr>
        <w:t>备案</w:t>
      </w:r>
      <w:r>
        <w:rPr>
          <w:rStyle w:val="29"/>
          <w:rFonts w:hint="eastAsia" w:ascii="仿宋_GB2312" w:hAnsi="仿宋_GB2312" w:eastAsia="仿宋_GB2312" w:cs="仿宋_GB2312"/>
          <w:color w:val="000000" w:themeColor="text1"/>
          <w:sz w:val="28"/>
          <w:szCs w:val="28"/>
          <w:lang w:val="en-US" w:eastAsia="zh-CN"/>
          <w14:textFill>
            <w14:solidFill>
              <w14:schemeClr w14:val="tx1"/>
            </w14:solidFill>
          </w14:textFill>
        </w:rPr>
        <w:t>之日止。</w:t>
      </w:r>
    </w:p>
    <w:p>
      <w:pPr>
        <w:keepNext w:val="0"/>
        <w:keepLines w:val="0"/>
        <w:pageBreakBefore w:val="0"/>
        <w:widowControl w:val="0"/>
        <w:tabs>
          <w:tab w:val="left" w:pos="704"/>
        </w:tabs>
        <w:kinsoku/>
        <w:wordWrap/>
        <w:overflowPunct/>
        <w:topLinePunct w:val="0"/>
        <w:autoSpaceDE/>
        <w:autoSpaceDN/>
        <w:bidi w:val="0"/>
        <w:adjustRightInd/>
        <w:snapToGrid/>
        <w:spacing w:beforeAutospacing="0" w:afterAutospacing="0" w:line="520" w:lineRule="exact"/>
        <w:ind w:left="0" w:leftChars="0" w:firstLine="560" w:firstLineChars="200"/>
        <w:textAlignment w:val="baseline"/>
        <w:rPr>
          <w:rStyle w:val="29"/>
          <w:rFonts w:hint="eastAsia" w:ascii="仿宋_GB2312" w:hAnsi="仿宋_GB2312" w:eastAsia="仿宋_GB2312" w:cs="仿宋_GB2312"/>
          <w:color w:val="000000" w:themeColor="text1"/>
          <w:sz w:val="28"/>
          <w:szCs w:val="28"/>
          <w14:textFill>
            <w14:solidFill>
              <w14:schemeClr w14:val="tx1"/>
            </w14:solidFill>
          </w14:textFill>
        </w:rPr>
      </w:pPr>
      <w:r>
        <w:rPr>
          <w:rStyle w:val="29"/>
          <w:rFonts w:hint="eastAsia" w:ascii="仿宋_GB2312" w:hAnsi="仿宋_GB2312" w:eastAsia="仿宋_GB2312" w:cs="仿宋_GB2312"/>
          <w:color w:val="000000" w:themeColor="text1"/>
          <w:sz w:val="28"/>
          <w:szCs w:val="28"/>
          <w:lang w:val="en-US" w:eastAsia="zh-CN"/>
          <w14:textFill>
            <w14:solidFill>
              <w14:schemeClr w14:val="tx1"/>
            </w14:solidFill>
          </w14:textFill>
        </w:rPr>
        <w:t>2.如</w:t>
      </w:r>
      <w:r>
        <w:rPr>
          <w:rStyle w:val="29"/>
          <w:rFonts w:hint="eastAsia" w:ascii="仿宋_GB2312" w:hAnsi="仿宋_GB2312" w:eastAsia="仿宋_GB2312" w:cs="仿宋_GB2312"/>
          <w:color w:val="000000" w:themeColor="text1"/>
          <w:sz w:val="28"/>
          <w:szCs w:val="28"/>
          <w14:textFill>
            <w14:solidFill>
              <w14:schemeClr w14:val="tx1"/>
            </w14:solidFill>
          </w14:textFill>
        </w:rPr>
        <w:t>因甲方</w:t>
      </w:r>
      <w:r>
        <w:rPr>
          <w:rStyle w:val="29"/>
          <w:rFonts w:hint="eastAsia" w:ascii="仿宋_GB2312" w:hAnsi="仿宋_GB2312" w:eastAsia="仿宋_GB2312" w:cs="仿宋_GB2312"/>
          <w:color w:val="000000" w:themeColor="text1"/>
          <w:sz w:val="28"/>
          <w:szCs w:val="28"/>
          <w:lang w:val="en-US" w:eastAsia="zh-CN"/>
          <w14:textFill>
            <w14:solidFill>
              <w14:schemeClr w14:val="tx1"/>
            </w14:solidFill>
          </w14:textFill>
        </w:rPr>
        <w:t>原因或不可抗力因素影响乙方提供专项服务，经甲方书面确认方可顺延服务期限。</w:t>
      </w:r>
    </w:p>
    <w:p>
      <w:pPr>
        <w:pStyle w:val="32"/>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leftChars="0" w:firstLine="562" w:firstLineChars="200"/>
        <w:textAlignment w:val="baseline"/>
        <w:rPr>
          <w:rStyle w:val="29"/>
          <w:rFonts w:hint="eastAsia" w:ascii="仿宋_GB2312" w:hAnsi="仿宋_GB2312" w:eastAsia="仿宋_GB2312" w:cs="仿宋_GB2312"/>
          <w:b/>
          <w:sz w:val="28"/>
          <w:szCs w:val="28"/>
        </w:rPr>
      </w:pPr>
      <w:r>
        <w:rPr>
          <w:rStyle w:val="29"/>
          <w:rFonts w:hint="eastAsia" w:ascii="仿宋_GB2312" w:hAnsi="仿宋_GB2312" w:eastAsia="仿宋_GB2312" w:cs="仿宋_GB2312"/>
          <w:b/>
          <w:sz w:val="28"/>
          <w:szCs w:val="28"/>
          <w:lang w:val="en-US" w:eastAsia="zh-CN"/>
        </w:rPr>
        <w:t>三</w:t>
      </w:r>
      <w:r>
        <w:rPr>
          <w:rStyle w:val="29"/>
          <w:rFonts w:hint="eastAsia" w:ascii="仿宋_GB2312" w:hAnsi="仿宋_GB2312" w:eastAsia="仿宋_GB2312" w:cs="仿宋_GB2312"/>
          <w:b/>
          <w:sz w:val="28"/>
          <w:szCs w:val="28"/>
        </w:rPr>
        <w:t>、甲方的权利与义务</w:t>
      </w:r>
    </w:p>
    <w:p>
      <w:pPr>
        <w:keepNext w:val="0"/>
        <w:keepLines w:val="0"/>
        <w:pageBreakBefore w:val="0"/>
        <w:widowControl w:val="0"/>
        <w:tabs>
          <w:tab w:val="left" w:pos="704"/>
        </w:tabs>
        <w:kinsoku/>
        <w:wordWrap/>
        <w:overflowPunct/>
        <w:topLinePunct w:val="0"/>
        <w:autoSpaceDE/>
        <w:autoSpaceDN/>
        <w:bidi w:val="0"/>
        <w:adjustRightInd/>
        <w:snapToGrid/>
        <w:spacing w:beforeAutospacing="0" w:afterAutospacing="0" w:line="520" w:lineRule="exact"/>
        <w:ind w:left="0" w:leftChars="0" w:firstLine="560" w:firstLineChars="200"/>
        <w:jc w:val="left"/>
        <w:textAlignment w:val="baseline"/>
        <w:rPr>
          <w:rStyle w:val="29"/>
          <w:rFonts w:hint="eastAsia" w:ascii="仿宋_GB2312" w:hAnsi="仿宋_GB2312" w:eastAsia="仿宋_GB2312" w:cs="仿宋_GB2312"/>
          <w:sz w:val="28"/>
          <w:szCs w:val="28"/>
        </w:rPr>
      </w:pPr>
      <w:r>
        <w:rPr>
          <w:rStyle w:val="29"/>
          <w:rFonts w:hint="eastAsia" w:ascii="仿宋_GB2312" w:hAnsi="仿宋_GB2312" w:eastAsia="仿宋_GB2312" w:cs="仿宋_GB2312"/>
          <w:sz w:val="28"/>
          <w:szCs w:val="28"/>
          <w:lang w:val="en-US" w:eastAsia="zh-CN"/>
        </w:rPr>
        <w:t>1</w:t>
      </w:r>
      <w:r>
        <w:rPr>
          <w:rStyle w:val="29"/>
          <w:rFonts w:hint="eastAsia" w:ascii="仿宋_GB2312" w:hAnsi="仿宋_GB2312" w:eastAsia="仿宋_GB2312" w:cs="仿宋_GB2312"/>
          <w:sz w:val="28"/>
          <w:szCs w:val="28"/>
        </w:rPr>
        <w:t>.在</w:t>
      </w:r>
      <w:r>
        <w:rPr>
          <w:rStyle w:val="29"/>
          <w:rFonts w:hint="eastAsia" w:ascii="仿宋_GB2312" w:hAnsi="仿宋_GB2312" w:eastAsia="仿宋_GB2312" w:cs="仿宋_GB2312"/>
          <w:sz w:val="28"/>
          <w:szCs w:val="28"/>
          <w:lang w:val="en-US" w:eastAsia="zh-Hans"/>
        </w:rPr>
        <w:t>乙方</w:t>
      </w:r>
      <w:r>
        <w:rPr>
          <w:rStyle w:val="29"/>
          <w:rFonts w:hint="eastAsia" w:ascii="仿宋_GB2312" w:hAnsi="仿宋_GB2312" w:eastAsia="仿宋_GB2312" w:cs="仿宋_GB2312"/>
          <w:sz w:val="28"/>
          <w:szCs w:val="28"/>
        </w:rPr>
        <w:t>协助下，视情况修改I期临床研究中心所需的资料文件</w:t>
      </w:r>
      <w:r>
        <w:rPr>
          <w:rStyle w:val="29"/>
          <w:rFonts w:hint="eastAsia" w:ascii="仿宋_GB2312" w:hAnsi="仿宋_GB2312" w:eastAsia="仿宋_GB2312" w:cs="仿宋_GB2312"/>
          <w:sz w:val="28"/>
          <w:szCs w:val="28"/>
          <w:lang w:eastAsia="zh-CN"/>
        </w:rPr>
        <w:t>、</w:t>
      </w:r>
      <w:r>
        <w:rPr>
          <w:rStyle w:val="29"/>
          <w:rFonts w:hint="eastAsia" w:ascii="仿宋_GB2312" w:hAnsi="仿宋_GB2312" w:eastAsia="仿宋_GB2312" w:cs="仿宋_GB2312"/>
          <w:sz w:val="28"/>
          <w:szCs w:val="28"/>
        </w:rPr>
        <w:t>SOP及制度等文件并组织院内学习，并保留相应的签到、学习等记录；</w:t>
      </w:r>
    </w:p>
    <w:p>
      <w:pPr>
        <w:keepNext w:val="0"/>
        <w:keepLines w:val="0"/>
        <w:pageBreakBefore w:val="0"/>
        <w:widowControl w:val="0"/>
        <w:tabs>
          <w:tab w:val="left" w:pos="704"/>
        </w:tabs>
        <w:kinsoku/>
        <w:wordWrap/>
        <w:overflowPunct/>
        <w:topLinePunct w:val="0"/>
        <w:autoSpaceDE/>
        <w:autoSpaceDN/>
        <w:bidi w:val="0"/>
        <w:adjustRightInd/>
        <w:snapToGrid/>
        <w:spacing w:beforeAutospacing="0" w:afterAutospacing="0" w:line="520" w:lineRule="exact"/>
        <w:ind w:left="0" w:leftChars="0" w:firstLine="560" w:firstLineChars="200"/>
        <w:jc w:val="left"/>
        <w:textAlignment w:val="baseline"/>
        <w:rPr>
          <w:rStyle w:val="29"/>
          <w:rFonts w:hint="eastAsia" w:ascii="仿宋_GB2312" w:hAnsi="仿宋_GB2312" w:eastAsia="仿宋_GB2312" w:cs="仿宋_GB2312"/>
          <w:sz w:val="28"/>
          <w:szCs w:val="28"/>
          <w:lang w:val="en-US" w:eastAsia="zh-Hans"/>
        </w:rPr>
      </w:pPr>
      <w:r>
        <w:rPr>
          <w:rStyle w:val="29"/>
          <w:rFonts w:hint="eastAsia" w:ascii="仿宋_GB2312" w:hAnsi="仿宋_GB2312" w:eastAsia="仿宋_GB2312" w:cs="仿宋_GB2312"/>
          <w:sz w:val="28"/>
          <w:szCs w:val="28"/>
          <w:lang w:val="en-US" w:eastAsia="zh-CN"/>
        </w:rPr>
        <w:t>2</w:t>
      </w:r>
      <w:r>
        <w:rPr>
          <w:rStyle w:val="29"/>
          <w:rFonts w:hint="eastAsia" w:ascii="仿宋_GB2312" w:hAnsi="仿宋_GB2312" w:eastAsia="仿宋_GB2312" w:cs="仿宋_GB2312"/>
          <w:sz w:val="28"/>
          <w:szCs w:val="28"/>
        </w:rPr>
        <w:t>.</w:t>
      </w:r>
      <w:r>
        <w:rPr>
          <w:rStyle w:val="29"/>
          <w:rFonts w:hint="eastAsia" w:ascii="仿宋_GB2312" w:hAnsi="仿宋_GB2312" w:eastAsia="仿宋_GB2312" w:cs="仿宋_GB2312"/>
          <w:sz w:val="28"/>
          <w:szCs w:val="28"/>
          <w:lang w:val="en-US" w:eastAsia="zh-Hans"/>
        </w:rPr>
        <w:t>负责准备</w:t>
      </w:r>
      <w:r>
        <w:rPr>
          <w:rStyle w:val="29"/>
          <w:rFonts w:hint="eastAsia" w:ascii="仿宋_GB2312" w:hAnsi="仿宋_GB2312" w:eastAsia="仿宋_GB2312" w:cs="仿宋_GB2312"/>
          <w:sz w:val="28"/>
          <w:szCs w:val="28"/>
          <w:lang w:val="en-US" w:eastAsia="zh-CN"/>
        </w:rPr>
        <w:t>合法</w:t>
      </w:r>
      <w:r>
        <w:rPr>
          <w:rStyle w:val="29"/>
          <w:rFonts w:hint="eastAsia" w:ascii="仿宋_GB2312" w:hAnsi="仿宋_GB2312" w:eastAsia="仿宋_GB2312" w:cs="仿宋_GB2312"/>
          <w:sz w:val="28"/>
          <w:szCs w:val="28"/>
          <w:lang w:val="en-US" w:eastAsia="zh-Hans"/>
        </w:rPr>
        <w:t>的</w:t>
      </w:r>
      <w:r>
        <w:rPr>
          <w:rStyle w:val="29"/>
          <w:rFonts w:hint="eastAsia" w:ascii="仿宋_GB2312" w:hAnsi="仿宋_GB2312" w:eastAsia="仿宋_GB2312" w:cs="仿宋_GB2312"/>
          <w:sz w:val="28"/>
          <w:szCs w:val="28"/>
          <w:lang w:eastAsia="zh-Hans"/>
        </w:rPr>
        <w:t>I</w:t>
      </w:r>
      <w:r>
        <w:rPr>
          <w:rStyle w:val="29"/>
          <w:rFonts w:hint="eastAsia" w:ascii="仿宋_GB2312" w:hAnsi="仿宋_GB2312" w:eastAsia="仿宋_GB2312" w:cs="仿宋_GB2312"/>
          <w:sz w:val="28"/>
          <w:szCs w:val="28"/>
          <w:lang w:val="en-US" w:eastAsia="zh-Hans"/>
        </w:rPr>
        <w:t>期临床研究中心场地，并在乙方的指导下完成场地改造；</w:t>
      </w:r>
    </w:p>
    <w:p>
      <w:pPr>
        <w:keepNext w:val="0"/>
        <w:keepLines w:val="0"/>
        <w:pageBreakBefore w:val="0"/>
        <w:widowControl w:val="0"/>
        <w:tabs>
          <w:tab w:val="left" w:pos="704"/>
        </w:tabs>
        <w:kinsoku/>
        <w:wordWrap/>
        <w:overflowPunct/>
        <w:topLinePunct w:val="0"/>
        <w:autoSpaceDE/>
        <w:autoSpaceDN/>
        <w:bidi w:val="0"/>
        <w:adjustRightInd/>
        <w:snapToGrid/>
        <w:spacing w:beforeAutospacing="0" w:afterAutospacing="0" w:line="520" w:lineRule="exact"/>
        <w:ind w:left="0" w:leftChars="0" w:firstLine="560" w:firstLineChars="200"/>
        <w:jc w:val="left"/>
        <w:textAlignment w:val="baseline"/>
        <w:rPr>
          <w:rStyle w:val="29"/>
          <w:rFonts w:hint="eastAsia" w:ascii="仿宋_GB2312" w:hAnsi="仿宋_GB2312" w:eastAsia="仿宋_GB2312" w:cs="仿宋_GB2312"/>
          <w:sz w:val="28"/>
          <w:szCs w:val="28"/>
        </w:rPr>
      </w:pPr>
      <w:r>
        <w:rPr>
          <w:rStyle w:val="29"/>
          <w:rFonts w:hint="eastAsia" w:ascii="仿宋_GB2312" w:hAnsi="仿宋_GB2312" w:eastAsia="仿宋_GB2312" w:cs="仿宋_GB2312"/>
          <w:sz w:val="28"/>
          <w:szCs w:val="28"/>
          <w:lang w:val="en-US" w:eastAsia="zh-CN"/>
        </w:rPr>
        <w:t>3</w:t>
      </w:r>
      <w:r>
        <w:rPr>
          <w:rStyle w:val="29"/>
          <w:rFonts w:hint="eastAsia" w:ascii="仿宋_GB2312" w:hAnsi="仿宋_GB2312" w:eastAsia="仿宋_GB2312" w:cs="仿宋_GB2312"/>
          <w:sz w:val="28"/>
          <w:szCs w:val="28"/>
        </w:rPr>
        <w:t>.备案辅导期间，甲方相关人员需积极筹备</w:t>
      </w:r>
      <w:r>
        <w:rPr>
          <w:rStyle w:val="29"/>
          <w:rFonts w:hint="eastAsia" w:ascii="仿宋_GB2312" w:hAnsi="仿宋_GB2312" w:eastAsia="仿宋_GB2312" w:cs="仿宋_GB2312"/>
          <w:sz w:val="28"/>
          <w:szCs w:val="28"/>
          <w:lang w:val="en-US" w:eastAsia="zh-CN"/>
        </w:rPr>
        <w:t>并</w:t>
      </w:r>
      <w:r>
        <w:rPr>
          <w:rStyle w:val="29"/>
          <w:rFonts w:hint="eastAsia" w:ascii="仿宋_GB2312" w:hAnsi="仿宋_GB2312" w:eastAsia="仿宋_GB2312" w:cs="仿宋_GB2312"/>
          <w:sz w:val="28"/>
          <w:szCs w:val="28"/>
        </w:rPr>
        <w:t>参加相关培训，熟知</w:t>
      </w:r>
      <w:r>
        <w:rPr>
          <w:rStyle w:val="29"/>
          <w:rFonts w:hint="eastAsia" w:ascii="仿宋_GB2312" w:hAnsi="仿宋_GB2312" w:eastAsia="仿宋_GB2312" w:cs="仿宋_GB2312"/>
          <w:sz w:val="28"/>
          <w:szCs w:val="28"/>
          <w:lang w:val="en-US" w:eastAsia="zh-CN"/>
        </w:rPr>
        <w:t>相关</w:t>
      </w:r>
      <w:r>
        <w:rPr>
          <w:rStyle w:val="29"/>
          <w:rFonts w:hint="eastAsia" w:ascii="仿宋_GB2312" w:hAnsi="仿宋_GB2312" w:eastAsia="仿宋_GB2312" w:cs="仿宋_GB2312"/>
          <w:sz w:val="28"/>
          <w:szCs w:val="28"/>
        </w:rPr>
        <w:t xml:space="preserve">法律法规、SOP及制度； </w:t>
      </w:r>
    </w:p>
    <w:p>
      <w:pPr>
        <w:keepNext w:val="0"/>
        <w:keepLines w:val="0"/>
        <w:pageBreakBefore w:val="0"/>
        <w:widowControl w:val="0"/>
        <w:tabs>
          <w:tab w:val="left" w:pos="704"/>
        </w:tabs>
        <w:kinsoku/>
        <w:wordWrap/>
        <w:overflowPunct/>
        <w:topLinePunct w:val="0"/>
        <w:autoSpaceDE/>
        <w:autoSpaceDN/>
        <w:bidi w:val="0"/>
        <w:adjustRightInd/>
        <w:snapToGrid/>
        <w:spacing w:beforeAutospacing="0" w:afterAutospacing="0" w:line="520" w:lineRule="exact"/>
        <w:ind w:left="0" w:leftChars="0" w:firstLine="560" w:firstLineChars="200"/>
        <w:jc w:val="left"/>
        <w:textAlignment w:val="baseline"/>
        <w:rPr>
          <w:rStyle w:val="29"/>
          <w:rFonts w:hint="eastAsia" w:ascii="仿宋_GB2312" w:hAnsi="仿宋_GB2312" w:eastAsia="仿宋_GB2312" w:cs="仿宋_GB2312"/>
          <w:sz w:val="28"/>
          <w:szCs w:val="28"/>
        </w:rPr>
      </w:pPr>
      <w:r>
        <w:rPr>
          <w:rStyle w:val="29"/>
          <w:rFonts w:hint="eastAsia" w:ascii="仿宋_GB2312" w:hAnsi="仿宋_GB2312" w:eastAsia="仿宋_GB2312" w:cs="仿宋_GB2312"/>
          <w:sz w:val="28"/>
          <w:szCs w:val="28"/>
          <w:lang w:val="en-US" w:eastAsia="zh-CN"/>
        </w:rPr>
        <w:t>4</w:t>
      </w:r>
      <w:r>
        <w:rPr>
          <w:rStyle w:val="29"/>
          <w:rFonts w:hint="eastAsia" w:ascii="仿宋_GB2312" w:hAnsi="仿宋_GB2312" w:eastAsia="仿宋_GB2312" w:cs="仿宋_GB2312"/>
          <w:sz w:val="28"/>
          <w:szCs w:val="28"/>
        </w:rPr>
        <w:t>.</w:t>
      </w:r>
      <w:r>
        <w:rPr>
          <w:rStyle w:val="29"/>
          <w:rFonts w:hint="eastAsia" w:ascii="仿宋_GB2312" w:hAnsi="仿宋_GB2312" w:eastAsia="仿宋_GB2312" w:cs="仿宋_GB2312"/>
          <w:sz w:val="28"/>
          <w:szCs w:val="28"/>
          <w:lang w:val="en-US" w:eastAsia="zh-CN"/>
        </w:rPr>
        <w:t>确定</w:t>
      </w:r>
      <w:r>
        <w:rPr>
          <w:rStyle w:val="29"/>
          <w:rFonts w:hint="eastAsia" w:ascii="仿宋_GB2312" w:hAnsi="仿宋_GB2312" w:eastAsia="仿宋_GB2312" w:cs="仿宋_GB2312"/>
          <w:sz w:val="28"/>
          <w:szCs w:val="28"/>
        </w:rPr>
        <w:t>评估日期后，协调</w:t>
      </w:r>
      <w:r>
        <w:rPr>
          <w:rStyle w:val="29"/>
          <w:rFonts w:hint="eastAsia" w:ascii="仿宋_GB2312" w:hAnsi="仿宋_GB2312" w:eastAsia="仿宋_GB2312" w:cs="仿宋_GB2312"/>
          <w:sz w:val="28"/>
          <w:szCs w:val="28"/>
          <w:lang w:val="en-US" w:eastAsia="zh-CN"/>
        </w:rPr>
        <w:t>甲方</w:t>
      </w:r>
      <w:r>
        <w:rPr>
          <w:rStyle w:val="29"/>
          <w:rFonts w:hint="eastAsia" w:ascii="仿宋_GB2312" w:hAnsi="仿宋_GB2312" w:eastAsia="仿宋_GB2312" w:cs="仿宋_GB2312"/>
          <w:sz w:val="28"/>
          <w:szCs w:val="28"/>
        </w:rPr>
        <w:t>相关人员</w:t>
      </w:r>
      <w:r>
        <w:rPr>
          <w:rStyle w:val="29"/>
          <w:rFonts w:hint="eastAsia" w:ascii="仿宋_GB2312" w:hAnsi="仿宋_GB2312" w:eastAsia="仿宋_GB2312" w:cs="仿宋_GB2312"/>
          <w:sz w:val="28"/>
          <w:szCs w:val="28"/>
          <w:lang w:val="en-US" w:eastAsia="zh-CN"/>
        </w:rPr>
        <w:t>配合</w:t>
      </w:r>
      <w:r>
        <w:rPr>
          <w:rStyle w:val="29"/>
          <w:rFonts w:hint="eastAsia" w:ascii="仿宋_GB2312" w:hAnsi="仿宋_GB2312" w:eastAsia="仿宋_GB2312" w:cs="仿宋_GB2312"/>
          <w:sz w:val="28"/>
          <w:szCs w:val="28"/>
        </w:rPr>
        <w:t>专家进行现场评估；</w:t>
      </w:r>
    </w:p>
    <w:p>
      <w:pPr>
        <w:keepNext w:val="0"/>
        <w:keepLines w:val="0"/>
        <w:pageBreakBefore w:val="0"/>
        <w:widowControl w:val="0"/>
        <w:tabs>
          <w:tab w:val="left" w:pos="704"/>
        </w:tabs>
        <w:kinsoku/>
        <w:wordWrap/>
        <w:overflowPunct/>
        <w:topLinePunct w:val="0"/>
        <w:autoSpaceDE/>
        <w:autoSpaceDN/>
        <w:bidi w:val="0"/>
        <w:adjustRightInd/>
        <w:snapToGrid/>
        <w:spacing w:beforeAutospacing="0" w:afterAutospacing="0" w:line="520" w:lineRule="exact"/>
        <w:ind w:left="0" w:leftChars="0" w:firstLine="560" w:firstLineChars="200"/>
        <w:jc w:val="left"/>
        <w:textAlignment w:val="baseline"/>
        <w:rPr>
          <w:rStyle w:val="29"/>
          <w:rFonts w:hint="eastAsia" w:ascii="仿宋_GB2312" w:hAnsi="仿宋_GB2312" w:eastAsia="仿宋_GB2312" w:cs="仿宋_GB2312"/>
          <w:sz w:val="28"/>
          <w:szCs w:val="28"/>
          <w:highlight w:val="none"/>
          <w:lang w:eastAsia="zh-Hans"/>
        </w:rPr>
      </w:pPr>
      <w:r>
        <w:rPr>
          <w:rStyle w:val="29"/>
          <w:rFonts w:hint="eastAsia" w:ascii="仿宋_GB2312" w:hAnsi="仿宋_GB2312" w:eastAsia="仿宋_GB2312" w:cs="仿宋_GB2312"/>
          <w:sz w:val="28"/>
          <w:szCs w:val="28"/>
          <w:highlight w:val="none"/>
          <w:lang w:val="en-US" w:eastAsia="zh-CN"/>
        </w:rPr>
        <w:t>5</w:t>
      </w:r>
      <w:r>
        <w:rPr>
          <w:rStyle w:val="29"/>
          <w:rFonts w:hint="eastAsia" w:ascii="仿宋_GB2312" w:hAnsi="仿宋_GB2312" w:eastAsia="仿宋_GB2312" w:cs="仿宋_GB2312"/>
          <w:sz w:val="28"/>
          <w:szCs w:val="28"/>
          <w:highlight w:val="none"/>
        </w:rPr>
        <w:t>.</w:t>
      </w:r>
      <w:r>
        <w:rPr>
          <w:rStyle w:val="29"/>
          <w:rFonts w:hint="eastAsia" w:ascii="仿宋_GB2312" w:hAnsi="仿宋_GB2312" w:eastAsia="仿宋_GB2312" w:cs="仿宋_GB2312"/>
          <w:sz w:val="28"/>
          <w:szCs w:val="28"/>
          <w:highlight w:val="none"/>
          <w:lang w:val="en-US" w:eastAsia="zh-CN"/>
        </w:rPr>
        <w:t>甲方指派</w:t>
      </w:r>
      <w:r>
        <w:rPr>
          <w:rStyle w:val="29"/>
          <w:rFonts w:hint="eastAsia" w:ascii="仿宋_GB2312" w:hAnsi="仿宋_GB2312" w:eastAsia="仿宋_GB2312" w:cs="仿宋_GB2312"/>
          <w:sz w:val="28"/>
          <w:szCs w:val="28"/>
        </w:rPr>
        <w:t>项目联系人</w:t>
      </w:r>
      <w:r>
        <w:rPr>
          <w:rStyle w:val="29"/>
          <w:rFonts w:hint="eastAsia" w:ascii="仿宋_GB2312" w:hAnsi="仿宋_GB2312" w:eastAsia="仿宋_GB2312" w:cs="仿宋_GB2312"/>
          <w:sz w:val="28"/>
          <w:szCs w:val="28"/>
          <w:lang w:eastAsia="zh-CN"/>
        </w:rPr>
        <w:t>：</w:t>
      </w:r>
      <w:r>
        <w:rPr>
          <w:rStyle w:val="29"/>
          <w:rFonts w:hint="eastAsia" w:ascii="仿宋_GB2312" w:hAnsi="仿宋_GB2312" w:eastAsia="仿宋_GB2312" w:cs="仿宋_GB2312"/>
          <w:sz w:val="28"/>
          <w:szCs w:val="28"/>
          <w:u w:val="single"/>
          <w:lang w:val="en-US" w:eastAsia="zh-CN"/>
        </w:rPr>
        <w:t xml:space="preserve">       </w:t>
      </w:r>
      <w:r>
        <w:rPr>
          <w:rStyle w:val="29"/>
          <w:rFonts w:hint="eastAsia" w:ascii="仿宋_GB2312" w:hAnsi="仿宋_GB2312" w:eastAsia="仿宋_GB2312" w:cs="仿宋_GB2312"/>
          <w:sz w:val="28"/>
          <w:szCs w:val="28"/>
          <w:u w:val="none"/>
          <w:lang w:val="en-US" w:eastAsia="zh-CN"/>
        </w:rPr>
        <w:t>，联系</w:t>
      </w:r>
      <w:r>
        <w:rPr>
          <w:rStyle w:val="29"/>
          <w:rFonts w:hint="eastAsia" w:ascii="仿宋_GB2312" w:hAnsi="仿宋_GB2312" w:eastAsia="仿宋_GB2312" w:cs="仿宋_GB2312"/>
          <w:sz w:val="28"/>
          <w:szCs w:val="28"/>
        </w:rPr>
        <w:t>电话</w:t>
      </w:r>
      <w:r>
        <w:rPr>
          <w:rStyle w:val="29"/>
          <w:rFonts w:hint="eastAsia" w:ascii="仿宋_GB2312" w:hAnsi="仿宋_GB2312" w:eastAsia="仿宋_GB2312" w:cs="仿宋_GB2312"/>
          <w:sz w:val="28"/>
          <w:szCs w:val="28"/>
          <w:lang w:eastAsia="zh-CN"/>
        </w:rPr>
        <w:t>：</w:t>
      </w:r>
      <w:r>
        <w:rPr>
          <w:rStyle w:val="29"/>
          <w:rFonts w:hint="eastAsia" w:ascii="仿宋_GB2312" w:hAnsi="仿宋_GB2312" w:eastAsia="仿宋_GB2312" w:cs="仿宋_GB2312"/>
          <w:sz w:val="28"/>
          <w:szCs w:val="28"/>
          <w:u w:val="single" w:color="000000"/>
        </w:rPr>
        <w:t xml:space="preserve"> </w:t>
      </w:r>
      <w:r>
        <w:rPr>
          <w:rStyle w:val="29"/>
          <w:rFonts w:hint="eastAsia" w:ascii="仿宋_GB2312" w:hAnsi="仿宋_GB2312" w:eastAsia="仿宋_GB2312" w:cs="仿宋_GB2312"/>
          <w:sz w:val="28"/>
          <w:szCs w:val="28"/>
          <w:u w:val="single" w:color="000000"/>
          <w:lang w:val="en-US" w:eastAsia="zh-CN"/>
        </w:rPr>
        <w:t xml:space="preserve">0738-8527882 </w:t>
      </w:r>
      <w:r>
        <w:rPr>
          <w:rStyle w:val="29"/>
          <w:rFonts w:hint="eastAsia" w:ascii="仿宋_GB2312" w:hAnsi="仿宋_GB2312" w:eastAsia="仿宋_GB2312" w:cs="仿宋_GB2312"/>
          <w:sz w:val="28"/>
          <w:szCs w:val="28"/>
          <w:u w:val="none" w:color="auto"/>
          <w:lang w:val="en-US" w:eastAsia="zh-CN"/>
        </w:rPr>
        <w:t>，</w:t>
      </w:r>
      <w:r>
        <w:rPr>
          <w:rStyle w:val="29"/>
          <w:rFonts w:hint="eastAsia" w:ascii="仿宋_GB2312" w:hAnsi="仿宋_GB2312" w:eastAsia="仿宋_GB2312" w:cs="仿宋_GB2312"/>
          <w:sz w:val="28"/>
          <w:szCs w:val="28"/>
          <w:lang w:val="en-US" w:eastAsia="zh-CN"/>
        </w:rPr>
        <w:t>邮箱</w:t>
      </w:r>
      <w:r>
        <w:rPr>
          <w:rStyle w:val="29"/>
          <w:rFonts w:hint="eastAsia" w:ascii="仿宋_GB2312" w:hAnsi="仿宋_GB2312" w:eastAsia="仿宋_GB2312" w:cs="仿宋_GB2312"/>
          <w:sz w:val="28"/>
          <w:szCs w:val="28"/>
        </w:rPr>
        <w:t>：</w:t>
      </w:r>
      <w:r>
        <w:rPr>
          <w:rStyle w:val="29"/>
          <w:rFonts w:hint="eastAsia" w:ascii="仿宋_GB2312" w:hAnsi="仿宋_GB2312" w:eastAsia="仿宋_GB2312" w:cs="仿宋_GB2312"/>
          <w:sz w:val="28"/>
          <w:szCs w:val="28"/>
          <w:u w:val="single" w:color="000000"/>
          <w:lang w:val="en-US" w:eastAsia="zh-CN"/>
        </w:rPr>
        <w:t>LDSZXYYJG1@163.com</w:t>
      </w:r>
      <w:r>
        <w:rPr>
          <w:rStyle w:val="29"/>
          <w:rFonts w:hint="eastAsia" w:ascii="仿宋_GB2312" w:hAnsi="仿宋_GB2312" w:eastAsia="仿宋_GB2312" w:cs="仿宋_GB2312"/>
          <w:sz w:val="28"/>
          <w:szCs w:val="28"/>
          <w:u w:val="none" w:color="auto"/>
          <w:lang w:val="en-US" w:eastAsia="zh-CN"/>
        </w:rPr>
        <w:t>，专门负责与乙方联系服务事宜，如人员发生变动，应及时通知甲方。</w:t>
      </w:r>
      <w:r>
        <w:rPr>
          <w:rStyle w:val="29"/>
          <w:rFonts w:hint="eastAsia" w:ascii="仿宋_GB2312" w:hAnsi="仿宋_GB2312" w:eastAsia="仿宋_GB2312" w:cs="仿宋_GB2312"/>
          <w:sz w:val="28"/>
          <w:szCs w:val="28"/>
          <w:u w:val="single" w:color="000000"/>
        </w:rPr>
        <w:t xml:space="preserve"> </w:t>
      </w:r>
    </w:p>
    <w:p>
      <w:pPr>
        <w:keepNext w:val="0"/>
        <w:keepLines w:val="0"/>
        <w:pageBreakBefore w:val="0"/>
        <w:widowControl w:val="0"/>
        <w:tabs>
          <w:tab w:val="left" w:pos="704"/>
        </w:tabs>
        <w:kinsoku/>
        <w:wordWrap/>
        <w:overflowPunct/>
        <w:topLinePunct w:val="0"/>
        <w:autoSpaceDE/>
        <w:autoSpaceDN/>
        <w:bidi w:val="0"/>
        <w:adjustRightInd/>
        <w:snapToGrid/>
        <w:spacing w:beforeAutospacing="0" w:afterAutospacing="0" w:line="520" w:lineRule="exact"/>
        <w:ind w:left="0" w:leftChars="0" w:firstLine="562" w:firstLineChars="200"/>
        <w:textAlignment w:val="baseline"/>
        <w:rPr>
          <w:rStyle w:val="29"/>
          <w:rFonts w:hint="eastAsia" w:ascii="仿宋_GB2312" w:hAnsi="仿宋_GB2312" w:eastAsia="仿宋_GB2312" w:cs="仿宋_GB2312"/>
          <w:b/>
          <w:sz w:val="28"/>
          <w:szCs w:val="28"/>
        </w:rPr>
      </w:pPr>
      <w:r>
        <w:rPr>
          <w:rStyle w:val="29"/>
          <w:rFonts w:hint="eastAsia" w:ascii="仿宋_GB2312" w:hAnsi="仿宋_GB2312" w:eastAsia="仿宋_GB2312" w:cs="仿宋_GB2312"/>
          <w:b/>
          <w:sz w:val="28"/>
          <w:szCs w:val="28"/>
          <w:lang w:val="en-US" w:eastAsia="zh-CN"/>
        </w:rPr>
        <w:t>四</w:t>
      </w:r>
      <w:r>
        <w:rPr>
          <w:rStyle w:val="29"/>
          <w:rFonts w:hint="eastAsia" w:ascii="仿宋_GB2312" w:hAnsi="仿宋_GB2312" w:eastAsia="仿宋_GB2312" w:cs="仿宋_GB2312"/>
          <w:b/>
          <w:sz w:val="28"/>
          <w:szCs w:val="28"/>
        </w:rPr>
        <w:t>、乙方的权利与义务</w:t>
      </w:r>
    </w:p>
    <w:p>
      <w:pPr>
        <w:keepNext w:val="0"/>
        <w:keepLines w:val="0"/>
        <w:pageBreakBefore w:val="0"/>
        <w:widowControl w:val="0"/>
        <w:tabs>
          <w:tab w:val="left" w:pos="704"/>
        </w:tabs>
        <w:kinsoku/>
        <w:wordWrap/>
        <w:overflowPunct/>
        <w:topLinePunct w:val="0"/>
        <w:autoSpaceDE/>
        <w:autoSpaceDN/>
        <w:bidi w:val="0"/>
        <w:adjustRightInd/>
        <w:snapToGrid/>
        <w:spacing w:beforeAutospacing="0" w:afterAutospacing="0" w:line="520" w:lineRule="exact"/>
        <w:ind w:left="0" w:leftChars="0" w:firstLine="560" w:firstLineChars="200"/>
        <w:textAlignment w:val="baseline"/>
        <w:rPr>
          <w:rStyle w:val="29"/>
          <w:rFonts w:hint="eastAsia" w:ascii="仿宋_GB2312" w:hAnsi="仿宋_GB2312" w:eastAsia="仿宋_GB2312" w:cs="仿宋_GB2312"/>
          <w:sz w:val="28"/>
          <w:szCs w:val="28"/>
        </w:rPr>
      </w:pPr>
      <w:r>
        <w:rPr>
          <w:rStyle w:val="29"/>
          <w:rFonts w:hint="eastAsia" w:ascii="仿宋_GB2312" w:hAnsi="仿宋_GB2312" w:eastAsia="仿宋_GB2312" w:cs="仿宋_GB2312"/>
          <w:sz w:val="28"/>
          <w:szCs w:val="28"/>
        </w:rPr>
        <w:t>1.具备相关资质，本合同专项服务不得违反国家法律、政策规定。</w:t>
      </w:r>
    </w:p>
    <w:p>
      <w:pPr>
        <w:keepNext w:val="0"/>
        <w:keepLines w:val="0"/>
        <w:pageBreakBefore w:val="0"/>
        <w:widowControl w:val="0"/>
        <w:tabs>
          <w:tab w:val="left" w:pos="704"/>
        </w:tabs>
        <w:kinsoku/>
        <w:wordWrap/>
        <w:overflowPunct/>
        <w:topLinePunct w:val="0"/>
        <w:autoSpaceDE/>
        <w:autoSpaceDN/>
        <w:bidi w:val="0"/>
        <w:adjustRightInd/>
        <w:snapToGrid/>
        <w:spacing w:beforeAutospacing="0" w:afterAutospacing="0" w:line="520" w:lineRule="exact"/>
        <w:ind w:left="0" w:leftChars="0" w:firstLine="560" w:firstLineChars="200"/>
        <w:textAlignment w:val="baseline"/>
        <w:rPr>
          <w:rStyle w:val="29"/>
          <w:rFonts w:hint="eastAsia" w:ascii="仿宋_GB2312" w:hAnsi="仿宋_GB2312" w:eastAsia="仿宋_GB2312" w:cs="仿宋_GB2312"/>
          <w:sz w:val="28"/>
          <w:szCs w:val="28"/>
        </w:rPr>
      </w:pPr>
      <w:r>
        <w:rPr>
          <w:rStyle w:val="29"/>
          <w:rFonts w:hint="eastAsia" w:ascii="仿宋_GB2312" w:hAnsi="仿宋_GB2312" w:eastAsia="仿宋_GB2312" w:cs="仿宋_GB2312"/>
          <w:sz w:val="28"/>
          <w:szCs w:val="28"/>
        </w:rPr>
        <w:t>2.</w:t>
      </w:r>
      <w:r>
        <w:rPr>
          <w:rStyle w:val="29"/>
          <w:rFonts w:hint="eastAsia" w:ascii="仿宋_GB2312" w:hAnsi="仿宋_GB2312" w:eastAsia="仿宋_GB2312" w:cs="仿宋_GB2312"/>
          <w:sz w:val="28"/>
          <w:szCs w:val="28"/>
          <w:lang w:val="en-US" w:eastAsia="zh-CN"/>
        </w:rPr>
        <w:t>为甲方</w:t>
      </w:r>
      <w:r>
        <w:rPr>
          <w:rStyle w:val="29"/>
          <w:rFonts w:hint="eastAsia" w:ascii="仿宋_GB2312" w:hAnsi="仿宋_GB2312" w:eastAsia="仿宋_GB2312" w:cs="仿宋_GB2312"/>
          <w:sz w:val="28"/>
          <w:szCs w:val="28"/>
        </w:rPr>
        <w:t>提供备案指导服务，包括制定备案工作计划、组织I</w:t>
      </w:r>
      <w:r>
        <w:rPr>
          <w:rStyle w:val="29"/>
          <w:rFonts w:hint="eastAsia" w:ascii="仿宋_GB2312" w:hAnsi="仿宋_GB2312" w:eastAsia="仿宋_GB2312" w:cs="仿宋_GB2312"/>
          <w:sz w:val="28"/>
          <w:szCs w:val="28"/>
          <w:lang w:val="en-US" w:eastAsia="zh-Hans"/>
        </w:rPr>
        <w:t>期临床研究</w:t>
      </w:r>
      <w:r>
        <w:rPr>
          <w:rStyle w:val="29"/>
          <w:rFonts w:hint="eastAsia" w:ascii="仿宋_GB2312" w:hAnsi="仿宋_GB2312" w:eastAsia="仿宋_GB2312" w:cs="仿宋_GB2312"/>
          <w:sz w:val="28"/>
          <w:szCs w:val="28"/>
        </w:rPr>
        <w:t>培训</w:t>
      </w:r>
      <w:r>
        <w:rPr>
          <w:rStyle w:val="29"/>
          <w:rFonts w:hint="eastAsia" w:ascii="仿宋_GB2312" w:hAnsi="仿宋_GB2312" w:eastAsia="仿宋_GB2312" w:cs="仿宋_GB2312"/>
          <w:sz w:val="28"/>
          <w:szCs w:val="28"/>
          <w:lang w:eastAsia="zh-CN"/>
        </w:rPr>
        <w:t>、</w:t>
      </w:r>
      <w:r>
        <w:rPr>
          <w:rStyle w:val="29"/>
          <w:rFonts w:hint="eastAsia" w:ascii="仿宋_GB2312" w:hAnsi="仿宋_GB2312" w:eastAsia="仿宋_GB2312" w:cs="仿宋_GB2312"/>
          <w:sz w:val="28"/>
          <w:szCs w:val="28"/>
          <w:lang w:val="en-US" w:eastAsia="zh-CN"/>
        </w:rPr>
        <w:t>并给</w:t>
      </w:r>
      <w:r>
        <w:rPr>
          <w:rStyle w:val="29"/>
          <w:rFonts w:hint="eastAsia" w:ascii="仿宋_GB2312" w:hAnsi="仿宋_GB2312" w:eastAsia="仿宋_GB2312" w:cs="仿宋_GB2312"/>
          <w:sz w:val="28"/>
          <w:szCs w:val="28"/>
        </w:rPr>
        <w:t>I</w:t>
      </w:r>
      <w:r>
        <w:rPr>
          <w:rStyle w:val="29"/>
          <w:rFonts w:hint="eastAsia" w:ascii="仿宋_GB2312" w:hAnsi="仿宋_GB2312" w:eastAsia="仿宋_GB2312" w:cs="仿宋_GB2312"/>
          <w:sz w:val="28"/>
          <w:szCs w:val="28"/>
          <w:lang w:val="en-US" w:eastAsia="zh-Hans"/>
        </w:rPr>
        <w:t>期临床研究</w:t>
      </w:r>
      <w:r>
        <w:rPr>
          <w:rStyle w:val="29"/>
          <w:rFonts w:hint="eastAsia" w:ascii="仿宋_GB2312" w:hAnsi="仿宋_GB2312" w:eastAsia="仿宋_GB2312" w:cs="仿宋_GB2312"/>
          <w:sz w:val="28"/>
          <w:szCs w:val="28"/>
        </w:rPr>
        <w:t>培训</w:t>
      </w:r>
      <w:r>
        <w:rPr>
          <w:rStyle w:val="29"/>
          <w:rFonts w:hint="eastAsia" w:ascii="仿宋_GB2312" w:hAnsi="仿宋_GB2312" w:eastAsia="仿宋_GB2312" w:cs="仿宋_GB2312"/>
          <w:sz w:val="28"/>
          <w:szCs w:val="28"/>
          <w:lang w:val="en-US" w:eastAsia="zh-CN"/>
        </w:rPr>
        <w:t>中心人员提供GCP培训证书</w:t>
      </w:r>
      <w:r>
        <w:rPr>
          <w:rStyle w:val="29"/>
          <w:rFonts w:hint="eastAsia" w:ascii="仿宋_GB2312" w:hAnsi="仿宋_GB2312" w:eastAsia="仿宋_GB2312" w:cs="仿宋_GB2312"/>
          <w:sz w:val="28"/>
          <w:szCs w:val="28"/>
        </w:rPr>
        <w:t>等；</w:t>
      </w:r>
    </w:p>
    <w:p>
      <w:pPr>
        <w:keepNext w:val="0"/>
        <w:keepLines w:val="0"/>
        <w:pageBreakBefore w:val="0"/>
        <w:widowControl w:val="0"/>
        <w:tabs>
          <w:tab w:val="left" w:pos="704"/>
        </w:tabs>
        <w:kinsoku/>
        <w:wordWrap/>
        <w:overflowPunct/>
        <w:topLinePunct w:val="0"/>
        <w:autoSpaceDE/>
        <w:autoSpaceDN/>
        <w:bidi w:val="0"/>
        <w:adjustRightInd/>
        <w:snapToGrid/>
        <w:spacing w:beforeAutospacing="0" w:afterAutospacing="0" w:line="520" w:lineRule="exact"/>
        <w:ind w:left="0" w:leftChars="0" w:firstLine="560" w:firstLineChars="200"/>
        <w:jc w:val="left"/>
        <w:textAlignment w:val="baseline"/>
        <w:rPr>
          <w:rStyle w:val="29"/>
          <w:rFonts w:hint="eastAsia" w:ascii="仿宋_GB2312" w:hAnsi="仿宋_GB2312" w:eastAsia="仿宋_GB2312" w:cs="仿宋_GB2312"/>
          <w:sz w:val="28"/>
          <w:szCs w:val="28"/>
        </w:rPr>
      </w:pPr>
      <w:r>
        <w:rPr>
          <w:rStyle w:val="29"/>
          <w:rFonts w:hint="eastAsia" w:ascii="仿宋_GB2312" w:hAnsi="仿宋_GB2312" w:eastAsia="仿宋_GB2312" w:cs="仿宋_GB2312"/>
          <w:sz w:val="28"/>
          <w:szCs w:val="28"/>
        </w:rPr>
        <w:t>3.根据国家药品监督管理局药物I</w:t>
      </w:r>
      <w:r>
        <w:rPr>
          <w:rStyle w:val="29"/>
          <w:rFonts w:hint="eastAsia" w:ascii="仿宋_GB2312" w:hAnsi="仿宋_GB2312" w:eastAsia="仿宋_GB2312" w:cs="仿宋_GB2312"/>
          <w:sz w:val="28"/>
          <w:szCs w:val="28"/>
          <w:lang w:val="en-US" w:eastAsia="zh-Hans"/>
        </w:rPr>
        <w:t>期临床研究中心</w:t>
      </w:r>
      <w:r>
        <w:rPr>
          <w:rStyle w:val="29"/>
          <w:rFonts w:hint="eastAsia" w:ascii="仿宋_GB2312" w:hAnsi="仿宋_GB2312" w:eastAsia="仿宋_GB2312" w:cs="仿宋_GB2312"/>
          <w:sz w:val="28"/>
          <w:szCs w:val="28"/>
        </w:rPr>
        <w:t>备案的要求，提供I期临床研究中心所需的资料文件并确保其真实性及合法性</w:t>
      </w:r>
      <w:r>
        <w:rPr>
          <w:rStyle w:val="29"/>
          <w:rFonts w:hint="eastAsia" w:ascii="仿宋_GB2312" w:hAnsi="仿宋_GB2312" w:eastAsia="仿宋_GB2312" w:cs="仿宋_GB2312"/>
          <w:sz w:val="28"/>
          <w:szCs w:val="28"/>
          <w:lang w:eastAsia="zh-CN"/>
        </w:rPr>
        <w:t>，</w:t>
      </w:r>
      <w:r>
        <w:rPr>
          <w:rStyle w:val="29"/>
          <w:rFonts w:hint="eastAsia" w:ascii="仿宋_GB2312" w:hAnsi="仿宋_GB2312" w:eastAsia="仿宋_GB2312" w:cs="仿宋_GB2312"/>
          <w:sz w:val="28"/>
          <w:szCs w:val="28"/>
        </w:rPr>
        <w:t>协助</w:t>
      </w:r>
      <w:r>
        <w:rPr>
          <w:rStyle w:val="29"/>
          <w:rFonts w:hint="eastAsia" w:ascii="仿宋_GB2312" w:hAnsi="仿宋_GB2312" w:eastAsia="仿宋_GB2312" w:cs="仿宋_GB2312"/>
          <w:sz w:val="28"/>
          <w:szCs w:val="28"/>
          <w:lang w:val="en-US" w:eastAsia="zh-CN"/>
        </w:rPr>
        <w:t>甲方</w:t>
      </w:r>
      <w:r>
        <w:rPr>
          <w:rStyle w:val="29"/>
          <w:rFonts w:hint="eastAsia" w:ascii="仿宋_GB2312" w:hAnsi="仿宋_GB2312" w:eastAsia="仿宋_GB2312" w:cs="仿宋_GB2312"/>
          <w:sz w:val="28"/>
          <w:szCs w:val="28"/>
        </w:rPr>
        <w:t>修订和完善备案资料；</w:t>
      </w:r>
    </w:p>
    <w:p>
      <w:pPr>
        <w:keepNext w:val="0"/>
        <w:keepLines w:val="0"/>
        <w:pageBreakBefore w:val="0"/>
        <w:widowControl w:val="0"/>
        <w:tabs>
          <w:tab w:val="left" w:pos="704"/>
        </w:tabs>
        <w:kinsoku/>
        <w:wordWrap/>
        <w:overflowPunct/>
        <w:topLinePunct w:val="0"/>
        <w:autoSpaceDE/>
        <w:autoSpaceDN/>
        <w:bidi w:val="0"/>
        <w:adjustRightInd/>
        <w:snapToGrid/>
        <w:spacing w:beforeAutospacing="0" w:afterAutospacing="0" w:line="520" w:lineRule="exact"/>
        <w:ind w:left="0" w:leftChars="0" w:firstLine="560" w:firstLineChars="200"/>
        <w:textAlignment w:val="baseline"/>
        <w:rPr>
          <w:rStyle w:val="29"/>
          <w:rFonts w:hint="default" w:ascii="仿宋_GB2312" w:hAnsi="仿宋_GB2312" w:eastAsia="仿宋_GB2312" w:cs="仿宋_GB2312"/>
          <w:sz w:val="28"/>
          <w:szCs w:val="28"/>
          <w:highlight w:val="none"/>
          <w:lang w:val="en-US" w:eastAsia="zh-CN"/>
        </w:rPr>
      </w:pPr>
      <w:r>
        <w:rPr>
          <w:rStyle w:val="29"/>
          <w:rFonts w:hint="eastAsia" w:ascii="仿宋_GB2312" w:hAnsi="仿宋_GB2312" w:eastAsia="仿宋_GB2312" w:cs="仿宋_GB2312"/>
          <w:sz w:val="28"/>
          <w:szCs w:val="28"/>
          <w:highlight w:val="none"/>
        </w:rPr>
        <w:t>4.根据I</w:t>
      </w:r>
      <w:r>
        <w:rPr>
          <w:rStyle w:val="29"/>
          <w:rFonts w:hint="eastAsia" w:ascii="仿宋_GB2312" w:hAnsi="仿宋_GB2312" w:eastAsia="仿宋_GB2312" w:cs="仿宋_GB2312"/>
          <w:sz w:val="28"/>
          <w:szCs w:val="28"/>
          <w:highlight w:val="none"/>
          <w:lang w:val="en-US" w:eastAsia="zh-Hans"/>
        </w:rPr>
        <w:t>期临床研究中心</w:t>
      </w:r>
      <w:r>
        <w:rPr>
          <w:rStyle w:val="29"/>
          <w:rFonts w:hint="eastAsia" w:ascii="仿宋_GB2312" w:hAnsi="仿宋_GB2312" w:eastAsia="仿宋_GB2312" w:cs="仿宋_GB2312"/>
          <w:sz w:val="28"/>
          <w:szCs w:val="28"/>
          <w:highlight w:val="none"/>
        </w:rPr>
        <w:t>的需求，协助甲方进行相关的小班实操培训</w:t>
      </w:r>
      <w:r>
        <w:rPr>
          <w:rStyle w:val="29"/>
          <w:rFonts w:hint="eastAsia" w:ascii="仿宋_GB2312" w:hAnsi="仿宋_GB2312" w:eastAsia="仿宋_GB2312" w:cs="仿宋_GB2312"/>
          <w:color w:val="FF0000"/>
          <w:sz w:val="28"/>
          <w:szCs w:val="28"/>
          <w:highlight w:val="none"/>
          <w:lang w:val="en-US" w:eastAsia="zh-CN"/>
        </w:rPr>
        <w:t>并承担由此产生的培训费用；</w:t>
      </w:r>
      <w:r>
        <w:rPr>
          <w:rStyle w:val="29"/>
          <w:rFonts w:hint="eastAsia" w:ascii="仿宋_GB2312" w:hAnsi="仿宋_GB2312" w:eastAsia="仿宋_GB2312" w:cs="仿宋_GB2312"/>
          <w:sz w:val="28"/>
          <w:szCs w:val="28"/>
          <w:highlight w:val="none"/>
        </w:rPr>
        <w:t>此培训期间</w:t>
      </w:r>
      <w:r>
        <w:rPr>
          <w:rStyle w:val="29"/>
          <w:rFonts w:hint="eastAsia" w:ascii="仿宋_GB2312" w:hAnsi="仿宋_GB2312" w:eastAsia="仿宋_GB2312" w:cs="仿宋_GB2312"/>
          <w:color w:val="0000FF"/>
          <w:sz w:val="28"/>
          <w:szCs w:val="28"/>
          <w:highlight w:val="none"/>
          <w:lang w:val="en-US" w:eastAsia="zh-CN"/>
        </w:rPr>
        <w:t>甲、乙方人员</w:t>
      </w:r>
      <w:r>
        <w:rPr>
          <w:rStyle w:val="29"/>
          <w:rFonts w:hint="eastAsia" w:ascii="仿宋_GB2312" w:hAnsi="仿宋_GB2312" w:eastAsia="仿宋_GB2312" w:cs="仿宋_GB2312"/>
          <w:sz w:val="28"/>
          <w:szCs w:val="28"/>
          <w:highlight w:val="none"/>
        </w:rPr>
        <w:t>产生的交通、食宿费用由</w:t>
      </w:r>
      <w:r>
        <w:rPr>
          <w:rStyle w:val="29"/>
          <w:rFonts w:hint="eastAsia" w:ascii="仿宋_GB2312" w:hAnsi="仿宋_GB2312" w:eastAsia="仿宋_GB2312" w:cs="仿宋_GB2312"/>
          <w:sz w:val="28"/>
          <w:szCs w:val="28"/>
          <w:highlight w:val="none"/>
          <w:lang w:val="en-US" w:eastAsia="zh-CN"/>
        </w:rPr>
        <w:t>各</w:t>
      </w:r>
      <w:r>
        <w:rPr>
          <w:rStyle w:val="29"/>
          <w:rFonts w:hint="eastAsia" w:ascii="仿宋_GB2312" w:hAnsi="仿宋_GB2312" w:eastAsia="仿宋_GB2312" w:cs="仿宋_GB2312"/>
          <w:sz w:val="28"/>
          <w:szCs w:val="28"/>
          <w:highlight w:val="none"/>
        </w:rPr>
        <w:t>方自理</w:t>
      </w:r>
      <w:r>
        <w:rPr>
          <w:rStyle w:val="29"/>
          <w:rFonts w:hint="eastAsia" w:ascii="仿宋_GB2312" w:hAnsi="仿宋_GB2312" w:eastAsia="仿宋_GB2312" w:cs="仿宋_GB2312"/>
          <w:color w:val="0000FF"/>
          <w:sz w:val="28"/>
          <w:szCs w:val="28"/>
          <w:highlight w:val="none"/>
          <w:lang w:val="en-US" w:eastAsia="zh-CN"/>
        </w:rPr>
        <w:t>。</w:t>
      </w:r>
    </w:p>
    <w:p>
      <w:pPr>
        <w:keepNext w:val="0"/>
        <w:keepLines w:val="0"/>
        <w:pageBreakBefore w:val="0"/>
        <w:widowControl w:val="0"/>
        <w:tabs>
          <w:tab w:val="left" w:pos="704"/>
        </w:tabs>
        <w:kinsoku/>
        <w:wordWrap/>
        <w:overflowPunct/>
        <w:topLinePunct w:val="0"/>
        <w:autoSpaceDE/>
        <w:autoSpaceDN/>
        <w:bidi w:val="0"/>
        <w:adjustRightInd/>
        <w:snapToGrid/>
        <w:spacing w:beforeAutospacing="0" w:afterAutospacing="0" w:line="520" w:lineRule="exact"/>
        <w:ind w:left="0" w:leftChars="0" w:firstLine="560" w:firstLineChars="200"/>
        <w:textAlignment w:val="baseline"/>
        <w:rPr>
          <w:rStyle w:val="29"/>
          <w:rFonts w:hint="eastAsia" w:ascii="仿宋_GB2312" w:hAnsi="仿宋_GB2312" w:eastAsia="仿宋_GB2312" w:cs="仿宋_GB2312"/>
          <w:sz w:val="28"/>
          <w:szCs w:val="28"/>
        </w:rPr>
      </w:pPr>
      <w:r>
        <w:rPr>
          <w:rStyle w:val="29"/>
          <w:rFonts w:hint="eastAsia" w:ascii="仿宋_GB2312" w:hAnsi="仿宋_GB2312" w:eastAsia="仿宋_GB2312" w:cs="仿宋_GB2312"/>
          <w:sz w:val="28"/>
          <w:szCs w:val="28"/>
        </w:rPr>
        <w:t>5.根据甲方需求合理安排</w:t>
      </w:r>
      <w:r>
        <w:rPr>
          <w:rStyle w:val="29"/>
          <w:rFonts w:hint="eastAsia" w:ascii="仿宋_GB2312" w:hAnsi="仿宋_GB2312" w:eastAsia="仿宋_GB2312" w:cs="仿宋_GB2312"/>
          <w:sz w:val="28"/>
          <w:szCs w:val="28"/>
          <w:lang w:val="en-US" w:eastAsia="zh-Hans"/>
        </w:rPr>
        <w:t>模拟评估计划，并出具</w:t>
      </w:r>
      <w:r>
        <w:rPr>
          <w:rStyle w:val="29"/>
          <w:rFonts w:hint="eastAsia" w:ascii="仿宋_GB2312" w:hAnsi="仿宋_GB2312" w:eastAsia="仿宋_GB2312" w:cs="仿宋_GB2312"/>
          <w:sz w:val="28"/>
          <w:szCs w:val="28"/>
        </w:rPr>
        <w:t>评估报告；</w:t>
      </w:r>
    </w:p>
    <w:p>
      <w:pPr>
        <w:keepNext w:val="0"/>
        <w:keepLines w:val="0"/>
        <w:pageBreakBefore w:val="0"/>
        <w:widowControl w:val="0"/>
        <w:tabs>
          <w:tab w:val="left" w:pos="704"/>
        </w:tabs>
        <w:kinsoku/>
        <w:wordWrap/>
        <w:overflowPunct/>
        <w:topLinePunct w:val="0"/>
        <w:autoSpaceDE/>
        <w:autoSpaceDN/>
        <w:bidi w:val="0"/>
        <w:adjustRightInd/>
        <w:snapToGrid/>
        <w:spacing w:beforeAutospacing="0" w:afterAutospacing="0" w:line="520" w:lineRule="exact"/>
        <w:ind w:left="0" w:leftChars="0" w:firstLine="560" w:firstLineChars="200"/>
        <w:jc w:val="left"/>
        <w:textAlignment w:val="baseline"/>
        <w:rPr>
          <w:rStyle w:val="29"/>
          <w:rFonts w:hint="eastAsia" w:ascii="仿宋_GB2312" w:hAnsi="仿宋_GB2312" w:eastAsia="仿宋_GB2312" w:cs="仿宋_GB2312"/>
          <w:sz w:val="28"/>
          <w:szCs w:val="28"/>
          <w:highlight w:val="none"/>
        </w:rPr>
      </w:pPr>
      <w:r>
        <w:rPr>
          <w:rStyle w:val="29"/>
          <w:rFonts w:hint="eastAsia" w:ascii="仿宋_GB2312" w:hAnsi="仿宋_GB2312" w:eastAsia="仿宋_GB2312" w:cs="仿宋_GB2312"/>
          <w:sz w:val="28"/>
          <w:szCs w:val="28"/>
          <w:highlight w:val="none"/>
          <w:lang w:val="en-US" w:eastAsia="zh-CN"/>
        </w:rPr>
        <w:t>6</w:t>
      </w:r>
      <w:r>
        <w:rPr>
          <w:rStyle w:val="29"/>
          <w:rFonts w:hint="eastAsia" w:ascii="仿宋_GB2312" w:hAnsi="仿宋_GB2312" w:eastAsia="仿宋_GB2312" w:cs="仿宋_GB2312"/>
          <w:sz w:val="28"/>
          <w:szCs w:val="28"/>
          <w:highlight w:val="none"/>
        </w:rPr>
        <w:t>.负责</w:t>
      </w:r>
      <w:r>
        <w:rPr>
          <w:rStyle w:val="29"/>
          <w:rFonts w:hint="eastAsia" w:ascii="仿宋_GB2312" w:hAnsi="仿宋_GB2312" w:eastAsia="仿宋_GB2312" w:cs="仿宋_GB2312"/>
          <w:color w:val="FF0000"/>
          <w:sz w:val="28"/>
          <w:szCs w:val="28"/>
          <w:highlight w:val="none"/>
          <w:lang w:val="en-US" w:eastAsia="zh-CN"/>
        </w:rPr>
        <w:t>邀请</w:t>
      </w:r>
      <w:r>
        <w:rPr>
          <w:rStyle w:val="29"/>
          <w:rFonts w:hint="eastAsia" w:ascii="仿宋_GB2312" w:hAnsi="仿宋_GB2312" w:eastAsia="仿宋_GB2312" w:cs="仿宋_GB2312"/>
          <w:color w:val="FF0000"/>
          <w:sz w:val="28"/>
          <w:szCs w:val="28"/>
          <w:highlight w:val="none"/>
        </w:rPr>
        <w:t>、</w:t>
      </w:r>
      <w:r>
        <w:rPr>
          <w:rStyle w:val="29"/>
          <w:rFonts w:hint="eastAsia" w:ascii="仿宋_GB2312" w:hAnsi="仿宋_GB2312" w:eastAsia="仿宋_GB2312" w:cs="仿宋_GB2312"/>
          <w:sz w:val="28"/>
          <w:szCs w:val="28"/>
          <w:highlight w:val="none"/>
        </w:rPr>
        <w:t>安排专项服务期间（</w:t>
      </w:r>
      <w:r>
        <w:rPr>
          <w:rStyle w:val="29"/>
          <w:rFonts w:hint="eastAsia" w:ascii="仿宋_GB2312" w:hAnsi="仿宋_GB2312" w:eastAsia="仿宋_GB2312" w:cs="仿宋_GB2312"/>
          <w:sz w:val="28"/>
          <w:szCs w:val="28"/>
          <w:highlight w:val="none"/>
          <w:lang w:val="en-US" w:eastAsia="zh-Hans"/>
        </w:rPr>
        <w:t>体系培训等</w:t>
      </w:r>
      <w:r>
        <w:rPr>
          <w:rStyle w:val="29"/>
          <w:rFonts w:hint="eastAsia" w:ascii="仿宋_GB2312" w:hAnsi="仿宋_GB2312" w:eastAsia="仿宋_GB2312" w:cs="仿宋_GB2312"/>
          <w:sz w:val="28"/>
          <w:szCs w:val="28"/>
          <w:highlight w:val="none"/>
        </w:rPr>
        <w:t>）</w:t>
      </w:r>
      <w:r>
        <w:rPr>
          <w:rStyle w:val="29"/>
          <w:rFonts w:hint="eastAsia" w:ascii="仿宋_GB2312" w:hAnsi="仿宋_GB2312" w:eastAsia="仿宋_GB2312" w:cs="仿宋_GB2312"/>
          <w:color w:val="FF0000"/>
          <w:sz w:val="28"/>
          <w:szCs w:val="28"/>
          <w:highlight w:val="none"/>
        </w:rPr>
        <w:t>专家</w:t>
      </w:r>
      <w:r>
        <w:rPr>
          <w:rStyle w:val="29"/>
          <w:rFonts w:hint="eastAsia" w:ascii="仿宋_GB2312" w:hAnsi="仿宋_GB2312" w:eastAsia="仿宋_GB2312" w:cs="仿宋_GB2312"/>
          <w:color w:val="FF0000"/>
          <w:sz w:val="28"/>
          <w:szCs w:val="28"/>
          <w:highlight w:val="none"/>
          <w:lang w:val="en-US" w:eastAsia="zh-CN"/>
        </w:rPr>
        <w:t>及辅助人员</w:t>
      </w:r>
      <w:r>
        <w:rPr>
          <w:rStyle w:val="29"/>
          <w:rFonts w:hint="eastAsia" w:ascii="仿宋_GB2312" w:hAnsi="仿宋_GB2312" w:eastAsia="仿宋_GB2312" w:cs="仿宋_GB2312"/>
          <w:color w:val="FF0000"/>
          <w:sz w:val="28"/>
          <w:szCs w:val="28"/>
          <w:highlight w:val="none"/>
        </w:rPr>
        <w:t>的</w:t>
      </w:r>
      <w:r>
        <w:rPr>
          <w:rStyle w:val="29"/>
          <w:rFonts w:hint="eastAsia" w:ascii="仿宋_GB2312" w:hAnsi="仿宋_GB2312" w:eastAsia="仿宋_GB2312" w:cs="仿宋_GB2312"/>
          <w:color w:val="FF0000"/>
          <w:sz w:val="28"/>
          <w:szCs w:val="28"/>
          <w:highlight w:val="none"/>
          <w:lang w:val="en-US" w:eastAsia="zh-CN"/>
        </w:rPr>
        <w:t>交通、食宿，并承担由此产生的交通费、食宿费、</w:t>
      </w:r>
      <w:r>
        <w:rPr>
          <w:rStyle w:val="29"/>
          <w:rFonts w:hint="eastAsia" w:ascii="仿宋_GB2312" w:hAnsi="仿宋_GB2312" w:eastAsia="仿宋_GB2312" w:cs="仿宋_GB2312"/>
          <w:color w:val="FF0000"/>
          <w:sz w:val="28"/>
          <w:szCs w:val="28"/>
          <w:highlight w:val="none"/>
        </w:rPr>
        <w:t>评估费用、授课费用</w:t>
      </w:r>
      <w:r>
        <w:rPr>
          <w:rStyle w:val="29"/>
          <w:rFonts w:hint="eastAsia" w:ascii="仿宋_GB2312" w:hAnsi="仿宋_GB2312" w:eastAsia="仿宋_GB2312" w:cs="仿宋_GB2312"/>
          <w:color w:val="FF0000"/>
          <w:sz w:val="28"/>
          <w:szCs w:val="28"/>
          <w:highlight w:val="none"/>
          <w:lang w:eastAsia="zh-CN"/>
        </w:rPr>
        <w:t>、</w:t>
      </w:r>
      <w:r>
        <w:rPr>
          <w:rStyle w:val="29"/>
          <w:rFonts w:hint="eastAsia" w:ascii="仿宋_GB2312" w:hAnsi="仿宋_GB2312" w:eastAsia="仿宋_GB2312" w:cs="仿宋_GB2312"/>
          <w:color w:val="FF0000"/>
          <w:sz w:val="28"/>
          <w:szCs w:val="28"/>
          <w:highlight w:val="none"/>
        </w:rPr>
        <w:t>辅助费用</w:t>
      </w:r>
      <w:r>
        <w:rPr>
          <w:rStyle w:val="29"/>
          <w:rFonts w:hint="eastAsia" w:ascii="仿宋_GB2312" w:hAnsi="仿宋_GB2312" w:eastAsia="仿宋_GB2312" w:cs="仿宋_GB2312"/>
          <w:color w:val="FF0000"/>
          <w:sz w:val="28"/>
          <w:szCs w:val="28"/>
          <w:highlight w:val="none"/>
          <w:lang w:val="en-US" w:eastAsia="zh-CN"/>
        </w:rPr>
        <w:t>等全部费用；</w:t>
      </w:r>
    </w:p>
    <w:p>
      <w:pPr>
        <w:keepNext w:val="0"/>
        <w:keepLines w:val="0"/>
        <w:pageBreakBefore w:val="0"/>
        <w:widowControl w:val="0"/>
        <w:tabs>
          <w:tab w:val="left" w:pos="704"/>
        </w:tabs>
        <w:kinsoku/>
        <w:wordWrap/>
        <w:overflowPunct/>
        <w:topLinePunct w:val="0"/>
        <w:autoSpaceDE/>
        <w:autoSpaceDN/>
        <w:bidi w:val="0"/>
        <w:adjustRightInd/>
        <w:snapToGrid/>
        <w:spacing w:beforeAutospacing="0" w:afterAutospacing="0" w:line="520" w:lineRule="exact"/>
        <w:ind w:left="0" w:leftChars="0" w:firstLine="560" w:firstLineChars="200"/>
        <w:textAlignment w:val="baseline"/>
        <w:rPr>
          <w:rStyle w:val="29"/>
          <w:rFonts w:hint="eastAsia" w:ascii="仿宋_GB2312" w:hAnsi="仿宋_GB2312" w:eastAsia="仿宋_GB2312" w:cs="仿宋_GB2312"/>
          <w:sz w:val="28"/>
          <w:szCs w:val="28"/>
        </w:rPr>
      </w:pPr>
      <w:r>
        <w:rPr>
          <w:rStyle w:val="29"/>
          <w:rFonts w:hint="eastAsia" w:ascii="仿宋_GB2312" w:hAnsi="仿宋_GB2312" w:eastAsia="仿宋_GB2312" w:cs="仿宋_GB2312"/>
          <w:sz w:val="28"/>
          <w:szCs w:val="28"/>
        </w:rPr>
        <w:t>7.负责</w:t>
      </w:r>
      <w:r>
        <w:rPr>
          <w:rStyle w:val="29"/>
          <w:rFonts w:hint="eastAsia" w:ascii="仿宋_GB2312" w:hAnsi="仿宋_GB2312" w:eastAsia="仿宋_GB2312" w:cs="仿宋_GB2312"/>
          <w:sz w:val="28"/>
          <w:szCs w:val="28"/>
          <w:lang w:val="en-US" w:eastAsia="zh-Hans"/>
        </w:rPr>
        <w:t>模拟</w:t>
      </w:r>
      <w:r>
        <w:rPr>
          <w:rStyle w:val="29"/>
          <w:rFonts w:hint="eastAsia" w:ascii="仿宋_GB2312" w:hAnsi="仿宋_GB2312" w:eastAsia="仿宋_GB2312" w:cs="仿宋_GB2312"/>
          <w:sz w:val="28"/>
          <w:szCs w:val="28"/>
        </w:rPr>
        <w:t>评估的资料准备，包括评估标准、计划、报告等；</w:t>
      </w:r>
    </w:p>
    <w:p>
      <w:pPr>
        <w:keepNext w:val="0"/>
        <w:keepLines w:val="0"/>
        <w:pageBreakBefore w:val="0"/>
        <w:widowControl w:val="0"/>
        <w:tabs>
          <w:tab w:val="left" w:pos="704"/>
        </w:tabs>
        <w:kinsoku/>
        <w:wordWrap/>
        <w:overflowPunct/>
        <w:topLinePunct w:val="0"/>
        <w:autoSpaceDE/>
        <w:autoSpaceDN/>
        <w:bidi w:val="0"/>
        <w:adjustRightInd/>
        <w:snapToGrid/>
        <w:spacing w:beforeAutospacing="0" w:afterAutospacing="0" w:line="520" w:lineRule="exact"/>
        <w:ind w:left="0" w:leftChars="0" w:firstLine="560" w:firstLineChars="200"/>
        <w:textAlignment w:val="baseline"/>
        <w:rPr>
          <w:rStyle w:val="29"/>
          <w:rFonts w:hint="default" w:ascii="仿宋_GB2312" w:hAnsi="仿宋_GB2312" w:eastAsia="仿宋_GB2312" w:cs="仿宋_GB2312"/>
          <w:sz w:val="28"/>
          <w:szCs w:val="28"/>
          <w:lang w:val="en-US" w:eastAsia="zh-CN"/>
        </w:rPr>
      </w:pPr>
      <w:r>
        <w:rPr>
          <w:rStyle w:val="29"/>
          <w:rFonts w:hint="eastAsia" w:ascii="仿宋_GB2312" w:hAnsi="仿宋_GB2312" w:eastAsia="仿宋_GB2312" w:cs="仿宋_GB2312"/>
          <w:sz w:val="28"/>
          <w:szCs w:val="28"/>
          <w:lang w:val="en-US" w:eastAsia="zh-CN"/>
        </w:rPr>
        <w:t>8.</w:t>
      </w:r>
      <w:r>
        <w:rPr>
          <w:rStyle w:val="29"/>
          <w:rFonts w:hint="eastAsia" w:ascii="仿宋_GB2312" w:hAnsi="仿宋_GB2312" w:eastAsia="仿宋_GB2312" w:cs="仿宋_GB2312"/>
          <w:sz w:val="28"/>
          <w:szCs w:val="28"/>
          <w:highlight w:val="none"/>
          <w:lang w:val="en-US" w:eastAsia="zh-CN"/>
        </w:rPr>
        <w:t>乙方指派</w:t>
      </w:r>
      <w:r>
        <w:rPr>
          <w:rStyle w:val="29"/>
          <w:rFonts w:hint="eastAsia" w:ascii="仿宋_GB2312" w:hAnsi="仿宋_GB2312" w:eastAsia="仿宋_GB2312" w:cs="仿宋_GB2312"/>
          <w:sz w:val="28"/>
          <w:szCs w:val="28"/>
        </w:rPr>
        <w:t>项目联系人</w:t>
      </w:r>
      <w:r>
        <w:rPr>
          <w:rStyle w:val="29"/>
          <w:rFonts w:hint="eastAsia" w:ascii="仿宋_GB2312" w:hAnsi="仿宋_GB2312" w:eastAsia="仿宋_GB2312" w:cs="仿宋_GB2312"/>
          <w:sz w:val="28"/>
          <w:szCs w:val="28"/>
          <w:lang w:eastAsia="zh-CN"/>
        </w:rPr>
        <w:t>：</w:t>
      </w:r>
      <w:r>
        <w:rPr>
          <w:rStyle w:val="29"/>
          <w:rFonts w:hint="eastAsia" w:ascii="仿宋_GB2312" w:hAnsi="仿宋_GB2312" w:eastAsia="仿宋_GB2312" w:cs="仿宋_GB2312"/>
          <w:sz w:val="28"/>
          <w:szCs w:val="28"/>
          <w:u w:val="single"/>
          <w:lang w:val="en-US" w:eastAsia="zh-CN"/>
        </w:rPr>
        <w:t xml:space="preserve">       </w:t>
      </w:r>
      <w:r>
        <w:rPr>
          <w:rStyle w:val="29"/>
          <w:rFonts w:hint="eastAsia" w:ascii="仿宋_GB2312" w:hAnsi="仿宋_GB2312" w:eastAsia="仿宋_GB2312" w:cs="仿宋_GB2312"/>
          <w:sz w:val="28"/>
          <w:szCs w:val="28"/>
          <w:u w:val="none"/>
          <w:lang w:val="en-US" w:eastAsia="zh-CN"/>
        </w:rPr>
        <w:t>，联系</w:t>
      </w:r>
      <w:r>
        <w:rPr>
          <w:rStyle w:val="29"/>
          <w:rFonts w:hint="eastAsia" w:ascii="仿宋_GB2312" w:hAnsi="仿宋_GB2312" w:eastAsia="仿宋_GB2312" w:cs="仿宋_GB2312"/>
          <w:sz w:val="28"/>
          <w:szCs w:val="28"/>
        </w:rPr>
        <w:t>电话</w:t>
      </w:r>
      <w:r>
        <w:rPr>
          <w:rStyle w:val="29"/>
          <w:rFonts w:hint="eastAsia" w:ascii="仿宋_GB2312" w:hAnsi="仿宋_GB2312" w:eastAsia="仿宋_GB2312" w:cs="仿宋_GB2312"/>
          <w:sz w:val="28"/>
          <w:szCs w:val="28"/>
          <w:lang w:eastAsia="zh-CN"/>
        </w:rPr>
        <w:t>：</w:t>
      </w:r>
      <w:r>
        <w:rPr>
          <w:rStyle w:val="29"/>
          <w:rFonts w:hint="eastAsia" w:ascii="仿宋_GB2312" w:hAnsi="仿宋_GB2312" w:eastAsia="仿宋_GB2312" w:cs="仿宋_GB2312"/>
          <w:sz w:val="28"/>
          <w:szCs w:val="28"/>
          <w:u w:val="single" w:color="000000"/>
        </w:rPr>
        <w:t xml:space="preserve"> </w:t>
      </w:r>
      <w:r>
        <w:rPr>
          <w:rStyle w:val="29"/>
          <w:rFonts w:hint="eastAsia" w:ascii="仿宋_GB2312" w:hAnsi="仿宋_GB2312" w:eastAsia="仿宋_GB2312" w:cs="仿宋_GB2312"/>
          <w:sz w:val="28"/>
          <w:szCs w:val="28"/>
          <w:u w:val="single" w:color="000000"/>
          <w:lang w:val="en-US" w:eastAsia="zh-CN"/>
        </w:rPr>
        <w:t xml:space="preserve">      </w:t>
      </w:r>
      <w:r>
        <w:rPr>
          <w:rStyle w:val="29"/>
          <w:rFonts w:hint="eastAsia" w:ascii="仿宋_GB2312" w:hAnsi="仿宋_GB2312" w:eastAsia="仿宋_GB2312" w:cs="仿宋_GB2312"/>
          <w:sz w:val="28"/>
          <w:szCs w:val="28"/>
          <w:u w:val="none" w:color="auto"/>
          <w:lang w:val="en-US" w:eastAsia="zh-CN"/>
        </w:rPr>
        <w:t>，</w:t>
      </w:r>
      <w:r>
        <w:rPr>
          <w:rStyle w:val="29"/>
          <w:rFonts w:hint="eastAsia" w:ascii="仿宋_GB2312" w:hAnsi="仿宋_GB2312" w:eastAsia="仿宋_GB2312" w:cs="仿宋_GB2312"/>
          <w:sz w:val="28"/>
          <w:szCs w:val="28"/>
          <w:lang w:val="en-US" w:eastAsia="zh-CN"/>
        </w:rPr>
        <w:t>邮箱</w:t>
      </w:r>
      <w:r>
        <w:rPr>
          <w:rStyle w:val="29"/>
          <w:rFonts w:hint="eastAsia" w:ascii="仿宋_GB2312" w:hAnsi="仿宋_GB2312" w:eastAsia="仿宋_GB2312" w:cs="仿宋_GB2312"/>
          <w:sz w:val="28"/>
          <w:szCs w:val="28"/>
        </w:rPr>
        <w:t>：</w:t>
      </w:r>
      <w:r>
        <w:rPr>
          <w:rStyle w:val="29"/>
          <w:rFonts w:hint="eastAsia" w:ascii="仿宋_GB2312" w:hAnsi="仿宋_GB2312" w:eastAsia="仿宋_GB2312" w:cs="仿宋_GB2312"/>
          <w:sz w:val="28"/>
          <w:szCs w:val="28"/>
          <w:u w:val="single"/>
          <w:lang w:val="en-US" w:eastAsia="zh-CN"/>
        </w:rPr>
        <w:t xml:space="preserve">            </w:t>
      </w:r>
      <w:r>
        <w:rPr>
          <w:rStyle w:val="29"/>
          <w:rFonts w:hint="eastAsia" w:ascii="仿宋_GB2312" w:hAnsi="仿宋_GB2312" w:eastAsia="仿宋_GB2312" w:cs="仿宋_GB2312"/>
          <w:sz w:val="28"/>
          <w:szCs w:val="28"/>
          <w:u w:val="none" w:color="auto"/>
          <w:lang w:val="en-US" w:eastAsia="zh-CN"/>
        </w:rPr>
        <w:t>，专门负责与甲方联系服务事宜，如人员发生变动，应及时通知甲方。</w:t>
      </w:r>
    </w:p>
    <w:p>
      <w:pPr>
        <w:pStyle w:val="31"/>
        <w:keepNext w:val="0"/>
        <w:keepLines w:val="0"/>
        <w:pageBreakBefore w:val="0"/>
        <w:widowControl w:val="0"/>
        <w:tabs>
          <w:tab w:val="left" w:pos="704"/>
        </w:tabs>
        <w:kinsoku/>
        <w:wordWrap/>
        <w:overflowPunct/>
        <w:topLinePunct w:val="0"/>
        <w:autoSpaceDE/>
        <w:autoSpaceDN/>
        <w:bidi w:val="0"/>
        <w:adjustRightInd/>
        <w:snapToGrid/>
        <w:spacing w:beforeAutospacing="0" w:afterAutospacing="0" w:line="520" w:lineRule="exact"/>
        <w:ind w:left="0" w:leftChars="0" w:firstLine="562" w:firstLineChars="200"/>
        <w:textAlignment w:val="baseline"/>
        <w:rPr>
          <w:rStyle w:val="29"/>
          <w:rFonts w:hint="eastAsia" w:ascii="仿宋_GB2312" w:hAnsi="仿宋_GB2312" w:eastAsia="仿宋_GB2312" w:cs="仿宋_GB2312"/>
          <w:b/>
          <w:sz w:val="28"/>
          <w:szCs w:val="28"/>
          <w:lang w:val="en-US" w:eastAsia="zh-CN"/>
        </w:rPr>
      </w:pPr>
      <w:r>
        <w:rPr>
          <w:rStyle w:val="29"/>
          <w:rFonts w:hint="eastAsia" w:ascii="仿宋_GB2312" w:hAnsi="仿宋_GB2312" w:eastAsia="仿宋_GB2312" w:cs="仿宋_GB2312"/>
          <w:b/>
          <w:sz w:val="28"/>
          <w:szCs w:val="28"/>
          <w:lang w:val="en-US" w:eastAsia="zh-CN"/>
        </w:rPr>
        <w:t>五</w:t>
      </w:r>
      <w:r>
        <w:rPr>
          <w:rStyle w:val="29"/>
          <w:rFonts w:hint="eastAsia" w:ascii="仿宋_GB2312" w:hAnsi="仿宋_GB2312" w:eastAsia="仿宋_GB2312" w:cs="仿宋_GB2312"/>
          <w:b/>
          <w:sz w:val="28"/>
          <w:szCs w:val="28"/>
        </w:rPr>
        <w:t>、</w:t>
      </w:r>
      <w:r>
        <w:rPr>
          <w:rStyle w:val="29"/>
          <w:rFonts w:hint="eastAsia" w:ascii="仿宋_GB2312" w:hAnsi="仿宋_GB2312" w:eastAsia="仿宋_GB2312" w:cs="仿宋_GB2312"/>
          <w:b/>
          <w:sz w:val="28"/>
          <w:szCs w:val="28"/>
          <w:lang w:val="en-US" w:eastAsia="zh-CN"/>
        </w:rPr>
        <w:t>服务</w:t>
      </w:r>
      <w:r>
        <w:rPr>
          <w:rStyle w:val="29"/>
          <w:rFonts w:hint="eastAsia" w:ascii="仿宋_GB2312" w:hAnsi="仿宋_GB2312" w:eastAsia="仿宋_GB2312" w:cs="仿宋_GB2312"/>
          <w:b/>
          <w:sz w:val="28"/>
          <w:szCs w:val="28"/>
        </w:rPr>
        <w:t>费用</w:t>
      </w:r>
      <w:r>
        <w:rPr>
          <w:rStyle w:val="29"/>
          <w:rFonts w:hint="eastAsia" w:ascii="仿宋_GB2312" w:hAnsi="仿宋_GB2312" w:eastAsia="仿宋_GB2312" w:cs="仿宋_GB2312"/>
          <w:b/>
          <w:sz w:val="28"/>
          <w:szCs w:val="28"/>
          <w:lang w:val="en-US" w:eastAsia="zh-CN"/>
        </w:rPr>
        <w:t>标准</w:t>
      </w:r>
      <w:r>
        <w:rPr>
          <w:rStyle w:val="29"/>
          <w:rFonts w:hint="eastAsia" w:ascii="仿宋_GB2312" w:hAnsi="仿宋_GB2312" w:eastAsia="仿宋_GB2312" w:cs="仿宋_GB2312"/>
          <w:b/>
          <w:sz w:val="28"/>
          <w:szCs w:val="28"/>
          <w:lang w:eastAsia="zh-CN"/>
        </w:rPr>
        <w:t>、</w:t>
      </w:r>
      <w:r>
        <w:rPr>
          <w:rStyle w:val="29"/>
          <w:rFonts w:hint="eastAsia" w:ascii="仿宋_GB2312" w:hAnsi="仿宋_GB2312" w:eastAsia="仿宋_GB2312" w:cs="仿宋_GB2312"/>
          <w:b/>
          <w:sz w:val="28"/>
          <w:szCs w:val="28"/>
        </w:rPr>
        <w:t>支付</w:t>
      </w:r>
      <w:r>
        <w:rPr>
          <w:rStyle w:val="29"/>
          <w:rFonts w:hint="eastAsia" w:ascii="仿宋_GB2312" w:hAnsi="仿宋_GB2312" w:eastAsia="仿宋_GB2312" w:cs="仿宋_GB2312"/>
          <w:b/>
          <w:sz w:val="28"/>
          <w:szCs w:val="28"/>
          <w:lang w:val="en-US" w:eastAsia="zh-CN"/>
        </w:rPr>
        <w:t>时间及</w:t>
      </w:r>
      <w:r>
        <w:rPr>
          <w:rStyle w:val="29"/>
          <w:rFonts w:hint="eastAsia" w:ascii="仿宋_GB2312" w:hAnsi="仿宋_GB2312" w:eastAsia="仿宋_GB2312" w:cs="仿宋_GB2312"/>
          <w:b/>
          <w:sz w:val="28"/>
          <w:szCs w:val="28"/>
        </w:rPr>
        <w:t>方式</w:t>
      </w:r>
      <w:r>
        <w:rPr>
          <w:rStyle w:val="29"/>
          <w:rFonts w:hint="eastAsia" w:ascii="仿宋_GB2312" w:hAnsi="仿宋_GB2312" w:eastAsia="仿宋_GB2312" w:cs="仿宋_GB2312"/>
          <w:b/>
          <w:sz w:val="28"/>
          <w:szCs w:val="28"/>
          <w:lang w:eastAsia="zh-CN"/>
        </w:rPr>
        <w:t>、</w:t>
      </w:r>
      <w:r>
        <w:rPr>
          <w:rStyle w:val="29"/>
          <w:rFonts w:hint="eastAsia" w:ascii="仿宋_GB2312" w:hAnsi="仿宋_GB2312" w:eastAsia="仿宋_GB2312" w:cs="仿宋_GB2312"/>
          <w:b/>
          <w:sz w:val="28"/>
          <w:szCs w:val="28"/>
          <w:lang w:val="en-US" w:eastAsia="zh-CN"/>
        </w:rPr>
        <w:t>开票信息</w:t>
      </w:r>
    </w:p>
    <w:p>
      <w:pPr>
        <w:pStyle w:val="31"/>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leftChars="0" w:firstLine="560" w:firstLineChars="200"/>
        <w:jc w:val="both"/>
        <w:textAlignment w:val="baseline"/>
        <w:rPr>
          <w:rStyle w:val="29"/>
          <w:rFonts w:hint="eastAsia" w:ascii="仿宋_GB2312" w:hAnsi="仿宋_GB2312" w:eastAsia="仿宋_GB2312" w:cs="仿宋_GB2312"/>
          <w:sz w:val="28"/>
          <w:szCs w:val="28"/>
        </w:rPr>
      </w:pPr>
      <w:r>
        <w:rPr>
          <w:rStyle w:val="29"/>
          <w:rFonts w:hint="eastAsia" w:ascii="仿宋_GB2312" w:hAnsi="仿宋_GB2312" w:eastAsia="仿宋_GB2312" w:cs="仿宋_GB2312"/>
          <w:sz w:val="28"/>
          <w:szCs w:val="28"/>
        </w:rPr>
        <w:t>1.</w:t>
      </w:r>
      <w:r>
        <w:rPr>
          <w:rStyle w:val="29"/>
          <w:rFonts w:hint="eastAsia" w:ascii="仿宋_GB2312" w:hAnsi="仿宋_GB2312" w:eastAsia="仿宋_GB2312" w:cs="仿宋_GB2312"/>
          <w:sz w:val="28"/>
          <w:szCs w:val="28"/>
          <w:lang w:val="en-US" w:eastAsia="zh-CN"/>
        </w:rPr>
        <w:t>本合同约定服务</w:t>
      </w:r>
      <w:r>
        <w:rPr>
          <w:rStyle w:val="29"/>
          <w:rFonts w:hint="eastAsia" w:ascii="仿宋_GB2312" w:hAnsi="仿宋_GB2312" w:eastAsia="仿宋_GB2312" w:cs="仿宋_GB2312"/>
          <w:sz w:val="28"/>
          <w:szCs w:val="28"/>
        </w:rPr>
        <w:t>费总</w:t>
      </w:r>
      <w:r>
        <w:rPr>
          <w:rStyle w:val="29"/>
          <w:rFonts w:hint="eastAsia" w:ascii="仿宋_GB2312" w:hAnsi="仿宋_GB2312" w:eastAsia="仿宋_GB2312" w:cs="仿宋_GB2312"/>
          <w:sz w:val="28"/>
          <w:szCs w:val="28"/>
          <w:lang w:val="en-US" w:eastAsia="zh-CN"/>
        </w:rPr>
        <w:t>金额</w:t>
      </w:r>
      <w:r>
        <w:rPr>
          <w:rStyle w:val="29"/>
          <w:rFonts w:hint="eastAsia" w:ascii="仿宋_GB2312" w:hAnsi="仿宋_GB2312" w:eastAsia="仿宋_GB2312" w:cs="仿宋_GB2312"/>
          <w:sz w:val="28"/>
          <w:szCs w:val="28"/>
        </w:rPr>
        <w:t>为</w:t>
      </w:r>
      <w:r>
        <w:rPr>
          <w:rStyle w:val="29"/>
          <w:rFonts w:hint="eastAsia" w:ascii="仿宋_GB2312" w:hAnsi="仿宋_GB2312" w:eastAsia="仿宋_GB2312" w:cs="仿宋_GB2312"/>
          <w:sz w:val="28"/>
          <w:szCs w:val="28"/>
          <w:u w:val="none"/>
        </w:rPr>
        <w:t>人民币</w:t>
      </w:r>
      <w:r>
        <w:rPr>
          <w:rStyle w:val="29"/>
          <w:rFonts w:hint="eastAsia" w:ascii="仿宋_GB2312" w:hAnsi="仿宋_GB2312" w:eastAsia="仿宋_GB2312" w:cs="仿宋_GB2312"/>
          <w:sz w:val="28"/>
          <w:szCs w:val="28"/>
          <w:u w:val="single"/>
          <w:lang w:val="en-US" w:eastAsia="zh-CN"/>
        </w:rPr>
        <w:t xml:space="preserve">        </w:t>
      </w:r>
      <w:r>
        <w:rPr>
          <w:rStyle w:val="29"/>
          <w:rFonts w:hint="eastAsia" w:ascii="仿宋_GB2312" w:hAnsi="仿宋_GB2312" w:eastAsia="仿宋_GB2312" w:cs="仿宋_GB2312"/>
          <w:sz w:val="28"/>
          <w:szCs w:val="28"/>
          <w:u w:val="none"/>
          <w:lang w:val="en-US" w:eastAsia="zh-CN"/>
        </w:rPr>
        <w:t>元</w:t>
      </w:r>
      <w:r>
        <w:rPr>
          <w:rStyle w:val="29"/>
          <w:rFonts w:hint="eastAsia" w:ascii="仿宋_GB2312" w:hAnsi="仿宋_GB2312" w:eastAsia="仿宋_GB2312" w:cs="仿宋_GB2312"/>
          <w:sz w:val="28"/>
          <w:szCs w:val="28"/>
          <w:u w:val="none"/>
        </w:rPr>
        <w:t>整</w:t>
      </w:r>
      <w:r>
        <w:rPr>
          <w:rStyle w:val="29"/>
          <w:rFonts w:hint="eastAsia" w:ascii="仿宋_GB2312" w:hAnsi="仿宋_GB2312" w:eastAsia="仿宋_GB2312" w:cs="仿宋_GB2312"/>
          <w:sz w:val="28"/>
          <w:szCs w:val="28"/>
          <w:u w:val="none"/>
          <w:lang w:eastAsia="zh-CN"/>
        </w:rPr>
        <w:t>（</w:t>
      </w:r>
      <w:r>
        <w:rPr>
          <w:rStyle w:val="29"/>
          <w:rFonts w:hint="eastAsia" w:ascii="仿宋_GB2312" w:hAnsi="仿宋_GB2312" w:eastAsia="仿宋_GB2312" w:cs="仿宋_GB2312"/>
          <w:sz w:val="28"/>
          <w:szCs w:val="28"/>
          <w:u w:val="none"/>
        </w:rPr>
        <w:t>¥</w:t>
      </w:r>
      <w:r>
        <w:rPr>
          <w:rStyle w:val="29"/>
          <w:rFonts w:hint="eastAsia" w:ascii="仿宋_GB2312" w:hAnsi="仿宋_GB2312" w:eastAsia="仿宋_GB2312" w:cs="仿宋_GB2312"/>
          <w:sz w:val="28"/>
          <w:szCs w:val="28"/>
          <w:u w:val="single"/>
          <w:lang w:val="en-US" w:eastAsia="zh-CN"/>
        </w:rPr>
        <w:t xml:space="preserve">       </w:t>
      </w:r>
      <w:r>
        <w:rPr>
          <w:rStyle w:val="29"/>
          <w:rFonts w:hint="eastAsia" w:ascii="仿宋_GB2312" w:hAnsi="仿宋_GB2312" w:eastAsia="仿宋_GB2312" w:cs="仿宋_GB2312"/>
          <w:sz w:val="28"/>
          <w:szCs w:val="28"/>
          <w:u w:val="none" w:color="auto"/>
          <w:lang w:eastAsia="zh-CN"/>
        </w:rPr>
        <w:t>）</w:t>
      </w:r>
      <w:r>
        <w:rPr>
          <w:rStyle w:val="29"/>
          <w:rFonts w:hint="eastAsia" w:ascii="仿宋_GB2312" w:hAnsi="仿宋_GB2312" w:eastAsia="仿宋_GB2312" w:cs="仿宋_GB2312"/>
          <w:sz w:val="28"/>
          <w:szCs w:val="28"/>
        </w:rPr>
        <w:t>，</w:t>
      </w:r>
      <w:r>
        <w:rPr>
          <w:rStyle w:val="29"/>
          <w:rFonts w:hint="eastAsia" w:ascii="仿宋_GB2312" w:hAnsi="仿宋_GB2312" w:eastAsia="仿宋_GB2312" w:cs="仿宋_GB2312"/>
          <w:sz w:val="28"/>
          <w:szCs w:val="28"/>
          <w:lang w:val="en-US" w:eastAsia="zh-CN"/>
        </w:rPr>
        <w:t>包括</w:t>
      </w:r>
      <w:r>
        <w:rPr>
          <w:rStyle w:val="29"/>
          <w:rFonts w:hint="eastAsia" w:ascii="仿宋_GB2312" w:hAnsi="仿宋_GB2312" w:eastAsia="仿宋_GB2312" w:cs="仿宋_GB2312"/>
          <w:color w:val="0000FF"/>
          <w:sz w:val="28"/>
          <w:szCs w:val="28"/>
          <w:lang w:val="en-US" w:eastAsia="zh-CN"/>
        </w:rPr>
        <w:t>备案辅导费、资料费、指导费、模拟评估费、培训费、专家费、辅助人员费、</w:t>
      </w:r>
      <w:r>
        <w:rPr>
          <w:rStyle w:val="29"/>
          <w:rFonts w:hint="eastAsia" w:ascii="仿宋_GB2312" w:hAnsi="仿宋_GB2312" w:eastAsia="仿宋_GB2312" w:cs="仿宋_GB2312"/>
          <w:sz w:val="28"/>
          <w:szCs w:val="28"/>
          <w:lang w:val="en-US" w:eastAsia="zh-CN"/>
        </w:rPr>
        <w:t>税费等</w:t>
      </w:r>
      <w:r>
        <w:rPr>
          <w:rStyle w:val="29"/>
          <w:rFonts w:hint="eastAsia" w:ascii="仿宋_GB2312" w:hAnsi="仿宋_GB2312" w:eastAsia="仿宋_GB2312" w:cs="仿宋_GB2312"/>
          <w:color w:val="0000FF"/>
          <w:sz w:val="28"/>
          <w:szCs w:val="28"/>
          <w:lang w:val="en-US" w:eastAsia="zh-CN"/>
        </w:rPr>
        <w:t>在内所有费用</w:t>
      </w:r>
      <w:r>
        <w:rPr>
          <w:rStyle w:val="29"/>
          <w:rFonts w:hint="eastAsia" w:ascii="仿宋_GB2312" w:hAnsi="仿宋_GB2312" w:eastAsia="仿宋_GB2312" w:cs="仿宋_GB2312"/>
          <w:sz w:val="28"/>
          <w:szCs w:val="28"/>
          <w:lang w:val="en-US" w:eastAsia="zh-CN"/>
        </w:rPr>
        <w:t>。</w:t>
      </w:r>
    </w:p>
    <w:p>
      <w:pPr>
        <w:pStyle w:val="31"/>
        <w:keepNext w:val="0"/>
        <w:keepLines w:val="0"/>
        <w:pageBreakBefore w:val="0"/>
        <w:widowControl w:val="0"/>
        <w:kinsoku/>
        <w:wordWrap/>
        <w:overflowPunct/>
        <w:topLinePunct w:val="0"/>
        <w:autoSpaceDE/>
        <w:autoSpaceDN/>
        <w:bidi w:val="0"/>
        <w:adjustRightInd/>
        <w:snapToGrid/>
        <w:spacing w:beforeAutospacing="0" w:line="520" w:lineRule="exact"/>
        <w:ind w:left="0" w:firstLine="560" w:firstLineChars="200"/>
        <w:jc w:val="left"/>
        <w:textAlignment w:val="baseline"/>
        <w:rPr>
          <w:rStyle w:val="29"/>
          <w:rFonts w:hint="eastAsia" w:ascii="仿宋_GB2312" w:hAnsi="仿宋_GB2312" w:eastAsia="仿宋_GB2312" w:cs="仿宋_GB2312"/>
          <w:sz w:val="28"/>
          <w:szCs w:val="28"/>
          <w:lang w:eastAsia="zh-CN"/>
        </w:rPr>
      </w:pPr>
      <w:r>
        <w:rPr>
          <w:rStyle w:val="29"/>
          <w:rFonts w:hint="eastAsia" w:ascii="仿宋_GB2312" w:hAnsi="仿宋_GB2312" w:eastAsia="仿宋_GB2312" w:cs="仿宋_GB2312"/>
          <w:sz w:val="28"/>
          <w:szCs w:val="28"/>
        </w:rPr>
        <w:t>2.支付</w:t>
      </w:r>
      <w:r>
        <w:rPr>
          <w:rStyle w:val="29"/>
          <w:rFonts w:hint="eastAsia" w:ascii="仿宋_GB2312" w:hAnsi="仿宋_GB2312" w:eastAsia="仿宋_GB2312" w:cs="仿宋_GB2312"/>
          <w:sz w:val="28"/>
          <w:szCs w:val="28"/>
          <w:lang w:val="en-US" w:eastAsia="zh-CN"/>
        </w:rPr>
        <w:t>时间</w:t>
      </w:r>
    </w:p>
    <w:p>
      <w:pPr>
        <w:pStyle w:val="31"/>
        <w:keepNext w:val="0"/>
        <w:keepLines w:val="0"/>
        <w:pageBreakBefore w:val="0"/>
        <w:widowControl w:val="0"/>
        <w:kinsoku/>
        <w:wordWrap/>
        <w:overflowPunct/>
        <w:topLinePunct w:val="0"/>
        <w:autoSpaceDE/>
        <w:autoSpaceDN/>
        <w:bidi w:val="0"/>
        <w:adjustRightInd/>
        <w:snapToGrid/>
        <w:spacing w:beforeAutospacing="0" w:line="520" w:lineRule="exact"/>
        <w:ind w:left="0" w:firstLine="560" w:firstLineChars="200"/>
        <w:jc w:val="both"/>
        <w:textAlignment w:val="baseline"/>
        <w:rPr>
          <w:rStyle w:val="29"/>
          <w:rFonts w:hint="eastAsia" w:ascii="仿宋_GB2312" w:hAnsi="仿宋_GB2312" w:eastAsia="仿宋_GB2312" w:cs="仿宋_GB2312"/>
          <w:sz w:val="28"/>
          <w:szCs w:val="28"/>
          <w:lang w:eastAsia="zh-CN"/>
        </w:rPr>
      </w:pPr>
      <w:r>
        <w:rPr>
          <w:rStyle w:val="29"/>
          <w:rFonts w:hint="eastAsia" w:ascii="仿宋_GB2312" w:hAnsi="仿宋_GB2312" w:eastAsia="仿宋_GB2312" w:cs="仿宋_GB2312"/>
          <w:sz w:val="28"/>
          <w:szCs w:val="28"/>
        </w:rPr>
        <w:t>（1）甲方</w:t>
      </w:r>
      <w:r>
        <w:rPr>
          <w:rStyle w:val="29"/>
          <w:rFonts w:hint="eastAsia" w:ascii="仿宋_GB2312" w:hAnsi="仿宋_GB2312" w:eastAsia="仿宋_GB2312" w:cs="仿宋_GB2312"/>
          <w:sz w:val="28"/>
          <w:szCs w:val="28"/>
          <w:lang w:val="en-US" w:eastAsia="zh-CN"/>
        </w:rPr>
        <w:t>在本合同签订之日起</w:t>
      </w:r>
      <w:r>
        <w:rPr>
          <w:rStyle w:val="29"/>
          <w:rFonts w:hint="eastAsia" w:ascii="仿宋_GB2312" w:hAnsi="仿宋_GB2312" w:eastAsia="仿宋_GB2312" w:cs="仿宋_GB2312"/>
          <w:sz w:val="28"/>
          <w:szCs w:val="28"/>
          <w:u w:val="single"/>
          <w:lang w:val="en-US" w:eastAsia="zh-CN"/>
        </w:rPr>
        <w:t xml:space="preserve">   </w:t>
      </w:r>
      <w:r>
        <w:rPr>
          <w:rStyle w:val="29"/>
          <w:rFonts w:hint="eastAsia" w:ascii="仿宋_GB2312" w:hAnsi="仿宋_GB2312" w:eastAsia="仿宋_GB2312" w:cs="仿宋_GB2312"/>
          <w:sz w:val="28"/>
          <w:szCs w:val="28"/>
          <w:lang w:val="en-US" w:eastAsia="zh-CN"/>
        </w:rPr>
        <w:t>日内</w:t>
      </w:r>
      <w:r>
        <w:rPr>
          <w:rStyle w:val="29"/>
          <w:rFonts w:hint="eastAsia" w:ascii="仿宋_GB2312" w:hAnsi="仿宋_GB2312" w:eastAsia="仿宋_GB2312" w:cs="仿宋_GB2312"/>
          <w:sz w:val="28"/>
          <w:szCs w:val="28"/>
        </w:rPr>
        <w:t>向乙方支付</w:t>
      </w:r>
      <w:r>
        <w:rPr>
          <w:rStyle w:val="29"/>
          <w:rFonts w:hint="eastAsia" w:ascii="仿宋_GB2312" w:hAnsi="仿宋_GB2312" w:eastAsia="仿宋_GB2312" w:cs="仿宋_GB2312"/>
          <w:sz w:val="28"/>
          <w:szCs w:val="28"/>
          <w:lang w:val="en-US" w:eastAsia="zh-CN"/>
        </w:rPr>
        <w:t>服务费总金额</w:t>
      </w:r>
      <w:r>
        <w:rPr>
          <w:rStyle w:val="29"/>
          <w:rFonts w:hint="eastAsia" w:ascii="仿宋_GB2312" w:hAnsi="仿宋_GB2312" w:eastAsia="仿宋_GB2312" w:cs="仿宋_GB2312"/>
          <w:sz w:val="28"/>
          <w:szCs w:val="28"/>
        </w:rPr>
        <w:t>的</w:t>
      </w:r>
      <w:r>
        <w:rPr>
          <w:rStyle w:val="29"/>
          <w:rFonts w:hint="eastAsia" w:ascii="仿宋_GB2312" w:hAnsi="仿宋_GB2312" w:eastAsia="仿宋_GB2312" w:cs="仿宋_GB2312"/>
          <w:sz w:val="28"/>
          <w:szCs w:val="28"/>
          <w:lang w:val="en-US" w:eastAsia="zh-CN"/>
        </w:rPr>
        <w:t>40</w:t>
      </w:r>
      <w:r>
        <w:rPr>
          <w:rStyle w:val="29"/>
          <w:rFonts w:hint="eastAsia" w:ascii="仿宋_GB2312" w:hAnsi="仿宋_GB2312" w:eastAsia="仿宋_GB2312" w:cs="仿宋_GB2312"/>
          <w:sz w:val="28"/>
          <w:szCs w:val="28"/>
        </w:rPr>
        <w:t>%，即</w:t>
      </w:r>
      <w:r>
        <w:rPr>
          <w:rStyle w:val="29"/>
          <w:rFonts w:hint="eastAsia" w:ascii="仿宋_GB2312" w:hAnsi="仿宋_GB2312" w:eastAsia="仿宋_GB2312" w:cs="仿宋_GB2312"/>
          <w:sz w:val="28"/>
          <w:szCs w:val="28"/>
          <w:u w:val="single"/>
          <w:lang w:val="en-US" w:eastAsia="zh-CN"/>
        </w:rPr>
        <w:t xml:space="preserve">      </w:t>
      </w:r>
      <w:r>
        <w:rPr>
          <w:rStyle w:val="29"/>
          <w:rFonts w:hint="eastAsia" w:ascii="仿宋_GB2312" w:hAnsi="仿宋_GB2312" w:eastAsia="仿宋_GB2312" w:cs="仿宋_GB2312"/>
          <w:sz w:val="28"/>
          <w:szCs w:val="28"/>
          <w:lang w:val="en-US" w:eastAsia="zh-CN"/>
        </w:rPr>
        <w:t>元整（</w:t>
      </w:r>
      <w:r>
        <w:rPr>
          <w:rStyle w:val="29"/>
          <w:rFonts w:hint="eastAsia" w:ascii="仿宋_GB2312" w:hAnsi="仿宋_GB2312" w:eastAsia="仿宋_GB2312" w:cs="仿宋_GB2312"/>
          <w:sz w:val="28"/>
          <w:szCs w:val="28"/>
          <w:u w:val="none"/>
        </w:rPr>
        <w:t>¥</w:t>
      </w:r>
      <w:r>
        <w:rPr>
          <w:rStyle w:val="29"/>
          <w:rFonts w:hint="eastAsia" w:ascii="仿宋_GB2312" w:hAnsi="仿宋_GB2312" w:eastAsia="仿宋_GB2312" w:cs="仿宋_GB2312"/>
          <w:sz w:val="28"/>
          <w:szCs w:val="28"/>
          <w:u w:val="single"/>
          <w:lang w:val="en-US" w:eastAsia="zh-CN"/>
        </w:rPr>
        <w:t xml:space="preserve">       </w:t>
      </w:r>
      <w:r>
        <w:rPr>
          <w:rStyle w:val="29"/>
          <w:rFonts w:hint="eastAsia" w:ascii="仿宋_GB2312" w:hAnsi="仿宋_GB2312" w:eastAsia="仿宋_GB2312" w:cs="仿宋_GB2312"/>
          <w:sz w:val="28"/>
          <w:szCs w:val="28"/>
          <w:u w:val="none"/>
          <w:lang w:val="en-US" w:eastAsia="zh-CN"/>
        </w:rPr>
        <w:t>）</w:t>
      </w:r>
      <w:r>
        <w:rPr>
          <w:rStyle w:val="29"/>
          <w:rFonts w:hint="eastAsia" w:ascii="仿宋_GB2312" w:hAnsi="仿宋_GB2312" w:eastAsia="仿宋_GB2312" w:cs="仿宋_GB2312"/>
          <w:sz w:val="28"/>
          <w:szCs w:val="28"/>
          <w:lang w:eastAsia="zh-CN"/>
        </w:rPr>
        <w:t>；</w:t>
      </w:r>
    </w:p>
    <w:p>
      <w:pPr>
        <w:pStyle w:val="31"/>
        <w:keepNext w:val="0"/>
        <w:keepLines w:val="0"/>
        <w:pageBreakBefore w:val="0"/>
        <w:widowControl w:val="0"/>
        <w:kinsoku/>
        <w:wordWrap/>
        <w:overflowPunct/>
        <w:topLinePunct w:val="0"/>
        <w:autoSpaceDE/>
        <w:autoSpaceDN/>
        <w:bidi w:val="0"/>
        <w:adjustRightInd/>
        <w:snapToGrid/>
        <w:spacing w:beforeAutospacing="0" w:line="520" w:lineRule="exact"/>
        <w:ind w:left="0" w:firstLine="560" w:firstLineChars="200"/>
        <w:jc w:val="both"/>
        <w:textAlignment w:val="baseline"/>
        <w:rPr>
          <w:rStyle w:val="29"/>
          <w:rFonts w:hint="eastAsia" w:ascii="仿宋_GB2312" w:hAnsi="仿宋_GB2312" w:eastAsia="仿宋_GB2312" w:cs="仿宋_GB2312"/>
          <w:sz w:val="28"/>
          <w:szCs w:val="28"/>
        </w:rPr>
      </w:pPr>
      <w:r>
        <w:rPr>
          <w:rStyle w:val="29"/>
          <w:rFonts w:hint="eastAsia" w:ascii="仿宋_GB2312" w:hAnsi="仿宋_GB2312" w:eastAsia="仿宋_GB2312" w:cs="仿宋_GB2312"/>
          <w:sz w:val="28"/>
          <w:szCs w:val="28"/>
        </w:rPr>
        <w:t>（2）甲方</w:t>
      </w:r>
      <w:r>
        <w:rPr>
          <w:rStyle w:val="29"/>
          <w:rFonts w:hint="eastAsia" w:ascii="仿宋_GB2312" w:hAnsi="仿宋_GB2312" w:eastAsia="仿宋_GB2312" w:cs="仿宋_GB2312"/>
          <w:sz w:val="28"/>
          <w:szCs w:val="28"/>
          <w:lang w:val="en-US" w:eastAsia="zh-CN"/>
        </w:rPr>
        <w:t>在乙方完成本合同约定专项服务并</w:t>
      </w:r>
      <w:r>
        <w:rPr>
          <w:rStyle w:val="29"/>
          <w:rFonts w:hint="eastAsia" w:ascii="仿宋_GB2312" w:hAnsi="仿宋_GB2312" w:eastAsia="仿宋_GB2312" w:cs="仿宋_GB2312"/>
          <w:sz w:val="28"/>
          <w:szCs w:val="28"/>
        </w:rPr>
        <w:t>通过国家药品监督管理局I期临床研究中心备案后</w:t>
      </w:r>
      <w:r>
        <w:rPr>
          <w:rStyle w:val="29"/>
          <w:rFonts w:hint="eastAsia" w:ascii="仿宋_GB2312" w:hAnsi="仿宋_GB2312" w:eastAsia="仿宋_GB2312" w:cs="仿宋_GB2312"/>
          <w:sz w:val="28"/>
          <w:szCs w:val="28"/>
          <w:u w:val="single"/>
          <w:lang w:val="en-US" w:eastAsia="zh-CN"/>
        </w:rPr>
        <w:t xml:space="preserve">   </w:t>
      </w:r>
      <w:r>
        <w:rPr>
          <w:rStyle w:val="29"/>
          <w:rFonts w:hint="eastAsia" w:ascii="仿宋_GB2312" w:hAnsi="仿宋_GB2312" w:eastAsia="仿宋_GB2312" w:cs="仿宋_GB2312"/>
          <w:sz w:val="28"/>
          <w:szCs w:val="28"/>
          <w:lang w:val="en-US" w:eastAsia="zh-CN"/>
        </w:rPr>
        <w:t>日</w:t>
      </w:r>
      <w:r>
        <w:rPr>
          <w:rStyle w:val="29"/>
          <w:rFonts w:hint="eastAsia" w:ascii="仿宋_GB2312" w:hAnsi="仿宋_GB2312" w:eastAsia="仿宋_GB2312" w:cs="仿宋_GB2312"/>
          <w:sz w:val="28"/>
          <w:szCs w:val="28"/>
        </w:rPr>
        <w:t>，向乙方支付总费用的</w:t>
      </w:r>
      <w:r>
        <w:rPr>
          <w:rStyle w:val="29"/>
          <w:rFonts w:hint="eastAsia" w:ascii="仿宋_GB2312" w:hAnsi="仿宋_GB2312" w:eastAsia="仿宋_GB2312" w:cs="仿宋_GB2312"/>
          <w:sz w:val="28"/>
          <w:szCs w:val="28"/>
          <w:lang w:val="en-US" w:eastAsia="zh-CN"/>
        </w:rPr>
        <w:t>60</w:t>
      </w:r>
      <w:r>
        <w:rPr>
          <w:rStyle w:val="29"/>
          <w:rFonts w:hint="eastAsia" w:ascii="仿宋_GB2312" w:hAnsi="仿宋_GB2312" w:eastAsia="仿宋_GB2312" w:cs="仿宋_GB2312"/>
          <w:sz w:val="28"/>
          <w:szCs w:val="28"/>
        </w:rPr>
        <w:t>%，</w:t>
      </w:r>
      <w:r>
        <w:rPr>
          <w:rStyle w:val="29"/>
          <w:rFonts w:hint="eastAsia" w:ascii="仿宋_GB2312" w:hAnsi="仿宋_GB2312" w:eastAsia="仿宋_GB2312" w:cs="仿宋_GB2312"/>
          <w:sz w:val="28"/>
          <w:szCs w:val="28"/>
          <w:lang w:eastAsia="zh-CN"/>
        </w:rPr>
        <w:t>即</w:t>
      </w:r>
      <w:r>
        <w:rPr>
          <w:rStyle w:val="29"/>
          <w:rFonts w:hint="eastAsia" w:ascii="仿宋_GB2312" w:hAnsi="仿宋_GB2312" w:eastAsia="仿宋_GB2312" w:cs="仿宋_GB2312"/>
          <w:sz w:val="28"/>
          <w:szCs w:val="28"/>
          <w:u w:val="single"/>
          <w:lang w:val="en-US" w:eastAsia="zh-CN"/>
        </w:rPr>
        <w:t xml:space="preserve">       </w:t>
      </w:r>
      <w:r>
        <w:rPr>
          <w:rStyle w:val="29"/>
          <w:rFonts w:hint="eastAsia" w:ascii="仿宋_GB2312" w:hAnsi="仿宋_GB2312" w:eastAsia="仿宋_GB2312" w:cs="仿宋_GB2312"/>
          <w:sz w:val="28"/>
          <w:szCs w:val="28"/>
          <w:u w:val="none"/>
          <w:lang w:val="en-US" w:eastAsia="zh-CN"/>
        </w:rPr>
        <w:t>元整</w:t>
      </w:r>
      <w:r>
        <w:rPr>
          <w:rStyle w:val="29"/>
          <w:rFonts w:hint="eastAsia" w:ascii="仿宋_GB2312" w:hAnsi="仿宋_GB2312" w:eastAsia="仿宋_GB2312" w:cs="仿宋_GB2312"/>
          <w:sz w:val="28"/>
          <w:szCs w:val="28"/>
          <w:lang w:val="en-US" w:eastAsia="zh-CN"/>
        </w:rPr>
        <w:t>（</w:t>
      </w:r>
      <w:r>
        <w:rPr>
          <w:rStyle w:val="29"/>
          <w:rFonts w:hint="eastAsia" w:ascii="仿宋_GB2312" w:hAnsi="仿宋_GB2312" w:eastAsia="仿宋_GB2312" w:cs="仿宋_GB2312"/>
          <w:sz w:val="28"/>
          <w:szCs w:val="28"/>
          <w:u w:val="none"/>
        </w:rPr>
        <w:t>¥</w:t>
      </w:r>
      <w:r>
        <w:rPr>
          <w:rStyle w:val="29"/>
          <w:rFonts w:hint="eastAsia" w:ascii="仿宋_GB2312" w:hAnsi="仿宋_GB2312" w:eastAsia="仿宋_GB2312" w:cs="仿宋_GB2312"/>
          <w:sz w:val="28"/>
          <w:szCs w:val="28"/>
          <w:u w:val="single"/>
          <w:lang w:val="en-US" w:eastAsia="zh-CN"/>
        </w:rPr>
        <w:t xml:space="preserve">       </w:t>
      </w:r>
      <w:r>
        <w:rPr>
          <w:rStyle w:val="29"/>
          <w:rFonts w:hint="eastAsia" w:ascii="仿宋_GB2312" w:hAnsi="仿宋_GB2312" w:eastAsia="仿宋_GB2312" w:cs="仿宋_GB2312"/>
          <w:sz w:val="28"/>
          <w:szCs w:val="28"/>
          <w:u w:val="none"/>
          <w:lang w:val="en-US" w:eastAsia="zh-CN"/>
        </w:rPr>
        <w:t>）</w:t>
      </w:r>
      <w:r>
        <w:rPr>
          <w:rStyle w:val="29"/>
          <w:rFonts w:hint="eastAsia" w:ascii="仿宋_GB2312" w:hAnsi="仿宋_GB2312" w:eastAsia="仿宋_GB2312" w:cs="仿宋_GB2312"/>
          <w:sz w:val="28"/>
          <w:szCs w:val="28"/>
        </w:rPr>
        <w:t>。</w:t>
      </w:r>
    </w:p>
    <w:p>
      <w:pPr>
        <w:pStyle w:val="32"/>
        <w:keepNext w:val="0"/>
        <w:keepLines w:val="0"/>
        <w:pageBreakBefore w:val="0"/>
        <w:widowControl w:val="0"/>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eastAsia" w:ascii="仿宋_GB2312" w:hAnsi="仿宋_GB2312" w:eastAsia="仿宋_GB2312" w:cs="仿宋_GB2312"/>
          <w:sz w:val="28"/>
          <w:szCs w:val="28"/>
          <w:lang w:val="en-US" w:eastAsia="zh-CN"/>
        </w:rPr>
      </w:pPr>
      <w:r>
        <w:rPr>
          <w:rStyle w:val="29"/>
          <w:rFonts w:hint="eastAsia" w:ascii="仿宋_GB2312" w:hAnsi="仿宋_GB2312" w:eastAsia="仿宋_GB2312" w:cs="仿宋_GB2312"/>
          <w:sz w:val="28"/>
          <w:szCs w:val="28"/>
        </w:rPr>
        <w:t>3.</w:t>
      </w:r>
      <w:r>
        <w:rPr>
          <w:rStyle w:val="29"/>
          <w:rFonts w:hint="eastAsia" w:ascii="仿宋_GB2312" w:hAnsi="仿宋_GB2312" w:eastAsia="仿宋_GB2312" w:cs="仿宋_GB2312"/>
          <w:sz w:val="28"/>
          <w:szCs w:val="28"/>
          <w:lang w:val="en-US" w:eastAsia="zh-CN"/>
        </w:rPr>
        <w:t>支付方式</w:t>
      </w:r>
    </w:p>
    <w:p>
      <w:pPr>
        <w:pStyle w:val="32"/>
        <w:keepNext w:val="0"/>
        <w:keepLines w:val="0"/>
        <w:pageBreakBefore w:val="0"/>
        <w:widowControl w:val="0"/>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eastAsia" w:ascii="仿宋_GB2312" w:hAnsi="仿宋_GB2312" w:eastAsia="仿宋_GB2312" w:cs="仿宋_GB2312"/>
          <w:sz w:val="28"/>
          <w:szCs w:val="28"/>
          <w:lang w:val="en-US" w:eastAsia="zh-CN"/>
        </w:rPr>
      </w:pPr>
      <w:r>
        <w:rPr>
          <w:rStyle w:val="29"/>
          <w:rFonts w:hint="eastAsia" w:ascii="仿宋_GB2312" w:hAnsi="仿宋_GB2312" w:eastAsia="仿宋_GB2312" w:cs="仿宋_GB2312"/>
          <w:sz w:val="28"/>
          <w:szCs w:val="28"/>
          <w:lang w:val="en-US" w:eastAsia="zh-CN"/>
        </w:rPr>
        <w:t>甲方通过银行转账向乙方支付服务费。乙方指定收款银行账户</w:t>
      </w:r>
      <w:r>
        <w:rPr>
          <w:rStyle w:val="29"/>
          <w:rFonts w:hint="eastAsia" w:ascii="仿宋_GB2312" w:hAnsi="仿宋_GB2312" w:eastAsia="仿宋_GB2312" w:cs="仿宋_GB2312"/>
          <w:sz w:val="28"/>
          <w:szCs w:val="28"/>
        </w:rPr>
        <w:t>开户名称：</w:t>
      </w:r>
      <w:r>
        <w:rPr>
          <w:rStyle w:val="29"/>
          <w:rFonts w:hint="eastAsia" w:ascii="仿宋_GB2312" w:hAnsi="仿宋_GB2312" w:eastAsia="仿宋_GB2312" w:cs="仿宋_GB2312"/>
          <w:sz w:val="28"/>
          <w:szCs w:val="28"/>
          <w:u w:val="single"/>
          <w:lang w:val="en-US" w:eastAsia="zh-CN"/>
        </w:rPr>
        <w:t xml:space="preserve">                </w:t>
      </w:r>
      <w:r>
        <w:rPr>
          <w:rStyle w:val="29"/>
          <w:rFonts w:hint="eastAsia" w:ascii="仿宋_GB2312" w:hAnsi="仿宋_GB2312" w:eastAsia="仿宋_GB2312" w:cs="仿宋_GB2312"/>
          <w:sz w:val="28"/>
          <w:szCs w:val="28"/>
          <w:lang w:val="en-US" w:eastAsia="zh-CN"/>
        </w:rPr>
        <w:t>，</w:t>
      </w:r>
      <w:r>
        <w:rPr>
          <w:rStyle w:val="29"/>
          <w:rFonts w:hint="eastAsia" w:ascii="仿宋_GB2312" w:hAnsi="仿宋_GB2312" w:eastAsia="仿宋_GB2312" w:cs="仿宋_GB2312"/>
          <w:sz w:val="28"/>
          <w:szCs w:val="28"/>
        </w:rPr>
        <w:t>开户行：</w:t>
      </w:r>
      <w:r>
        <w:rPr>
          <w:rStyle w:val="29"/>
          <w:rFonts w:hint="eastAsia" w:ascii="仿宋_GB2312" w:hAnsi="仿宋_GB2312" w:eastAsia="仿宋_GB2312" w:cs="仿宋_GB2312"/>
          <w:sz w:val="28"/>
          <w:szCs w:val="28"/>
          <w:u w:val="single"/>
          <w:lang w:val="en-US" w:eastAsia="zh-CN"/>
        </w:rPr>
        <w:t xml:space="preserve">                </w:t>
      </w:r>
      <w:r>
        <w:rPr>
          <w:rStyle w:val="29"/>
          <w:rFonts w:hint="eastAsia" w:ascii="仿宋_GB2312" w:hAnsi="仿宋_GB2312" w:eastAsia="仿宋_GB2312" w:cs="仿宋_GB2312"/>
          <w:sz w:val="28"/>
          <w:szCs w:val="28"/>
        </w:rPr>
        <w:t>账号：</w:t>
      </w:r>
      <w:r>
        <w:rPr>
          <w:rStyle w:val="29"/>
          <w:rFonts w:hint="eastAsia" w:ascii="仿宋_GB2312" w:hAnsi="仿宋_GB2312" w:eastAsia="仿宋_GB2312" w:cs="仿宋_GB2312"/>
          <w:sz w:val="28"/>
          <w:szCs w:val="28"/>
          <w:u w:val="single"/>
          <w:lang w:val="en-US" w:eastAsia="zh-CN"/>
        </w:rPr>
        <w:t xml:space="preserve">                </w:t>
      </w:r>
      <w:r>
        <w:rPr>
          <w:rStyle w:val="29"/>
          <w:rFonts w:hint="eastAsia" w:ascii="仿宋_GB2312" w:hAnsi="仿宋_GB2312" w:eastAsia="仿宋_GB2312" w:cs="仿宋_GB2312"/>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eastAsia" w:ascii="仿宋_GB2312" w:hAnsi="仿宋_GB2312" w:eastAsia="仿宋_GB2312" w:cs="仿宋_GB2312"/>
          <w:sz w:val="28"/>
          <w:szCs w:val="28"/>
          <w:lang w:val="en-US" w:eastAsia="zh-CN"/>
        </w:rPr>
      </w:pPr>
      <w:r>
        <w:rPr>
          <w:rStyle w:val="29"/>
          <w:rFonts w:hint="eastAsia" w:ascii="仿宋_GB2312" w:hAnsi="仿宋_GB2312" w:eastAsia="仿宋_GB2312" w:cs="仿宋_GB2312"/>
          <w:sz w:val="28"/>
          <w:szCs w:val="28"/>
          <w:lang w:val="en-US" w:eastAsia="zh-CN"/>
        </w:rPr>
        <w:t>4.乙方应在甲方每次付款前，向甲方提供以自己名义开具的与付款金额等额的增值税普通发票。如乙方未提供发票，甲方有权顺延付款期限，</w:t>
      </w:r>
      <w:r>
        <w:rPr>
          <w:rStyle w:val="29"/>
          <w:rFonts w:hint="eastAsia" w:ascii="仿宋_GB2312" w:hAnsi="仿宋_GB2312" w:eastAsia="仿宋_GB2312" w:cs="仿宋_GB2312"/>
          <w:color w:val="0000FF"/>
          <w:sz w:val="28"/>
          <w:szCs w:val="28"/>
          <w:lang w:val="en-US" w:eastAsia="zh-CN"/>
        </w:rPr>
        <w:t>由此产生的责任均由乙方自行承担</w:t>
      </w:r>
      <w:r>
        <w:rPr>
          <w:rStyle w:val="29"/>
          <w:rFonts w:hint="eastAsia" w:ascii="仿宋_GB2312" w:hAnsi="仿宋_GB2312" w:eastAsia="仿宋_GB2312" w:cs="仿宋_GB2312"/>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eastAsia" w:ascii="仿宋_GB2312" w:hAnsi="仿宋_GB2312" w:eastAsia="仿宋_GB2312" w:cs="仿宋_GB2312"/>
          <w:sz w:val="28"/>
          <w:szCs w:val="28"/>
          <w:lang w:val="en-US" w:eastAsia="zh-CN"/>
        </w:rPr>
      </w:pPr>
      <w:r>
        <w:rPr>
          <w:rStyle w:val="29"/>
          <w:rFonts w:hint="eastAsia" w:ascii="仿宋_GB2312" w:hAnsi="仿宋_GB2312" w:eastAsia="仿宋_GB2312" w:cs="仿宋_GB2312"/>
          <w:sz w:val="28"/>
          <w:szCs w:val="28"/>
          <w:lang w:val="en-US" w:eastAsia="zh-CN"/>
        </w:rPr>
        <w:t>5.</w:t>
      </w:r>
      <w:r>
        <w:rPr>
          <w:rStyle w:val="29"/>
          <w:rFonts w:hint="eastAsia" w:ascii="仿宋_GB2312" w:hAnsi="仿宋_GB2312" w:eastAsia="仿宋_GB2312" w:cs="仿宋_GB2312"/>
          <w:sz w:val="28"/>
          <w:szCs w:val="28"/>
        </w:rPr>
        <w:t>甲方</w:t>
      </w:r>
      <w:r>
        <w:rPr>
          <w:rStyle w:val="29"/>
          <w:rFonts w:hint="eastAsia" w:ascii="仿宋_GB2312" w:hAnsi="仿宋_GB2312" w:eastAsia="仿宋_GB2312" w:cs="仿宋_GB2312"/>
          <w:sz w:val="28"/>
          <w:szCs w:val="28"/>
          <w:lang w:val="en-US" w:eastAsia="zh-CN"/>
        </w:rPr>
        <w:t>开票信息：</w:t>
      </w:r>
    </w:p>
    <w:p>
      <w:pPr>
        <w:keepNext w:val="0"/>
        <w:keepLines w:val="0"/>
        <w:pageBreakBefore w:val="0"/>
        <w:widowControl w:val="0"/>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eastAsia" w:ascii="仿宋_GB2312" w:hAnsi="仿宋_GB2312" w:eastAsia="仿宋_GB2312" w:cs="仿宋_GB2312"/>
          <w:sz w:val="28"/>
          <w:szCs w:val="28"/>
          <w:lang w:val="en-US" w:eastAsia="zh-CN"/>
        </w:rPr>
      </w:pPr>
      <w:r>
        <w:rPr>
          <w:rStyle w:val="29"/>
          <w:rFonts w:hint="eastAsia" w:ascii="仿宋_GB2312" w:hAnsi="仿宋_GB2312" w:eastAsia="仿宋_GB2312" w:cs="仿宋_GB2312"/>
          <w:sz w:val="28"/>
          <w:szCs w:val="28"/>
        </w:rPr>
        <w:t>名称</w:t>
      </w:r>
      <w:r>
        <w:rPr>
          <w:rStyle w:val="29"/>
          <w:rFonts w:hint="eastAsia" w:ascii="仿宋_GB2312" w:hAnsi="仿宋_GB2312" w:eastAsia="仿宋_GB2312" w:cs="仿宋_GB2312"/>
          <w:sz w:val="28"/>
          <w:szCs w:val="28"/>
          <w:lang w:eastAsia="zh-CN"/>
        </w:rPr>
        <w:t>：</w:t>
      </w:r>
      <w:r>
        <w:rPr>
          <w:rStyle w:val="29"/>
          <w:rFonts w:hint="eastAsia" w:ascii="仿宋_GB2312" w:hAnsi="仿宋_GB2312" w:eastAsia="仿宋_GB2312" w:cs="仿宋_GB2312"/>
          <w:sz w:val="28"/>
          <w:szCs w:val="28"/>
          <w:lang w:val="en-US" w:eastAsia="zh-CN"/>
        </w:rPr>
        <w:t>娄底市中心医院</w:t>
      </w:r>
    </w:p>
    <w:p>
      <w:pPr>
        <w:pStyle w:val="31"/>
        <w:keepNext w:val="0"/>
        <w:keepLines w:val="0"/>
        <w:pageBreakBefore w:val="0"/>
        <w:widowControl w:val="0"/>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eastAsia" w:ascii="仿宋_GB2312" w:hAnsi="仿宋_GB2312" w:eastAsia="仿宋_GB2312" w:cs="仿宋_GB2312"/>
          <w:sz w:val="28"/>
          <w:szCs w:val="28"/>
          <w:u w:val="single"/>
        </w:rPr>
      </w:pPr>
      <w:r>
        <w:rPr>
          <w:rStyle w:val="29"/>
          <w:rFonts w:hint="eastAsia" w:ascii="仿宋_GB2312" w:hAnsi="仿宋_GB2312" w:eastAsia="仿宋_GB2312" w:cs="仿宋_GB2312"/>
          <w:sz w:val="28"/>
          <w:szCs w:val="28"/>
        </w:rPr>
        <w:t>纳税人识别号：</w:t>
      </w:r>
      <w:r>
        <w:rPr>
          <w:rStyle w:val="29"/>
          <w:rFonts w:hint="eastAsia" w:ascii="仿宋_GB2312" w:hAnsi="仿宋_GB2312" w:eastAsia="仿宋_GB2312" w:cs="仿宋_GB2312"/>
          <w:sz w:val="28"/>
          <w:szCs w:val="28"/>
          <w:u w:val="none" w:color="auto"/>
        </w:rPr>
        <w:t>1243 1300447162073W</w:t>
      </w:r>
      <w:r>
        <w:rPr>
          <w:rStyle w:val="29"/>
          <w:rFonts w:hint="eastAsia" w:ascii="仿宋_GB2312" w:hAnsi="仿宋_GB2312" w:eastAsia="仿宋_GB2312" w:cs="仿宋_GB2312"/>
          <w:sz w:val="28"/>
          <w:szCs w:val="28"/>
          <w:u w:val="single" w:color="000000"/>
        </w:rPr>
        <w:t xml:space="preserve">      </w:t>
      </w:r>
    </w:p>
    <w:p>
      <w:pPr>
        <w:pStyle w:val="31"/>
        <w:keepNext w:val="0"/>
        <w:keepLines w:val="0"/>
        <w:pageBreakBefore w:val="0"/>
        <w:widowControl w:val="0"/>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eastAsia" w:ascii="仿宋_GB2312" w:hAnsi="仿宋_GB2312" w:eastAsia="仿宋_GB2312" w:cs="仿宋_GB2312"/>
          <w:sz w:val="28"/>
          <w:szCs w:val="28"/>
          <w:u w:val="single"/>
        </w:rPr>
      </w:pPr>
      <w:r>
        <w:rPr>
          <w:rStyle w:val="29"/>
          <w:rFonts w:hint="eastAsia" w:ascii="仿宋_GB2312" w:hAnsi="仿宋_GB2312" w:eastAsia="仿宋_GB2312" w:cs="仿宋_GB2312"/>
          <w:sz w:val="28"/>
          <w:szCs w:val="28"/>
        </w:rPr>
        <w:t>地  址：</w:t>
      </w:r>
      <w:r>
        <w:rPr>
          <w:rStyle w:val="29"/>
          <w:rFonts w:hint="eastAsia" w:ascii="仿宋_GB2312" w:hAnsi="仿宋_GB2312" w:eastAsia="仿宋_GB2312" w:cs="仿宋_GB2312"/>
          <w:sz w:val="28"/>
          <w:szCs w:val="28"/>
          <w:u w:val="none" w:color="auto"/>
          <w:lang w:val="en-US" w:eastAsia="zh-CN"/>
        </w:rPr>
        <w:t>娄底市娄星区长青中街51号娄底市中心医院</w:t>
      </w:r>
      <w:r>
        <w:rPr>
          <w:rStyle w:val="29"/>
          <w:rFonts w:hint="eastAsia" w:ascii="仿宋_GB2312" w:hAnsi="仿宋_GB2312" w:eastAsia="仿宋_GB2312" w:cs="仿宋_GB2312"/>
          <w:sz w:val="28"/>
          <w:szCs w:val="28"/>
          <w:u w:val="single" w:color="000000"/>
        </w:rPr>
        <w:t xml:space="preserve">           </w:t>
      </w:r>
    </w:p>
    <w:p>
      <w:pPr>
        <w:pStyle w:val="31"/>
        <w:keepNext w:val="0"/>
        <w:keepLines w:val="0"/>
        <w:pageBreakBefore w:val="0"/>
        <w:widowControl w:val="0"/>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eastAsia" w:ascii="仿宋_GB2312" w:hAnsi="仿宋_GB2312" w:eastAsia="仿宋_GB2312" w:cs="仿宋_GB2312"/>
          <w:sz w:val="28"/>
          <w:szCs w:val="28"/>
          <w:u w:val="single"/>
        </w:rPr>
      </w:pPr>
      <w:r>
        <w:rPr>
          <w:rStyle w:val="29"/>
          <w:rFonts w:hint="eastAsia" w:ascii="仿宋_GB2312" w:hAnsi="仿宋_GB2312" w:eastAsia="仿宋_GB2312" w:cs="仿宋_GB2312"/>
          <w:sz w:val="28"/>
          <w:szCs w:val="28"/>
        </w:rPr>
        <w:t>电  话：</w:t>
      </w:r>
      <w:r>
        <w:rPr>
          <w:rStyle w:val="29"/>
          <w:rFonts w:hint="eastAsia" w:ascii="仿宋_GB2312" w:hAnsi="仿宋_GB2312" w:eastAsia="仿宋_GB2312" w:cs="仿宋_GB2312"/>
          <w:sz w:val="28"/>
          <w:szCs w:val="28"/>
          <w:lang w:val="en-US" w:eastAsia="zh-CN"/>
        </w:rPr>
        <w:t xml:space="preserve"> 0738-8527882</w:t>
      </w:r>
      <w:r>
        <w:rPr>
          <w:rStyle w:val="29"/>
          <w:rFonts w:hint="eastAsia" w:ascii="仿宋_GB2312" w:hAnsi="仿宋_GB2312" w:eastAsia="仿宋_GB2312" w:cs="仿宋_GB2312"/>
          <w:sz w:val="28"/>
          <w:szCs w:val="28"/>
          <w:u w:val="single" w:color="000000"/>
        </w:rPr>
        <w:t xml:space="preserve">                         </w:t>
      </w:r>
    </w:p>
    <w:p>
      <w:pPr>
        <w:pStyle w:val="32"/>
        <w:keepNext w:val="0"/>
        <w:keepLines w:val="0"/>
        <w:pageBreakBefore w:val="0"/>
        <w:widowControl w:val="0"/>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eastAsia" w:ascii="仿宋_GB2312" w:hAnsi="仿宋_GB2312" w:eastAsia="仿宋_GB2312" w:cs="仿宋_GB2312"/>
          <w:sz w:val="28"/>
          <w:szCs w:val="28"/>
          <w:u w:val="single"/>
        </w:rPr>
      </w:pPr>
      <w:r>
        <w:rPr>
          <w:rStyle w:val="29"/>
          <w:rFonts w:hint="eastAsia" w:ascii="仿宋_GB2312" w:hAnsi="仿宋_GB2312" w:eastAsia="仿宋_GB2312" w:cs="仿宋_GB2312"/>
          <w:sz w:val="28"/>
          <w:szCs w:val="28"/>
        </w:rPr>
        <w:t>账  号：</w:t>
      </w:r>
      <w:r>
        <w:rPr>
          <w:rStyle w:val="29"/>
          <w:rFonts w:hint="eastAsia" w:ascii="仿宋_GB2312" w:hAnsi="仿宋_GB2312" w:eastAsia="仿宋_GB2312" w:cs="仿宋_GB2312"/>
          <w:sz w:val="28"/>
          <w:szCs w:val="28"/>
          <w:lang w:val="en-US" w:eastAsia="zh-CN"/>
        </w:rPr>
        <w:t xml:space="preserve"> 60545735 6219</w:t>
      </w:r>
      <w:r>
        <w:rPr>
          <w:rStyle w:val="29"/>
          <w:rFonts w:hint="eastAsia" w:ascii="仿宋_GB2312" w:hAnsi="仿宋_GB2312" w:eastAsia="仿宋_GB2312" w:cs="仿宋_GB2312"/>
          <w:sz w:val="28"/>
          <w:szCs w:val="28"/>
          <w:u w:val="single" w:color="111F2C"/>
        </w:rPr>
        <w:t xml:space="preserve">    </w:t>
      </w:r>
      <w:r>
        <w:rPr>
          <w:rStyle w:val="29"/>
          <w:rFonts w:hint="eastAsia" w:ascii="仿宋_GB2312" w:hAnsi="仿宋_GB2312" w:eastAsia="仿宋_GB2312" w:cs="仿宋_GB2312"/>
          <w:sz w:val="28"/>
          <w:szCs w:val="28"/>
          <w:u w:val="single" w:color="000000"/>
        </w:rPr>
        <w:t xml:space="preserve">        </w:t>
      </w:r>
    </w:p>
    <w:p>
      <w:pPr>
        <w:pStyle w:val="32"/>
        <w:keepNext w:val="0"/>
        <w:keepLines w:val="0"/>
        <w:pageBreakBefore w:val="0"/>
        <w:widowControl w:val="0"/>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eastAsia" w:ascii="仿宋_GB2312" w:hAnsi="仿宋_GB2312" w:eastAsia="仿宋_GB2312" w:cs="仿宋_GB2312"/>
          <w:sz w:val="28"/>
          <w:szCs w:val="28"/>
          <w:u w:val="single" w:color="000000"/>
        </w:rPr>
      </w:pPr>
      <w:r>
        <w:rPr>
          <w:rStyle w:val="29"/>
          <w:rFonts w:hint="eastAsia" w:ascii="仿宋_GB2312" w:hAnsi="仿宋_GB2312" w:eastAsia="仿宋_GB2312" w:cs="仿宋_GB2312"/>
          <w:sz w:val="28"/>
          <w:szCs w:val="28"/>
        </w:rPr>
        <w:t>开户行：中国银行娄底市星园支行</w:t>
      </w:r>
      <w:r>
        <w:rPr>
          <w:rStyle w:val="29"/>
          <w:rFonts w:hint="eastAsia" w:ascii="仿宋_GB2312" w:hAnsi="仿宋_GB2312" w:eastAsia="仿宋_GB2312" w:cs="仿宋_GB2312"/>
          <w:sz w:val="28"/>
          <w:szCs w:val="28"/>
          <w:lang w:val="en-US" w:eastAsia="zh-CN"/>
        </w:rPr>
        <w:t xml:space="preserve"> </w:t>
      </w:r>
      <w:r>
        <w:rPr>
          <w:rStyle w:val="29"/>
          <w:rFonts w:hint="eastAsia" w:ascii="仿宋_GB2312" w:hAnsi="仿宋_GB2312" w:eastAsia="仿宋_GB2312" w:cs="仿宋_GB2312"/>
          <w:sz w:val="28"/>
          <w:szCs w:val="28"/>
          <w:u w:val="single" w:color="111F2C"/>
        </w:rPr>
        <w:t xml:space="preserve">        </w:t>
      </w:r>
      <w:r>
        <w:rPr>
          <w:rStyle w:val="29"/>
          <w:rFonts w:hint="eastAsia" w:ascii="仿宋_GB2312" w:hAnsi="仿宋_GB2312" w:eastAsia="仿宋_GB2312" w:cs="仿宋_GB2312"/>
          <w:sz w:val="28"/>
          <w:szCs w:val="28"/>
          <w:u w:val="single" w:color="000000"/>
        </w:rPr>
        <w:t xml:space="preserve">      </w:t>
      </w:r>
    </w:p>
    <w:p>
      <w:pPr>
        <w:pStyle w:val="32"/>
        <w:keepNext w:val="0"/>
        <w:keepLines w:val="0"/>
        <w:pageBreakBefore w:val="0"/>
        <w:widowControl w:val="0"/>
        <w:numPr>
          <w:ilvl w:val="0"/>
          <w:numId w:val="0"/>
        </w:numPr>
        <w:kinsoku/>
        <w:wordWrap/>
        <w:overflowPunct/>
        <w:topLinePunct w:val="0"/>
        <w:autoSpaceDE/>
        <w:autoSpaceDN/>
        <w:bidi w:val="0"/>
        <w:adjustRightInd/>
        <w:snapToGrid/>
        <w:spacing w:beforeAutospacing="0" w:line="520" w:lineRule="exact"/>
        <w:ind w:left="0" w:leftChars="0" w:firstLine="562" w:firstLineChars="200"/>
        <w:textAlignment w:val="baseline"/>
        <w:rPr>
          <w:rStyle w:val="29"/>
          <w:rFonts w:hint="eastAsia" w:ascii="仿宋_GB2312" w:hAnsi="仿宋_GB2312" w:eastAsia="仿宋_GB2312" w:cs="仿宋_GB2312"/>
          <w:b/>
          <w:bCs/>
          <w:kern w:val="2"/>
          <w:sz w:val="28"/>
          <w:szCs w:val="28"/>
          <w:lang w:val="en-US" w:eastAsia="zh-CN" w:bidi="ar-SA"/>
        </w:rPr>
      </w:pPr>
      <w:r>
        <w:rPr>
          <w:rStyle w:val="29"/>
          <w:rFonts w:hint="eastAsia" w:ascii="仿宋_GB2312" w:hAnsi="仿宋_GB2312" w:eastAsia="仿宋_GB2312" w:cs="仿宋_GB2312"/>
          <w:b/>
          <w:bCs/>
          <w:kern w:val="2"/>
          <w:sz w:val="28"/>
          <w:szCs w:val="28"/>
          <w:lang w:val="en-US" w:eastAsia="zh-CN" w:bidi="ar-SA"/>
        </w:rPr>
        <w:t>六、风险承担</w:t>
      </w:r>
    </w:p>
    <w:p>
      <w:pPr>
        <w:pStyle w:val="32"/>
        <w:keepNext w:val="0"/>
        <w:keepLines w:val="0"/>
        <w:pageBreakBefore w:val="0"/>
        <w:widowControl w:val="0"/>
        <w:numPr>
          <w:ilvl w:val="0"/>
          <w:numId w:val="0"/>
        </w:numPr>
        <w:kinsoku/>
        <w:wordWrap/>
        <w:overflowPunct/>
        <w:topLinePunct w:val="0"/>
        <w:autoSpaceDE/>
        <w:autoSpaceDN/>
        <w:bidi w:val="0"/>
        <w:adjustRightInd/>
        <w:snapToGrid/>
        <w:spacing w:beforeAutospacing="0" w:line="520" w:lineRule="exact"/>
        <w:ind w:left="0" w:leftChars="0" w:firstLine="560" w:firstLineChars="200"/>
        <w:textAlignment w:val="baseline"/>
        <w:rPr>
          <w:rStyle w:val="29"/>
          <w:rFonts w:hint="default" w:ascii="仿宋_GB2312" w:hAnsi="仿宋_GB2312" w:eastAsia="仿宋_GB2312" w:cs="仿宋_GB2312"/>
          <w:color w:val="0000FF"/>
          <w:kern w:val="2"/>
          <w:sz w:val="28"/>
          <w:szCs w:val="28"/>
          <w:lang w:val="en-US" w:eastAsia="zh-CN" w:bidi="ar-SA"/>
        </w:rPr>
      </w:pPr>
      <w:r>
        <w:rPr>
          <w:rStyle w:val="29"/>
          <w:rFonts w:hint="eastAsia" w:ascii="仿宋_GB2312" w:hAnsi="仿宋_GB2312" w:eastAsia="仿宋_GB2312" w:cs="仿宋_GB2312"/>
          <w:color w:val="0000FF"/>
          <w:kern w:val="2"/>
          <w:sz w:val="28"/>
          <w:szCs w:val="28"/>
          <w:lang w:val="en-US" w:eastAsia="zh-CN" w:bidi="ar-SA"/>
        </w:rPr>
        <w:t>1.</w:t>
      </w:r>
      <w:r>
        <w:rPr>
          <w:rStyle w:val="29"/>
          <w:rFonts w:hint="default" w:ascii="仿宋_GB2312" w:hAnsi="仿宋_GB2312" w:eastAsia="仿宋_GB2312" w:cs="仿宋_GB2312"/>
          <w:color w:val="0000FF"/>
          <w:kern w:val="2"/>
          <w:sz w:val="28"/>
          <w:szCs w:val="28"/>
          <w:lang w:val="en-US" w:eastAsia="zh-CN" w:bidi="ar-SA"/>
        </w:rPr>
        <w:t>乙方履行本合同过程中发生事故，包括但不限于在</w:t>
      </w:r>
      <w:r>
        <w:rPr>
          <w:rStyle w:val="29"/>
          <w:rFonts w:hint="eastAsia" w:ascii="仿宋_GB2312" w:hAnsi="仿宋_GB2312" w:eastAsia="仿宋_GB2312" w:cs="仿宋_GB2312"/>
          <w:color w:val="0000FF"/>
          <w:kern w:val="2"/>
          <w:sz w:val="28"/>
          <w:szCs w:val="28"/>
          <w:lang w:val="en-US" w:eastAsia="zh-CN" w:bidi="ar-SA"/>
        </w:rPr>
        <w:t>评估、培训、往来交通过程</w:t>
      </w:r>
      <w:r>
        <w:rPr>
          <w:rStyle w:val="29"/>
          <w:rFonts w:hint="default" w:ascii="仿宋_GB2312" w:hAnsi="仿宋_GB2312" w:eastAsia="仿宋_GB2312" w:cs="仿宋_GB2312"/>
          <w:color w:val="0000FF"/>
          <w:kern w:val="2"/>
          <w:sz w:val="28"/>
          <w:szCs w:val="28"/>
          <w:lang w:val="en-US" w:eastAsia="zh-CN" w:bidi="ar-SA"/>
        </w:rPr>
        <w:t>中发生事故，给甲方、乙方或第三方人身、财产造成的所有损失，均由乙方负责处理和承担全部法律责任、经济赔偿。</w:t>
      </w:r>
    </w:p>
    <w:p>
      <w:pPr>
        <w:pStyle w:val="32"/>
        <w:keepNext w:val="0"/>
        <w:keepLines w:val="0"/>
        <w:pageBreakBefore w:val="0"/>
        <w:widowControl w:val="0"/>
        <w:numPr>
          <w:ilvl w:val="0"/>
          <w:numId w:val="0"/>
        </w:numPr>
        <w:kinsoku/>
        <w:wordWrap/>
        <w:overflowPunct/>
        <w:topLinePunct w:val="0"/>
        <w:autoSpaceDE/>
        <w:autoSpaceDN/>
        <w:bidi w:val="0"/>
        <w:adjustRightInd/>
        <w:snapToGrid/>
        <w:spacing w:beforeAutospacing="0" w:line="520" w:lineRule="exact"/>
        <w:ind w:left="0" w:leftChars="0" w:firstLine="560" w:firstLineChars="200"/>
        <w:textAlignment w:val="baseline"/>
        <w:rPr>
          <w:rStyle w:val="29"/>
          <w:rFonts w:hint="default" w:ascii="仿宋_GB2312" w:hAnsi="仿宋_GB2312" w:eastAsia="仿宋_GB2312" w:cs="仿宋_GB2312"/>
          <w:color w:val="0000FF"/>
          <w:kern w:val="2"/>
          <w:sz w:val="28"/>
          <w:szCs w:val="28"/>
          <w:lang w:val="en-US" w:eastAsia="zh-CN" w:bidi="ar-SA"/>
        </w:rPr>
      </w:pPr>
      <w:r>
        <w:rPr>
          <w:rStyle w:val="29"/>
          <w:rFonts w:hint="eastAsia" w:ascii="仿宋_GB2312" w:hAnsi="仿宋_GB2312" w:eastAsia="仿宋_GB2312" w:cs="仿宋_GB2312"/>
          <w:color w:val="0000FF"/>
          <w:kern w:val="2"/>
          <w:sz w:val="28"/>
          <w:szCs w:val="28"/>
          <w:lang w:val="en-US" w:eastAsia="zh-CN" w:bidi="ar-SA"/>
        </w:rPr>
        <w:t>2.</w:t>
      </w:r>
      <w:r>
        <w:rPr>
          <w:rStyle w:val="29"/>
          <w:rFonts w:hint="default" w:ascii="仿宋_GB2312" w:hAnsi="仿宋_GB2312" w:eastAsia="仿宋_GB2312" w:cs="仿宋_GB2312"/>
          <w:color w:val="0000FF"/>
          <w:kern w:val="2"/>
          <w:sz w:val="28"/>
          <w:szCs w:val="28"/>
          <w:lang w:val="en-US" w:eastAsia="zh-CN" w:bidi="ar-SA"/>
        </w:rPr>
        <w:t>如甲方因乙方服务等原因涉及纠纷、诉讼或被处以行政处罚，由乙方承担甲方因纠纷、诉讼、罚款等造成的全部经济损失。</w:t>
      </w:r>
    </w:p>
    <w:p>
      <w:pPr>
        <w:pStyle w:val="32"/>
        <w:keepNext w:val="0"/>
        <w:keepLines w:val="0"/>
        <w:pageBreakBefore w:val="0"/>
        <w:widowControl w:val="0"/>
        <w:numPr>
          <w:ilvl w:val="0"/>
          <w:numId w:val="0"/>
        </w:numPr>
        <w:kinsoku/>
        <w:wordWrap/>
        <w:overflowPunct/>
        <w:topLinePunct w:val="0"/>
        <w:autoSpaceDE/>
        <w:autoSpaceDN/>
        <w:bidi w:val="0"/>
        <w:adjustRightInd/>
        <w:snapToGrid/>
        <w:spacing w:beforeAutospacing="0" w:line="520" w:lineRule="exact"/>
        <w:ind w:left="0" w:leftChars="0" w:firstLine="562" w:firstLineChars="200"/>
        <w:textAlignment w:val="baseline"/>
        <w:rPr>
          <w:rStyle w:val="29"/>
          <w:rFonts w:hint="eastAsia" w:ascii="仿宋_GB2312" w:hAnsi="仿宋_GB2312" w:eastAsia="仿宋_GB2312" w:cs="仿宋_GB2312"/>
          <w:b/>
          <w:bCs/>
          <w:kern w:val="2"/>
          <w:sz w:val="28"/>
          <w:szCs w:val="28"/>
          <w:lang w:val="en-US" w:eastAsia="zh-CN" w:bidi="ar-SA"/>
        </w:rPr>
      </w:pPr>
      <w:r>
        <w:rPr>
          <w:rStyle w:val="29"/>
          <w:rFonts w:hint="eastAsia" w:ascii="仿宋_GB2312" w:hAnsi="仿宋_GB2312" w:eastAsia="仿宋_GB2312" w:cs="仿宋_GB2312"/>
          <w:b/>
          <w:bCs/>
          <w:kern w:val="2"/>
          <w:sz w:val="28"/>
          <w:szCs w:val="28"/>
          <w:lang w:val="en-US" w:eastAsia="zh-CN" w:bidi="ar-SA"/>
        </w:rPr>
        <w:t>七、廉洁条款</w:t>
      </w:r>
    </w:p>
    <w:p>
      <w:pPr>
        <w:pStyle w:val="32"/>
        <w:keepNext w:val="0"/>
        <w:keepLines w:val="0"/>
        <w:pageBreakBefore w:val="0"/>
        <w:widowControl w:val="0"/>
        <w:numPr>
          <w:ilvl w:val="0"/>
          <w:numId w:val="0"/>
        </w:numPr>
        <w:kinsoku/>
        <w:wordWrap/>
        <w:overflowPunct/>
        <w:topLinePunct w:val="0"/>
        <w:autoSpaceDE/>
        <w:autoSpaceDN/>
        <w:bidi w:val="0"/>
        <w:adjustRightInd/>
        <w:snapToGrid/>
        <w:spacing w:beforeAutospacing="0" w:line="520" w:lineRule="exact"/>
        <w:ind w:left="0" w:leftChars="0" w:firstLine="560" w:firstLineChars="200"/>
        <w:textAlignment w:val="baseline"/>
        <w:rPr>
          <w:rStyle w:val="29"/>
          <w:rFonts w:hint="default" w:ascii="仿宋_GB2312" w:hAnsi="仿宋_GB2312" w:eastAsia="仿宋_GB2312" w:cs="仿宋_GB2312"/>
          <w:color w:val="0000FF"/>
          <w:kern w:val="2"/>
          <w:sz w:val="28"/>
          <w:szCs w:val="28"/>
          <w:lang w:val="en-US" w:eastAsia="zh-CN" w:bidi="ar-SA"/>
        </w:rPr>
      </w:pPr>
      <w:r>
        <w:rPr>
          <w:rStyle w:val="29"/>
          <w:rFonts w:hint="eastAsia" w:ascii="仿宋_GB2312" w:hAnsi="仿宋_GB2312" w:eastAsia="仿宋_GB2312" w:cs="仿宋_GB2312"/>
          <w:color w:val="0000FF"/>
          <w:kern w:val="2"/>
          <w:sz w:val="28"/>
          <w:szCs w:val="28"/>
          <w:lang w:val="en-US" w:eastAsia="zh-CN" w:bidi="ar-SA"/>
        </w:rPr>
        <w:t>1.</w:t>
      </w:r>
      <w:r>
        <w:rPr>
          <w:rStyle w:val="29"/>
          <w:rFonts w:hint="default" w:ascii="仿宋_GB2312" w:hAnsi="仿宋_GB2312" w:eastAsia="仿宋_GB2312" w:cs="仿宋_GB2312"/>
          <w:color w:val="0000FF"/>
          <w:kern w:val="2"/>
          <w:sz w:val="28"/>
          <w:szCs w:val="28"/>
          <w:lang w:val="en-US" w:eastAsia="zh-CN" w:bidi="ar-SA"/>
        </w:rPr>
        <w:t>乙方应严格遵守国家相关法律法规，涉及合同的有关业务活动必须坚持公开、公平、公正、诚信原则，不得为获取不正当利益，损害国家、集体和甲方利益。</w:t>
      </w:r>
    </w:p>
    <w:p>
      <w:pPr>
        <w:pStyle w:val="32"/>
        <w:keepNext w:val="0"/>
        <w:keepLines w:val="0"/>
        <w:pageBreakBefore w:val="0"/>
        <w:widowControl w:val="0"/>
        <w:numPr>
          <w:ilvl w:val="0"/>
          <w:numId w:val="0"/>
        </w:numPr>
        <w:kinsoku/>
        <w:wordWrap/>
        <w:overflowPunct/>
        <w:topLinePunct w:val="0"/>
        <w:autoSpaceDE/>
        <w:autoSpaceDN/>
        <w:bidi w:val="0"/>
        <w:adjustRightInd/>
        <w:snapToGrid/>
        <w:spacing w:beforeAutospacing="0" w:line="520" w:lineRule="exact"/>
        <w:ind w:left="0" w:leftChars="0" w:firstLine="562" w:firstLineChars="200"/>
        <w:textAlignment w:val="baseline"/>
        <w:rPr>
          <w:rStyle w:val="29"/>
          <w:rFonts w:hint="default" w:ascii="仿宋_GB2312" w:hAnsi="仿宋_GB2312" w:eastAsia="仿宋_GB2312" w:cs="仿宋_GB2312"/>
          <w:b/>
          <w:bCs/>
          <w:color w:val="0000FF"/>
          <w:kern w:val="2"/>
          <w:sz w:val="28"/>
          <w:szCs w:val="28"/>
          <w:u w:val="single"/>
          <w:lang w:val="en-US" w:eastAsia="zh-CN" w:bidi="ar-SA"/>
        </w:rPr>
      </w:pPr>
      <w:r>
        <w:rPr>
          <w:rStyle w:val="29"/>
          <w:rFonts w:hint="eastAsia" w:ascii="仿宋_GB2312" w:hAnsi="仿宋_GB2312" w:eastAsia="仿宋_GB2312" w:cs="仿宋_GB2312"/>
          <w:b/>
          <w:bCs/>
          <w:color w:val="0000FF"/>
          <w:kern w:val="2"/>
          <w:sz w:val="28"/>
          <w:szCs w:val="28"/>
          <w:u w:val="single"/>
          <w:lang w:val="en-US" w:eastAsia="zh-CN" w:bidi="ar-SA"/>
        </w:rPr>
        <w:t>2.</w:t>
      </w:r>
      <w:r>
        <w:rPr>
          <w:rStyle w:val="29"/>
          <w:rFonts w:hint="default" w:ascii="仿宋_GB2312" w:hAnsi="仿宋_GB2312" w:eastAsia="仿宋_GB2312" w:cs="仿宋_GB2312"/>
          <w:b/>
          <w:bCs/>
          <w:color w:val="0000FF"/>
          <w:kern w:val="2"/>
          <w:sz w:val="28"/>
          <w:szCs w:val="28"/>
          <w:u w:val="single"/>
          <w:lang w:val="en-US" w:eastAsia="zh-CN" w:bidi="ar-SA"/>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pPr>
        <w:keepNext w:val="0"/>
        <w:keepLines w:val="0"/>
        <w:pageBreakBefore w:val="0"/>
        <w:widowControl w:val="0"/>
        <w:kinsoku/>
        <w:wordWrap/>
        <w:overflowPunct/>
        <w:topLinePunct w:val="0"/>
        <w:autoSpaceDE/>
        <w:autoSpaceDN/>
        <w:bidi w:val="0"/>
        <w:adjustRightInd/>
        <w:snapToGrid/>
        <w:spacing w:beforeAutospacing="0" w:line="520" w:lineRule="exact"/>
        <w:ind w:left="0" w:firstLine="562" w:firstLineChars="200"/>
        <w:textAlignment w:val="baseline"/>
        <w:rPr>
          <w:rStyle w:val="29"/>
          <w:rFonts w:hint="eastAsia" w:ascii="仿宋_GB2312" w:hAnsi="仿宋_GB2312" w:eastAsia="仿宋_GB2312" w:cs="仿宋_GB2312"/>
          <w:b/>
          <w:bCs/>
          <w:sz w:val="28"/>
          <w:szCs w:val="28"/>
          <w:lang w:val="en-US" w:eastAsia="zh-CN"/>
        </w:rPr>
      </w:pPr>
      <w:r>
        <w:rPr>
          <w:rStyle w:val="29"/>
          <w:rFonts w:hint="eastAsia" w:ascii="仿宋_GB2312" w:hAnsi="仿宋_GB2312" w:eastAsia="仿宋_GB2312" w:cs="仿宋_GB2312"/>
          <w:b/>
          <w:bCs/>
          <w:sz w:val="28"/>
          <w:szCs w:val="28"/>
          <w:lang w:val="en-US" w:eastAsia="zh-CN"/>
        </w:rPr>
        <w:t>八</w:t>
      </w:r>
      <w:r>
        <w:rPr>
          <w:rStyle w:val="29"/>
          <w:rFonts w:hint="eastAsia" w:ascii="仿宋_GB2312" w:hAnsi="仿宋_GB2312" w:eastAsia="仿宋_GB2312" w:cs="仿宋_GB2312"/>
          <w:b/>
          <w:bCs/>
          <w:sz w:val="28"/>
          <w:szCs w:val="28"/>
        </w:rPr>
        <w:t>、</w:t>
      </w:r>
      <w:r>
        <w:rPr>
          <w:rStyle w:val="29"/>
          <w:rFonts w:hint="eastAsia" w:ascii="仿宋_GB2312" w:hAnsi="仿宋_GB2312" w:eastAsia="仿宋_GB2312" w:cs="仿宋_GB2312"/>
          <w:b/>
          <w:bCs/>
          <w:sz w:val="28"/>
          <w:szCs w:val="28"/>
          <w:lang w:val="en-US" w:eastAsia="zh-CN"/>
        </w:rPr>
        <w:t>保密条款</w:t>
      </w:r>
    </w:p>
    <w:p>
      <w:pPr>
        <w:keepNext w:val="0"/>
        <w:keepLines w:val="0"/>
        <w:pageBreakBefore w:val="0"/>
        <w:widowControl w:val="0"/>
        <w:tabs>
          <w:tab w:val="left" w:pos="704"/>
        </w:tabs>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eastAsia" w:ascii="仿宋_GB2312" w:hAnsi="仿宋_GB2312" w:eastAsia="仿宋_GB2312" w:cs="仿宋_GB2312"/>
          <w:color w:val="0000FF"/>
          <w:sz w:val="28"/>
          <w:szCs w:val="28"/>
          <w:lang w:val="en-US" w:eastAsia="zh-CN"/>
        </w:rPr>
      </w:pPr>
      <w:r>
        <w:rPr>
          <w:rStyle w:val="29"/>
          <w:rFonts w:hint="eastAsia" w:ascii="仿宋_GB2312" w:hAnsi="仿宋_GB2312" w:eastAsia="仿宋_GB2312" w:cs="仿宋_GB2312"/>
          <w:color w:val="0000FF"/>
          <w:sz w:val="28"/>
          <w:szCs w:val="28"/>
          <w:lang w:val="en-US" w:eastAsia="zh-CN"/>
        </w:rPr>
        <w:t>1.本合同订立、履行、变更等产生的研究、商讨、交流等信息，履行本合同获悉的甲方商业秘密、运营信息、工作人员信息、患陪个人信息等，均属保密信息。</w:t>
      </w:r>
    </w:p>
    <w:p>
      <w:pPr>
        <w:keepNext w:val="0"/>
        <w:keepLines w:val="0"/>
        <w:pageBreakBefore w:val="0"/>
        <w:widowControl w:val="0"/>
        <w:tabs>
          <w:tab w:val="left" w:pos="704"/>
        </w:tabs>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eastAsia" w:ascii="仿宋_GB2312" w:hAnsi="仿宋_GB2312" w:eastAsia="仿宋_GB2312" w:cs="仿宋_GB2312"/>
          <w:color w:val="0000FF"/>
          <w:sz w:val="28"/>
          <w:szCs w:val="28"/>
          <w:lang w:val="en-US" w:eastAsia="zh-CN"/>
        </w:rPr>
      </w:pPr>
      <w:r>
        <w:rPr>
          <w:rStyle w:val="29"/>
          <w:rFonts w:hint="eastAsia" w:ascii="仿宋_GB2312" w:hAnsi="仿宋_GB2312" w:eastAsia="仿宋_GB2312" w:cs="仿宋_GB2312"/>
          <w:color w:val="0000FF"/>
          <w:sz w:val="28"/>
          <w:szCs w:val="28"/>
          <w:lang w:val="en-US" w:eastAsia="zh-CN"/>
        </w:rPr>
        <w:t>2.乙方应对保密信息应当采取有效手段严格保密，不得用于非本合同之目的或向第三方泄露。如政府部门、法院或其他有权部门要求乙方提供保密信息，乙方应当立即向甲方通报。</w:t>
      </w:r>
    </w:p>
    <w:p>
      <w:pPr>
        <w:keepNext w:val="0"/>
        <w:keepLines w:val="0"/>
        <w:pageBreakBefore w:val="0"/>
        <w:widowControl w:val="0"/>
        <w:tabs>
          <w:tab w:val="left" w:pos="704"/>
        </w:tabs>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eastAsia" w:ascii="仿宋_GB2312" w:hAnsi="仿宋_GB2312" w:eastAsia="仿宋_GB2312" w:cs="仿宋_GB2312"/>
          <w:color w:val="0000FF"/>
          <w:sz w:val="28"/>
          <w:szCs w:val="28"/>
          <w:lang w:val="en-US" w:eastAsia="zh-CN"/>
        </w:rPr>
      </w:pPr>
      <w:r>
        <w:rPr>
          <w:rStyle w:val="29"/>
          <w:rFonts w:hint="eastAsia" w:ascii="仿宋_GB2312" w:hAnsi="仿宋_GB2312" w:eastAsia="仿宋_GB2312" w:cs="仿宋_GB2312"/>
          <w:color w:val="0000FF"/>
          <w:sz w:val="28"/>
          <w:szCs w:val="28"/>
          <w:lang w:val="en-US" w:eastAsia="zh-CN"/>
        </w:rPr>
        <w:t>3.因乙方未履行本合同保密义务造成甲方或第三方损失的，由乙方承担全部赔偿责任。</w:t>
      </w:r>
    </w:p>
    <w:p>
      <w:pPr>
        <w:keepNext w:val="0"/>
        <w:keepLines w:val="0"/>
        <w:pageBreakBefore w:val="0"/>
        <w:widowControl w:val="0"/>
        <w:tabs>
          <w:tab w:val="left" w:pos="704"/>
        </w:tabs>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eastAsia" w:ascii="仿宋_GB2312" w:hAnsi="仿宋_GB2312" w:eastAsia="仿宋_GB2312" w:cs="仿宋_GB2312"/>
          <w:color w:val="0000FF"/>
          <w:sz w:val="28"/>
          <w:szCs w:val="28"/>
          <w:lang w:val="en-US" w:eastAsia="zh-CN"/>
        </w:rPr>
      </w:pPr>
      <w:r>
        <w:rPr>
          <w:rStyle w:val="29"/>
          <w:rFonts w:hint="eastAsia" w:ascii="仿宋_GB2312" w:hAnsi="仿宋_GB2312" w:eastAsia="仿宋_GB2312" w:cs="仿宋_GB2312"/>
          <w:color w:val="0000FF"/>
          <w:sz w:val="28"/>
          <w:szCs w:val="28"/>
          <w:lang w:val="en-US" w:eastAsia="zh-CN"/>
        </w:rPr>
        <w:t>4.本合同保密条款在合同被认定无效、被撤销或终止、解除后仍然有效。</w:t>
      </w:r>
    </w:p>
    <w:p>
      <w:pPr>
        <w:keepNext w:val="0"/>
        <w:keepLines w:val="0"/>
        <w:pageBreakBefore w:val="0"/>
        <w:widowControl w:val="0"/>
        <w:tabs>
          <w:tab w:val="left" w:pos="704"/>
        </w:tabs>
        <w:kinsoku/>
        <w:wordWrap/>
        <w:overflowPunct/>
        <w:topLinePunct w:val="0"/>
        <w:autoSpaceDE/>
        <w:autoSpaceDN/>
        <w:bidi w:val="0"/>
        <w:adjustRightInd/>
        <w:snapToGrid/>
        <w:spacing w:beforeAutospacing="0" w:line="520" w:lineRule="exact"/>
        <w:ind w:left="0" w:firstLine="562" w:firstLineChars="200"/>
        <w:textAlignment w:val="baseline"/>
        <w:rPr>
          <w:rStyle w:val="29"/>
          <w:rFonts w:hint="eastAsia" w:ascii="仿宋_GB2312" w:hAnsi="仿宋_GB2312" w:eastAsia="仿宋_GB2312" w:cs="仿宋_GB2312"/>
          <w:b/>
          <w:bCs/>
          <w:color w:val="0000FF"/>
          <w:sz w:val="28"/>
          <w:szCs w:val="28"/>
          <w:lang w:val="en-US" w:eastAsia="zh-CN"/>
        </w:rPr>
      </w:pPr>
      <w:r>
        <w:rPr>
          <w:rStyle w:val="29"/>
          <w:rFonts w:hint="eastAsia" w:ascii="仿宋_GB2312" w:hAnsi="仿宋_GB2312" w:eastAsia="仿宋_GB2312" w:cs="仿宋_GB2312"/>
          <w:b/>
          <w:bCs/>
          <w:color w:val="0000FF"/>
          <w:sz w:val="28"/>
          <w:szCs w:val="28"/>
          <w:lang w:val="en-US" w:eastAsia="zh-CN"/>
        </w:rPr>
        <w:t>九、通知与送达</w:t>
      </w:r>
    </w:p>
    <w:p>
      <w:pPr>
        <w:keepNext w:val="0"/>
        <w:keepLines w:val="0"/>
        <w:pageBreakBefore w:val="0"/>
        <w:widowControl w:val="0"/>
        <w:tabs>
          <w:tab w:val="left" w:pos="704"/>
        </w:tabs>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default" w:ascii="仿宋_GB2312" w:hAnsi="仿宋_GB2312" w:eastAsia="仿宋_GB2312" w:cs="仿宋_GB2312"/>
          <w:color w:val="0000FF"/>
          <w:sz w:val="28"/>
          <w:szCs w:val="28"/>
          <w:lang w:val="en-US" w:eastAsia="zh-CN"/>
        </w:rPr>
      </w:pPr>
      <w:r>
        <w:rPr>
          <w:rStyle w:val="29"/>
          <w:rFonts w:hint="eastAsia" w:ascii="仿宋_GB2312" w:hAnsi="仿宋_GB2312" w:eastAsia="仿宋_GB2312" w:cs="仿宋_GB2312"/>
          <w:color w:val="0000FF"/>
          <w:sz w:val="28"/>
          <w:szCs w:val="28"/>
          <w:lang w:val="en-US" w:eastAsia="zh-CN"/>
        </w:rPr>
        <w:t>1.</w:t>
      </w:r>
      <w:r>
        <w:rPr>
          <w:rStyle w:val="29"/>
          <w:rFonts w:hint="default" w:ascii="仿宋_GB2312" w:hAnsi="仿宋_GB2312" w:eastAsia="仿宋_GB2312" w:cs="仿宋_GB2312"/>
          <w:color w:val="0000FF"/>
          <w:sz w:val="28"/>
          <w:szCs w:val="28"/>
          <w:lang w:val="en-US" w:eastAsia="zh-CN"/>
        </w:rPr>
        <w:t>甲乙双方同意，与本合同有关的任何文书，应以书面方式按照本合同约定发送，书面方式包括手机短信、微信、书面函件、电子邮件等形式。</w:t>
      </w:r>
    </w:p>
    <w:p>
      <w:pPr>
        <w:keepNext w:val="0"/>
        <w:keepLines w:val="0"/>
        <w:pageBreakBefore w:val="0"/>
        <w:widowControl w:val="0"/>
        <w:tabs>
          <w:tab w:val="left" w:pos="704"/>
        </w:tabs>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default" w:ascii="仿宋_GB2312" w:hAnsi="仿宋_GB2312" w:eastAsia="仿宋_GB2312" w:cs="仿宋_GB2312"/>
          <w:color w:val="0000FF"/>
          <w:sz w:val="28"/>
          <w:szCs w:val="28"/>
          <w:lang w:val="en-US" w:eastAsia="zh-CN"/>
        </w:rPr>
      </w:pPr>
      <w:r>
        <w:rPr>
          <w:rStyle w:val="29"/>
          <w:rFonts w:hint="eastAsia" w:ascii="仿宋_GB2312" w:hAnsi="仿宋_GB2312" w:eastAsia="仿宋_GB2312" w:cs="仿宋_GB2312"/>
          <w:color w:val="0000FF"/>
          <w:sz w:val="28"/>
          <w:szCs w:val="28"/>
          <w:lang w:val="en-US" w:eastAsia="zh-CN"/>
        </w:rPr>
        <w:t>2.</w:t>
      </w:r>
      <w:r>
        <w:rPr>
          <w:rStyle w:val="29"/>
          <w:rFonts w:hint="default" w:ascii="仿宋_GB2312" w:hAnsi="仿宋_GB2312" w:eastAsia="仿宋_GB2312" w:cs="仿宋_GB2312"/>
          <w:color w:val="0000FF"/>
          <w:sz w:val="28"/>
          <w:szCs w:val="28"/>
          <w:lang w:val="en-US" w:eastAsia="zh-CN"/>
        </w:rPr>
        <w:t>双方确认的文书（包括未来可能发生的诉讼或仲裁活动中法院或仲裁机构的送达法律文书）送达地址：</w:t>
      </w:r>
    </w:p>
    <w:p>
      <w:pPr>
        <w:keepNext w:val="0"/>
        <w:keepLines w:val="0"/>
        <w:pageBreakBefore w:val="0"/>
        <w:widowControl w:val="0"/>
        <w:tabs>
          <w:tab w:val="left" w:pos="704"/>
        </w:tabs>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default" w:ascii="仿宋_GB2312" w:hAnsi="仿宋_GB2312" w:eastAsia="仿宋_GB2312" w:cs="仿宋_GB2312"/>
          <w:color w:val="0000FF"/>
          <w:sz w:val="28"/>
          <w:szCs w:val="28"/>
          <w:lang w:val="en-US" w:eastAsia="zh-CN"/>
        </w:rPr>
      </w:pPr>
      <w:r>
        <w:rPr>
          <w:rStyle w:val="29"/>
          <w:rFonts w:hint="eastAsia" w:ascii="仿宋_GB2312" w:hAnsi="仿宋_GB2312" w:eastAsia="仿宋_GB2312" w:cs="仿宋_GB2312"/>
          <w:color w:val="0000FF"/>
          <w:sz w:val="28"/>
          <w:szCs w:val="28"/>
          <w:lang w:val="en-US" w:eastAsia="zh-CN"/>
        </w:rPr>
        <w:t>（1）</w:t>
      </w:r>
      <w:r>
        <w:rPr>
          <w:rStyle w:val="29"/>
          <w:rFonts w:hint="default" w:ascii="仿宋_GB2312" w:hAnsi="仿宋_GB2312" w:eastAsia="仿宋_GB2312" w:cs="仿宋_GB2312"/>
          <w:color w:val="0000FF"/>
          <w:sz w:val="28"/>
          <w:szCs w:val="28"/>
          <w:lang w:val="en-US" w:eastAsia="zh-CN"/>
        </w:rPr>
        <w:t>甲方的联系地址：</w:t>
      </w:r>
      <w:r>
        <w:rPr>
          <w:rStyle w:val="29"/>
          <w:rFonts w:hint="eastAsia" w:ascii="仿宋_GB2312" w:hAnsi="仿宋_GB2312" w:eastAsia="仿宋_GB2312" w:cs="仿宋_GB2312"/>
          <w:color w:val="0000FF"/>
          <w:sz w:val="28"/>
          <w:szCs w:val="28"/>
          <w:u w:val="single"/>
          <w:lang w:val="en-US" w:eastAsia="zh-CN"/>
        </w:rPr>
        <w:t xml:space="preserve">              </w:t>
      </w:r>
      <w:r>
        <w:rPr>
          <w:rStyle w:val="29"/>
          <w:rFonts w:hint="default" w:ascii="仿宋_GB2312" w:hAnsi="仿宋_GB2312" w:eastAsia="仿宋_GB2312" w:cs="仿宋_GB2312"/>
          <w:color w:val="0000FF"/>
          <w:sz w:val="28"/>
          <w:szCs w:val="28"/>
          <w:lang w:val="en-US" w:eastAsia="zh-CN"/>
        </w:rPr>
        <w:t>，联系人：</w:t>
      </w:r>
      <w:r>
        <w:rPr>
          <w:rStyle w:val="29"/>
          <w:rFonts w:hint="eastAsia" w:ascii="仿宋_GB2312" w:hAnsi="仿宋_GB2312" w:eastAsia="仿宋_GB2312" w:cs="仿宋_GB2312"/>
          <w:color w:val="0000FF"/>
          <w:sz w:val="28"/>
          <w:szCs w:val="28"/>
          <w:u w:val="single"/>
          <w:lang w:val="en-US" w:eastAsia="zh-CN"/>
        </w:rPr>
        <w:t xml:space="preserve">      </w:t>
      </w:r>
      <w:r>
        <w:rPr>
          <w:rStyle w:val="29"/>
          <w:rFonts w:hint="default" w:ascii="仿宋_GB2312" w:hAnsi="仿宋_GB2312" w:eastAsia="仿宋_GB2312" w:cs="仿宋_GB2312"/>
          <w:color w:val="0000FF"/>
          <w:sz w:val="28"/>
          <w:szCs w:val="28"/>
          <w:lang w:val="en-US" w:eastAsia="zh-CN"/>
        </w:rPr>
        <w:t>，联系电话：</w:t>
      </w:r>
      <w:r>
        <w:rPr>
          <w:rStyle w:val="29"/>
          <w:rFonts w:hint="eastAsia" w:ascii="仿宋_GB2312" w:hAnsi="仿宋_GB2312" w:eastAsia="仿宋_GB2312" w:cs="仿宋_GB2312"/>
          <w:color w:val="0000FF"/>
          <w:sz w:val="28"/>
          <w:szCs w:val="28"/>
          <w:u w:val="single"/>
          <w:lang w:val="en-US" w:eastAsia="zh-CN"/>
        </w:rPr>
        <w:t xml:space="preserve">         </w:t>
      </w:r>
      <w:r>
        <w:rPr>
          <w:rStyle w:val="29"/>
          <w:rFonts w:hint="default" w:ascii="仿宋_GB2312" w:hAnsi="仿宋_GB2312" w:eastAsia="仿宋_GB2312" w:cs="仿宋_GB2312"/>
          <w:color w:val="0000FF"/>
          <w:sz w:val="28"/>
          <w:szCs w:val="28"/>
          <w:lang w:val="en-US" w:eastAsia="zh-CN"/>
        </w:rPr>
        <w:t>，邮箱地址：</w:t>
      </w:r>
      <w:r>
        <w:rPr>
          <w:rStyle w:val="29"/>
          <w:rFonts w:hint="eastAsia" w:ascii="仿宋_GB2312" w:hAnsi="仿宋_GB2312" w:eastAsia="仿宋_GB2312" w:cs="仿宋_GB2312"/>
          <w:color w:val="0000FF"/>
          <w:sz w:val="28"/>
          <w:szCs w:val="28"/>
          <w:u w:val="single"/>
          <w:lang w:val="en-US" w:eastAsia="zh-CN"/>
        </w:rPr>
        <w:t xml:space="preserve">           </w:t>
      </w:r>
      <w:r>
        <w:rPr>
          <w:rStyle w:val="29"/>
          <w:rFonts w:hint="default" w:ascii="仿宋_GB2312" w:hAnsi="仿宋_GB2312" w:eastAsia="仿宋_GB2312" w:cs="仿宋_GB2312"/>
          <w:color w:val="0000FF"/>
          <w:sz w:val="28"/>
          <w:szCs w:val="28"/>
          <w:lang w:val="en-US" w:eastAsia="zh-CN"/>
        </w:rPr>
        <w:t>，或微信号：</w:t>
      </w:r>
      <w:r>
        <w:rPr>
          <w:rStyle w:val="29"/>
          <w:rFonts w:hint="default" w:ascii="仿宋_GB2312" w:hAnsi="仿宋_GB2312" w:eastAsia="仿宋_GB2312" w:cs="仿宋_GB2312"/>
          <w:color w:val="0000FF"/>
          <w:sz w:val="28"/>
          <w:szCs w:val="28"/>
          <w:u w:val="single"/>
          <w:lang w:val="en-US" w:eastAsia="zh-CN"/>
        </w:rPr>
        <w:t xml:space="preserve">      </w:t>
      </w:r>
      <w:r>
        <w:rPr>
          <w:rStyle w:val="29"/>
          <w:rFonts w:hint="default" w:ascii="仿宋_GB2312" w:hAnsi="仿宋_GB2312" w:eastAsia="仿宋_GB2312" w:cs="仿宋_GB2312"/>
          <w:color w:val="0000FF"/>
          <w:sz w:val="28"/>
          <w:szCs w:val="28"/>
          <w:lang w:val="en-US" w:eastAsia="zh-CN"/>
        </w:rPr>
        <w:t>。</w:t>
      </w:r>
    </w:p>
    <w:p>
      <w:pPr>
        <w:keepNext w:val="0"/>
        <w:keepLines w:val="0"/>
        <w:pageBreakBefore w:val="0"/>
        <w:widowControl w:val="0"/>
        <w:tabs>
          <w:tab w:val="left" w:pos="704"/>
        </w:tabs>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default" w:ascii="仿宋_GB2312" w:hAnsi="仿宋_GB2312" w:eastAsia="仿宋_GB2312" w:cs="仿宋_GB2312"/>
          <w:color w:val="0000FF"/>
          <w:sz w:val="28"/>
          <w:szCs w:val="28"/>
          <w:lang w:val="en-US" w:eastAsia="zh-CN"/>
        </w:rPr>
      </w:pPr>
      <w:r>
        <w:rPr>
          <w:rStyle w:val="29"/>
          <w:rFonts w:hint="eastAsia" w:ascii="仿宋_GB2312" w:hAnsi="仿宋_GB2312" w:eastAsia="仿宋_GB2312" w:cs="仿宋_GB2312"/>
          <w:color w:val="0000FF"/>
          <w:sz w:val="28"/>
          <w:szCs w:val="28"/>
          <w:lang w:val="en-US" w:eastAsia="zh-CN"/>
        </w:rPr>
        <w:t>（2）乙</w:t>
      </w:r>
      <w:r>
        <w:rPr>
          <w:rStyle w:val="29"/>
          <w:rFonts w:hint="default" w:ascii="仿宋_GB2312" w:hAnsi="仿宋_GB2312" w:eastAsia="仿宋_GB2312" w:cs="仿宋_GB2312"/>
          <w:color w:val="0000FF"/>
          <w:sz w:val="28"/>
          <w:szCs w:val="28"/>
          <w:lang w:val="en-US" w:eastAsia="zh-CN"/>
        </w:rPr>
        <w:t>方的联系地址：</w:t>
      </w:r>
      <w:r>
        <w:rPr>
          <w:rStyle w:val="29"/>
          <w:rFonts w:hint="eastAsia" w:ascii="仿宋_GB2312" w:hAnsi="仿宋_GB2312" w:eastAsia="仿宋_GB2312" w:cs="仿宋_GB2312"/>
          <w:color w:val="0000FF"/>
          <w:sz w:val="28"/>
          <w:szCs w:val="28"/>
          <w:u w:val="single"/>
          <w:lang w:val="en-US" w:eastAsia="zh-CN"/>
        </w:rPr>
        <w:t xml:space="preserve">              </w:t>
      </w:r>
      <w:r>
        <w:rPr>
          <w:rStyle w:val="29"/>
          <w:rFonts w:hint="default" w:ascii="仿宋_GB2312" w:hAnsi="仿宋_GB2312" w:eastAsia="仿宋_GB2312" w:cs="仿宋_GB2312"/>
          <w:color w:val="0000FF"/>
          <w:sz w:val="28"/>
          <w:szCs w:val="28"/>
          <w:lang w:val="en-US" w:eastAsia="zh-CN"/>
        </w:rPr>
        <w:t>，联系人：</w:t>
      </w:r>
      <w:r>
        <w:rPr>
          <w:rStyle w:val="29"/>
          <w:rFonts w:hint="eastAsia" w:ascii="仿宋_GB2312" w:hAnsi="仿宋_GB2312" w:eastAsia="仿宋_GB2312" w:cs="仿宋_GB2312"/>
          <w:color w:val="0000FF"/>
          <w:sz w:val="28"/>
          <w:szCs w:val="28"/>
          <w:u w:val="single"/>
          <w:lang w:val="en-US" w:eastAsia="zh-CN"/>
        </w:rPr>
        <w:t xml:space="preserve">      </w:t>
      </w:r>
      <w:r>
        <w:rPr>
          <w:rStyle w:val="29"/>
          <w:rFonts w:hint="default" w:ascii="仿宋_GB2312" w:hAnsi="仿宋_GB2312" w:eastAsia="仿宋_GB2312" w:cs="仿宋_GB2312"/>
          <w:color w:val="0000FF"/>
          <w:sz w:val="28"/>
          <w:szCs w:val="28"/>
          <w:lang w:val="en-US" w:eastAsia="zh-CN"/>
        </w:rPr>
        <w:t>，联系电话：</w:t>
      </w:r>
      <w:r>
        <w:rPr>
          <w:rStyle w:val="29"/>
          <w:rFonts w:hint="eastAsia" w:ascii="仿宋_GB2312" w:hAnsi="仿宋_GB2312" w:eastAsia="仿宋_GB2312" w:cs="仿宋_GB2312"/>
          <w:color w:val="0000FF"/>
          <w:sz w:val="28"/>
          <w:szCs w:val="28"/>
          <w:u w:val="single"/>
          <w:lang w:val="en-US" w:eastAsia="zh-CN"/>
        </w:rPr>
        <w:t xml:space="preserve">         </w:t>
      </w:r>
      <w:r>
        <w:rPr>
          <w:rStyle w:val="29"/>
          <w:rFonts w:hint="default" w:ascii="仿宋_GB2312" w:hAnsi="仿宋_GB2312" w:eastAsia="仿宋_GB2312" w:cs="仿宋_GB2312"/>
          <w:color w:val="0000FF"/>
          <w:sz w:val="28"/>
          <w:szCs w:val="28"/>
          <w:lang w:val="en-US" w:eastAsia="zh-CN"/>
        </w:rPr>
        <w:t>，邮箱地址：</w:t>
      </w:r>
      <w:r>
        <w:rPr>
          <w:rStyle w:val="29"/>
          <w:rFonts w:hint="eastAsia" w:ascii="仿宋_GB2312" w:hAnsi="仿宋_GB2312" w:eastAsia="仿宋_GB2312" w:cs="仿宋_GB2312"/>
          <w:color w:val="0000FF"/>
          <w:sz w:val="28"/>
          <w:szCs w:val="28"/>
          <w:u w:val="single"/>
          <w:lang w:val="en-US" w:eastAsia="zh-CN"/>
        </w:rPr>
        <w:t xml:space="preserve">           </w:t>
      </w:r>
      <w:r>
        <w:rPr>
          <w:rStyle w:val="29"/>
          <w:rFonts w:hint="default" w:ascii="仿宋_GB2312" w:hAnsi="仿宋_GB2312" w:eastAsia="仿宋_GB2312" w:cs="仿宋_GB2312"/>
          <w:color w:val="0000FF"/>
          <w:sz w:val="28"/>
          <w:szCs w:val="28"/>
          <w:lang w:val="en-US" w:eastAsia="zh-CN"/>
        </w:rPr>
        <w:t>，或微信号：</w:t>
      </w:r>
      <w:r>
        <w:rPr>
          <w:rStyle w:val="29"/>
          <w:rFonts w:hint="default" w:ascii="仿宋_GB2312" w:hAnsi="仿宋_GB2312" w:eastAsia="仿宋_GB2312" w:cs="仿宋_GB2312"/>
          <w:color w:val="0000FF"/>
          <w:sz w:val="28"/>
          <w:szCs w:val="28"/>
          <w:u w:val="single"/>
          <w:lang w:val="en-US" w:eastAsia="zh-CN"/>
        </w:rPr>
        <w:t xml:space="preserve">      </w:t>
      </w:r>
      <w:r>
        <w:rPr>
          <w:rStyle w:val="29"/>
          <w:rFonts w:hint="default" w:ascii="仿宋_GB2312" w:hAnsi="仿宋_GB2312" w:eastAsia="仿宋_GB2312" w:cs="仿宋_GB2312"/>
          <w:color w:val="0000FF"/>
          <w:sz w:val="28"/>
          <w:szCs w:val="28"/>
          <w:lang w:val="en-US" w:eastAsia="zh-CN"/>
        </w:rPr>
        <w:t>。</w:t>
      </w:r>
    </w:p>
    <w:p>
      <w:pPr>
        <w:keepNext w:val="0"/>
        <w:keepLines w:val="0"/>
        <w:pageBreakBefore w:val="0"/>
        <w:widowControl w:val="0"/>
        <w:tabs>
          <w:tab w:val="left" w:pos="704"/>
        </w:tabs>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default" w:ascii="仿宋_GB2312" w:hAnsi="仿宋_GB2312" w:eastAsia="仿宋_GB2312" w:cs="仿宋_GB2312"/>
          <w:color w:val="0000FF"/>
          <w:sz w:val="28"/>
          <w:szCs w:val="28"/>
          <w:lang w:val="en-US" w:eastAsia="zh-CN"/>
        </w:rPr>
      </w:pPr>
      <w:r>
        <w:rPr>
          <w:rStyle w:val="29"/>
          <w:rFonts w:hint="eastAsia" w:ascii="仿宋_GB2312" w:hAnsi="仿宋_GB2312" w:eastAsia="仿宋_GB2312" w:cs="仿宋_GB2312"/>
          <w:color w:val="0000FF"/>
          <w:sz w:val="28"/>
          <w:szCs w:val="28"/>
          <w:lang w:val="en-US" w:eastAsia="zh-CN"/>
        </w:rPr>
        <w:t>3.</w:t>
      </w:r>
      <w:r>
        <w:rPr>
          <w:rStyle w:val="29"/>
          <w:rFonts w:hint="default" w:ascii="仿宋_GB2312" w:hAnsi="仿宋_GB2312" w:eastAsia="仿宋_GB2312" w:cs="仿宋_GB2312"/>
          <w:color w:val="0000FF"/>
          <w:sz w:val="28"/>
          <w:szCs w:val="28"/>
          <w:lang w:val="en-US" w:eastAsia="zh-CN"/>
        </w:rPr>
        <w:t>上述通知应被视为在下列时间送达：以快递或专人发送的，在收件人签收之日或拒收之日；以挂号邮件发出的，在发出之日起7个工作日；以电子邮件发出的，在电子邮件进入收件方电子邮箱服务器之日。</w:t>
      </w:r>
    </w:p>
    <w:p>
      <w:pPr>
        <w:keepNext w:val="0"/>
        <w:keepLines w:val="0"/>
        <w:pageBreakBefore w:val="0"/>
        <w:widowControl w:val="0"/>
        <w:tabs>
          <w:tab w:val="left" w:pos="704"/>
        </w:tabs>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default" w:ascii="仿宋_GB2312" w:hAnsi="仿宋_GB2312" w:eastAsia="仿宋_GB2312" w:cs="仿宋_GB2312"/>
          <w:color w:val="0000FF"/>
          <w:sz w:val="28"/>
          <w:szCs w:val="28"/>
          <w:lang w:val="en-US" w:eastAsia="zh-CN"/>
        </w:rPr>
      </w:pPr>
      <w:r>
        <w:rPr>
          <w:rStyle w:val="29"/>
          <w:rFonts w:hint="eastAsia" w:ascii="仿宋_GB2312" w:hAnsi="仿宋_GB2312" w:eastAsia="仿宋_GB2312" w:cs="仿宋_GB2312"/>
          <w:color w:val="0000FF"/>
          <w:sz w:val="28"/>
          <w:szCs w:val="28"/>
          <w:lang w:val="en-US" w:eastAsia="zh-CN"/>
        </w:rPr>
        <w:t>4.</w:t>
      </w:r>
      <w:r>
        <w:rPr>
          <w:rStyle w:val="29"/>
          <w:rFonts w:hint="default" w:ascii="仿宋_GB2312" w:hAnsi="仿宋_GB2312" w:eastAsia="仿宋_GB2312" w:cs="仿宋_GB2312"/>
          <w:color w:val="0000FF"/>
          <w:sz w:val="28"/>
          <w:szCs w:val="28"/>
          <w:lang w:val="en-US" w:eastAsia="zh-CN"/>
        </w:rPr>
        <w:t>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pPr>
        <w:keepNext w:val="0"/>
        <w:keepLines w:val="0"/>
        <w:pageBreakBefore w:val="0"/>
        <w:widowControl w:val="0"/>
        <w:tabs>
          <w:tab w:val="left" w:pos="704"/>
        </w:tabs>
        <w:kinsoku/>
        <w:wordWrap/>
        <w:overflowPunct/>
        <w:topLinePunct w:val="0"/>
        <w:autoSpaceDE/>
        <w:autoSpaceDN/>
        <w:bidi w:val="0"/>
        <w:adjustRightInd/>
        <w:snapToGrid/>
        <w:spacing w:beforeAutospacing="0" w:line="520" w:lineRule="exact"/>
        <w:ind w:left="0" w:firstLine="562" w:firstLineChars="200"/>
        <w:textAlignment w:val="baseline"/>
        <w:rPr>
          <w:rStyle w:val="29"/>
          <w:rFonts w:hint="eastAsia" w:ascii="仿宋_GB2312" w:hAnsi="仿宋_GB2312" w:eastAsia="仿宋_GB2312" w:cs="仿宋_GB2312"/>
          <w:b/>
          <w:bCs/>
          <w:color w:val="0000FF"/>
          <w:sz w:val="28"/>
          <w:szCs w:val="28"/>
          <w:lang w:val="en-US" w:eastAsia="zh-CN"/>
        </w:rPr>
      </w:pPr>
      <w:r>
        <w:rPr>
          <w:rStyle w:val="29"/>
          <w:rFonts w:hint="eastAsia" w:ascii="仿宋_GB2312" w:hAnsi="仿宋_GB2312" w:eastAsia="仿宋_GB2312" w:cs="仿宋_GB2312"/>
          <w:b/>
          <w:bCs/>
          <w:color w:val="0000FF"/>
          <w:sz w:val="28"/>
          <w:szCs w:val="28"/>
          <w:lang w:val="en-US" w:eastAsia="zh-CN"/>
        </w:rPr>
        <w:t>十、合同的变更、解除</w:t>
      </w:r>
    </w:p>
    <w:p>
      <w:pPr>
        <w:keepNext w:val="0"/>
        <w:keepLines w:val="0"/>
        <w:pageBreakBefore w:val="0"/>
        <w:widowControl w:val="0"/>
        <w:tabs>
          <w:tab w:val="left" w:pos="704"/>
        </w:tabs>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eastAsia" w:ascii="仿宋_GB2312" w:hAnsi="仿宋_GB2312" w:eastAsia="仿宋_GB2312" w:cs="仿宋_GB2312"/>
          <w:color w:val="0000FF"/>
          <w:sz w:val="28"/>
          <w:szCs w:val="28"/>
          <w:lang w:val="en-US" w:eastAsia="zh-CN"/>
        </w:rPr>
      </w:pPr>
      <w:r>
        <w:rPr>
          <w:rStyle w:val="29"/>
          <w:rFonts w:hint="eastAsia" w:ascii="仿宋_GB2312" w:hAnsi="仿宋_GB2312" w:eastAsia="仿宋_GB2312" w:cs="仿宋_GB2312"/>
          <w:color w:val="0000FF"/>
          <w:sz w:val="28"/>
          <w:szCs w:val="28"/>
          <w:lang w:val="en-US" w:eastAsia="zh-CN"/>
        </w:rPr>
        <w:t>1.本合同经双方协商一致后可以变更，双方应另行签订补充协议。</w:t>
      </w:r>
    </w:p>
    <w:p>
      <w:pPr>
        <w:keepNext w:val="0"/>
        <w:keepLines w:val="0"/>
        <w:pageBreakBefore w:val="0"/>
        <w:widowControl w:val="0"/>
        <w:tabs>
          <w:tab w:val="left" w:pos="704"/>
        </w:tabs>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eastAsia" w:ascii="仿宋_GB2312" w:hAnsi="仿宋_GB2312" w:eastAsia="仿宋_GB2312" w:cs="仿宋_GB2312"/>
          <w:color w:val="0000FF"/>
          <w:sz w:val="28"/>
          <w:szCs w:val="28"/>
          <w:lang w:val="en-US" w:eastAsia="zh-CN"/>
        </w:rPr>
      </w:pPr>
      <w:r>
        <w:rPr>
          <w:rStyle w:val="29"/>
          <w:rFonts w:hint="eastAsia" w:ascii="仿宋_GB2312" w:hAnsi="仿宋_GB2312" w:eastAsia="仿宋_GB2312" w:cs="仿宋_GB2312"/>
          <w:color w:val="0000FF"/>
          <w:sz w:val="28"/>
          <w:szCs w:val="28"/>
          <w:lang w:val="en-US" w:eastAsia="zh-CN"/>
        </w:rPr>
        <w:t>2.如甲方因政策变化等非自身主观原因不需要购买本合同全部服务，经书面通知乙方后可以提前终止本合同；如甲方因运营需要等原因不需要购买本合同部分服务，不需要购买的部分自动从采购内容中剔除。</w:t>
      </w:r>
    </w:p>
    <w:p>
      <w:pPr>
        <w:keepNext w:val="0"/>
        <w:keepLines w:val="0"/>
        <w:pageBreakBefore w:val="0"/>
        <w:widowControl w:val="0"/>
        <w:tabs>
          <w:tab w:val="left" w:pos="704"/>
        </w:tabs>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eastAsia" w:ascii="仿宋_GB2312" w:hAnsi="仿宋_GB2312" w:eastAsia="仿宋_GB2312" w:cs="仿宋_GB2312"/>
          <w:color w:val="0000FF"/>
          <w:sz w:val="28"/>
          <w:szCs w:val="28"/>
          <w:lang w:val="en-US" w:eastAsia="zh-CN"/>
        </w:rPr>
      </w:pPr>
      <w:r>
        <w:rPr>
          <w:rStyle w:val="29"/>
          <w:rFonts w:hint="eastAsia" w:ascii="仿宋_GB2312" w:hAnsi="仿宋_GB2312" w:eastAsia="仿宋_GB2312" w:cs="仿宋_GB2312"/>
          <w:color w:val="0000FF"/>
          <w:sz w:val="28"/>
          <w:szCs w:val="28"/>
          <w:lang w:val="en-US" w:eastAsia="zh-CN"/>
        </w:rPr>
        <w:t>3.乙方出现以下违约情形之一的，甲方有权解除合同：</w:t>
      </w:r>
    </w:p>
    <w:p>
      <w:pPr>
        <w:keepNext w:val="0"/>
        <w:keepLines w:val="0"/>
        <w:pageBreakBefore w:val="0"/>
        <w:widowControl w:val="0"/>
        <w:tabs>
          <w:tab w:val="left" w:pos="704"/>
        </w:tabs>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eastAsia" w:ascii="仿宋_GB2312" w:hAnsi="仿宋_GB2312" w:eastAsia="仿宋_GB2312" w:cs="仿宋_GB2312"/>
          <w:color w:val="0000FF"/>
          <w:sz w:val="28"/>
          <w:szCs w:val="28"/>
          <w:lang w:val="en-US" w:eastAsia="zh-CN"/>
        </w:rPr>
      </w:pPr>
      <w:r>
        <w:rPr>
          <w:rStyle w:val="29"/>
          <w:rFonts w:hint="eastAsia" w:ascii="仿宋_GB2312" w:hAnsi="仿宋_GB2312" w:eastAsia="仿宋_GB2312" w:cs="仿宋_GB2312"/>
          <w:color w:val="0000FF"/>
          <w:sz w:val="28"/>
          <w:szCs w:val="28"/>
          <w:lang w:val="en-US" w:eastAsia="zh-CN"/>
        </w:rPr>
        <w:t>（1）甲方未在本合同期限内通过国家药品监督管理局I期临床研究中心备案；</w:t>
      </w:r>
    </w:p>
    <w:p>
      <w:pPr>
        <w:keepNext w:val="0"/>
        <w:keepLines w:val="0"/>
        <w:pageBreakBefore w:val="0"/>
        <w:widowControl w:val="0"/>
        <w:tabs>
          <w:tab w:val="left" w:pos="704"/>
        </w:tabs>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default" w:ascii="仿宋_GB2312" w:hAnsi="仿宋_GB2312" w:eastAsia="仿宋_GB2312" w:cs="仿宋_GB2312"/>
          <w:color w:val="0000FF"/>
          <w:sz w:val="28"/>
          <w:szCs w:val="28"/>
          <w:lang w:val="en-US" w:eastAsia="zh-CN"/>
        </w:rPr>
      </w:pPr>
      <w:r>
        <w:rPr>
          <w:rStyle w:val="29"/>
          <w:rFonts w:hint="eastAsia" w:ascii="仿宋_GB2312" w:hAnsi="仿宋_GB2312" w:eastAsia="仿宋_GB2312" w:cs="仿宋_GB2312"/>
          <w:color w:val="0000FF"/>
          <w:sz w:val="28"/>
          <w:szCs w:val="28"/>
          <w:lang w:val="en-US" w:eastAsia="zh-CN"/>
        </w:rPr>
        <w:t>（2）乙方未在本合同服务期限内完成全部专项服务；</w:t>
      </w:r>
    </w:p>
    <w:p>
      <w:pPr>
        <w:keepNext w:val="0"/>
        <w:keepLines w:val="0"/>
        <w:pageBreakBefore w:val="0"/>
        <w:widowControl w:val="0"/>
        <w:tabs>
          <w:tab w:val="left" w:pos="704"/>
        </w:tabs>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eastAsia" w:ascii="仿宋_GB2312" w:hAnsi="仿宋_GB2312" w:eastAsia="仿宋_GB2312" w:cs="仿宋_GB2312"/>
          <w:color w:val="0000FF"/>
          <w:sz w:val="28"/>
          <w:szCs w:val="28"/>
          <w:lang w:val="en-US" w:eastAsia="zh-CN"/>
        </w:rPr>
      </w:pPr>
      <w:r>
        <w:rPr>
          <w:rStyle w:val="29"/>
          <w:rFonts w:hint="eastAsia" w:ascii="仿宋_GB2312" w:hAnsi="仿宋_GB2312" w:eastAsia="仿宋_GB2312" w:cs="仿宋_GB2312"/>
          <w:color w:val="0000FF"/>
          <w:sz w:val="28"/>
          <w:szCs w:val="28"/>
          <w:lang w:val="en-US" w:eastAsia="zh-CN"/>
        </w:rPr>
        <w:t>（3）乙方将本合同权利义务全部或部分转让给第三方；</w:t>
      </w:r>
    </w:p>
    <w:p>
      <w:pPr>
        <w:keepNext w:val="0"/>
        <w:keepLines w:val="0"/>
        <w:pageBreakBefore w:val="0"/>
        <w:widowControl w:val="0"/>
        <w:tabs>
          <w:tab w:val="left" w:pos="704"/>
        </w:tabs>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default" w:ascii="仿宋_GB2312" w:hAnsi="仿宋_GB2312" w:eastAsia="仿宋_GB2312" w:cs="仿宋_GB2312"/>
          <w:color w:val="0000FF"/>
          <w:sz w:val="28"/>
          <w:szCs w:val="28"/>
          <w:lang w:val="en-US" w:eastAsia="zh-CN"/>
        </w:rPr>
      </w:pPr>
      <w:r>
        <w:rPr>
          <w:rStyle w:val="29"/>
          <w:rFonts w:hint="eastAsia" w:ascii="仿宋_GB2312" w:hAnsi="仿宋_GB2312" w:eastAsia="仿宋_GB2312" w:cs="仿宋_GB2312"/>
          <w:color w:val="0000FF"/>
          <w:sz w:val="28"/>
          <w:szCs w:val="28"/>
          <w:lang w:val="en-US" w:eastAsia="zh-CN"/>
        </w:rPr>
        <w:t>（4）其他根本违约的情形。</w:t>
      </w:r>
    </w:p>
    <w:p>
      <w:pPr>
        <w:keepNext w:val="0"/>
        <w:keepLines w:val="0"/>
        <w:pageBreakBefore w:val="0"/>
        <w:widowControl w:val="0"/>
        <w:kinsoku/>
        <w:wordWrap/>
        <w:overflowPunct/>
        <w:topLinePunct w:val="0"/>
        <w:autoSpaceDE/>
        <w:autoSpaceDN/>
        <w:bidi w:val="0"/>
        <w:adjustRightInd/>
        <w:snapToGrid/>
        <w:spacing w:beforeAutospacing="0" w:line="520" w:lineRule="exact"/>
        <w:ind w:left="0" w:firstLine="562" w:firstLineChars="200"/>
        <w:textAlignment w:val="baseline"/>
        <w:rPr>
          <w:rStyle w:val="29"/>
          <w:rFonts w:hint="eastAsia" w:ascii="仿宋_GB2312" w:hAnsi="仿宋_GB2312" w:eastAsia="仿宋_GB2312" w:cs="仿宋_GB2312"/>
          <w:b/>
          <w:bCs/>
          <w:sz w:val="28"/>
          <w:szCs w:val="28"/>
          <w:lang w:val="en-US" w:eastAsia="zh-CN"/>
        </w:rPr>
      </w:pPr>
      <w:r>
        <w:rPr>
          <w:rStyle w:val="29"/>
          <w:rFonts w:hint="eastAsia" w:ascii="仿宋_GB2312" w:hAnsi="仿宋_GB2312" w:eastAsia="仿宋_GB2312" w:cs="仿宋_GB2312"/>
          <w:b/>
          <w:bCs/>
          <w:sz w:val="28"/>
          <w:szCs w:val="28"/>
          <w:lang w:val="en-US" w:eastAsia="zh-CN"/>
        </w:rPr>
        <w:t>十一、违约责任</w:t>
      </w:r>
    </w:p>
    <w:p>
      <w:pPr>
        <w:keepNext w:val="0"/>
        <w:keepLines w:val="0"/>
        <w:pageBreakBefore w:val="0"/>
        <w:widowControl w:val="0"/>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eastAsia" w:ascii="仿宋_GB2312" w:hAnsi="仿宋_GB2312" w:eastAsia="仿宋_GB2312" w:cs="仿宋_GB2312"/>
          <w:color w:val="0000FF"/>
          <w:sz w:val="28"/>
          <w:szCs w:val="28"/>
          <w:lang w:val="en-US" w:eastAsia="zh-CN"/>
        </w:rPr>
      </w:pPr>
      <w:r>
        <w:rPr>
          <w:rStyle w:val="29"/>
          <w:rFonts w:hint="eastAsia" w:ascii="仿宋_GB2312" w:hAnsi="仿宋_GB2312" w:eastAsia="仿宋_GB2312" w:cs="仿宋_GB2312"/>
          <w:color w:val="0000FF"/>
          <w:sz w:val="28"/>
          <w:szCs w:val="28"/>
          <w:lang w:val="en-US" w:eastAsia="zh-CN"/>
        </w:rPr>
        <w:t>1.甲方因第十条第二</w:t>
      </w:r>
      <w:r>
        <w:rPr>
          <w:rStyle w:val="29"/>
          <w:rFonts w:hint="eastAsia" w:ascii="仿宋_GB2312" w:hAnsi="仿宋_GB2312" w:eastAsia="仿宋_GB2312" w:cs="仿宋_GB2312"/>
          <w:color w:val="FF0000"/>
          <w:sz w:val="28"/>
          <w:szCs w:val="28"/>
          <w:lang w:val="en-US" w:eastAsia="zh-CN"/>
        </w:rPr>
        <w:t>项</w:t>
      </w:r>
      <w:r>
        <w:rPr>
          <w:rStyle w:val="29"/>
          <w:rFonts w:hint="eastAsia" w:ascii="仿宋_GB2312" w:hAnsi="仿宋_GB2312" w:eastAsia="仿宋_GB2312" w:cs="仿宋_GB2312"/>
          <w:color w:val="0000FF"/>
          <w:sz w:val="28"/>
          <w:szCs w:val="28"/>
          <w:lang w:val="en-US" w:eastAsia="zh-CN"/>
        </w:rPr>
        <w:t>情形提前终止本合同或剔除部分采购内容均无须承担违约责任，乙方不得因此要求甲方予以任何经济赔偿或补偿。</w:t>
      </w:r>
    </w:p>
    <w:p>
      <w:pPr>
        <w:keepNext w:val="0"/>
        <w:keepLines w:val="0"/>
        <w:pageBreakBefore w:val="0"/>
        <w:widowControl w:val="0"/>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default" w:ascii="仿宋_GB2312" w:hAnsi="仿宋_GB2312" w:eastAsia="仿宋_GB2312" w:cs="仿宋_GB2312"/>
          <w:color w:val="0000FF"/>
          <w:sz w:val="28"/>
          <w:szCs w:val="28"/>
          <w:lang w:val="en-US" w:eastAsia="zh-CN"/>
        </w:rPr>
      </w:pPr>
      <w:r>
        <w:rPr>
          <w:rStyle w:val="29"/>
          <w:rFonts w:hint="eastAsia" w:ascii="仿宋_GB2312" w:hAnsi="仿宋_GB2312" w:eastAsia="仿宋_GB2312" w:cs="仿宋_GB2312"/>
          <w:color w:val="0000FF"/>
          <w:sz w:val="28"/>
          <w:szCs w:val="28"/>
          <w:lang w:val="en-US" w:eastAsia="zh-CN"/>
        </w:rPr>
        <w:t>2.</w:t>
      </w:r>
      <w:r>
        <w:rPr>
          <w:rStyle w:val="29"/>
          <w:rFonts w:hint="eastAsia" w:ascii="仿宋_GB2312" w:hAnsi="仿宋_GB2312" w:eastAsia="仿宋_GB2312" w:cs="仿宋_GB2312"/>
          <w:sz w:val="28"/>
          <w:szCs w:val="28"/>
        </w:rPr>
        <w:t>除</w:t>
      </w:r>
      <w:r>
        <w:rPr>
          <w:rStyle w:val="29"/>
          <w:rFonts w:hint="eastAsia" w:ascii="仿宋_GB2312" w:hAnsi="仿宋_GB2312" w:eastAsia="仿宋_GB2312" w:cs="仿宋_GB2312"/>
          <w:sz w:val="28"/>
          <w:szCs w:val="28"/>
          <w:lang w:val="en-US" w:eastAsia="zh-CN"/>
        </w:rPr>
        <w:t>任何一方违反保密义务，除应赔偿对方造成的经济损失外，还应向对方支付违约金</w:t>
      </w:r>
      <w:r>
        <w:rPr>
          <w:rStyle w:val="29"/>
          <w:rFonts w:hint="eastAsia" w:ascii="仿宋_GB2312" w:hAnsi="仿宋_GB2312" w:eastAsia="仿宋_GB2312" w:cs="仿宋_GB2312"/>
          <w:sz w:val="28"/>
          <w:szCs w:val="28"/>
          <w:u w:val="single"/>
          <w:lang w:val="en-US" w:eastAsia="zh-CN"/>
        </w:rPr>
        <w:t xml:space="preserve"> </w:t>
      </w:r>
      <w:r>
        <w:rPr>
          <w:rStyle w:val="29"/>
          <w:rFonts w:hint="eastAsia" w:ascii="仿宋_GB2312" w:hAnsi="仿宋_GB2312" w:eastAsia="仿宋_GB2312" w:cs="仿宋_GB2312"/>
          <w:color w:val="0000FF"/>
          <w:sz w:val="28"/>
          <w:szCs w:val="28"/>
          <w:u w:val="single"/>
          <w:lang w:val="en-US" w:eastAsia="zh-CN"/>
        </w:rPr>
        <w:t>10000</w:t>
      </w:r>
      <w:r>
        <w:rPr>
          <w:rStyle w:val="29"/>
          <w:rFonts w:hint="eastAsia" w:ascii="仿宋_GB2312" w:hAnsi="仿宋_GB2312" w:eastAsia="仿宋_GB2312" w:cs="仿宋_GB2312"/>
          <w:sz w:val="28"/>
          <w:szCs w:val="28"/>
          <w:u w:val="single"/>
          <w:lang w:val="en-US" w:eastAsia="zh-CN"/>
        </w:rPr>
        <w:t xml:space="preserve"> </w:t>
      </w:r>
      <w:r>
        <w:rPr>
          <w:rStyle w:val="29"/>
          <w:rFonts w:hint="eastAsia" w:ascii="仿宋_GB2312" w:hAnsi="仿宋_GB2312" w:eastAsia="仿宋_GB2312" w:cs="仿宋_GB2312"/>
          <w:sz w:val="28"/>
          <w:szCs w:val="28"/>
          <w:lang w:val="en-US" w:eastAsia="zh-CN"/>
        </w:rPr>
        <w:t>元。</w:t>
      </w:r>
    </w:p>
    <w:p>
      <w:pPr>
        <w:keepNext w:val="0"/>
        <w:keepLines w:val="0"/>
        <w:pageBreakBefore w:val="0"/>
        <w:widowControl w:val="0"/>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eastAsia" w:ascii="仿宋_GB2312" w:hAnsi="仿宋_GB2312" w:eastAsia="仿宋_GB2312" w:cs="仿宋_GB2312"/>
          <w:color w:val="0000FF"/>
          <w:sz w:val="28"/>
          <w:szCs w:val="28"/>
          <w:lang w:val="en-US" w:eastAsia="zh-CN"/>
        </w:rPr>
      </w:pPr>
      <w:r>
        <w:rPr>
          <w:rStyle w:val="29"/>
          <w:rFonts w:hint="eastAsia" w:ascii="仿宋_GB2312" w:hAnsi="仿宋_GB2312" w:eastAsia="仿宋_GB2312" w:cs="仿宋_GB2312"/>
          <w:color w:val="0000FF"/>
          <w:sz w:val="28"/>
          <w:szCs w:val="28"/>
          <w:lang w:val="en-US" w:eastAsia="zh-CN"/>
        </w:rPr>
        <w:t>3.如乙方单方解除合同或甲方因第十条第三</w:t>
      </w:r>
      <w:r>
        <w:rPr>
          <w:rStyle w:val="29"/>
          <w:rFonts w:hint="eastAsia" w:ascii="仿宋_GB2312" w:hAnsi="仿宋_GB2312" w:eastAsia="仿宋_GB2312" w:cs="仿宋_GB2312"/>
          <w:color w:val="FF0000"/>
          <w:sz w:val="28"/>
          <w:szCs w:val="28"/>
          <w:lang w:val="en-US" w:eastAsia="zh-CN"/>
        </w:rPr>
        <w:t>项</w:t>
      </w:r>
      <w:r>
        <w:rPr>
          <w:rStyle w:val="29"/>
          <w:rFonts w:hint="eastAsia" w:ascii="仿宋_GB2312" w:hAnsi="仿宋_GB2312" w:eastAsia="仿宋_GB2312" w:cs="仿宋_GB2312"/>
          <w:color w:val="0000FF"/>
          <w:sz w:val="28"/>
          <w:szCs w:val="28"/>
          <w:lang w:val="en-US" w:eastAsia="zh-CN"/>
        </w:rPr>
        <w:t>情形解除合同，乙方除返还甲方已支付费用并赔偿甲方由此造成的全部损失（包括但不限于实际经济损失，因纠纷产生的律师费、诉讼费、差旅费、保全保险费等）外，还须按本合同总价款20%标准向甲方支付违约金。</w:t>
      </w:r>
    </w:p>
    <w:p>
      <w:pPr>
        <w:keepNext w:val="0"/>
        <w:keepLines w:val="0"/>
        <w:pageBreakBefore w:val="0"/>
        <w:widowControl w:val="0"/>
        <w:kinsoku/>
        <w:wordWrap/>
        <w:overflowPunct/>
        <w:topLinePunct w:val="0"/>
        <w:autoSpaceDE/>
        <w:autoSpaceDN/>
        <w:bidi w:val="0"/>
        <w:adjustRightInd/>
        <w:snapToGrid/>
        <w:spacing w:beforeAutospacing="0" w:line="520" w:lineRule="exact"/>
        <w:ind w:left="0" w:firstLine="562" w:firstLineChars="200"/>
        <w:textAlignment w:val="baseline"/>
        <w:rPr>
          <w:rStyle w:val="29"/>
          <w:rFonts w:hint="eastAsia" w:ascii="仿宋_GB2312" w:hAnsi="仿宋_GB2312" w:eastAsia="仿宋_GB2312" w:cs="仿宋_GB2312"/>
          <w:color w:val="0000FF"/>
          <w:sz w:val="28"/>
          <w:szCs w:val="28"/>
          <w:lang w:val="en-US" w:eastAsia="zh-CN"/>
        </w:rPr>
      </w:pPr>
      <w:r>
        <w:rPr>
          <w:rStyle w:val="29"/>
          <w:rFonts w:hint="eastAsia" w:ascii="仿宋_GB2312" w:hAnsi="仿宋_GB2312" w:eastAsia="仿宋_GB2312" w:cs="仿宋_GB2312"/>
          <w:b/>
          <w:bCs/>
          <w:color w:val="0000FF"/>
          <w:sz w:val="28"/>
          <w:szCs w:val="28"/>
          <w:u w:val="single"/>
          <w:lang w:val="en-US" w:eastAsia="zh-CN"/>
        </w:rPr>
        <w:t>4.无论甲方在任意时候（不限于本合同履行期间）发现存在违反本合同廉洁条款，乙方均须向甲方一次性支付惩罚性违约金20000元。如乙方除需承担违反廉洁条款，同时存在其他违约行为，乙方仍须就其他违约行为承担相应违约责任。</w:t>
      </w:r>
    </w:p>
    <w:p>
      <w:pPr>
        <w:keepNext w:val="0"/>
        <w:keepLines w:val="0"/>
        <w:pageBreakBefore w:val="0"/>
        <w:widowControl w:val="0"/>
        <w:kinsoku/>
        <w:wordWrap/>
        <w:overflowPunct/>
        <w:topLinePunct w:val="0"/>
        <w:autoSpaceDE/>
        <w:autoSpaceDN/>
        <w:bidi w:val="0"/>
        <w:adjustRightInd/>
        <w:snapToGrid/>
        <w:spacing w:beforeAutospacing="0" w:line="520" w:lineRule="exact"/>
        <w:ind w:left="0" w:firstLine="562" w:firstLineChars="200"/>
        <w:textAlignment w:val="baseline"/>
        <w:rPr>
          <w:rStyle w:val="29"/>
          <w:rFonts w:hint="eastAsia" w:ascii="仿宋_GB2312" w:hAnsi="仿宋_GB2312" w:eastAsia="仿宋_GB2312" w:cs="仿宋_GB2312"/>
          <w:sz w:val="28"/>
          <w:szCs w:val="28"/>
          <w:lang w:val="en-US" w:eastAsia="zh-CN"/>
        </w:rPr>
      </w:pPr>
      <w:r>
        <w:rPr>
          <w:rStyle w:val="29"/>
          <w:rFonts w:hint="eastAsia" w:ascii="仿宋_GB2312" w:hAnsi="仿宋_GB2312" w:eastAsia="仿宋_GB2312" w:cs="仿宋_GB2312"/>
          <w:b/>
          <w:bCs/>
          <w:color w:val="0000FF"/>
          <w:sz w:val="28"/>
          <w:szCs w:val="28"/>
          <w:u w:val="single"/>
          <w:lang w:val="en-US" w:eastAsia="zh-CN"/>
        </w:rPr>
        <w:t>5.依据本合同约定乙方应支付给甲方的违约金，甲方有权在应支付给乙方的任意价款中直接予以扣除，如扣除部分不足，乙方应在接到甲方通知后3日内补足。</w:t>
      </w:r>
    </w:p>
    <w:p>
      <w:pPr>
        <w:keepNext w:val="0"/>
        <w:keepLines w:val="0"/>
        <w:pageBreakBefore w:val="0"/>
        <w:widowControl w:val="0"/>
        <w:kinsoku/>
        <w:wordWrap/>
        <w:overflowPunct/>
        <w:topLinePunct w:val="0"/>
        <w:autoSpaceDE/>
        <w:autoSpaceDN/>
        <w:bidi w:val="0"/>
        <w:adjustRightInd/>
        <w:snapToGrid/>
        <w:spacing w:beforeAutospacing="0" w:line="520" w:lineRule="exact"/>
        <w:ind w:left="0" w:firstLine="562" w:firstLineChars="200"/>
        <w:textAlignment w:val="baseline"/>
        <w:rPr>
          <w:rStyle w:val="29"/>
          <w:rFonts w:hint="eastAsia" w:ascii="仿宋_GB2312" w:hAnsi="仿宋_GB2312" w:eastAsia="仿宋_GB2312" w:cs="仿宋_GB2312"/>
          <w:b/>
          <w:bCs/>
          <w:sz w:val="28"/>
          <w:szCs w:val="28"/>
          <w:lang w:val="en-US" w:eastAsia="zh-CN"/>
        </w:rPr>
      </w:pPr>
      <w:r>
        <w:rPr>
          <w:rStyle w:val="29"/>
          <w:rFonts w:hint="eastAsia" w:ascii="仿宋_GB2312" w:hAnsi="仿宋_GB2312" w:eastAsia="仿宋_GB2312" w:cs="仿宋_GB2312"/>
          <w:b/>
          <w:bCs/>
          <w:sz w:val="28"/>
          <w:szCs w:val="28"/>
          <w:lang w:val="en-US" w:eastAsia="zh-CN"/>
        </w:rPr>
        <w:t>十二</w:t>
      </w:r>
      <w:r>
        <w:rPr>
          <w:rStyle w:val="29"/>
          <w:rFonts w:hint="eastAsia" w:ascii="仿宋_GB2312" w:hAnsi="仿宋_GB2312" w:eastAsia="仿宋_GB2312" w:cs="仿宋_GB2312"/>
          <w:b/>
          <w:bCs/>
          <w:sz w:val="28"/>
          <w:szCs w:val="28"/>
        </w:rPr>
        <w:t>、</w:t>
      </w:r>
      <w:r>
        <w:rPr>
          <w:rStyle w:val="29"/>
          <w:rFonts w:hint="eastAsia" w:ascii="仿宋_GB2312" w:hAnsi="仿宋_GB2312" w:eastAsia="仿宋_GB2312" w:cs="仿宋_GB2312"/>
          <w:b/>
          <w:bCs/>
          <w:sz w:val="28"/>
          <w:szCs w:val="28"/>
          <w:lang w:val="en-US" w:eastAsia="zh-CN"/>
        </w:rPr>
        <w:t>争议解决方式</w:t>
      </w:r>
    </w:p>
    <w:p>
      <w:pPr>
        <w:keepNext w:val="0"/>
        <w:keepLines w:val="0"/>
        <w:pageBreakBefore w:val="0"/>
        <w:widowControl w:val="0"/>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eastAsia" w:ascii="仿宋_GB2312" w:hAnsi="仿宋_GB2312" w:eastAsia="仿宋_GB2312" w:cs="仿宋_GB2312"/>
          <w:sz w:val="28"/>
          <w:szCs w:val="28"/>
        </w:rPr>
      </w:pPr>
      <w:r>
        <w:rPr>
          <w:rStyle w:val="29"/>
          <w:rFonts w:hint="eastAsia" w:ascii="仿宋_GB2312" w:hAnsi="仿宋_GB2312" w:eastAsia="仿宋_GB2312" w:cs="仿宋_GB2312"/>
          <w:sz w:val="28"/>
          <w:szCs w:val="28"/>
        </w:rPr>
        <w:t>双方</w:t>
      </w:r>
      <w:r>
        <w:rPr>
          <w:rStyle w:val="29"/>
          <w:rFonts w:hint="eastAsia" w:ascii="仿宋_GB2312" w:hAnsi="仿宋_GB2312" w:eastAsia="仿宋_GB2312" w:cs="仿宋_GB2312"/>
          <w:sz w:val="28"/>
          <w:szCs w:val="28"/>
          <w:lang w:val="en-US" w:eastAsia="zh-CN"/>
        </w:rPr>
        <w:t>在</w:t>
      </w:r>
      <w:r>
        <w:rPr>
          <w:rStyle w:val="29"/>
          <w:rFonts w:hint="eastAsia" w:ascii="仿宋_GB2312" w:hAnsi="仿宋_GB2312" w:eastAsia="仿宋_GB2312" w:cs="仿宋_GB2312"/>
          <w:sz w:val="28"/>
          <w:szCs w:val="28"/>
        </w:rPr>
        <w:t>履行本合同</w:t>
      </w:r>
      <w:r>
        <w:rPr>
          <w:rStyle w:val="29"/>
          <w:rFonts w:hint="eastAsia" w:ascii="仿宋_GB2312" w:hAnsi="仿宋_GB2312" w:eastAsia="仿宋_GB2312" w:cs="仿宋_GB2312"/>
          <w:sz w:val="28"/>
          <w:szCs w:val="28"/>
          <w:lang w:val="en-US" w:eastAsia="zh-CN"/>
        </w:rPr>
        <w:t>过程中</w:t>
      </w:r>
      <w:r>
        <w:rPr>
          <w:rStyle w:val="29"/>
          <w:rFonts w:hint="eastAsia" w:ascii="仿宋_GB2312" w:hAnsi="仿宋_GB2312" w:eastAsia="仿宋_GB2312" w:cs="仿宋_GB2312"/>
          <w:sz w:val="28"/>
          <w:szCs w:val="28"/>
        </w:rPr>
        <w:t>发生争议，先协商解决。如协商不成，</w:t>
      </w:r>
      <w:r>
        <w:rPr>
          <w:rStyle w:val="29"/>
          <w:rFonts w:hint="eastAsia" w:ascii="仿宋_GB2312" w:hAnsi="仿宋_GB2312" w:eastAsia="仿宋_GB2312" w:cs="仿宋_GB2312"/>
          <w:sz w:val="28"/>
          <w:szCs w:val="28"/>
          <w:lang w:val="en-US" w:eastAsia="zh-CN"/>
        </w:rPr>
        <w:t>任何一方可</w:t>
      </w:r>
      <w:r>
        <w:rPr>
          <w:rStyle w:val="29"/>
          <w:rFonts w:hint="eastAsia" w:ascii="仿宋_GB2312" w:hAnsi="仿宋_GB2312" w:eastAsia="仿宋_GB2312" w:cs="仿宋_GB2312"/>
          <w:sz w:val="28"/>
          <w:szCs w:val="28"/>
        </w:rPr>
        <w:t>向</w:t>
      </w:r>
      <w:r>
        <w:rPr>
          <w:rStyle w:val="29"/>
          <w:rFonts w:hint="eastAsia" w:ascii="仿宋_GB2312" w:hAnsi="仿宋_GB2312" w:eastAsia="仿宋_GB2312" w:cs="仿宋_GB2312"/>
          <w:sz w:val="28"/>
          <w:szCs w:val="28"/>
          <w:lang w:val="en-US" w:eastAsia="zh-CN"/>
        </w:rPr>
        <w:t>甲</w:t>
      </w:r>
      <w:r>
        <w:rPr>
          <w:rStyle w:val="29"/>
          <w:rFonts w:hint="eastAsia" w:ascii="仿宋_GB2312" w:hAnsi="仿宋_GB2312" w:eastAsia="仿宋_GB2312" w:cs="仿宋_GB2312"/>
          <w:sz w:val="28"/>
          <w:szCs w:val="28"/>
        </w:rPr>
        <w:t>方所在地</w:t>
      </w:r>
      <w:r>
        <w:rPr>
          <w:rStyle w:val="29"/>
          <w:rFonts w:hint="eastAsia" w:ascii="仿宋_GB2312" w:hAnsi="仿宋_GB2312" w:eastAsia="仿宋_GB2312" w:cs="仿宋_GB2312"/>
          <w:color w:val="0000FF"/>
          <w:sz w:val="28"/>
          <w:szCs w:val="28"/>
        </w:rPr>
        <w:t>有管辖权的</w:t>
      </w:r>
      <w:r>
        <w:rPr>
          <w:rStyle w:val="29"/>
          <w:rFonts w:hint="eastAsia" w:ascii="仿宋_GB2312" w:hAnsi="仿宋_GB2312" w:eastAsia="仿宋_GB2312" w:cs="仿宋_GB2312"/>
          <w:sz w:val="28"/>
          <w:szCs w:val="28"/>
        </w:rPr>
        <w:t>人民法院</w:t>
      </w:r>
      <w:r>
        <w:rPr>
          <w:rStyle w:val="29"/>
          <w:rFonts w:hint="eastAsia" w:ascii="仿宋_GB2312" w:hAnsi="仿宋_GB2312" w:eastAsia="仿宋_GB2312" w:cs="仿宋_GB2312"/>
          <w:sz w:val="28"/>
          <w:szCs w:val="28"/>
          <w:lang w:val="en-US" w:eastAsia="zh-CN"/>
        </w:rPr>
        <w:t>提起诉讼解决</w:t>
      </w:r>
      <w:r>
        <w:rPr>
          <w:rStyle w:val="29"/>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autoSpaceDE/>
        <w:autoSpaceDN/>
        <w:bidi w:val="0"/>
        <w:adjustRightInd/>
        <w:snapToGrid/>
        <w:spacing w:beforeAutospacing="0" w:line="520" w:lineRule="exact"/>
        <w:ind w:left="0" w:firstLine="562" w:firstLineChars="200"/>
        <w:textAlignment w:val="baseline"/>
        <w:rPr>
          <w:rStyle w:val="29"/>
          <w:rFonts w:hint="eastAsia" w:ascii="仿宋_GB2312" w:hAnsi="仿宋_GB2312" w:eastAsia="仿宋_GB2312" w:cs="仿宋_GB2312"/>
          <w:b/>
          <w:bCs/>
          <w:sz w:val="28"/>
          <w:szCs w:val="28"/>
          <w:lang w:val="en-US"/>
        </w:rPr>
      </w:pPr>
      <w:r>
        <w:rPr>
          <w:rStyle w:val="29"/>
          <w:rFonts w:hint="eastAsia" w:ascii="仿宋_GB2312" w:hAnsi="仿宋_GB2312" w:eastAsia="仿宋_GB2312" w:cs="仿宋_GB2312"/>
          <w:b/>
          <w:bCs/>
          <w:sz w:val="28"/>
          <w:szCs w:val="28"/>
          <w:lang w:val="en-US" w:eastAsia="zh-CN"/>
        </w:rPr>
        <w:t>十三、附则</w:t>
      </w:r>
    </w:p>
    <w:p>
      <w:pPr>
        <w:keepNext w:val="0"/>
        <w:keepLines w:val="0"/>
        <w:pageBreakBefore w:val="0"/>
        <w:widowControl w:val="0"/>
        <w:kinsoku/>
        <w:wordWrap/>
        <w:overflowPunct/>
        <w:topLinePunct w:val="0"/>
        <w:autoSpaceDE/>
        <w:autoSpaceDN/>
        <w:bidi w:val="0"/>
        <w:adjustRightInd/>
        <w:snapToGrid/>
        <w:spacing w:beforeAutospacing="0" w:line="520" w:lineRule="exact"/>
        <w:ind w:left="0" w:firstLine="560" w:firstLineChars="200"/>
        <w:textAlignment w:val="baseline"/>
        <w:rPr>
          <w:rStyle w:val="29"/>
          <w:rFonts w:hint="eastAsia" w:ascii="仿宋_GB2312" w:hAnsi="仿宋_GB2312" w:eastAsia="仿宋_GB2312" w:cs="仿宋_GB2312"/>
          <w:sz w:val="28"/>
          <w:szCs w:val="28"/>
        </w:rPr>
      </w:pPr>
      <w:r>
        <w:rPr>
          <w:rStyle w:val="29"/>
          <w:rFonts w:hint="eastAsia" w:ascii="仿宋_GB2312" w:hAnsi="仿宋_GB2312" w:eastAsia="仿宋_GB2312" w:cs="仿宋_GB2312"/>
          <w:sz w:val="28"/>
          <w:szCs w:val="28"/>
        </w:rPr>
        <w:t>本合同一式肆份，甲</w:t>
      </w:r>
      <w:r>
        <w:rPr>
          <w:rStyle w:val="29"/>
          <w:rFonts w:hint="eastAsia" w:ascii="仿宋_GB2312" w:hAnsi="仿宋_GB2312" w:eastAsia="仿宋_GB2312" w:cs="仿宋_GB2312"/>
          <w:sz w:val="28"/>
          <w:szCs w:val="28"/>
          <w:lang w:eastAsia="zh-CN"/>
        </w:rPr>
        <w:t>、</w:t>
      </w:r>
      <w:r>
        <w:rPr>
          <w:rStyle w:val="29"/>
          <w:rFonts w:hint="eastAsia" w:ascii="仿宋_GB2312" w:hAnsi="仿宋_GB2312" w:eastAsia="仿宋_GB2312" w:cs="仿宋_GB2312"/>
          <w:sz w:val="28"/>
          <w:szCs w:val="28"/>
        </w:rPr>
        <w:t>乙</w:t>
      </w:r>
      <w:r>
        <w:rPr>
          <w:rStyle w:val="29"/>
          <w:rFonts w:hint="eastAsia" w:ascii="仿宋_GB2312" w:hAnsi="仿宋_GB2312" w:eastAsia="仿宋_GB2312" w:cs="仿宋_GB2312"/>
          <w:sz w:val="28"/>
          <w:szCs w:val="28"/>
          <w:lang w:val="en-US" w:eastAsia="zh-CN"/>
        </w:rPr>
        <w:t>双</w:t>
      </w:r>
      <w:r>
        <w:rPr>
          <w:rStyle w:val="29"/>
          <w:rFonts w:hint="eastAsia" w:ascii="仿宋_GB2312" w:hAnsi="仿宋_GB2312" w:eastAsia="仿宋_GB2312" w:cs="仿宋_GB2312"/>
          <w:sz w:val="28"/>
          <w:szCs w:val="28"/>
        </w:rPr>
        <w:t>方</w:t>
      </w:r>
      <w:r>
        <w:rPr>
          <w:rStyle w:val="29"/>
          <w:rFonts w:hint="eastAsia" w:ascii="仿宋_GB2312" w:hAnsi="仿宋_GB2312" w:eastAsia="仿宋_GB2312" w:cs="仿宋_GB2312"/>
          <w:sz w:val="28"/>
          <w:szCs w:val="28"/>
          <w:lang w:val="en-US" w:eastAsia="zh-CN"/>
        </w:rPr>
        <w:t>各执</w:t>
      </w:r>
      <w:r>
        <w:rPr>
          <w:rStyle w:val="29"/>
          <w:rFonts w:hint="eastAsia" w:ascii="仿宋_GB2312" w:hAnsi="仿宋_GB2312" w:eastAsia="仿宋_GB2312" w:cs="仿宋_GB2312"/>
          <w:sz w:val="28"/>
          <w:szCs w:val="28"/>
        </w:rPr>
        <w:t>贰份，具有同等法律效力</w:t>
      </w:r>
      <w:r>
        <w:rPr>
          <w:rStyle w:val="29"/>
          <w:rFonts w:hint="eastAsia" w:ascii="仿宋_GB2312" w:hAnsi="仿宋_GB2312" w:eastAsia="仿宋_GB2312" w:cs="仿宋_GB2312"/>
          <w:sz w:val="28"/>
          <w:szCs w:val="28"/>
          <w:lang w:eastAsia="zh-CN"/>
        </w:rPr>
        <w:t>，</w:t>
      </w:r>
      <w:r>
        <w:rPr>
          <w:rStyle w:val="29"/>
          <w:rFonts w:hint="eastAsia" w:ascii="仿宋_GB2312" w:hAnsi="仿宋_GB2312" w:eastAsia="仿宋_GB2312" w:cs="仿宋_GB2312"/>
          <w:sz w:val="28"/>
          <w:szCs w:val="28"/>
        </w:rPr>
        <w:t>自双方签字</w:t>
      </w:r>
      <w:r>
        <w:rPr>
          <w:rStyle w:val="29"/>
          <w:rFonts w:hint="eastAsia" w:ascii="仿宋_GB2312" w:hAnsi="仿宋_GB2312" w:eastAsia="仿宋_GB2312" w:cs="仿宋_GB2312"/>
          <w:color w:val="0000FF"/>
          <w:sz w:val="28"/>
          <w:szCs w:val="28"/>
          <w:lang w:val="en-US" w:eastAsia="zh-CN"/>
        </w:rPr>
        <w:t>并</w:t>
      </w:r>
      <w:r>
        <w:rPr>
          <w:rStyle w:val="29"/>
          <w:rFonts w:hint="eastAsia" w:ascii="仿宋_GB2312" w:hAnsi="仿宋_GB2312" w:eastAsia="仿宋_GB2312" w:cs="仿宋_GB2312"/>
          <w:sz w:val="28"/>
          <w:szCs w:val="28"/>
        </w:rPr>
        <w:t>盖章之日起开始生效。</w:t>
      </w:r>
    </w:p>
    <w:p>
      <w:pPr>
        <w:keepNext w:val="0"/>
        <w:keepLines w:val="0"/>
        <w:pageBreakBefore w:val="0"/>
        <w:widowControl w:val="0"/>
        <w:kinsoku/>
        <w:wordWrap/>
        <w:overflowPunct/>
        <w:topLinePunct w:val="0"/>
        <w:autoSpaceDE/>
        <w:autoSpaceDN/>
        <w:bidi w:val="0"/>
        <w:adjustRightInd/>
        <w:snapToGrid/>
        <w:spacing w:beforeAutospacing="0" w:line="600" w:lineRule="exact"/>
        <w:ind w:left="0" w:firstLine="560" w:firstLineChars="200"/>
        <w:textAlignment w:val="baseline"/>
        <w:rPr>
          <w:rStyle w:val="29"/>
          <w:rFonts w:hint="eastAsia" w:ascii="仿宋_GB2312" w:hAnsi="仿宋_GB2312" w:eastAsia="仿宋_GB2312" w:cs="仿宋_GB2312"/>
          <w:sz w:val="28"/>
          <w:szCs w:val="28"/>
        </w:rPr>
      </w:pPr>
    </w:p>
    <w:p>
      <w:pPr>
        <w:pStyle w:val="28"/>
        <w:keepNext w:val="0"/>
        <w:keepLines w:val="0"/>
        <w:pageBreakBefore w:val="0"/>
        <w:widowControl w:val="0"/>
        <w:kinsoku/>
        <w:wordWrap/>
        <w:overflowPunct/>
        <w:topLinePunct w:val="0"/>
        <w:autoSpaceDE/>
        <w:autoSpaceDN/>
        <w:bidi w:val="0"/>
        <w:adjustRightInd/>
        <w:snapToGrid w:val="0"/>
        <w:spacing w:beforeAutospacing="0" w:line="600" w:lineRule="exact"/>
        <w:ind w:firstLine="508"/>
        <w:textAlignment w:val="baseline"/>
        <w:rPr>
          <w:rStyle w:val="29"/>
          <w:rFonts w:hint="eastAsia" w:ascii="仿宋_GB2312" w:hAnsi="仿宋_GB2312" w:eastAsia="仿宋_GB2312" w:cs="仿宋_GB2312"/>
          <w:bCs/>
          <w:sz w:val="28"/>
          <w:szCs w:val="28"/>
          <w:u w:val="single"/>
        </w:rPr>
      </w:pPr>
      <w:r>
        <w:rPr>
          <w:rStyle w:val="29"/>
          <w:rFonts w:hint="eastAsia" w:ascii="仿宋_GB2312" w:hAnsi="仿宋_GB2312" w:eastAsia="仿宋_GB2312" w:cs="仿宋_GB2312"/>
          <w:bCs/>
          <w:sz w:val="28"/>
          <w:szCs w:val="28"/>
        </w:rPr>
        <w:t>甲方</w:t>
      </w:r>
      <w:r>
        <w:rPr>
          <w:rStyle w:val="29"/>
          <w:rFonts w:hint="eastAsia" w:ascii="仿宋_GB2312" w:hAnsi="仿宋_GB2312" w:eastAsia="仿宋_GB2312" w:cs="仿宋_GB2312"/>
          <w:bCs/>
          <w:sz w:val="28"/>
          <w:szCs w:val="28"/>
          <w:u w:val="none"/>
        </w:rPr>
        <w:t>（盖章）</w:t>
      </w:r>
      <w:r>
        <w:rPr>
          <w:rStyle w:val="29"/>
          <w:rFonts w:hint="eastAsia" w:ascii="仿宋_GB2312" w:hAnsi="仿宋_GB2312" w:eastAsia="仿宋_GB2312" w:cs="仿宋_GB2312"/>
          <w:bCs/>
          <w:sz w:val="28"/>
          <w:szCs w:val="28"/>
        </w:rPr>
        <w:t>：</w:t>
      </w:r>
      <w:r>
        <w:rPr>
          <w:rStyle w:val="29"/>
          <w:rFonts w:hint="eastAsia" w:ascii="仿宋_GB2312" w:hAnsi="仿宋_GB2312" w:eastAsia="仿宋_GB2312" w:cs="仿宋_GB2312"/>
          <w:bCs/>
          <w:sz w:val="28"/>
          <w:szCs w:val="28"/>
          <w:u w:val="single"/>
          <w:lang w:val="en-US" w:eastAsia="zh-CN"/>
        </w:rPr>
        <w:t>娄底市中心医院</w:t>
      </w:r>
      <w:r>
        <w:rPr>
          <w:rStyle w:val="29"/>
          <w:rFonts w:hint="eastAsia" w:ascii="仿宋_GB2312" w:hAnsi="仿宋_GB2312" w:eastAsia="仿宋_GB2312" w:cs="仿宋_GB2312"/>
          <w:bCs/>
          <w:sz w:val="28"/>
          <w:szCs w:val="28"/>
          <w:u w:val="single"/>
        </w:rPr>
        <w:t xml:space="preserve"> </w:t>
      </w:r>
    </w:p>
    <w:p>
      <w:pPr>
        <w:pStyle w:val="28"/>
        <w:keepNext w:val="0"/>
        <w:keepLines w:val="0"/>
        <w:pageBreakBefore w:val="0"/>
        <w:widowControl w:val="0"/>
        <w:kinsoku/>
        <w:wordWrap/>
        <w:overflowPunct/>
        <w:topLinePunct w:val="0"/>
        <w:autoSpaceDE/>
        <w:autoSpaceDN/>
        <w:bidi w:val="0"/>
        <w:adjustRightInd/>
        <w:snapToGrid w:val="0"/>
        <w:spacing w:beforeAutospacing="0" w:line="600" w:lineRule="exact"/>
        <w:ind w:firstLine="508"/>
        <w:textAlignment w:val="baseline"/>
        <w:rPr>
          <w:rStyle w:val="29"/>
          <w:rFonts w:hint="eastAsia" w:ascii="仿宋_GB2312" w:hAnsi="仿宋_GB2312" w:eastAsia="仿宋_GB2312" w:cs="仿宋_GB2312"/>
          <w:bCs/>
          <w:sz w:val="28"/>
          <w:szCs w:val="28"/>
        </w:rPr>
      </w:pPr>
      <w:r>
        <w:rPr>
          <w:rStyle w:val="29"/>
          <w:rFonts w:hint="eastAsia" w:ascii="仿宋_GB2312" w:hAnsi="仿宋_GB2312" w:eastAsia="仿宋_GB2312" w:cs="仿宋_GB2312"/>
          <w:bCs/>
          <w:sz w:val="28"/>
          <w:szCs w:val="28"/>
        </w:rPr>
        <w:t>法定代表人/</w:t>
      </w:r>
      <w:r>
        <w:rPr>
          <w:rStyle w:val="29"/>
          <w:rFonts w:hint="eastAsia" w:ascii="仿宋_GB2312" w:hAnsi="仿宋_GB2312" w:eastAsia="仿宋_GB2312" w:cs="仿宋_GB2312"/>
          <w:bCs/>
          <w:sz w:val="28"/>
          <w:szCs w:val="28"/>
          <w:lang w:val="en-US" w:eastAsia="zh-CN"/>
        </w:rPr>
        <w:t>委托代理人</w:t>
      </w:r>
      <w:r>
        <w:rPr>
          <w:rStyle w:val="29"/>
          <w:rFonts w:hint="eastAsia" w:ascii="仿宋_GB2312" w:hAnsi="仿宋_GB2312" w:eastAsia="仿宋_GB2312" w:cs="仿宋_GB2312"/>
          <w:bCs/>
          <w:sz w:val="28"/>
          <w:szCs w:val="28"/>
        </w:rPr>
        <w:t>（签</w:t>
      </w:r>
      <w:r>
        <w:rPr>
          <w:rStyle w:val="29"/>
          <w:rFonts w:hint="eastAsia" w:ascii="仿宋_GB2312" w:hAnsi="仿宋_GB2312" w:eastAsia="仿宋_GB2312" w:cs="仿宋_GB2312"/>
          <w:bCs/>
          <w:sz w:val="28"/>
          <w:szCs w:val="28"/>
          <w:lang w:val="en-US" w:eastAsia="zh-CN"/>
        </w:rPr>
        <w:t>字</w:t>
      </w:r>
      <w:r>
        <w:rPr>
          <w:rStyle w:val="29"/>
          <w:rFonts w:hint="eastAsia" w:ascii="仿宋_GB2312" w:hAnsi="仿宋_GB2312" w:eastAsia="仿宋_GB2312" w:cs="仿宋_GB2312"/>
          <w:bCs/>
          <w:sz w:val="28"/>
          <w:szCs w:val="28"/>
        </w:rPr>
        <w:t>）：</w:t>
      </w:r>
    </w:p>
    <w:p>
      <w:pPr>
        <w:pStyle w:val="28"/>
        <w:keepNext w:val="0"/>
        <w:keepLines w:val="0"/>
        <w:pageBreakBefore w:val="0"/>
        <w:widowControl w:val="0"/>
        <w:kinsoku/>
        <w:wordWrap/>
        <w:overflowPunct/>
        <w:topLinePunct w:val="0"/>
        <w:autoSpaceDE/>
        <w:autoSpaceDN/>
        <w:bidi w:val="0"/>
        <w:adjustRightInd/>
        <w:snapToGrid w:val="0"/>
        <w:spacing w:beforeAutospacing="0" w:line="600" w:lineRule="exact"/>
        <w:ind w:firstLine="508"/>
        <w:textAlignment w:val="baseline"/>
        <w:rPr>
          <w:rStyle w:val="29"/>
          <w:rFonts w:hint="eastAsia" w:ascii="仿宋_GB2312" w:hAnsi="仿宋_GB2312" w:eastAsia="仿宋_GB2312" w:cs="仿宋_GB2312"/>
          <w:bCs/>
          <w:sz w:val="28"/>
          <w:szCs w:val="28"/>
        </w:rPr>
      </w:pPr>
    </w:p>
    <w:p>
      <w:pPr>
        <w:pStyle w:val="28"/>
        <w:keepNext w:val="0"/>
        <w:keepLines w:val="0"/>
        <w:pageBreakBefore w:val="0"/>
        <w:widowControl w:val="0"/>
        <w:kinsoku/>
        <w:wordWrap/>
        <w:overflowPunct/>
        <w:topLinePunct w:val="0"/>
        <w:autoSpaceDE/>
        <w:autoSpaceDN/>
        <w:bidi w:val="0"/>
        <w:adjustRightInd/>
        <w:snapToGrid w:val="0"/>
        <w:spacing w:beforeAutospacing="0" w:line="600" w:lineRule="exact"/>
        <w:ind w:firstLine="508"/>
        <w:textAlignment w:val="baseline"/>
        <w:rPr>
          <w:rStyle w:val="29"/>
          <w:rFonts w:hint="eastAsia" w:ascii="仿宋_GB2312" w:hAnsi="仿宋_GB2312" w:eastAsia="仿宋_GB2312" w:cs="仿宋_GB2312"/>
          <w:bCs/>
          <w:sz w:val="28"/>
          <w:szCs w:val="28"/>
          <w:u w:val="single"/>
        </w:rPr>
      </w:pPr>
      <w:r>
        <w:rPr>
          <w:rStyle w:val="29"/>
          <w:rFonts w:hint="eastAsia" w:ascii="仿宋_GB2312" w:hAnsi="仿宋_GB2312" w:eastAsia="仿宋_GB2312" w:cs="仿宋_GB2312"/>
          <w:bCs/>
          <w:sz w:val="28"/>
          <w:szCs w:val="28"/>
        </w:rPr>
        <w:t>乙方</w:t>
      </w:r>
      <w:r>
        <w:rPr>
          <w:rStyle w:val="29"/>
          <w:rFonts w:hint="eastAsia" w:ascii="仿宋_GB2312" w:hAnsi="仿宋_GB2312" w:eastAsia="仿宋_GB2312" w:cs="仿宋_GB2312"/>
          <w:bCs/>
          <w:sz w:val="28"/>
          <w:szCs w:val="28"/>
          <w:u w:val="none" w:color="auto"/>
        </w:rPr>
        <w:t>（盖章）</w:t>
      </w:r>
      <w:r>
        <w:rPr>
          <w:rStyle w:val="29"/>
          <w:rFonts w:hint="eastAsia" w:ascii="仿宋_GB2312" w:hAnsi="仿宋_GB2312" w:eastAsia="仿宋_GB2312" w:cs="仿宋_GB2312"/>
          <w:bCs/>
          <w:sz w:val="28"/>
          <w:szCs w:val="28"/>
        </w:rPr>
        <w:t>：</w:t>
      </w:r>
      <w:r>
        <w:rPr>
          <w:rStyle w:val="29"/>
          <w:rFonts w:hint="eastAsia" w:ascii="仿宋_GB2312" w:hAnsi="仿宋_GB2312" w:eastAsia="仿宋_GB2312" w:cs="仿宋_GB2312"/>
          <w:bCs/>
          <w:sz w:val="28"/>
          <w:szCs w:val="28"/>
          <w:u w:val="single" w:color="auto"/>
          <w:lang w:val="en-US" w:eastAsia="zh-CN"/>
        </w:rPr>
        <w:t xml:space="preserve">           </w:t>
      </w:r>
    </w:p>
    <w:p>
      <w:pPr>
        <w:pStyle w:val="28"/>
        <w:keepNext w:val="0"/>
        <w:keepLines w:val="0"/>
        <w:pageBreakBefore w:val="0"/>
        <w:widowControl w:val="0"/>
        <w:kinsoku/>
        <w:wordWrap/>
        <w:overflowPunct/>
        <w:topLinePunct w:val="0"/>
        <w:autoSpaceDE/>
        <w:autoSpaceDN/>
        <w:bidi w:val="0"/>
        <w:adjustRightInd/>
        <w:snapToGrid w:val="0"/>
        <w:spacing w:beforeAutospacing="0" w:line="600" w:lineRule="exact"/>
        <w:ind w:firstLine="508"/>
        <w:textAlignment w:val="baseline"/>
        <w:rPr>
          <w:rStyle w:val="29"/>
          <w:rFonts w:hint="eastAsia" w:ascii="仿宋_GB2312" w:hAnsi="仿宋_GB2312" w:eastAsia="仿宋_GB2312" w:cs="仿宋_GB2312"/>
          <w:bCs/>
          <w:sz w:val="28"/>
          <w:szCs w:val="28"/>
        </w:rPr>
      </w:pPr>
      <w:r>
        <w:rPr>
          <w:rStyle w:val="29"/>
          <w:rFonts w:hint="eastAsia" w:ascii="仿宋_GB2312" w:hAnsi="仿宋_GB2312" w:eastAsia="仿宋_GB2312" w:cs="仿宋_GB2312"/>
          <w:bCs/>
          <w:sz w:val="28"/>
          <w:szCs w:val="28"/>
        </w:rPr>
        <w:t>法定代表人/</w:t>
      </w:r>
      <w:r>
        <w:rPr>
          <w:rStyle w:val="29"/>
          <w:rFonts w:hint="eastAsia" w:ascii="仿宋_GB2312" w:hAnsi="仿宋_GB2312" w:eastAsia="仿宋_GB2312" w:cs="仿宋_GB2312"/>
          <w:bCs/>
          <w:sz w:val="28"/>
          <w:szCs w:val="28"/>
          <w:lang w:val="en-US" w:eastAsia="zh-CN"/>
        </w:rPr>
        <w:t>委托代理人</w:t>
      </w:r>
      <w:r>
        <w:rPr>
          <w:rStyle w:val="29"/>
          <w:rFonts w:hint="eastAsia" w:ascii="仿宋_GB2312" w:hAnsi="仿宋_GB2312" w:eastAsia="仿宋_GB2312" w:cs="仿宋_GB2312"/>
          <w:bCs/>
          <w:sz w:val="28"/>
          <w:szCs w:val="28"/>
        </w:rPr>
        <w:t>（签</w:t>
      </w:r>
      <w:r>
        <w:rPr>
          <w:rStyle w:val="29"/>
          <w:rFonts w:hint="eastAsia" w:ascii="仿宋_GB2312" w:hAnsi="仿宋_GB2312" w:eastAsia="仿宋_GB2312" w:cs="仿宋_GB2312"/>
          <w:bCs/>
          <w:sz w:val="28"/>
          <w:szCs w:val="28"/>
          <w:lang w:val="en-US" w:eastAsia="zh-CN"/>
        </w:rPr>
        <w:t>字</w:t>
      </w:r>
      <w:r>
        <w:rPr>
          <w:rStyle w:val="29"/>
          <w:rFonts w:hint="eastAsia" w:ascii="仿宋_GB2312" w:hAnsi="仿宋_GB2312" w:eastAsia="仿宋_GB2312" w:cs="仿宋_GB2312"/>
          <w:bCs/>
          <w:sz w:val="28"/>
          <w:szCs w:val="28"/>
        </w:rPr>
        <w:t>）：</w:t>
      </w:r>
    </w:p>
    <w:p>
      <w:pPr>
        <w:pStyle w:val="28"/>
        <w:keepNext w:val="0"/>
        <w:keepLines w:val="0"/>
        <w:pageBreakBefore w:val="0"/>
        <w:widowControl w:val="0"/>
        <w:kinsoku/>
        <w:wordWrap/>
        <w:overflowPunct/>
        <w:topLinePunct w:val="0"/>
        <w:autoSpaceDE/>
        <w:autoSpaceDN/>
        <w:bidi w:val="0"/>
        <w:adjustRightInd/>
        <w:snapToGrid w:val="0"/>
        <w:spacing w:beforeAutospacing="0" w:line="600" w:lineRule="exact"/>
        <w:ind w:firstLine="508"/>
        <w:textAlignment w:val="baseline"/>
        <w:rPr>
          <w:rStyle w:val="29"/>
          <w:rFonts w:hint="eastAsia" w:ascii="仿宋_GB2312" w:hAnsi="仿宋_GB2312" w:eastAsia="仿宋_GB2312" w:cs="仿宋_GB2312"/>
          <w:bCs/>
          <w:sz w:val="28"/>
          <w:szCs w:val="28"/>
        </w:rPr>
      </w:pPr>
    </w:p>
    <w:p>
      <w:pPr>
        <w:pStyle w:val="28"/>
        <w:keepNext w:val="0"/>
        <w:keepLines w:val="0"/>
        <w:pageBreakBefore w:val="0"/>
        <w:widowControl w:val="0"/>
        <w:kinsoku/>
        <w:wordWrap/>
        <w:overflowPunct/>
        <w:topLinePunct w:val="0"/>
        <w:autoSpaceDE/>
        <w:autoSpaceDN/>
        <w:bidi w:val="0"/>
        <w:adjustRightInd/>
        <w:snapToGrid w:val="0"/>
        <w:spacing w:beforeAutospacing="0" w:line="600" w:lineRule="exact"/>
        <w:ind w:firstLine="508"/>
        <w:jc w:val="both"/>
        <w:textAlignment w:val="baseline"/>
        <w:rPr>
          <w:rStyle w:val="29"/>
          <w:rFonts w:hint="eastAsia" w:ascii="仿宋_GB2312" w:hAnsi="仿宋_GB2312" w:eastAsia="仿宋_GB2312" w:cs="仿宋_GB2312"/>
          <w:bCs/>
          <w:sz w:val="28"/>
          <w:szCs w:val="28"/>
        </w:rPr>
      </w:pPr>
      <w:r>
        <w:rPr>
          <w:rStyle w:val="29"/>
          <w:rFonts w:hint="eastAsia" w:ascii="仿宋_GB2312" w:hAnsi="仿宋_GB2312" w:eastAsia="仿宋_GB2312" w:cs="仿宋_GB2312"/>
          <w:bCs/>
          <w:color w:val="FF0000"/>
          <w:sz w:val="28"/>
          <w:szCs w:val="28"/>
          <w:lang w:val="en-US" w:eastAsia="zh-CN"/>
        </w:rPr>
        <w:t>合同</w:t>
      </w:r>
      <w:r>
        <w:rPr>
          <w:rStyle w:val="29"/>
          <w:rFonts w:hint="eastAsia" w:ascii="仿宋_GB2312" w:hAnsi="仿宋_GB2312" w:eastAsia="仿宋_GB2312" w:cs="仿宋_GB2312"/>
          <w:bCs/>
          <w:sz w:val="28"/>
          <w:szCs w:val="28"/>
          <w:lang w:val="en-US" w:eastAsia="zh-CN"/>
        </w:rPr>
        <w:t>签订地、履行地：娄底市娄星区   签订时间：</w:t>
      </w:r>
      <w:r>
        <w:rPr>
          <w:rStyle w:val="29"/>
          <w:rFonts w:hint="eastAsia" w:ascii="仿宋_GB2312" w:hAnsi="仿宋_GB2312" w:eastAsia="仿宋_GB2312" w:cs="仿宋_GB2312"/>
          <w:bCs/>
          <w:sz w:val="28"/>
          <w:szCs w:val="28"/>
        </w:rPr>
        <w:t xml:space="preserve">  年   月   日</w:t>
      </w:r>
    </w:p>
    <w:p/>
    <w:p/>
    <w:p/>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8280" w:hanging="8280" w:hangingChars="4600"/>
      <w:jc w:val="both"/>
      <w:rPr>
        <w:rFonts w:hint="eastAsia"/>
      </w:rPr>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abstractNum w:abstractNumId="4">
    <w:nsid w:val="E78216E5"/>
    <w:multiLevelType w:val="singleLevel"/>
    <w:tmpl w:val="E78216E5"/>
    <w:lvl w:ilvl="0" w:tentative="0">
      <w:start w:val="3"/>
      <w:numFmt w:val="decimal"/>
      <w:lvlText w:val="%1."/>
      <w:lvlJc w:val="left"/>
      <w:pPr>
        <w:tabs>
          <w:tab w:val="left" w:pos="312"/>
        </w:tabs>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1F834112"/>
    <w:rsid w:val="005C05BA"/>
    <w:rsid w:val="01087940"/>
    <w:rsid w:val="01D95F0B"/>
    <w:rsid w:val="07C66F31"/>
    <w:rsid w:val="159348F7"/>
    <w:rsid w:val="1F834112"/>
    <w:rsid w:val="20820C98"/>
    <w:rsid w:val="28B409B4"/>
    <w:rsid w:val="2C6F45A1"/>
    <w:rsid w:val="2D24796D"/>
    <w:rsid w:val="33D03739"/>
    <w:rsid w:val="38064FA4"/>
    <w:rsid w:val="39447B32"/>
    <w:rsid w:val="43DE643F"/>
    <w:rsid w:val="489177E2"/>
    <w:rsid w:val="4F960564"/>
    <w:rsid w:val="53FD0BB2"/>
    <w:rsid w:val="598002BB"/>
    <w:rsid w:val="5F681F1D"/>
    <w:rsid w:val="6B431148"/>
    <w:rsid w:val="782D11B6"/>
    <w:rsid w:val="78CF04BF"/>
    <w:rsid w:val="7E191F8C"/>
    <w:rsid w:val="7EAF6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3"/>
    <w:basedOn w:val="1"/>
    <w:next w:val="1"/>
    <w:link w:val="27"/>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样式 小四 行距: 1.5 倍行距"/>
    <w:basedOn w:val="1"/>
    <w:qFormat/>
    <w:uiPriority w:val="0"/>
    <w:pPr>
      <w:ind w:firstLine="480"/>
    </w:pPr>
    <w:rPr>
      <w:rFonts w:cs="宋体"/>
      <w:szCs w:val="20"/>
    </w:rPr>
  </w:style>
  <w:style w:type="paragraph" w:styleId="5">
    <w:name w:val="Normal Indent"/>
    <w:basedOn w:val="1"/>
    <w:qFormat/>
    <w:uiPriority w:val="0"/>
    <w:pPr>
      <w:ind w:firstLine="420"/>
    </w:pPr>
    <w:rPr>
      <w:szCs w:val="20"/>
    </w:rPr>
  </w:style>
  <w:style w:type="paragraph" w:styleId="6">
    <w:name w:val="Body Text"/>
    <w:basedOn w:val="1"/>
    <w:qFormat/>
    <w:uiPriority w:val="0"/>
    <w:pPr>
      <w:spacing w:after="120"/>
    </w:pPr>
    <w:rPr>
      <w:szCs w:val="21"/>
    </w:rPr>
  </w:style>
  <w:style w:type="paragraph" w:styleId="7">
    <w:name w:val="Body Text Indent"/>
    <w:basedOn w:val="1"/>
    <w:next w:val="8"/>
    <w:qFormat/>
    <w:uiPriority w:val="99"/>
    <w:pPr>
      <w:spacing w:line="400" w:lineRule="exact"/>
      <w:ind w:left="630"/>
    </w:pPr>
    <w:rPr>
      <w:rFonts w:ascii="楷体_GB2312"/>
      <w:sz w:val="30"/>
      <w:szCs w:val="30"/>
    </w:rPr>
  </w:style>
  <w:style w:type="paragraph" w:styleId="8">
    <w:name w:val="Body Text First Indent 2"/>
    <w:basedOn w:val="7"/>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2"/>
    <w:basedOn w:val="1"/>
    <w:qFormat/>
    <w:uiPriority w:val="0"/>
    <w:pPr>
      <w:spacing w:after="120" w:line="480" w:lineRule="auto"/>
    </w:pPr>
  </w:style>
  <w:style w:type="paragraph" w:styleId="12">
    <w:name w:val="Normal (Web)"/>
    <w:basedOn w:val="1"/>
    <w:qFormat/>
    <w:uiPriority w:val="0"/>
    <w:rPr>
      <w:sz w:val="24"/>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qFormat/>
    <w:uiPriority w:val="0"/>
    <w:rPr>
      <w:color w:val="0000FF"/>
      <w:u w:val="single"/>
    </w:rPr>
  </w:style>
  <w:style w:type="paragraph" w:customStyle="1" w:styleId="17">
    <w:name w:val="Default"/>
    <w:next w:val="18"/>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8">
    <w:name w:val="大标题"/>
    <w:basedOn w:val="1"/>
    <w:next w:val="8"/>
    <w:qFormat/>
    <w:uiPriority w:val="0"/>
    <w:pPr>
      <w:jc w:val="center"/>
    </w:pPr>
    <w:rPr>
      <w:rFonts w:ascii="Arial" w:hAnsi="Arial" w:eastAsia="宋体"/>
      <w:b/>
      <w:sz w:val="28"/>
      <w:szCs w:val="24"/>
    </w:rPr>
  </w:style>
  <w:style w:type="character" w:customStyle="1" w:styleId="19">
    <w:name w:val="font11"/>
    <w:basedOn w:val="15"/>
    <w:qFormat/>
    <w:uiPriority w:val="0"/>
    <w:rPr>
      <w:rFonts w:hint="eastAsia" w:ascii="宋体" w:hAnsi="宋体" w:eastAsia="宋体" w:cs="宋体"/>
      <w:color w:val="000000"/>
      <w:sz w:val="21"/>
      <w:szCs w:val="21"/>
      <w:u w:val="none"/>
    </w:rPr>
  </w:style>
  <w:style w:type="character" w:customStyle="1" w:styleId="20">
    <w:name w:val="font21"/>
    <w:basedOn w:val="15"/>
    <w:qFormat/>
    <w:uiPriority w:val="0"/>
    <w:rPr>
      <w:rFonts w:hint="eastAsia" w:ascii="宋体" w:hAnsi="宋体" w:eastAsia="宋体" w:cs="宋体"/>
      <w:color w:val="000000"/>
      <w:sz w:val="21"/>
      <w:szCs w:val="21"/>
      <w:u w:val="none"/>
    </w:rPr>
  </w:style>
  <w:style w:type="paragraph" w:customStyle="1" w:styleId="21">
    <w:name w:val="列出段落1"/>
    <w:basedOn w:val="1"/>
    <w:qFormat/>
    <w:uiPriority w:val="99"/>
    <w:pPr>
      <w:ind w:firstLine="420" w:firstLineChars="200"/>
    </w:pPr>
  </w:style>
  <w:style w:type="paragraph" w:customStyle="1" w:styleId="2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3">
    <w:name w:val="List Paragraph"/>
    <w:basedOn w:val="1"/>
    <w:qFormat/>
    <w:uiPriority w:val="34"/>
    <w:pPr>
      <w:ind w:firstLine="420" w:firstLineChars="200"/>
    </w:pPr>
    <w:rPr>
      <w:rFonts w:ascii="Calibri" w:hAnsi="Calibri"/>
      <w:szCs w:val="22"/>
    </w:rPr>
  </w:style>
  <w:style w:type="paragraph" w:customStyle="1" w:styleId="24">
    <w:name w:val="全宋体"/>
    <w:basedOn w:val="1"/>
    <w:qFormat/>
    <w:uiPriority w:val="0"/>
    <w:rPr>
      <w:rFonts w:ascii="宋体" w:hAnsi="宋体" w:eastAsia="宋体" w:cs="宋体"/>
      <w:sz w:val="24"/>
      <w:szCs w:val="21"/>
    </w:rPr>
  </w:style>
  <w:style w:type="paragraph" w:customStyle="1" w:styleId="25">
    <w:name w:val="Table Paragraph"/>
    <w:basedOn w:val="1"/>
    <w:qFormat/>
    <w:uiPriority w:val="0"/>
    <w:pPr>
      <w:autoSpaceDE w:val="0"/>
      <w:autoSpaceDN w:val="0"/>
      <w:adjustRightInd w:val="0"/>
      <w:jc w:val="left"/>
    </w:pPr>
    <w:rPr>
      <w:rFonts w:ascii="Calibri" w:hAnsi="Calibri"/>
      <w:kern w:val="0"/>
      <w:sz w:val="24"/>
    </w:rPr>
  </w:style>
  <w:style w:type="character" w:customStyle="1" w:styleId="26">
    <w:name w:val="font41"/>
    <w:basedOn w:val="15"/>
    <w:qFormat/>
    <w:uiPriority w:val="0"/>
    <w:rPr>
      <w:rFonts w:hint="default" w:ascii="Calibri" w:hAnsi="Calibri" w:cs="Calibri"/>
      <w:color w:val="000000"/>
      <w:sz w:val="24"/>
      <w:szCs w:val="24"/>
      <w:u w:val="none"/>
    </w:rPr>
  </w:style>
  <w:style w:type="character" w:customStyle="1" w:styleId="27">
    <w:name w:val="标题 3 Char1"/>
    <w:link w:val="4"/>
    <w:qFormat/>
    <w:uiPriority w:val="0"/>
    <w:rPr>
      <w:b/>
      <w:kern w:val="0"/>
      <w:sz w:val="32"/>
      <w:szCs w:val="20"/>
    </w:rPr>
  </w:style>
  <w:style w:type="paragraph" w:customStyle="1" w:styleId="28">
    <w:name w:val="PlainText"/>
    <w:basedOn w:val="1"/>
    <w:qFormat/>
    <w:uiPriority w:val="0"/>
    <w:rPr>
      <w:rFonts w:ascii="宋体" w:hAnsi="Courier New"/>
      <w:szCs w:val="21"/>
    </w:rPr>
  </w:style>
  <w:style w:type="character" w:customStyle="1" w:styleId="29">
    <w:name w:val="NormalCharacter"/>
    <w:semiHidden/>
    <w:qFormat/>
    <w:uiPriority w:val="0"/>
  </w:style>
  <w:style w:type="paragraph" w:customStyle="1" w:styleId="30">
    <w:name w:val="HtmlNormal"/>
    <w:basedOn w:val="1"/>
    <w:qFormat/>
    <w:uiPriority w:val="0"/>
    <w:pPr>
      <w:spacing w:before="100" w:beforeAutospacing="1" w:after="100" w:afterAutospacing="1"/>
      <w:jc w:val="left"/>
    </w:pPr>
    <w:rPr>
      <w:rFonts w:ascii="宋体" w:hAnsi="宋体"/>
      <w:kern w:val="0"/>
      <w:sz w:val="24"/>
    </w:rPr>
  </w:style>
  <w:style w:type="paragraph" w:customStyle="1" w:styleId="31">
    <w:name w:val="UserStyle_3"/>
    <w:basedOn w:val="1"/>
    <w:qFormat/>
    <w:uiPriority w:val="0"/>
    <w:pPr>
      <w:ind w:firstLine="420" w:firstLineChars="200"/>
    </w:pPr>
  </w:style>
  <w:style w:type="paragraph" w:customStyle="1" w:styleId="32">
    <w:name w:val="UserStyle_5"/>
    <w:basedOn w:val="1"/>
    <w:qFormat/>
    <w:uiPriority w:val="0"/>
    <w:pPr>
      <w:ind w:firstLine="420" w:firstLineChars="200"/>
    </w:pPr>
  </w:style>
  <w:style w:type="character" w:customStyle="1" w:styleId="33">
    <w:name w:val="PageNumb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10036</Words>
  <Characters>10414</Characters>
  <Lines>0</Lines>
  <Paragraphs>0</Paragraphs>
  <TotalTime>6</TotalTime>
  <ScaleCrop>false</ScaleCrop>
  <LinksUpToDate>false</LinksUpToDate>
  <CharactersWithSpaces>11377</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2024-07-30T01:12:00Z</dcterms:created>
  <dc:creator>是小豹子</dc:creator>
  <cp:lastModifiedBy>是小豹子</cp:lastModifiedBy>
  <cp:lastPrinted>2024-08-02T01:04:00Z</cp:lastPrinted>
  <dcterms:modified xsi:type="dcterms:W3CDTF">2024-08-12T07:57:34Z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7F06CAAB25E6491A8B819595036713DF_13</vt:lpwstr>
  </property>
</Properties>
</file>