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snapToGrid w:val="0"/>
        <w:jc w:val="center"/>
        <w:rPr>
          <w:rFonts w:ascii="Arial" w:hAnsi="Arial" w:eastAsia="方正小标宋简体" w:cs="Arial"/>
          <w:color w:val="auto"/>
          <w:sz w:val="72"/>
          <w:szCs w:val="72"/>
        </w:rPr>
      </w:pPr>
      <w:bookmarkStart w:id="0" w:name="_Toc16523570"/>
    </w:p>
    <w:p>
      <w:pPr>
        <w:pStyle w:val="16"/>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6"/>
        <w:snapToGrid w:val="0"/>
        <w:jc w:val="center"/>
        <w:rPr>
          <w:rFonts w:ascii="Arial" w:hAnsi="Arial" w:eastAsia="方正小标宋简体" w:cs="Arial"/>
          <w:sz w:val="72"/>
          <w:szCs w:val="72"/>
        </w:rPr>
      </w:pPr>
    </w:p>
    <w:p>
      <w:pPr>
        <w:pStyle w:val="16"/>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6"/>
        <w:snapToGrid w:val="0"/>
        <w:jc w:val="center"/>
        <w:rPr>
          <w:rFonts w:ascii="Arial" w:hAnsi="Arial" w:eastAsia="方正小标宋简体" w:cs="Arial"/>
          <w:sz w:val="72"/>
          <w:szCs w:val="72"/>
        </w:rPr>
      </w:pPr>
    </w:p>
    <w:p>
      <w:pPr>
        <w:pStyle w:val="16"/>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6"/>
        <w:snapToGrid w:val="0"/>
        <w:jc w:val="center"/>
        <w:rPr>
          <w:rFonts w:ascii="Arial" w:hAnsi="Arial" w:eastAsia="方正小标宋简体" w:cs="Arial"/>
          <w:sz w:val="72"/>
          <w:szCs w:val="72"/>
        </w:rPr>
      </w:pPr>
    </w:p>
    <w:p>
      <w:pPr>
        <w:pStyle w:val="16"/>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6"/>
        <w:snapToGrid w:val="0"/>
        <w:jc w:val="center"/>
        <w:rPr>
          <w:rFonts w:ascii="Arial" w:hAnsi="Arial" w:eastAsia="方正小标宋简体" w:cs="Arial"/>
          <w:sz w:val="72"/>
          <w:szCs w:val="72"/>
        </w:rPr>
      </w:pPr>
    </w:p>
    <w:p>
      <w:pPr>
        <w:pStyle w:val="16"/>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6"/>
        <w:snapToGrid w:val="0"/>
        <w:jc w:val="center"/>
        <w:rPr>
          <w:rFonts w:ascii="Arial" w:hAnsi="Arial" w:cs="Arial"/>
          <w:sz w:val="32"/>
          <w:szCs w:val="32"/>
        </w:rPr>
      </w:pPr>
    </w:p>
    <w:p>
      <w:pPr>
        <w:pStyle w:val="16"/>
        <w:snapToGrid w:val="0"/>
        <w:jc w:val="center"/>
        <w:rPr>
          <w:rFonts w:ascii="Arial" w:hAnsi="Arial" w:cs="Arial"/>
          <w:sz w:val="32"/>
          <w:szCs w:val="32"/>
        </w:rPr>
      </w:pPr>
    </w:p>
    <w:p>
      <w:pPr>
        <w:pStyle w:val="16"/>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ascii="宋体" w:hAnsi="宋体"/>
          <w:sz w:val="32"/>
          <w:szCs w:val="32"/>
          <w:lang w:eastAsia="zh-CN"/>
        </w:rPr>
        <w:t>娄底市中心医院医保结算清单全流程管理系统项目</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w:t>
      </w:r>
      <w:r>
        <w:rPr>
          <w:rFonts w:hint="eastAsia" w:ascii="Times New Roman" w:hAnsi="Times New Roman" w:eastAsia="宋体" w:cs="Times New Roman"/>
          <w:b/>
          <w:bCs/>
          <w:kern w:val="44"/>
          <w:sz w:val="32"/>
          <w:szCs w:val="32"/>
          <w:lang w:val="en-US" w:eastAsia="zh-CN" w:bidi="ar-SA"/>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lang w:val="en-US" w:eastAsia="zh-CN"/>
        </w:rPr>
      </w:pPr>
      <w:r>
        <w:rPr>
          <w:rFonts w:hint="eastAsia" w:ascii="宋体" w:hAnsi="宋体" w:cs="宋体"/>
          <w:bCs/>
          <w:sz w:val="32"/>
          <w:szCs w:val="32"/>
        </w:rPr>
        <w:t>二〇二</w:t>
      </w:r>
      <w:r>
        <w:rPr>
          <w:rFonts w:hint="eastAsia" w:ascii="宋体" w:hAnsi="宋体" w:cs="宋体"/>
          <w:bCs/>
          <w:sz w:val="32"/>
          <w:szCs w:val="32"/>
          <w:lang w:val="en-US" w:eastAsia="zh-CN"/>
        </w:rPr>
        <w:t>四</w:t>
      </w:r>
      <w:r>
        <w:rPr>
          <w:rFonts w:hint="eastAsia" w:ascii="宋体" w:hAnsi="宋体" w:cs="宋体"/>
          <w:bCs/>
          <w:sz w:val="32"/>
          <w:szCs w:val="32"/>
        </w:rPr>
        <w:t>年</w:t>
      </w:r>
      <w:r>
        <w:rPr>
          <w:rFonts w:hint="eastAsia" w:ascii="宋体" w:hAnsi="宋体" w:cs="宋体"/>
          <w:bCs/>
          <w:sz w:val="32"/>
          <w:szCs w:val="32"/>
          <w:lang w:val="en-US" w:eastAsia="zh-CN"/>
        </w:rPr>
        <w:t>九</w:t>
      </w:r>
      <w:r>
        <w:rPr>
          <w:rFonts w:hint="eastAsia" w:ascii="宋体" w:hAnsi="宋体" w:cs="宋体"/>
          <w:bCs/>
          <w:sz w:val="32"/>
          <w:szCs w:val="32"/>
        </w:rPr>
        <w:t>月</w:t>
      </w:r>
    </w:p>
    <w:p>
      <w:pPr>
        <w:spacing w:line="320" w:lineRule="exact"/>
        <w:ind w:firstLine="3520" w:firstLineChars="1100"/>
        <w:jc w:val="both"/>
        <w:rPr>
          <w:rFonts w:hint="eastAsia" w:ascii="宋体" w:hAnsi="宋体" w:cs="宋体"/>
          <w:bCs/>
          <w:sz w:val="32"/>
          <w:szCs w:val="32"/>
          <w:lang w:val="en-US" w:eastAsia="zh-CN"/>
        </w:rPr>
      </w:pPr>
    </w:p>
    <w:p>
      <w:pPr>
        <w:spacing w:line="320" w:lineRule="exact"/>
        <w:ind w:firstLine="3520" w:firstLineChars="1100"/>
        <w:jc w:val="both"/>
        <w:rPr>
          <w:rFonts w:hint="eastAsia" w:ascii="宋体" w:hAnsi="宋体" w:cs="宋体"/>
          <w:bCs/>
          <w:sz w:val="32"/>
          <w:szCs w:val="32"/>
          <w:lang w:val="en-US" w:eastAsia="zh-CN"/>
        </w:rPr>
      </w:pPr>
    </w:p>
    <w:p>
      <w:pPr>
        <w:spacing w:line="320" w:lineRule="exact"/>
        <w:ind w:firstLine="3520" w:firstLineChars="1100"/>
        <w:jc w:val="both"/>
        <w:rPr>
          <w:rFonts w:hint="eastAsia" w:ascii="宋体" w:hAnsi="宋体" w:cs="宋体"/>
          <w:bCs/>
          <w:sz w:val="32"/>
          <w:szCs w:val="32"/>
          <w:lang w:val="en-US" w:eastAsia="zh-CN"/>
        </w:rPr>
      </w:pPr>
    </w:p>
    <w:p>
      <w:pPr>
        <w:pStyle w:val="2"/>
        <w:numPr>
          <w:ilvl w:val="0"/>
          <w:numId w:val="0"/>
        </w:numPr>
        <w:spacing w:line="240" w:lineRule="auto"/>
        <w:ind w:leftChars="0"/>
        <w:jc w:val="center"/>
        <w:rPr>
          <w:rFonts w:hint="eastAsia"/>
          <w:b/>
          <w:bCs w:val="0"/>
          <w:color w:val="auto"/>
          <w:sz w:val="44"/>
          <w:szCs w:val="44"/>
        </w:rPr>
      </w:pPr>
      <w:bookmarkStart w:id="5" w:name="_GoBack"/>
      <w:bookmarkEnd w:id="5"/>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6"/>
        <w:numPr>
          <w:ilvl w:val="0"/>
          <w:numId w:val="0"/>
        </w:numPr>
        <w:tabs>
          <w:tab w:val="left" w:pos="312"/>
        </w:tabs>
        <w:snapToGrid w:val="0"/>
        <w:spacing w:line="480" w:lineRule="auto"/>
        <w:ind w:firstLine="640" w:firstLineChars="200"/>
        <w:rPr>
          <w:rFonts w:hint="eastAsia" w:asciiTheme="minorEastAsia" w:hAnsiTheme="minorEastAsia" w:eastAsiaTheme="minorEastAsia" w:cstheme="minorEastAsia"/>
          <w:bCs/>
          <w:color w:val="auto"/>
          <w:sz w:val="28"/>
          <w:szCs w:val="28"/>
          <w:lang w:val="en-US" w:eastAsia="zh-CN"/>
        </w:rPr>
      </w:pPr>
      <w:r>
        <w:rPr>
          <w:rFonts w:hint="eastAsia" w:ascii="宋体" w:hAnsi="宋体"/>
          <w:sz w:val="32"/>
          <w:szCs w:val="32"/>
          <w:u w:val="single"/>
          <w:lang w:eastAsia="zh-CN"/>
        </w:rPr>
        <w:t>娄底市中心医院医保结算清单全流程管理系统项目</w:t>
      </w:r>
      <w:r>
        <w:rPr>
          <w:rFonts w:hint="eastAsia" w:asciiTheme="minorEastAsia" w:hAnsiTheme="minorEastAsia" w:eastAsiaTheme="minorEastAsia" w:cstheme="minorEastAsia"/>
          <w:bCs/>
          <w:color w:val="auto"/>
          <w:sz w:val="28"/>
          <w:szCs w:val="28"/>
          <w:lang w:val="en-US" w:eastAsia="zh-CN"/>
        </w:rPr>
        <w:t>进行院内挂网招标，将招标事项公告如下：</w:t>
      </w:r>
    </w:p>
    <w:p>
      <w:pPr>
        <w:pStyle w:val="16"/>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6"/>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宋体" w:hAnsi="宋体"/>
          <w:sz w:val="32"/>
          <w:szCs w:val="32"/>
          <w:u w:val="single"/>
          <w:lang w:eastAsia="zh-CN"/>
        </w:rPr>
        <w:t>娄底市中心医院医保结算清单全流程管理系统项目</w:t>
      </w:r>
      <w:r>
        <w:rPr>
          <w:rFonts w:hint="eastAsia" w:asciiTheme="minorEastAsia" w:hAnsiTheme="minorEastAsia" w:eastAsiaTheme="minorEastAsia" w:cstheme="minorEastAsia"/>
          <w:b w:val="0"/>
          <w:bCs/>
          <w:color w:val="auto"/>
          <w:sz w:val="28"/>
          <w:szCs w:val="28"/>
          <w:lang w:val="en-US" w:eastAsia="zh-CN"/>
        </w:rPr>
        <w:t>采购项目</w:t>
      </w:r>
    </w:p>
    <w:p>
      <w:pPr>
        <w:pStyle w:val="16"/>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6"/>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1.院内公开挂网招标，根据投标人的资格性文件、商务标文件，重点参照投标人企业资质、信誉、类似项目情况、技术方案、服务方案以及投标报价，综合评定，综合得分由高到低排序。</w:t>
      </w:r>
    </w:p>
    <w:p>
      <w:pPr>
        <w:pStyle w:val="16"/>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p>
      <w:pPr>
        <w:pStyle w:val="16"/>
        <w:numPr>
          <w:ilvl w:val="0"/>
          <w:numId w:val="0"/>
        </w:numPr>
        <w:tabs>
          <w:tab w:val="left" w:pos="312"/>
        </w:tabs>
        <w:snapToGrid w:val="0"/>
        <w:spacing w:line="480" w:lineRule="auto"/>
        <w:ind w:firstLine="562" w:firstLineChars="200"/>
        <w:rPr>
          <w:rFonts w:hint="default" w:asciiTheme="minorEastAsia" w:hAnsiTheme="minorEastAsia" w:eastAsiaTheme="minorEastAsia" w:cstheme="minorEastAsia"/>
          <w:b/>
          <w:bCs w:val="0"/>
          <w:color w:val="auto"/>
          <w:sz w:val="28"/>
          <w:szCs w:val="28"/>
          <w:lang w:val="en-US" w:eastAsia="zh-CN" w:bidi="ar-SA"/>
        </w:rPr>
      </w:pPr>
      <w:r>
        <w:rPr>
          <w:rFonts w:hint="default" w:asciiTheme="minorEastAsia" w:hAnsiTheme="minorEastAsia" w:eastAsiaTheme="minorEastAsia" w:cstheme="minorEastAsia"/>
          <w:b/>
          <w:bCs w:val="0"/>
          <w:color w:val="auto"/>
          <w:sz w:val="28"/>
          <w:szCs w:val="28"/>
          <w:lang w:val="en-US" w:eastAsia="zh-CN" w:bidi="ar-SA"/>
        </w:rPr>
        <w:t>注意事项：</w:t>
      </w:r>
    </w:p>
    <w:p>
      <w:pPr>
        <w:pStyle w:val="16"/>
        <w:numPr>
          <w:ilvl w:val="0"/>
          <w:numId w:val="0"/>
        </w:numPr>
        <w:tabs>
          <w:tab w:val="left" w:pos="312"/>
        </w:tabs>
        <w:snapToGrid w:val="0"/>
        <w:spacing w:line="480" w:lineRule="auto"/>
        <w:ind w:firstLine="560" w:firstLineChars="200"/>
        <w:rPr>
          <w:rFonts w:hint="default" w:asciiTheme="minorEastAsia" w:hAnsiTheme="minorEastAsia" w:eastAsiaTheme="minorEastAsia" w:cstheme="minorEastAsia"/>
          <w:bCs/>
          <w:color w:val="auto"/>
          <w:sz w:val="28"/>
          <w:szCs w:val="28"/>
          <w:lang w:val="en-US" w:eastAsia="zh-CN" w:bidi="ar-SA"/>
        </w:rPr>
      </w:pPr>
      <w:r>
        <w:rPr>
          <w:rFonts w:hint="default" w:asciiTheme="minorEastAsia" w:hAnsiTheme="minorEastAsia" w:eastAsiaTheme="minorEastAsia" w:cstheme="minorEastAsia"/>
          <w:bCs/>
          <w:color w:val="auto"/>
          <w:sz w:val="28"/>
          <w:szCs w:val="28"/>
          <w:lang w:val="en-US" w:eastAsia="zh-CN" w:bidi="ar-SA"/>
        </w:rPr>
        <w:t>投标单位在提交投标文件时，应确保所提供的资料真实、准确、完整，并符合招标文件的要求。</w:t>
      </w:r>
    </w:p>
    <w:p>
      <w:pPr>
        <w:pStyle w:val="16"/>
        <w:numPr>
          <w:ilvl w:val="0"/>
          <w:numId w:val="0"/>
        </w:numPr>
        <w:tabs>
          <w:tab w:val="left" w:pos="312"/>
        </w:tabs>
        <w:snapToGrid w:val="0"/>
        <w:spacing w:line="480" w:lineRule="auto"/>
        <w:ind w:firstLine="560" w:firstLineChars="200"/>
        <w:rPr>
          <w:rFonts w:hint="default" w:asciiTheme="minorEastAsia" w:hAnsiTheme="minorEastAsia" w:eastAsiaTheme="minorEastAsia" w:cstheme="minorEastAsia"/>
          <w:bCs/>
          <w:color w:val="auto"/>
          <w:sz w:val="28"/>
          <w:szCs w:val="28"/>
          <w:lang w:val="en-US" w:eastAsia="zh-CN" w:bidi="ar-SA"/>
        </w:rPr>
      </w:pPr>
      <w:r>
        <w:rPr>
          <w:rFonts w:hint="default" w:asciiTheme="minorEastAsia" w:hAnsiTheme="minorEastAsia" w:eastAsiaTheme="minorEastAsia" w:cstheme="minorEastAsia"/>
          <w:bCs/>
          <w:color w:val="auto"/>
          <w:sz w:val="28"/>
          <w:szCs w:val="28"/>
          <w:lang w:val="en-US" w:eastAsia="zh-CN" w:bidi="ar-SA"/>
        </w:rPr>
        <w:t>中标单位在获得业务量份额后，需严格遵守合同约定，按时按质完成项目工作，否则将承担相应的违约责任。</w:t>
      </w:r>
    </w:p>
    <w:p>
      <w:pPr>
        <w:pStyle w:val="16"/>
        <w:numPr>
          <w:ilvl w:val="0"/>
          <w:numId w:val="0"/>
        </w:numPr>
        <w:tabs>
          <w:tab w:val="left" w:pos="312"/>
        </w:tabs>
        <w:snapToGrid w:val="0"/>
        <w:spacing w:line="480" w:lineRule="auto"/>
        <w:ind w:firstLine="560" w:firstLineChars="200"/>
        <w:rPr>
          <w:rFonts w:hint="default" w:asciiTheme="minorEastAsia" w:hAnsiTheme="minorEastAsia" w:eastAsiaTheme="minorEastAsia" w:cstheme="minorEastAsia"/>
          <w:bCs/>
          <w:color w:val="auto"/>
          <w:sz w:val="28"/>
          <w:szCs w:val="28"/>
          <w:lang w:val="en-US" w:eastAsia="zh-CN" w:bidi="ar-SA"/>
        </w:rPr>
      </w:pPr>
      <w:r>
        <w:rPr>
          <w:rFonts w:hint="default" w:asciiTheme="minorEastAsia" w:hAnsiTheme="minorEastAsia" w:eastAsiaTheme="minorEastAsia" w:cstheme="minorEastAsia"/>
          <w:bCs/>
          <w:color w:val="auto"/>
          <w:sz w:val="28"/>
          <w:szCs w:val="28"/>
          <w:lang w:val="en-US" w:eastAsia="zh-CN" w:bidi="ar-SA"/>
        </w:rPr>
        <w:t>招标单位保留对中标单位进行资格后审的权利，如发现中标单位在投标过程中存在虚假陈述、欺诈行为或其他不符合招标文件要求的情形，招标单位有权取消其中标资格，并追究其法律责任。</w:t>
      </w:r>
    </w:p>
    <w:bookmarkEnd w:id="0"/>
    <w:p>
      <w:pPr>
        <w:pStyle w:val="16"/>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6"/>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  1、具有独立法人地位，营业执照具有相应的经营范围；</w:t>
      </w:r>
    </w:p>
    <w:p>
      <w:pPr>
        <w:pStyle w:val="16"/>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6"/>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6"/>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default" w:asciiTheme="minorEastAsia" w:hAnsiTheme="minorEastAsia" w:eastAsiaTheme="minorEastAsia" w:cstheme="minorEastAsia"/>
          <w:b w:val="0"/>
          <w:bCs/>
          <w:color w:val="auto"/>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1.投标报名截止时间：2024年9月10日18：00（北京时间）</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2.开标时间：2024年9月12日9：30 </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3.开标地点：娄底市长青中街51号E区6楼评标室（远程会诊中心）</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4.报名方式：通过短信形式报名（报名格式：参与项目名称，公司名称，联系人，联系方式。）</w:t>
      </w:r>
    </w:p>
    <w:p>
      <w:pPr>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br w:type="page"/>
      </w:r>
    </w:p>
    <w:p>
      <w:pPr>
        <w:rPr>
          <w:rFonts w:hint="default" w:asciiTheme="minorEastAsia" w:hAnsiTheme="minorEastAsia" w:eastAsiaTheme="minorEastAsia" w:cstheme="minorEastAsia"/>
          <w:bCs/>
          <w:color w:val="auto"/>
          <w:sz w:val="28"/>
          <w:szCs w:val="28"/>
          <w:lang w:val="en-US" w:eastAsia="zh-CN"/>
        </w:rPr>
      </w:pPr>
    </w:p>
    <w:p>
      <w:pPr>
        <w:pStyle w:val="16"/>
        <w:numPr>
          <w:ilvl w:val="0"/>
          <w:numId w:val="0"/>
        </w:numPr>
        <w:tabs>
          <w:tab w:val="left" w:pos="312"/>
        </w:tabs>
        <w:snapToGrid w:val="0"/>
        <w:spacing w:line="480" w:lineRule="auto"/>
        <w:jc w:val="cente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2"/>
        <w:tblW w:w="493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653"/>
        <w:gridCol w:w="4255"/>
        <w:gridCol w:w="29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96" w:hRule="atLeast"/>
          <w:jc w:val="center"/>
        </w:trPr>
        <w:tc>
          <w:tcPr>
            <w:tcW w:w="935" w:type="pct"/>
            <w:noWrap w:val="0"/>
            <w:vAlign w:val="center"/>
          </w:tcPr>
          <w:p>
            <w:pPr>
              <w:jc w:val="center"/>
              <w:rPr>
                <w:rFonts w:hint="eastAsia" w:ascii="Times New Roman" w:hAnsi="Times New Roman" w:eastAsia="宋体" w:cs="Times New Roman"/>
                <w:color w:val="auto"/>
                <w:kern w:val="2"/>
                <w:sz w:val="24"/>
                <w:szCs w:val="24"/>
                <w:highlight w:val="none"/>
                <w:lang w:val="en-US" w:eastAsia="zh-CN" w:bidi="ar-SA"/>
              </w:rPr>
            </w:pPr>
            <w:r>
              <w:rPr>
                <w:rFonts w:hint="eastAsia"/>
                <w:color w:val="auto"/>
                <w:sz w:val="24"/>
                <w:highlight w:val="none"/>
                <w:lang w:val="en-US" w:eastAsia="zh-CN"/>
              </w:rPr>
              <w:t>序号</w:t>
            </w:r>
          </w:p>
        </w:tc>
        <w:tc>
          <w:tcPr>
            <w:tcW w:w="2407" w:type="pct"/>
            <w:noWrap w:val="0"/>
            <w:vAlign w:val="center"/>
          </w:tcPr>
          <w:p>
            <w:pPr>
              <w:jc w:val="center"/>
              <w:rPr>
                <w:rFonts w:hint="eastAsia" w:eastAsia="宋体"/>
                <w:color w:val="auto"/>
                <w:sz w:val="24"/>
                <w:highlight w:val="none"/>
                <w:lang w:eastAsia="zh-CN"/>
              </w:rPr>
            </w:pPr>
            <w:r>
              <w:rPr>
                <w:rFonts w:hint="eastAsia"/>
                <w:color w:val="auto"/>
                <w:sz w:val="24"/>
                <w:highlight w:val="none"/>
                <w:lang w:val="en-US" w:eastAsia="zh-CN"/>
              </w:rPr>
              <w:t>包名</w:t>
            </w:r>
          </w:p>
        </w:tc>
        <w:tc>
          <w:tcPr>
            <w:tcW w:w="1657" w:type="pct"/>
            <w:noWrap w:val="0"/>
            <w:vAlign w:val="center"/>
          </w:tcPr>
          <w:p>
            <w:pPr>
              <w:jc w:val="center"/>
              <w:rPr>
                <w:rFonts w:hint="eastAsia" w:ascii="Times New Roman" w:hAnsi="Times New Roman" w:eastAsia="宋体" w:cs="Times New Roman"/>
                <w:color w:val="auto"/>
                <w:sz w:val="24"/>
                <w:highlight w:val="none"/>
                <w:lang w:val="en-US" w:eastAsia="zh-CN"/>
              </w:rPr>
            </w:pPr>
            <w:r>
              <w:rPr>
                <w:rFonts w:hint="eastAsia" w:ascii="Times New Roman" w:hAnsi="Times New Roman" w:eastAsia="宋体" w:cs="Times New Roman"/>
                <w:color w:val="auto"/>
                <w:sz w:val="24"/>
                <w:highlight w:val="none"/>
                <w:lang w:val="en-US" w:eastAsia="zh-CN"/>
              </w:rPr>
              <w:t>年采购预算</w:t>
            </w:r>
          </w:p>
          <w:p>
            <w:pPr>
              <w:jc w:val="center"/>
              <w:rPr>
                <w:rFonts w:hint="default" w:ascii="Times New Roman" w:hAnsi="Times New Roman" w:eastAsia="宋体" w:cs="Times New Roman"/>
                <w:color w:val="auto"/>
                <w:sz w:val="24"/>
                <w:highlight w:val="none"/>
                <w:lang w:val="en-US" w:eastAsia="zh-CN"/>
              </w:rPr>
            </w:pPr>
            <w:r>
              <w:rPr>
                <w:rFonts w:hint="eastAsia" w:ascii="Times New Roman" w:hAnsi="Times New Roman" w:eastAsia="宋体" w:cs="Times New Roman"/>
                <w:color w:val="auto"/>
                <w:sz w:val="24"/>
                <w:highlight w:val="none"/>
                <w:lang w:val="en-US" w:eastAsia="zh-CN"/>
              </w:rPr>
              <w:t>(万元）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86" w:hRule="atLeast"/>
          <w:jc w:val="center"/>
        </w:trPr>
        <w:tc>
          <w:tcPr>
            <w:tcW w:w="935" w:type="pct"/>
            <w:noWrap w:val="0"/>
            <w:vAlign w:val="center"/>
          </w:tcPr>
          <w:p>
            <w:pPr>
              <w:jc w:val="center"/>
              <w:rPr>
                <w:rFonts w:hint="eastAsia"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1</w:t>
            </w:r>
          </w:p>
        </w:tc>
        <w:tc>
          <w:tcPr>
            <w:tcW w:w="2407" w:type="pct"/>
            <w:noWrap w:val="0"/>
            <w:vAlign w:val="center"/>
          </w:tcPr>
          <w:p>
            <w:pPr>
              <w:jc w:val="center"/>
              <w:rPr>
                <w:rFonts w:hint="default"/>
                <w:color w:val="auto"/>
                <w:sz w:val="24"/>
                <w:highlight w:val="none"/>
                <w:lang w:val="en-US" w:eastAsia="zh-CN"/>
              </w:rPr>
            </w:pPr>
            <w:r>
              <w:rPr>
                <w:rFonts w:hint="eastAsia"/>
                <w:color w:val="auto"/>
                <w:sz w:val="24"/>
                <w:highlight w:val="none"/>
                <w:lang w:val="en-US" w:eastAsia="zh-CN"/>
              </w:rPr>
              <w:t>医保结算清单全流程管理系统</w:t>
            </w:r>
            <w:r>
              <w:rPr>
                <w:rFonts w:hint="default"/>
                <w:color w:val="auto"/>
                <w:sz w:val="24"/>
                <w:highlight w:val="none"/>
                <w:lang w:val="en-US" w:eastAsia="zh-CN"/>
              </w:rPr>
              <w:t>项目</w:t>
            </w:r>
          </w:p>
        </w:tc>
        <w:tc>
          <w:tcPr>
            <w:tcW w:w="1657" w:type="pct"/>
            <w:noWrap w:val="0"/>
            <w:vAlign w:val="center"/>
          </w:tcPr>
          <w:p>
            <w:pPr>
              <w:jc w:val="center"/>
              <w:rPr>
                <w:rFonts w:hint="default" w:ascii="Times New Roman" w:hAnsi="Times New Roman" w:eastAsia="宋体" w:cs="Times New Roman"/>
                <w:color w:val="auto"/>
                <w:sz w:val="24"/>
                <w:highlight w:val="none"/>
                <w:lang w:val="en-US" w:eastAsia="zh-CN"/>
              </w:rPr>
            </w:pPr>
            <w:r>
              <w:rPr>
                <w:rFonts w:hint="eastAsia" w:cs="Times New Roman"/>
                <w:color w:val="auto"/>
                <w:sz w:val="24"/>
                <w:highlight w:val="none"/>
                <w:lang w:val="en-US" w:eastAsia="zh-CN"/>
              </w:rPr>
              <w:t>39.00</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1、技术参数</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3"/>
        <w:gridCol w:w="1706"/>
        <w:gridCol w:w="5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34" w:type="pct"/>
            <w:shd w:val="clear" w:color="auto" w:fill="auto"/>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模块</w:t>
            </w:r>
          </w:p>
        </w:tc>
        <w:tc>
          <w:tcPr>
            <w:tcW w:w="952" w:type="pct"/>
            <w:shd w:val="clear" w:color="auto" w:fill="auto"/>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功能点</w:t>
            </w:r>
          </w:p>
        </w:tc>
        <w:tc>
          <w:tcPr>
            <w:tcW w:w="3212" w:type="pct"/>
            <w:shd w:val="clear" w:color="auto" w:fill="auto"/>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详细参数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vMerge w:val="restart"/>
            <w:shd w:val="clear" w:color="auto" w:fill="auto"/>
            <w:vAlign w:val="center"/>
          </w:tcPr>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清单任务总览</w:t>
            </w:r>
          </w:p>
        </w:tc>
        <w:tc>
          <w:tcPr>
            <w:tcW w:w="952" w:type="pct"/>
            <w:shd w:val="clear" w:color="auto" w:fill="auto"/>
            <w:vAlign w:val="center"/>
          </w:tcPr>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管理指标统计</w:t>
            </w:r>
          </w:p>
        </w:tc>
        <w:tc>
          <w:tcPr>
            <w:tcW w:w="3212" w:type="pct"/>
            <w:shd w:val="clear" w:color="auto" w:fill="auto"/>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 支持统计筛选时间段内的审核完成率、首次上报合格率。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vMerge w:val="continue"/>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tc>
        <w:tc>
          <w:tcPr>
            <w:tcW w:w="952" w:type="pct"/>
            <w:shd w:val="clear" w:color="auto" w:fill="auto"/>
            <w:vAlign w:val="center"/>
          </w:tcPr>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清单任务统计</w:t>
            </w:r>
          </w:p>
        </w:tc>
        <w:tc>
          <w:tcPr>
            <w:tcW w:w="3212" w:type="pct"/>
            <w:shd w:val="clear" w:color="auto" w:fill="auto"/>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 支持展示已生成清单的数量，包含通过病案首页数据生成的清单数量和对特殊患者自动补充生产的清单数量。</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2) 支持根据医院实际配置的审核流程节点，分别展示清单初审、清单复审、清单终审任务节点中具体的清单审核状态及数量，支持下钻到对应清单列表。</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3) 支持按院内结算日期、出院日期统计筛选时间段内以上清单的数量及状态。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vMerge w:val="restart"/>
            <w:shd w:val="clear" w:color="auto" w:fill="auto"/>
            <w:vAlign w:val="center"/>
          </w:tcPr>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上报前清单审核</w:t>
            </w:r>
          </w:p>
        </w:tc>
        <w:tc>
          <w:tcPr>
            <w:tcW w:w="952" w:type="pct"/>
            <w:shd w:val="clear" w:color="auto" w:fill="auto"/>
            <w:vAlign w:val="center"/>
          </w:tcPr>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清单生成</w:t>
            </w:r>
          </w:p>
        </w:tc>
        <w:tc>
          <w:tcPr>
            <w:tcW w:w="3212" w:type="pct"/>
            <w:shd w:val="clear" w:color="auto" w:fill="auto"/>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 支持自动获取医院各系统相关数据，生成待审核结算清单，自动对结算清单进行全量质检质控；</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2) ★支持对血液透析、门诊放疗、门诊化疗患者自动生成结算清单，对于母婴同室的婴儿自动拆分结算清单，并提供全量质检质控；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vMerge w:val="continue"/>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tc>
        <w:tc>
          <w:tcPr>
            <w:tcW w:w="952" w:type="pct"/>
            <w:shd w:val="clear" w:color="auto" w:fill="auto"/>
            <w:vAlign w:val="center"/>
          </w:tcPr>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清单操作</w:t>
            </w:r>
          </w:p>
        </w:tc>
        <w:tc>
          <w:tcPr>
            <w:tcW w:w="3212" w:type="pct"/>
            <w:shd w:val="clear" w:color="auto" w:fill="auto"/>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 支持自定义设置清单列表展示数量，如20条/页、50条/页、100条/页；</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2) ★支持对清单标记疑问病例，并在列表内进行差异化标识展示，支持搜索查询；</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3) 支持在列表内对于已读清单和未读清单进行差异化展示，支持搜索查询；</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4) 支持对符合再入院条件的患者进行差异化标识展示，支持查看上次住院信息，支持搜索查询；</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5) 支持对与病案首页不一致的清单进行标注，支持查看病案首页与结算清单不一致的具体对比情况；</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6) 支持查看每份清单的基本信息，包括患者信息、病案号、住院号、住院医师、入组情况、预计结余、病例类型等信息；支持按费用类型查看费用明细，并展示费用分布情况和费用占比。支持对于入组异常患者展示入组解析。</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7) 支持按病种结算和床日结算两种结算方式，对于同时符合两种结算方式的患者支持切换结算方式进行对比查看；</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8) 支持展示清单质检结果，对不同预警级别差异化展示；支持展示诊断手术信息；支持展示清单批注信息并进行操作；</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9) ★支持通过大数据分析建立多维度优选策略，在保证清单合规的前提下提供结算更多组合的参考；支持通过大数据对疑似手术缺漏进行提醒，提供对应的优选组合，并对缺漏手术进行差异化标识；</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10) 支持下钻查看清单详情，定位展示对应的质控问题点，支持对诊断、手术信息进行编辑，包括顺序调整、新增、删除、修改；支持在调整清单内容后模拟质检，比对查看新旧分组预测与质控结果信息；支持保存修改后的清单，保存后清单将停止自动刷新；</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 xml:space="preserve">11) 支持对已修改的清单，手动开启清单自动更新； </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12) 支持对不适用的清单规则进行关闭，并记录关闭理由；支持针对于个别患者无需修改的规则进行关闭，并记录关闭理由；</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13) ★支持查看清单编辑日志，日志记录所有操作人员、时间、操作内容，可查看修改前后对比，支持查看与初始清单的对比；</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14) 支持对清单发起批注信息，选择发送至指定用户，支持立即发送或暂不发送仅保存；</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15) 支持通过调整主次诊断、手术顺序对清单进行模拟入组，比对查看新旧分组预测与质控结果信息，支持将模拟分组结果快捷添加至批注或详情页；</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16) 支持通过手动刷新病案实时信息，更新待审核清单数据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vMerge w:val="continue"/>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tc>
        <w:tc>
          <w:tcPr>
            <w:tcW w:w="952" w:type="pct"/>
            <w:shd w:val="clear" w:color="auto" w:fill="auto"/>
            <w:vAlign w:val="center"/>
          </w:tcPr>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我的清单</w:t>
            </w:r>
          </w:p>
        </w:tc>
        <w:tc>
          <w:tcPr>
            <w:tcW w:w="3212" w:type="pct"/>
            <w:shd w:val="clear" w:color="auto" w:fill="auto"/>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支持按分配的数据权限，查看本人负责的全部流程节点下的所有结算清单；</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支持查看结算清单当前审核状态，支持按姓名、住院号、病案号、医生、分组、主诊断、主手术进行搜索，支持下载导出列表。</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支持对于重点问题主动进行推送，如已审核清单被退回、收到批注消息、清单数据源头发生变更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vMerge w:val="continue"/>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tc>
        <w:tc>
          <w:tcPr>
            <w:tcW w:w="952" w:type="pct"/>
            <w:shd w:val="clear" w:color="auto" w:fill="auto"/>
            <w:vAlign w:val="center"/>
          </w:tcPr>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待审核清单</w:t>
            </w:r>
          </w:p>
        </w:tc>
        <w:tc>
          <w:tcPr>
            <w:tcW w:w="3212" w:type="pct"/>
            <w:shd w:val="clear" w:color="auto" w:fill="auto"/>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 支持按分配的数据权限，查看本人负责的所有待审核的结算清单；</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2) 支持对待审核清单操作审核通过，支持批量勾选操作审核通过，支持一键全部审核通过；已审核通过的清单根据审核流程配置，自动分配进入下一节点审核人员的待审核列表，并自动保存固化清单数据；</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3) ★支持设置自定义校验条件，对符合条件的清单自动审核通过并进入本人审核通过列表，未通过审核的清单进入待审核列表等待人工处理审核；</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4) 支持对审核不通过的清单进行退回操作，可选择退回至指定流程的待审核列表；</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5) 支持下载导出本人所有待审核清单列表。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vMerge w:val="continue"/>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tc>
        <w:tc>
          <w:tcPr>
            <w:tcW w:w="952" w:type="pct"/>
            <w:shd w:val="clear" w:color="auto" w:fill="auto"/>
            <w:vAlign w:val="center"/>
          </w:tcPr>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审核通过清单</w:t>
            </w:r>
          </w:p>
        </w:tc>
        <w:tc>
          <w:tcPr>
            <w:tcW w:w="3212" w:type="pct"/>
            <w:shd w:val="clear" w:color="auto" w:fill="auto"/>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 支持查看所有本人审核通过的清单；</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2) 支持批量勾选撤销本人已审核通过的清单，撤销审核后的清单变为本人待审核状态；</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3) 支持下载导出本人所有审核通过清单列表；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vMerge w:val="continue"/>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tc>
        <w:tc>
          <w:tcPr>
            <w:tcW w:w="952" w:type="pct"/>
            <w:shd w:val="clear" w:color="auto" w:fill="auto"/>
            <w:vAlign w:val="center"/>
          </w:tcPr>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审核退回清单</w:t>
            </w:r>
          </w:p>
        </w:tc>
        <w:tc>
          <w:tcPr>
            <w:tcW w:w="3212" w:type="pct"/>
            <w:shd w:val="clear" w:color="auto" w:fill="auto"/>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 支持查看所有本人被审核退回的清单；</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2) 支持重新对清单进行审核通过操作，重新进入下一节点审核人员的待审核列表。</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3) 支持下载导出本人所有审核被退回清单列表。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vMerge w:val="continue"/>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tc>
        <w:tc>
          <w:tcPr>
            <w:tcW w:w="952" w:type="pct"/>
            <w:shd w:val="clear" w:color="auto" w:fill="auto"/>
            <w:vAlign w:val="center"/>
          </w:tcPr>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超时未审核清单</w:t>
            </w:r>
          </w:p>
        </w:tc>
        <w:tc>
          <w:tcPr>
            <w:tcW w:w="3212" w:type="pct"/>
            <w:shd w:val="clear" w:color="auto" w:fill="auto"/>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 根据每个审核节点设置的时限要求，系统自动将超过时限的清单置为超时未审核；</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2) 支持查看所有本人超时未审核的清单；</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3) 支持对清单进行审核通过操作，进入下一节点审核人员的待审核列表。</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4) 支持下载导出本人所有超时未审核清单列表。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vMerge w:val="continue"/>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tc>
        <w:tc>
          <w:tcPr>
            <w:tcW w:w="952" w:type="pct"/>
            <w:shd w:val="clear" w:color="auto" w:fill="auto"/>
            <w:vAlign w:val="center"/>
          </w:tcPr>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自定义快捷筛选</w:t>
            </w:r>
          </w:p>
        </w:tc>
        <w:tc>
          <w:tcPr>
            <w:tcW w:w="3212" w:type="pct"/>
            <w:shd w:val="clear" w:color="auto" w:fill="auto"/>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 支持按照病例类型、质控问题、异常住院、特殊患者、费用相关条件类型，选择对应的指标，组合形成自定义快捷筛类型，针对每个审核环节，筛选出对应的清单列表；</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2) 支持对筛选类型进行重命名；</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3) 支持自定义添加多个快捷筛选类型；</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4) 支持初始化重点问题清单的快捷筛选类型；</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5) 支持下载导出快捷筛选类型下的清单列表。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vMerge w:val="continue"/>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tc>
        <w:tc>
          <w:tcPr>
            <w:tcW w:w="952" w:type="pct"/>
            <w:shd w:val="clear" w:color="auto" w:fill="auto"/>
            <w:vAlign w:val="center"/>
          </w:tcPr>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其他筛选</w:t>
            </w:r>
          </w:p>
        </w:tc>
        <w:tc>
          <w:tcPr>
            <w:tcW w:w="3212" w:type="pct"/>
            <w:shd w:val="clear" w:color="auto" w:fill="auto"/>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 支持对未读清单、疑问病例的筛选；</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2) 支持筛选与病案首页不一致的清单；</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3) 支持筛选与初始清单不一致的清单，区分因数据源变更、清单调整变更原因导致的不一致清单。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vMerge w:val="restart"/>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上传效果反馈</w:t>
            </w:r>
          </w:p>
        </w:tc>
        <w:tc>
          <w:tcPr>
            <w:tcW w:w="952" w:type="pct"/>
            <w:shd w:val="clear" w:color="auto" w:fill="auto"/>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未上传成功清单显示</w:t>
            </w:r>
          </w:p>
        </w:tc>
        <w:tc>
          <w:tcPr>
            <w:tcW w:w="3212" w:type="pct"/>
            <w:shd w:val="clear" w:color="auto" w:fill="auto"/>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★支持显示每月未上传成功清单。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vMerge w:val="continue"/>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tc>
        <w:tc>
          <w:tcPr>
            <w:tcW w:w="952" w:type="pct"/>
            <w:shd w:val="clear" w:color="auto" w:fill="auto"/>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本地和两定清单比对</w:t>
            </w:r>
          </w:p>
        </w:tc>
        <w:tc>
          <w:tcPr>
            <w:tcW w:w="3212" w:type="pct"/>
            <w:shd w:val="clear" w:color="auto" w:fill="auto"/>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★支持本地清单和两定系统清单比对，并显示不同点。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7" w:type="pct"/>
            <w:gridSpan w:val="2"/>
            <w:shd w:val="clear" w:color="auto" w:fill="auto"/>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消息中心</w:t>
            </w:r>
          </w:p>
        </w:tc>
        <w:tc>
          <w:tcPr>
            <w:tcW w:w="3212" w:type="pct"/>
            <w:shd w:val="clear" w:color="auto" w:fill="auto"/>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 支持分类查看当前用户收到的、发起的、仅保存的批注，同时支持按照待处理、已接受、不接受进行分类筛选；</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2) 支持对于整改批注消息进行处理，选择是否接受，支持填写不接受理由；</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3) 消息列表支持直接打开清单详情页，支持对清单进行编辑与审核操作；</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4) 支持在收到批注、批注回复消息时在系统内主动弹窗提示。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vMerge w:val="restart"/>
            <w:shd w:val="clear" w:color="auto" w:fill="auto"/>
            <w:vAlign w:val="center"/>
          </w:tcPr>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清单质量分析</w:t>
            </w:r>
          </w:p>
        </w:tc>
        <w:tc>
          <w:tcPr>
            <w:tcW w:w="952" w:type="pct"/>
            <w:shd w:val="clear" w:color="auto" w:fill="auto"/>
            <w:vAlign w:val="center"/>
          </w:tcPr>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问题分布情况</w:t>
            </w:r>
          </w:p>
        </w:tc>
        <w:tc>
          <w:tcPr>
            <w:tcW w:w="3212" w:type="pct"/>
            <w:shd w:val="clear" w:color="auto" w:fill="auto"/>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支持以月、季、年为统计区间，按院内结算时间或出院时间、科室、医疗组等维度分析问题清单。</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1) 支持按重要性、质控内容、影响范围维度查看问题清单分布概况，包括强制性问题、提示性问题、编码问题、非编码问题、影响入组问题、可能影响入组问题、不影响入组问题清单的数量和占比；</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2) 支持按问题清单类型，查看各科室的分布情况及占比，支持查看科室下对应的清单问题类型分布及占比情况，可下钻查看对应的清单详情；</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3) 支持按主治医师、编码员分析问题清单的数量，可下钻查看对应的清单详情，支持下载导出列表。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vMerge w:val="continue"/>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tc>
        <w:tc>
          <w:tcPr>
            <w:tcW w:w="952" w:type="pct"/>
            <w:shd w:val="clear" w:color="auto" w:fill="auto"/>
            <w:vAlign w:val="center"/>
          </w:tcPr>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问题清单趋势</w:t>
            </w:r>
          </w:p>
        </w:tc>
        <w:tc>
          <w:tcPr>
            <w:tcW w:w="3212" w:type="pct"/>
            <w:shd w:val="clear" w:color="auto" w:fill="auto"/>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 支持多维度筛选条件，通过图表展示问题清单数量、占比的变化趋势。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vMerge w:val="restart"/>
            <w:shd w:val="clear" w:color="auto" w:fill="auto"/>
            <w:vAlign w:val="center"/>
          </w:tcPr>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清单成就分析</w:t>
            </w:r>
          </w:p>
        </w:tc>
        <w:tc>
          <w:tcPr>
            <w:tcW w:w="952" w:type="pct"/>
            <w:shd w:val="clear" w:color="auto" w:fill="auto"/>
            <w:vAlign w:val="center"/>
          </w:tcPr>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 xml:space="preserve">清单调整情况 </w:t>
            </w:r>
          </w:p>
        </w:tc>
        <w:tc>
          <w:tcPr>
            <w:tcW w:w="3212" w:type="pct"/>
            <w:shd w:val="clear" w:color="auto" w:fill="auto"/>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支持以月、季、年为统计区间，按院内结算时间或出院时间、科室、医疗组等维度分析清单调整情况。</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1) 支持多维度筛选结算清单，可视化展示已调整清单和未调整清单的具体数量及占比。</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2) 支持对已调整清单进行分类筛选，包括调整前后分组不一致、主要诊断不一致、其它诊断不一致、主要手术不一致、其它手术不一致；</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3) 支持查看调整清单分类的具体数量及占比，支持查看每一分类下具体科室和病例情况，支持查看具体科室清单调整前后分值差、结余差、修正问题数，支持查看清单调整前后具体对比，支持下载导出列表。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vMerge w:val="continue"/>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tc>
        <w:tc>
          <w:tcPr>
            <w:tcW w:w="952" w:type="pct"/>
            <w:shd w:val="clear" w:color="auto" w:fill="auto"/>
            <w:vAlign w:val="center"/>
          </w:tcPr>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清单调整前后对比分析</w:t>
            </w:r>
          </w:p>
        </w:tc>
        <w:tc>
          <w:tcPr>
            <w:tcW w:w="3212" w:type="pct"/>
            <w:shd w:val="clear" w:color="auto" w:fill="auto"/>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 支持多维度筛选条件，通过图表展示清单调整前后结余分析、质控问题分析，支持查看总分值差、结余差、修正问题数。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vMerge w:val="restart"/>
            <w:shd w:val="clear" w:color="auto" w:fill="auto"/>
            <w:vAlign w:val="center"/>
          </w:tcPr>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系统设置</w:t>
            </w:r>
          </w:p>
        </w:tc>
        <w:tc>
          <w:tcPr>
            <w:tcW w:w="952" w:type="pct"/>
            <w:shd w:val="clear" w:color="auto" w:fill="auto"/>
            <w:vAlign w:val="center"/>
          </w:tcPr>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医保结算清单质控规则</w:t>
            </w:r>
          </w:p>
        </w:tc>
        <w:tc>
          <w:tcPr>
            <w:tcW w:w="3212" w:type="pct"/>
            <w:shd w:val="clear" w:color="auto" w:fill="auto"/>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 系统提供专家知识库规则、DIP专项规则，费用专项规则，通过实时质控保证清单的完整性、逻辑性和准确性；</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2) 支持个性化开启/关闭质控规则，支持批量启用/停用；</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3) 支持个性化配置质控规则的强制性/提示性属性，强制性规则校验不通过时，不允许提交结算清单。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pct"/>
            <w:vMerge w:val="continue"/>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tc>
        <w:tc>
          <w:tcPr>
            <w:tcW w:w="952" w:type="pct"/>
            <w:shd w:val="clear" w:color="auto" w:fill="auto"/>
            <w:vAlign w:val="center"/>
          </w:tcPr>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★清单流程设置</w:t>
            </w:r>
          </w:p>
        </w:tc>
        <w:tc>
          <w:tcPr>
            <w:tcW w:w="3212" w:type="pct"/>
            <w:shd w:val="clear" w:color="auto" w:fill="auto"/>
            <w:vAlign w:val="center"/>
          </w:tcPr>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支持根据医院实际情况，自定义配置结算清单管理流程；</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1) 支持个性化配置结算清单管理全流程，例如：生成-初审-上报、生成-初审-复审-上报、生成-初审-复审-终审-上报；</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2) 支持在结算清单管理流程节点中配置对应角色和用户；</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3) 流程节点支持多种审核类型，包括全量人工审核、人工+条件自动审核、无条件自动审核；</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4) 支持按照患者结算时间、出院时间、上报日期设置审核时限；支持对审核超时的清单配置进入下一流程或保持当前流程；</w:t>
            </w:r>
            <w:r>
              <w:rPr>
                <w:rFonts w:hint="eastAsia" w:asciiTheme="minorEastAsia" w:hAnsiTheme="minorEastAsia" w:eastAsiaTheme="minorEastAsia" w:cstheme="minorEastAsia"/>
                <w:bCs/>
                <w:color w:val="auto"/>
                <w:kern w:val="0"/>
                <w:sz w:val="28"/>
                <w:szCs w:val="28"/>
                <w:lang w:val="en-US" w:eastAsia="zh-CN" w:bidi="ar-SA"/>
              </w:rPr>
              <w:br w:type="textWrapping"/>
            </w:r>
            <w:r>
              <w:rPr>
                <w:rFonts w:hint="eastAsia" w:asciiTheme="minorEastAsia" w:hAnsiTheme="minorEastAsia" w:eastAsiaTheme="minorEastAsia" w:cstheme="minorEastAsia"/>
                <w:bCs/>
                <w:color w:val="auto"/>
                <w:kern w:val="0"/>
                <w:sz w:val="28"/>
                <w:szCs w:val="28"/>
                <w:lang w:val="en-US" w:eastAsia="zh-CN" w:bidi="ar-SA"/>
              </w:rPr>
              <w:t>5) 支持按病例类型、质控问题、异常入院的维度配置自动审核条件；满足校验条件通过的清单可自动进入下一个流程。</w:t>
            </w:r>
          </w:p>
        </w:tc>
      </w:tr>
    </w:tbl>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商务参数</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2.1 软件需要与招标方使用的信息系统对接，因对接产生的接口开发等中标方及第三方需要收取的全部费用均由中标方承担。</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2.2 中标方完成软件安装、实施、调试后，书面通知投标方有关部门共同对合同项目进行验收，投标方自收到中标方书面验收通知之日起7个工作日内组织验收。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2.3 软件免费维保服务期限为壹年。</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2.4自项目验收之日起，提供三个月工程师驻场服务，驻场工程师服从医院管理，作息时间和医院职工同步。</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2.5 投标方分三次支付本合同费用：在合同生效之日起30个工作日内支付合同总价款的20%；在投标方出具验收合格报告之日起30个工作日内支付总价款的70%；余款10%投标方在免费维保服务期限届满且无质量、服务问题之日起10个工作日内无息支付给中标方。</w:t>
      </w:r>
    </w:p>
    <w:p>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cstheme="minorEastAsia"/>
          <w:bCs/>
          <w:color w:val="auto"/>
          <w:kern w:val="0"/>
          <w:sz w:val="28"/>
          <w:szCs w:val="28"/>
          <w:lang w:val="en-US" w:eastAsia="zh-CN" w:bidi="ar-SA"/>
        </w:rPr>
        <w:t>三、投标报价</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投标人应以招标文件规定的供货及服务要求、责任范围和合同条件为基础进行报价。投标人的报价应包括为完成本项目所要求的全部内容可能发生的全部费用和税费、规费、保险费（如果有）等，采购人将不再支付报价以外的任何费用。</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投标人的总投标报价不得超过项目最高限价（总价限价），投标分项报价不得超过对应项的最高单价限价，投标分项报价之和必须与总投标报价相等，否则其投标无效。采购项目预算、最高限价见【采购项目表】。</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3.投标人应在分项报价明细表中对每项内容给予详细分项报价。</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4.投标人对采购项目内容只允许有一个投标报价，否则其投标无效。</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一副），标书必须“A4规格纸张胶制（非打孔或夹装）装订成册，并编制总目录”,要求密封，否则视为符合性审查不合格，作无效投标处理，在开标现场验证时打开，采用现场开标的方式。</w:t>
      </w:r>
    </w:p>
    <w:p>
      <w:pPr>
        <w:pStyle w:val="3"/>
        <w:keepNext w:val="0"/>
        <w:keepLines w:val="0"/>
        <w:adjustRightInd w:val="0"/>
        <w:snapToGrid w:val="0"/>
        <w:spacing w:beforeLines="50" w:after="0" w:line="360" w:lineRule="auto"/>
        <w:rPr>
          <w:rFonts w:hint="eastAsia" w:asciiTheme="minorEastAsia" w:hAnsiTheme="minorEastAsia" w:eastAsiaTheme="minorEastAsia" w:cstheme="minorEastAsia"/>
          <w:b w:val="0"/>
          <w:bCs/>
          <w:color w:val="auto"/>
          <w:kern w:val="0"/>
          <w:sz w:val="28"/>
          <w:szCs w:val="28"/>
          <w:lang w:val="en-US" w:eastAsia="zh-CN" w:bidi="ar-SA"/>
        </w:rPr>
      </w:pPr>
      <w:r>
        <w:rPr>
          <w:rFonts w:hint="eastAsia" w:asciiTheme="minorEastAsia" w:hAnsiTheme="minorEastAsia" w:eastAsiaTheme="minorEastAsia" w:cstheme="minorEastAsia"/>
          <w:b w:val="0"/>
          <w:bCs/>
          <w:color w:val="auto"/>
          <w:kern w:val="0"/>
          <w:sz w:val="28"/>
          <w:szCs w:val="28"/>
          <w:lang w:val="en-US" w:eastAsia="zh-CN" w:bidi="ar-SA"/>
        </w:rPr>
        <w:t>五、投标文件的澄清</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1.对于投标文件中含义不明确、同类问题表述不一致或者有明显文字和计算错误的内容，评标委员会应当以书面形式要求投标人作出必要的澄清、说明或者补正。</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2.投标文件的投标报价出现前后不一致的，按照下列规定修正：</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（1）投标文件中开标一览表内容与投标文件中相应内容不一致的，以开标一览表为准；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（2）大写金额和小写金额不一致的，以大写金额为准；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（3）单价金额小数点或者百分比有明显错位的，以开标一览表的总价为准，并修改单价；</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（4）总价金额与按单价汇总金额不一致的，以单价金额计算结果为准。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3.投标文件报价同时出现两种以上不一致的，按照前款规定的顺序修正。修正后的报价由投标人代表签字或者加盖单位章确认后产生约束力，投标人不确认的，其投标无效。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投标人的澄清、说明或者补正应当采用书面形式，并加盖公章，或者由法定代表人或其授权的代表签字，并按评标委员会的通知要求递交。投标人的澄清、说明或者补正不得超出投标文件的范围或者改变投标文件的实质性内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5.有效的书面澄清材料，是投标文件的补充材料，成为投标文件的组成部分。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投标无效处理。</w:t>
      </w:r>
    </w:p>
    <w:p>
      <w:pPr>
        <w:rPr>
          <w:rFonts w:hint="eastAsia" w:asciiTheme="minorEastAsia" w:hAnsiTheme="minorEastAsia" w:eastAsiaTheme="minorEastAsia" w:cstheme="minorEastAsia"/>
          <w:bCs/>
          <w:color w:val="auto"/>
          <w:kern w:val="0"/>
          <w:sz w:val="28"/>
          <w:szCs w:val="28"/>
          <w:lang w:val="en-US" w:eastAsia="zh-CN" w:bidi="ar-SA"/>
        </w:rPr>
      </w:pPr>
    </w:p>
    <w:p>
      <w:pPr>
        <w:spacing w:line="360" w:lineRule="auto"/>
        <w:jc w:val="center"/>
        <w:rPr>
          <w:rFonts w:hint="eastAsia" w:ascii="宋体" w:hAnsi="宋体" w:cs="宋体"/>
          <w:color w:val="auto"/>
          <w:sz w:val="44"/>
          <w:szCs w:val="44"/>
          <w:lang w:val="en-US" w:eastAsia="zh-CN"/>
        </w:rPr>
      </w:pPr>
    </w:p>
    <w:p>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pPr>
        <w:spacing w:line="360" w:lineRule="auto"/>
        <w:jc w:val="cente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pStyle w:val="3"/>
        <w:spacing w:before="0" w:after="0"/>
        <w:jc w:val="center"/>
        <w:rPr>
          <w:rFonts w:hint="eastAsia" w:ascii="宋体" w:hAnsi="宋体"/>
          <w:sz w:val="28"/>
          <w:szCs w:val="28"/>
        </w:rPr>
      </w:pPr>
      <w:r>
        <w:rPr>
          <w:rFonts w:hint="eastAsia" w:ascii="宋体" w:hAnsi="宋体"/>
          <w:sz w:val="28"/>
          <w:szCs w:val="28"/>
        </w:rPr>
        <w:t>评</w:t>
      </w:r>
      <w:r>
        <w:rPr>
          <w:rFonts w:hint="eastAsia" w:ascii="宋体" w:hAnsi="宋体"/>
          <w:sz w:val="28"/>
          <w:szCs w:val="28"/>
          <w:lang w:eastAsia="zh-CN"/>
        </w:rPr>
        <w:t>审</w:t>
      </w:r>
      <w:r>
        <w:rPr>
          <w:rFonts w:hint="eastAsia" w:ascii="宋体" w:hAnsi="宋体"/>
          <w:sz w:val="28"/>
          <w:szCs w:val="28"/>
        </w:rPr>
        <w:t>因素及标准</w:t>
      </w:r>
    </w:p>
    <w:p>
      <w:pPr>
        <w:adjustRightInd w:val="0"/>
        <w:snapToGrid w:val="0"/>
        <w:spacing w:line="360" w:lineRule="auto"/>
        <w:jc w:val="center"/>
        <w:rPr>
          <w:bCs/>
          <w:sz w:val="24"/>
        </w:rPr>
      </w:pPr>
      <w:r>
        <w:rPr>
          <w:rFonts w:hint="eastAsia"/>
          <w:b/>
          <w:sz w:val="24"/>
          <w:szCs w:val="20"/>
        </w:rPr>
        <w:t>评标标准</w:t>
      </w:r>
    </w:p>
    <w:p>
      <w:pPr>
        <w:adjustRightInd w:val="0"/>
        <w:snapToGrid w:val="0"/>
        <w:spacing w:line="360" w:lineRule="auto"/>
        <w:jc w:val="center"/>
        <w:rPr>
          <w:rFonts w:hint="eastAsia" w:ascii="宋体" w:hAnsi="宋体" w:cs="宋体"/>
          <w:b/>
          <w:sz w:val="24"/>
          <w:szCs w:val="20"/>
        </w:rPr>
      </w:pPr>
      <w:r>
        <w:rPr>
          <w:rFonts w:hint="eastAsia" w:ascii="宋体" w:hAnsi="宋体" w:cs="宋体"/>
          <w:b/>
          <w:sz w:val="24"/>
          <w:szCs w:val="20"/>
        </w:rPr>
        <w:t>投标人综合评分表</w:t>
      </w:r>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1"/>
        <w:gridCol w:w="1220"/>
        <w:gridCol w:w="834"/>
        <w:gridCol w:w="5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blHeader/>
          <w:jc w:val="center"/>
        </w:trPr>
        <w:tc>
          <w:tcPr>
            <w:tcW w:w="582" w:type="pct"/>
            <w:vAlign w:val="center"/>
          </w:tcPr>
          <w:p>
            <w:pPr>
              <w:bidi w:val="0"/>
              <w:spacing w:line="240" w:lineRule="auto"/>
              <w:jc w:val="both"/>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评审内容</w:t>
            </w:r>
          </w:p>
        </w:tc>
        <w:tc>
          <w:tcPr>
            <w:tcW w:w="682" w:type="pct"/>
            <w:vAlign w:val="center"/>
          </w:tcPr>
          <w:p>
            <w:pPr>
              <w:bidi w:val="0"/>
              <w:spacing w:line="240" w:lineRule="auto"/>
              <w:jc w:val="center"/>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评审因素</w:t>
            </w:r>
          </w:p>
        </w:tc>
        <w:tc>
          <w:tcPr>
            <w:tcW w:w="466" w:type="pct"/>
            <w:vAlign w:val="center"/>
          </w:tcPr>
          <w:p>
            <w:pPr>
              <w:bidi w:val="0"/>
              <w:spacing w:line="240" w:lineRule="auto"/>
              <w:jc w:val="center"/>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分值</w:t>
            </w:r>
          </w:p>
        </w:tc>
        <w:tc>
          <w:tcPr>
            <w:tcW w:w="3269" w:type="pct"/>
            <w:vAlign w:val="center"/>
          </w:tcPr>
          <w:p>
            <w:pPr>
              <w:bidi w:val="0"/>
              <w:spacing w:line="240" w:lineRule="auto"/>
              <w:jc w:val="center"/>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9" w:hRule="atLeast"/>
          <w:jc w:val="center"/>
        </w:trPr>
        <w:tc>
          <w:tcPr>
            <w:tcW w:w="582" w:type="pct"/>
            <w:vAlign w:val="center"/>
          </w:tcPr>
          <w:p>
            <w:pPr>
              <w:bidi w:val="0"/>
              <w:spacing w:line="24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价格</w:t>
            </w:r>
          </w:p>
          <w:p>
            <w:pPr>
              <w:bidi w:val="0"/>
              <w:spacing w:line="24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w:t>
            </w:r>
            <w:r>
              <w:rPr>
                <w:rFonts w:hint="eastAsia" w:cs="宋体"/>
                <w:color w:val="auto"/>
                <w:sz w:val="22"/>
                <w:szCs w:val="22"/>
                <w:lang w:val="en-US" w:eastAsia="zh-CN"/>
              </w:rPr>
              <w:t>4</w:t>
            </w:r>
            <w:r>
              <w:rPr>
                <w:rFonts w:hint="eastAsia" w:ascii="宋体" w:hAnsi="宋体" w:eastAsia="宋体" w:cs="宋体"/>
                <w:color w:val="auto"/>
                <w:sz w:val="22"/>
                <w:szCs w:val="22"/>
                <w:lang w:val="en-US"/>
              </w:rPr>
              <w:t>0</w:t>
            </w:r>
            <w:r>
              <w:rPr>
                <w:rFonts w:hint="eastAsia" w:ascii="宋体" w:hAnsi="宋体" w:eastAsia="宋体" w:cs="宋体"/>
                <w:color w:val="auto"/>
                <w:sz w:val="22"/>
                <w:szCs w:val="22"/>
              </w:rPr>
              <w:t>分）</w:t>
            </w:r>
          </w:p>
        </w:tc>
        <w:tc>
          <w:tcPr>
            <w:tcW w:w="682" w:type="pct"/>
            <w:vAlign w:val="center"/>
          </w:tcPr>
          <w:p>
            <w:pPr>
              <w:bidi w:val="0"/>
              <w:spacing w:line="24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投标报价</w:t>
            </w:r>
          </w:p>
        </w:tc>
        <w:tc>
          <w:tcPr>
            <w:tcW w:w="466" w:type="pct"/>
            <w:vAlign w:val="center"/>
          </w:tcPr>
          <w:p>
            <w:pPr>
              <w:bidi w:val="0"/>
              <w:spacing w:line="240" w:lineRule="auto"/>
              <w:jc w:val="center"/>
              <w:rPr>
                <w:rFonts w:hint="default" w:ascii="宋体" w:hAnsi="宋体" w:eastAsia="宋体" w:cs="宋体"/>
                <w:color w:val="auto"/>
                <w:sz w:val="22"/>
                <w:szCs w:val="22"/>
                <w:lang w:val="en-US" w:eastAsia="zh-CN"/>
              </w:rPr>
            </w:pPr>
            <w:r>
              <w:rPr>
                <w:rFonts w:hint="eastAsia" w:cs="宋体"/>
                <w:color w:val="auto"/>
                <w:sz w:val="22"/>
                <w:szCs w:val="22"/>
                <w:lang w:val="en-US" w:eastAsia="zh-CN"/>
              </w:rPr>
              <w:t>40</w:t>
            </w:r>
          </w:p>
        </w:tc>
        <w:tc>
          <w:tcPr>
            <w:tcW w:w="3269" w:type="pct"/>
            <w:vAlign w:val="center"/>
          </w:tcPr>
          <w:p>
            <w:pPr>
              <w:pStyle w:val="6"/>
              <w:snapToGrid w:val="0"/>
              <w:ind w:left="0" w:leftChars="0" w:firstLine="0" w:firstLineChars="0"/>
              <w:jc w:val="left"/>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评标基准价：满足招标文件要求且有效投标价格中的最低投标报价（评审价）为评标基准价，其价格分为满分40分。其他投标人的价格分统一按照下列公式计算：</w:t>
            </w:r>
          </w:p>
          <w:p>
            <w:pPr>
              <w:bidi w:val="0"/>
              <w:spacing w:line="240" w:lineRule="auto"/>
              <w:jc w:val="left"/>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投标报价得分=（评标基准价/投标报价）×价格权值（即40%）×100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582" w:type="pct"/>
            <w:vMerge w:val="restart"/>
            <w:vAlign w:val="center"/>
          </w:tcPr>
          <w:p>
            <w:pPr>
              <w:bidi w:val="0"/>
              <w:spacing w:line="24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技术</w:t>
            </w:r>
          </w:p>
          <w:p>
            <w:pPr>
              <w:bidi w:val="0"/>
              <w:spacing w:line="24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w:t>
            </w:r>
            <w:r>
              <w:rPr>
                <w:rFonts w:hint="eastAsia" w:cs="宋体"/>
                <w:color w:val="auto"/>
                <w:sz w:val="22"/>
                <w:szCs w:val="22"/>
                <w:lang w:val="en-US" w:eastAsia="zh-CN"/>
              </w:rPr>
              <w:t>5</w:t>
            </w:r>
            <w:r>
              <w:rPr>
                <w:rFonts w:hint="default" w:cs="宋体"/>
                <w:color w:val="auto"/>
                <w:sz w:val="22"/>
                <w:szCs w:val="22"/>
                <w:lang w:eastAsia="zh-CN"/>
              </w:rPr>
              <w:t>0</w:t>
            </w:r>
            <w:r>
              <w:rPr>
                <w:rFonts w:hint="eastAsia" w:ascii="宋体" w:hAnsi="宋体" w:eastAsia="宋体" w:cs="宋体"/>
                <w:color w:val="auto"/>
                <w:sz w:val="22"/>
                <w:szCs w:val="22"/>
              </w:rPr>
              <w:t>分）</w:t>
            </w:r>
          </w:p>
        </w:tc>
        <w:tc>
          <w:tcPr>
            <w:tcW w:w="682" w:type="pct"/>
            <w:vAlign w:val="center"/>
          </w:tcPr>
          <w:p>
            <w:pPr>
              <w:bidi w:val="0"/>
              <w:spacing w:line="240" w:lineRule="auto"/>
              <w:jc w:val="center"/>
              <w:rPr>
                <w:rFonts w:hint="eastAsia" w:ascii="宋体" w:hAnsi="宋体" w:eastAsia="宋体" w:cs="宋体"/>
                <w:color w:val="auto"/>
                <w:sz w:val="22"/>
                <w:szCs w:val="22"/>
              </w:rPr>
            </w:pPr>
            <w:r>
              <w:rPr>
                <w:rFonts w:hint="eastAsia" w:ascii="宋体" w:hAnsi="宋体" w:cs="宋体"/>
                <w:szCs w:val="21"/>
              </w:rPr>
              <w:t>产品性能、技术指标</w:t>
            </w:r>
          </w:p>
        </w:tc>
        <w:tc>
          <w:tcPr>
            <w:tcW w:w="466" w:type="pct"/>
            <w:vAlign w:val="center"/>
          </w:tcPr>
          <w:p>
            <w:pPr>
              <w:bidi w:val="0"/>
              <w:spacing w:line="240" w:lineRule="auto"/>
              <w:jc w:val="center"/>
              <w:rPr>
                <w:rFonts w:hint="default" w:ascii="宋体" w:hAnsi="宋体" w:eastAsia="宋体" w:cs="宋体"/>
                <w:color w:val="auto"/>
                <w:sz w:val="22"/>
                <w:szCs w:val="22"/>
                <w:lang w:val="en-US" w:eastAsia="zh-CN"/>
              </w:rPr>
            </w:pPr>
            <w:r>
              <w:rPr>
                <w:rFonts w:hint="eastAsia" w:cs="宋体"/>
                <w:color w:val="auto"/>
                <w:sz w:val="22"/>
                <w:szCs w:val="22"/>
                <w:lang w:val="en-US" w:eastAsia="zh-CN"/>
              </w:rPr>
              <w:t>30</w:t>
            </w:r>
          </w:p>
        </w:tc>
        <w:tc>
          <w:tcPr>
            <w:tcW w:w="3269" w:type="pct"/>
            <w:vAlign w:val="center"/>
          </w:tcPr>
          <w:p>
            <w:pPr>
              <w:pStyle w:val="16"/>
              <w:spacing w:line="360" w:lineRule="auto"/>
              <w:jc w:val="both"/>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根据“招标要求”中的响应情况进行打分，标★项属于重要参数，一项不满足，扣5分，一般参数（非★参数）一项不满足扣2分，扣完为止。</w:t>
            </w:r>
          </w:p>
          <w:p>
            <w:pPr>
              <w:bidi w:val="0"/>
              <w:spacing w:line="240" w:lineRule="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注：标★项需提供对应功能软件界面截图等真实资料作为佐证，否则不得分。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582" w:type="pct"/>
            <w:vMerge w:val="continue"/>
            <w:vAlign w:val="center"/>
          </w:tcPr>
          <w:p>
            <w:pPr>
              <w:bidi w:val="0"/>
              <w:spacing w:line="240" w:lineRule="auto"/>
              <w:jc w:val="center"/>
              <w:rPr>
                <w:rFonts w:hint="eastAsia" w:ascii="宋体" w:hAnsi="宋体" w:eastAsia="宋体" w:cs="宋体"/>
                <w:color w:val="auto"/>
                <w:sz w:val="22"/>
                <w:szCs w:val="22"/>
              </w:rPr>
            </w:pPr>
          </w:p>
        </w:tc>
        <w:tc>
          <w:tcPr>
            <w:tcW w:w="682" w:type="pct"/>
            <w:vAlign w:val="center"/>
          </w:tcPr>
          <w:p>
            <w:pPr>
              <w:bidi w:val="0"/>
              <w:spacing w:line="240" w:lineRule="auto"/>
              <w:jc w:val="center"/>
              <w:rPr>
                <w:rFonts w:hint="eastAsia" w:ascii="宋体" w:hAnsi="宋体" w:cs="宋体"/>
                <w:szCs w:val="21"/>
              </w:rPr>
            </w:pPr>
            <w:r>
              <w:rPr>
                <w:rFonts w:hint="eastAsia"/>
                <w:szCs w:val="24"/>
              </w:rPr>
              <w:t>现场演示系统功能</w:t>
            </w:r>
          </w:p>
        </w:tc>
        <w:tc>
          <w:tcPr>
            <w:tcW w:w="466" w:type="pct"/>
            <w:vAlign w:val="center"/>
          </w:tcPr>
          <w:p>
            <w:pPr>
              <w:bidi w:val="0"/>
              <w:spacing w:line="240" w:lineRule="auto"/>
              <w:jc w:val="center"/>
              <w:rPr>
                <w:rFonts w:hint="default" w:cs="宋体"/>
                <w:color w:val="auto"/>
                <w:sz w:val="22"/>
                <w:szCs w:val="22"/>
                <w:lang w:val="en-US" w:eastAsia="zh-CN"/>
              </w:rPr>
            </w:pPr>
            <w:r>
              <w:rPr>
                <w:rFonts w:hint="eastAsia" w:cs="宋体"/>
                <w:color w:val="auto"/>
                <w:sz w:val="22"/>
                <w:szCs w:val="22"/>
                <w:lang w:val="en-US" w:eastAsia="zh-CN"/>
              </w:rPr>
              <w:t>10</w:t>
            </w:r>
          </w:p>
        </w:tc>
        <w:tc>
          <w:tcPr>
            <w:tcW w:w="3269" w:type="pct"/>
            <w:vAlign w:val="center"/>
          </w:tcPr>
          <w:p>
            <w:pPr>
              <w:bidi w:val="0"/>
              <w:spacing w:line="240" w:lineRule="auto"/>
              <w:rPr>
                <w:rFonts w:hint="eastAsia" w:ascii="宋体" w:hAnsi="宋体" w:cs="宋体"/>
                <w:color w:val="000000" w:themeColor="text1"/>
                <w:szCs w:val="21"/>
                <w14:textFill>
                  <w14:solidFill>
                    <w14:schemeClr w14:val="tx1"/>
                  </w14:solidFill>
                </w14:textFill>
              </w:rPr>
            </w:pPr>
            <w:r>
              <w:rPr>
                <w:rFonts w:hint="eastAsia"/>
                <w:szCs w:val="24"/>
              </w:rPr>
              <w:t>现场演示系统功能。按功能完备、界面友好、操作简便等维度进行评分。优秀7-10分，良好4-6分，一般2-3</w:t>
            </w:r>
            <w:r>
              <w:rPr>
                <w:rFonts w:hint="eastAsia"/>
                <w:szCs w:val="24"/>
                <w:lang w:eastAsia="zh-CN"/>
              </w:rPr>
              <w:t>分</w:t>
            </w:r>
            <w:r>
              <w:rPr>
                <w:rFonts w:hint="eastAsia"/>
                <w:szCs w:val="24"/>
              </w:rPr>
              <w:t>，无</w:t>
            </w:r>
            <w:r>
              <w:rPr>
                <w:rFonts w:hint="eastAsia"/>
                <w:szCs w:val="24"/>
                <w:lang w:val="en-US" w:eastAsia="zh-CN"/>
              </w:rPr>
              <w:t>系统</w:t>
            </w:r>
            <w:r>
              <w:rPr>
                <w:rFonts w:hint="eastAsia"/>
                <w:szCs w:val="24"/>
              </w:rPr>
              <w:t>演示</w:t>
            </w:r>
            <w:r>
              <w:rPr>
                <w:rFonts w:hint="eastAsia"/>
                <w:szCs w:val="24"/>
                <w:lang w:val="en-US" w:eastAsia="zh-CN"/>
              </w:rPr>
              <w:t>或采用PPT等非演示环境演示不得分</w:t>
            </w:r>
            <w:r>
              <w:rPr>
                <w:rFonts w:hint="eastAsia"/>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582" w:type="pct"/>
            <w:vMerge w:val="continue"/>
            <w:vAlign w:val="center"/>
          </w:tcPr>
          <w:p>
            <w:pPr>
              <w:bidi w:val="0"/>
              <w:spacing w:line="240" w:lineRule="auto"/>
              <w:rPr>
                <w:rFonts w:hint="eastAsia" w:ascii="宋体" w:hAnsi="宋体" w:eastAsia="宋体" w:cs="宋体"/>
                <w:color w:val="auto"/>
                <w:sz w:val="24"/>
                <w:szCs w:val="24"/>
              </w:rPr>
            </w:pPr>
          </w:p>
        </w:tc>
        <w:tc>
          <w:tcPr>
            <w:tcW w:w="682" w:type="pct"/>
            <w:vAlign w:val="center"/>
          </w:tcPr>
          <w:p>
            <w:pPr>
              <w:bidi w:val="0"/>
              <w:spacing w:line="240" w:lineRule="auto"/>
              <w:jc w:val="center"/>
              <w:rPr>
                <w:rFonts w:hint="eastAsia" w:ascii="宋体" w:hAnsi="宋体" w:eastAsia="宋体" w:cs="宋体"/>
                <w:color w:val="auto"/>
                <w:sz w:val="22"/>
                <w:szCs w:val="22"/>
                <w:lang w:eastAsia="zh-CN"/>
              </w:rPr>
            </w:pPr>
            <w:r>
              <w:rPr>
                <w:rFonts w:hint="eastAsia" w:ascii="宋体" w:hAnsi="宋体" w:cs="宋体"/>
                <w:color w:val="000000" w:themeColor="text1"/>
                <w:szCs w:val="21"/>
                <w14:textFill>
                  <w14:solidFill>
                    <w14:schemeClr w14:val="tx1"/>
                  </w14:solidFill>
                </w14:textFill>
              </w:rPr>
              <w:t>数据模型</w:t>
            </w:r>
          </w:p>
        </w:tc>
        <w:tc>
          <w:tcPr>
            <w:tcW w:w="466" w:type="pct"/>
            <w:vAlign w:val="center"/>
          </w:tcPr>
          <w:p>
            <w:pPr>
              <w:bidi w:val="0"/>
              <w:spacing w:line="240" w:lineRule="auto"/>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val="en-US" w:eastAsia="zh-CN"/>
              </w:rPr>
              <w:t>5</w:t>
            </w:r>
          </w:p>
        </w:tc>
        <w:tc>
          <w:tcPr>
            <w:tcW w:w="3269" w:type="pct"/>
            <w:vAlign w:val="center"/>
          </w:tcPr>
          <w:p>
            <w:pPr>
              <w:widowControl w:val="0"/>
              <w:autoSpaceDE w:val="0"/>
              <w:autoSpaceDN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投标人的技术方案中是否有独立的数据中心的数据模型，要求不能直接引用当前业务系统模型或消息模型。要通过ETL技术对原始业务数据进行抽取、转换、清洗并转存到CDR数据模型中，形成集中存储的数据集。</w:t>
            </w:r>
          </w:p>
          <w:p>
            <w:pPr>
              <w:bidi w:val="0"/>
              <w:spacing w:line="240" w:lineRule="auto"/>
              <w:rPr>
                <w:rFonts w:hint="default" w:ascii="宋体" w:hAnsi="宋体" w:eastAsia="宋体" w:cs="宋体"/>
                <w:color w:val="auto"/>
                <w:sz w:val="22"/>
                <w:szCs w:val="22"/>
                <w:lang w:val="en-US" w:eastAsia="zh-CN"/>
              </w:rPr>
            </w:pPr>
            <w:r>
              <w:rPr>
                <w:rFonts w:hint="eastAsia" w:ascii="宋体" w:hAnsi="宋体" w:cs="宋体"/>
                <w:color w:val="000000" w:themeColor="text1"/>
                <w:szCs w:val="21"/>
                <w14:textFill>
                  <w14:solidFill>
                    <w14:schemeClr w14:val="tx1"/>
                  </w14:solidFill>
                </w14:textFill>
              </w:rPr>
              <w:t>提供合理、详细的数据抽取方案及数据中心界面截图的得5分,</w:t>
            </w:r>
            <w:r>
              <w:rPr>
                <w:rFonts w:hint="eastAsia" w:ascii="宋体" w:hAnsi="宋体" w:cs="宋体"/>
                <w:bCs/>
                <w:szCs w:val="24"/>
              </w:rPr>
              <w:t>未提供或不合理的得</w:t>
            </w:r>
            <w:r>
              <w:rPr>
                <w:rFonts w:ascii="宋体" w:hAnsi="宋体" w:cs="宋体"/>
                <w:bCs/>
                <w:szCs w:val="24"/>
              </w:rPr>
              <w:t>0分</w:t>
            </w:r>
            <w:r>
              <w:rPr>
                <w:rFonts w:hint="eastAsia" w:ascii="宋体" w:hAnsi="宋体" w:cs="宋体"/>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582" w:type="pct"/>
            <w:vMerge w:val="continue"/>
            <w:vAlign w:val="center"/>
          </w:tcPr>
          <w:p>
            <w:pPr>
              <w:bidi w:val="0"/>
              <w:spacing w:line="240" w:lineRule="auto"/>
              <w:rPr>
                <w:rFonts w:hint="eastAsia" w:ascii="宋体" w:hAnsi="宋体" w:eastAsia="宋体" w:cs="宋体"/>
                <w:color w:val="auto"/>
                <w:sz w:val="24"/>
                <w:szCs w:val="24"/>
              </w:rPr>
            </w:pPr>
          </w:p>
        </w:tc>
        <w:tc>
          <w:tcPr>
            <w:tcW w:w="682" w:type="pct"/>
            <w:vAlign w:val="center"/>
          </w:tcPr>
          <w:p>
            <w:pPr>
              <w:bidi w:val="0"/>
              <w:spacing w:line="240" w:lineRule="auto"/>
              <w:jc w:val="center"/>
              <w:rPr>
                <w:rFonts w:hint="eastAsia" w:ascii="宋体" w:hAnsi="宋体" w:eastAsia="宋体" w:cs="宋体"/>
                <w:color w:val="auto"/>
                <w:sz w:val="22"/>
                <w:szCs w:val="22"/>
              </w:rPr>
            </w:pPr>
            <w:r>
              <w:rPr>
                <w:rFonts w:hint="eastAsia" w:ascii="宋体" w:hAnsi="宋体" w:cs="宋体"/>
                <w:color w:val="000000" w:themeColor="text1"/>
                <w:szCs w:val="21"/>
                <w14:textFill>
                  <w14:solidFill>
                    <w14:schemeClr w14:val="tx1"/>
                  </w14:solidFill>
                </w14:textFill>
              </w:rPr>
              <w:t>ETL工具</w:t>
            </w:r>
          </w:p>
        </w:tc>
        <w:tc>
          <w:tcPr>
            <w:tcW w:w="466" w:type="pct"/>
            <w:vAlign w:val="center"/>
          </w:tcPr>
          <w:p>
            <w:pPr>
              <w:bidi w:val="0"/>
              <w:spacing w:line="240" w:lineRule="auto"/>
              <w:jc w:val="center"/>
              <w:rPr>
                <w:rFonts w:hint="default" w:ascii="宋体" w:hAnsi="宋体" w:eastAsia="宋体" w:cs="宋体"/>
                <w:color w:val="auto"/>
                <w:sz w:val="22"/>
                <w:szCs w:val="22"/>
                <w:lang w:val="en-US" w:eastAsia="zh-CN"/>
              </w:rPr>
            </w:pPr>
            <w:r>
              <w:rPr>
                <w:rFonts w:hint="eastAsia" w:cs="宋体"/>
                <w:color w:val="auto"/>
                <w:sz w:val="22"/>
                <w:szCs w:val="22"/>
                <w:lang w:val="en-US" w:eastAsia="zh-CN"/>
              </w:rPr>
              <w:t>5</w:t>
            </w:r>
          </w:p>
        </w:tc>
        <w:tc>
          <w:tcPr>
            <w:tcW w:w="3269" w:type="pct"/>
            <w:vAlign w:val="center"/>
          </w:tcPr>
          <w:p>
            <w:pPr>
              <w:widowControl w:val="0"/>
              <w:autoSpaceDE w:val="0"/>
              <w:autoSpaceDN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w:t>
            </w:r>
            <w:r>
              <w:rPr>
                <w:rFonts w:hint="eastAsia" w:ascii="宋体" w:hAnsi="宋体" w:cs="宋体"/>
                <w:bCs/>
                <w:szCs w:val="24"/>
              </w:rPr>
              <w:t>应具备</w:t>
            </w:r>
            <w:r>
              <w:rPr>
                <w:rFonts w:hint="eastAsia" w:ascii="宋体" w:hAnsi="宋体" w:cs="宋体"/>
                <w:color w:val="000000" w:themeColor="text1"/>
                <w:szCs w:val="21"/>
                <w14:textFill>
                  <w14:solidFill>
                    <w14:schemeClr w14:val="tx1"/>
                  </w14:solidFill>
                </w14:textFill>
              </w:rPr>
              <w:t>配套的ETL工具，提供所需接口，确保各种临床和管理应用效果的配置扩展实现。投标人所采用的应用工具须为本公司自主研发，并具有相应的资质证书或专利权。</w:t>
            </w:r>
          </w:p>
          <w:p>
            <w:pPr>
              <w:bidi w:val="0"/>
              <w:spacing w:line="240" w:lineRule="auto"/>
              <w:rPr>
                <w:rFonts w:hint="eastAsia" w:ascii="宋体" w:hAnsi="宋体" w:eastAsia="宋体" w:cs="宋体"/>
                <w:color w:val="auto"/>
                <w:sz w:val="22"/>
                <w:szCs w:val="22"/>
              </w:rPr>
            </w:pPr>
            <w:r>
              <w:rPr>
                <w:rFonts w:hint="eastAsia" w:ascii="宋体" w:hAnsi="宋体" w:cs="宋体"/>
                <w:color w:val="000000" w:themeColor="text1"/>
                <w:szCs w:val="21"/>
                <w14:textFill>
                  <w14:solidFill>
                    <w14:schemeClr w14:val="tx1"/>
                  </w14:solidFill>
                </w14:textFill>
              </w:rPr>
              <w:t>提供</w:t>
            </w:r>
            <w:r>
              <w:rPr>
                <w:rFonts w:hint="eastAsia" w:ascii="宋体" w:hAnsi="宋体" w:cs="宋体"/>
                <w:color w:val="000000" w:themeColor="text1"/>
                <w:szCs w:val="21"/>
                <w:lang w:val="en-US" w:eastAsia="zh-CN"/>
                <w14:textFill>
                  <w14:solidFill>
                    <w14:schemeClr w14:val="tx1"/>
                  </w14:solidFill>
                </w14:textFill>
              </w:rPr>
              <w:t>国家版权局颁发的</w:t>
            </w:r>
            <w:r>
              <w:rPr>
                <w:rFonts w:hint="eastAsia" w:ascii="宋体" w:hAnsi="宋体" w:cs="宋体"/>
                <w:color w:val="000000" w:themeColor="text1"/>
                <w:szCs w:val="21"/>
                <w14:textFill>
                  <w14:solidFill>
                    <w14:schemeClr w14:val="tx1"/>
                  </w14:solidFill>
                </w14:textFill>
              </w:rPr>
              <w:t>医疗数据ETL系统和ETL管理工具软件的</w:t>
            </w:r>
            <w:r>
              <w:rPr>
                <w:rFonts w:hint="eastAsia" w:ascii="宋体" w:hAnsi="宋体" w:cs="宋体"/>
                <w:color w:val="000000" w:themeColor="text1"/>
                <w:szCs w:val="21"/>
                <w:lang w:val="en-US" w:eastAsia="zh-CN"/>
                <w14:textFill>
                  <w14:solidFill>
                    <w14:schemeClr w14:val="tx1"/>
                  </w14:solidFill>
                </w14:textFill>
              </w:rPr>
              <w:t>软件著作权证书</w:t>
            </w:r>
            <w:r>
              <w:rPr>
                <w:rFonts w:hint="eastAsia" w:ascii="宋体" w:hAnsi="宋体" w:cs="宋体"/>
                <w:color w:val="000000" w:themeColor="text1"/>
                <w:szCs w:val="21"/>
                <w14:textFill>
                  <w14:solidFill>
                    <w14:schemeClr w14:val="tx1"/>
                  </w14:solidFill>
                </w14:textFill>
              </w:rPr>
              <w:t>，每提供1个得</w:t>
            </w:r>
            <w:r>
              <w:rPr>
                <w:rFonts w:hint="eastAsia" w:ascii="宋体" w:hAnsi="宋体" w:cs="宋体"/>
                <w:color w:val="000000" w:themeColor="text1"/>
                <w:szCs w:val="21"/>
                <w:lang w:val="en-US" w:eastAsia="zh-CN"/>
                <w14:textFill>
                  <w14:solidFill>
                    <w14:schemeClr w14:val="tx1"/>
                  </w14:solidFill>
                </w14:textFill>
              </w:rPr>
              <w:t>2.5</w:t>
            </w:r>
            <w:r>
              <w:rPr>
                <w:rFonts w:hint="eastAsia" w:ascii="宋体" w:hAnsi="宋体" w:cs="宋体"/>
                <w:color w:val="000000" w:themeColor="text1"/>
                <w:szCs w:val="21"/>
                <w14:textFill>
                  <w14:solidFill>
                    <w14:schemeClr w14:val="tx1"/>
                  </w14:solidFill>
                </w14:textFill>
              </w:rPr>
              <w:t>分，总5分；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582" w:type="pct"/>
            <w:vMerge w:val="restart"/>
            <w:vAlign w:val="center"/>
          </w:tcPr>
          <w:p>
            <w:pPr>
              <w:bidi w:val="0"/>
              <w:spacing w:line="240" w:lineRule="auto"/>
              <w:jc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val="en-US" w:eastAsia="zh-CN"/>
              </w:rPr>
              <w:t>商务（10分）</w:t>
            </w:r>
          </w:p>
        </w:tc>
        <w:tc>
          <w:tcPr>
            <w:tcW w:w="682" w:type="pct"/>
            <w:vAlign w:val="center"/>
          </w:tcPr>
          <w:p>
            <w:pPr>
              <w:bidi w:val="0"/>
              <w:spacing w:line="240" w:lineRule="auto"/>
              <w:jc w:val="center"/>
              <w:rPr>
                <w:rFonts w:hint="eastAsia" w:ascii="宋体" w:hAnsi="宋体" w:eastAsia="宋体" w:cs="宋体"/>
                <w:color w:val="auto"/>
                <w:sz w:val="22"/>
                <w:szCs w:val="22"/>
              </w:rPr>
            </w:pPr>
            <w:r>
              <w:rPr>
                <w:rFonts w:hint="eastAsia" w:ascii="宋体" w:hAnsi="宋体" w:cs="宋体"/>
                <w:color w:val="000000"/>
                <w:szCs w:val="21"/>
              </w:rPr>
              <w:t>项目团队人员要求</w:t>
            </w:r>
          </w:p>
        </w:tc>
        <w:tc>
          <w:tcPr>
            <w:tcW w:w="466" w:type="pct"/>
            <w:vAlign w:val="center"/>
          </w:tcPr>
          <w:p>
            <w:pPr>
              <w:bidi w:val="0"/>
              <w:spacing w:line="240" w:lineRule="auto"/>
              <w:jc w:val="center"/>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2</w:t>
            </w:r>
          </w:p>
        </w:tc>
        <w:tc>
          <w:tcPr>
            <w:tcW w:w="3269" w:type="pct"/>
            <w:vAlign w:val="center"/>
          </w:tcPr>
          <w:p>
            <w:pPr>
              <w:bidi w:val="0"/>
              <w:spacing w:line="240" w:lineRule="auto"/>
              <w:rPr>
                <w:rFonts w:hint="eastAsia" w:ascii="宋体" w:hAnsi="宋体" w:eastAsia="宋体" w:cs="宋体"/>
                <w:color w:val="auto"/>
                <w:sz w:val="24"/>
                <w:szCs w:val="24"/>
              </w:rPr>
            </w:pPr>
            <w:r>
              <w:rPr>
                <w:rFonts w:hint="eastAsia" w:ascii="宋体" w:hAnsi="宋体" w:cs="宋体"/>
                <w:color w:val="000000"/>
                <w:szCs w:val="21"/>
              </w:rPr>
              <w:t>项目经理要求：拟派驻本项目项目经理具有与采购人同级别</w:t>
            </w:r>
            <w:r>
              <w:rPr>
                <w:rFonts w:hint="eastAsia" w:ascii="宋体" w:hAnsi="宋体" w:cs="宋体"/>
                <w:color w:val="000000"/>
                <w:szCs w:val="21"/>
                <w:lang w:eastAsia="zh-CN"/>
              </w:rPr>
              <w:t>（</w:t>
            </w:r>
            <w:r>
              <w:rPr>
                <w:rFonts w:hint="eastAsia" w:ascii="宋体" w:hAnsi="宋体" w:cs="宋体"/>
                <w:color w:val="000000"/>
                <w:szCs w:val="21"/>
                <w:lang w:val="en-US" w:eastAsia="zh-CN"/>
              </w:rPr>
              <w:t>三级甲等综合</w:t>
            </w:r>
            <w:r>
              <w:rPr>
                <w:rFonts w:hint="eastAsia" w:ascii="宋体" w:hAnsi="宋体" w:cs="宋体"/>
                <w:color w:val="000000"/>
                <w:szCs w:val="21"/>
                <w:lang w:eastAsia="zh-CN"/>
              </w:rPr>
              <w:t>）</w:t>
            </w:r>
            <w:r>
              <w:rPr>
                <w:rFonts w:hint="eastAsia" w:ascii="宋体" w:hAnsi="宋体" w:cs="宋体"/>
                <w:color w:val="000000"/>
                <w:szCs w:val="21"/>
              </w:rPr>
              <w:t>医院DIP医保结算清单项目建设经验的，每提供一家医院证明资料得1分，此项最多得2分。需提供派驻项目经理的业绩证明材料，如合同或验收报告复印件，证明资料中须体现项目经理姓名，如未体现需提供业主方盖章的证明材料，及近三个月内任意一个月在本单位参保的社保缴费证明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582" w:type="pct"/>
            <w:vMerge w:val="continue"/>
            <w:vAlign w:val="center"/>
          </w:tcPr>
          <w:p>
            <w:pPr>
              <w:bidi w:val="0"/>
              <w:spacing w:line="240" w:lineRule="auto"/>
              <w:jc w:val="center"/>
              <w:rPr>
                <w:rFonts w:hint="eastAsia" w:ascii="宋体" w:hAnsi="宋体" w:eastAsia="宋体" w:cs="宋体"/>
                <w:color w:val="auto"/>
                <w:sz w:val="22"/>
                <w:szCs w:val="22"/>
                <w:lang w:val="en-US" w:eastAsia="zh-CN"/>
              </w:rPr>
            </w:pPr>
          </w:p>
        </w:tc>
        <w:tc>
          <w:tcPr>
            <w:tcW w:w="682" w:type="pct"/>
            <w:vAlign w:val="center"/>
          </w:tcPr>
          <w:p>
            <w:pPr>
              <w:bidi w:val="0"/>
              <w:spacing w:line="240" w:lineRule="auto"/>
              <w:jc w:val="center"/>
              <w:rPr>
                <w:rFonts w:hint="eastAsia" w:ascii="宋体" w:hAnsi="宋体" w:eastAsia="宋体" w:cs="宋体"/>
                <w:color w:val="auto"/>
                <w:sz w:val="22"/>
                <w:szCs w:val="22"/>
              </w:rPr>
            </w:pPr>
            <w:r>
              <w:rPr>
                <w:rFonts w:hint="eastAsia" w:ascii="宋体" w:hAnsi="宋体" w:cs="宋体"/>
                <w:szCs w:val="21"/>
              </w:rPr>
              <w:t>业绩</w:t>
            </w:r>
          </w:p>
        </w:tc>
        <w:tc>
          <w:tcPr>
            <w:tcW w:w="466" w:type="pct"/>
            <w:vAlign w:val="center"/>
          </w:tcPr>
          <w:p>
            <w:pPr>
              <w:bidi w:val="0"/>
              <w:spacing w:line="240" w:lineRule="auto"/>
              <w:jc w:val="center"/>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2</w:t>
            </w:r>
          </w:p>
        </w:tc>
        <w:tc>
          <w:tcPr>
            <w:tcW w:w="3269" w:type="pct"/>
            <w:vAlign w:val="center"/>
          </w:tcPr>
          <w:p>
            <w:pPr>
              <w:spacing w:line="360" w:lineRule="auto"/>
              <w:rPr>
                <w:rFonts w:ascii="宋体" w:hAnsi="宋体" w:cs="宋体"/>
                <w:szCs w:val="21"/>
              </w:rPr>
            </w:pPr>
            <w:r>
              <w:rPr>
                <w:rFonts w:hint="eastAsia" w:ascii="宋体" w:hAnsi="宋体" w:cs="宋体"/>
                <w:szCs w:val="21"/>
              </w:rPr>
              <w:t>提供2021年1月1日以来</w:t>
            </w:r>
            <w:r>
              <w:rPr>
                <w:rFonts w:hint="eastAsia" w:ascii="宋体" w:hAnsi="宋体" w:cs="宋体"/>
                <w:szCs w:val="21"/>
                <w:lang w:val="en-US" w:eastAsia="zh-CN"/>
              </w:rPr>
              <w:t>三级甲等综合医院</w:t>
            </w:r>
            <w:r>
              <w:rPr>
                <w:rFonts w:hint="eastAsia" w:cs="宋体" w:asciiTheme="minorEastAsia" w:hAnsiTheme="minorEastAsia" w:eastAsiaTheme="minorEastAsia"/>
                <w:sz w:val="22"/>
                <w:szCs w:val="24"/>
              </w:rPr>
              <w:t>同类项目业绩案例（</w:t>
            </w:r>
            <w:r>
              <w:rPr>
                <w:rFonts w:hint="eastAsia" w:cs="宋体" w:asciiTheme="minorEastAsia" w:hAnsiTheme="minorEastAsia"/>
                <w:sz w:val="22"/>
                <w:szCs w:val="24"/>
                <w:lang w:val="en-US" w:eastAsia="zh-CN"/>
              </w:rPr>
              <w:t>医保</w:t>
            </w:r>
            <w:r>
              <w:rPr>
                <w:rFonts w:hint="eastAsia" w:cs="微软雅黑" w:asciiTheme="minorEastAsia" w:hAnsiTheme="minorEastAsia" w:eastAsiaTheme="minorEastAsia"/>
                <w:sz w:val="22"/>
                <w:szCs w:val="24"/>
              </w:rPr>
              <w:t>结算清单有关项目业绩</w:t>
            </w:r>
            <w:r>
              <w:rPr>
                <w:rFonts w:hint="eastAsia" w:cs="宋体" w:asciiTheme="minorEastAsia" w:hAnsiTheme="minorEastAsia" w:eastAsiaTheme="minorEastAsia"/>
                <w:sz w:val="22"/>
                <w:szCs w:val="24"/>
              </w:rPr>
              <w:t>）</w:t>
            </w:r>
            <w:r>
              <w:rPr>
                <w:rFonts w:hint="eastAsia" w:ascii="宋体" w:hAnsi="宋体" w:cs="宋体"/>
                <w:szCs w:val="21"/>
              </w:rPr>
              <w:t>，证明材料须同时提供医院中标通知书与投标人双方盖章的合同复印件</w:t>
            </w:r>
            <w:r>
              <w:rPr>
                <w:rFonts w:hint="eastAsia" w:ascii="宋体" w:hAnsi="宋体" w:cs="宋体"/>
                <w:szCs w:val="21"/>
                <w:lang w:val="en-US" w:eastAsia="zh-CN"/>
              </w:rPr>
              <w:t>和医院出具的验收报告</w:t>
            </w:r>
            <w:r>
              <w:rPr>
                <w:rFonts w:hint="eastAsia" w:ascii="宋体" w:hAnsi="宋体" w:cs="宋体"/>
                <w:szCs w:val="21"/>
              </w:rPr>
              <w:t>。</w:t>
            </w:r>
          </w:p>
          <w:p>
            <w:pPr>
              <w:spacing w:line="360" w:lineRule="auto"/>
              <w:rPr>
                <w:rFonts w:ascii="宋体" w:hAnsi="宋体" w:cs="宋体"/>
                <w:szCs w:val="21"/>
              </w:rPr>
            </w:pPr>
            <w:r>
              <w:rPr>
                <w:rFonts w:hint="eastAsia" w:ascii="宋体" w:hAnsi="宋体" w:cs="宋体"/>
                <w:szCs w:val="21"/>
              </w:rPr>
              <w:t>1、每提供一份案例得</w:t>
            </w:r>
            <w:r>
              <w:rPr>
                <w:rFonts w:hint="eastAsia" w:ascii="宋体" w:hAnsi="宋体" w:cs="宋体"/>
                <w:szCs w:val="21"/>
                <w:lang w:val="en-US" w:eastAsia="zh-CN"/>
              </w:rPr>
              <w:t>0.5</w:t>
            </w:r>
            <w:r>
              <w:rPr>
                <w:rFonts w:hint="eastAsia" w:ascii="宋体" w:hAnsi="宋体" w:cs="宋体"/>
                <w:szCs w:val="21"/>
              </w:rPr>
              <w:t>分，满分</w:t>
            </w:r>
            <w:r>
              <w:rPr>
                <w:rFonts w:hint="eastAsia" w:ascii="宋体" w:hAnsi="宋体" w:cs="宋体"/>
                <w:szCs w:val="21"/>
                <w:lang w:val="en-US" w:eastAsia="zh-CN"/>
              </w:rPr>
              <w:t>2</w:t>
            </w:r>
            <w:r>
              <w:rPr>
                <w:rFonts w:hint="eastAsia" w:ascii="宋体" w:hAnsi="宋体" w:cs="宋体"/>
                <w:szCs w:val="21"/>
              </w:rPr>
              <w:t>分；</w:t>
            </w:r>
          </w:p>
          <w:p>
            <w:pPr>
              <w:spacing w:line="360" w:lineRule="auto"/>
              <w:rPr>
                <w:rFonts w:hint="eastAsia" w:ascii="宋体" w:hAnsi="宋体" w:eastAsia="宋体" w:cs="宋体"/>
                <w:color w:val="auto"/>
                <w:sz w:val="24"/>
                <w:szCs w:val="24"/>
              </w:rPr>
            </w:pPr>
            <w:r>
              <w:rPr>
                <w:rFonts w:hint="eastAsia" w:ascii="宋体" w:hAnsi="宋体" w:cs="宋体"/>
                <w:szCs w:val="21"/>
              </w:rPr>
              <w:t>备注：（1）每份业绩须同时提供中标通知书</w:t>
            </w:r>
            <w:r>
              <w:rPr>
                <w:rFonts w:hint="eastAsia" w:ascii="宋体" w:hAnsi="宋体" w:cs="宋体"/>
                <w:szCs w:val="21"/>
                <w:lang w:eastAsia="zh-CN"/>
              </w:rPr>
              <w:t>、</w:t>
            </w:r>
            <w:r>
              <w:rPr>
                <w:rFonts w:hint="eastAsia" w:ascii="宋体" w:hAnsi="宋体" w:cs="宋体"/>
                <w:szCs w:val="21"/>
              </w:rPr>
              <w:t>合同扫描件</w:t>
            </w:r>
            <w:r>
              <w:rPr>
                <w:rFonts w:hint="eastAsia" w:ascii="宋体" w:hAnsi="宋体" w:cs="宋体"/>
                <w:szCs w:val="21"/>
                <w:lang w:val="en-US" w:eastAsia="zh-CN"/>
              </w:rPr>
              <w:t>和验收报告</w:t>
            </w:r>
            <w:r>
              <w:rPr>
                <w:rFonts w:hint="eastAsia" w:ascii="宋体" w:hAnsi="宋体" w:cs="宋体"/>
                <w:szCs w:val="21"/>
              </w:rPr>
              <w:t>。（2）同一业主的多个合同不可累计计分。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582" w:type="pct"/>
            <w:vMerge w:val="continue"/>
            <w:vAlign w:val="center"/>
          </w:tcPr>
          <w:p>
            <w:pPr>
              <w:bidi w:val="0"/>
              <w:spacing w:line="240" w:lineRule="auto"/>
              <w:jc w:val="center"/>
              <w:rPr>
                <w:rFonts w:hint="eastAsia" w:ascii="宋体" w:hAnsi="宋体" w:eastAsia="宋体" w:cs="宋体"/>
                <w:color w:val="auto"/>
                <w:sz w:val="22"/>
                <w:szCs w:val="22"/>
              </w:rPr>
            </w:pPr>
          </w:p>
        </w:tc>
        <w:tc>
          <w:tcPr>
            <w:tcW w:w="682" w:type="pct"/>
            <w:vAlign w:val="center"/>
          </w:tcPr>
          <w:p>
            <w:pPr>
              <w:bidi w:val="0"/>
              <w:spacing w:line="240" w:lineRule="auto"/>
              <w:jc w:val="center"/>
              <w:rPr>
                <w:rFonts w:hint="eastAsia" w:ascii="宋体" w:hAnsi="宋体" w:eastAsia="宋体" w:cs="宋体"/>
                <w:color w:val="auto"/>
                <w:sz w:val="22"/>
                <w:szCs w:val="22"/>
              </w:rPr>
            </w:pPr>
            <w:r>
              <w:rPr>
                <w:rFonts w:hint="eastAsia" w:ascii="宋体" w:hAnsi="宋体" w:cs="宋体"/>
                <w:szCs w:val="21"/>
              </w:rPr>
              <w:t>企业综合实力</w:t>
            </w:r>
          </w:p>
        </w:tc>
        <w:tc>
          <w:tcPr>
            <w:tcW w:w="466" w:type="pct"/>
            <w:vAlign w:val="center"/>
          </w:tcPr>
          <w:p>
            <w:pPr>
              <w:bidi w:val="0"/>
              <w:spacing w:line="240" w:lineRule="auto"/>
              <w:jc w:val="center"/>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2</w:t>
            </w:r>
          </w:p>
        </w:tc>
        <w:tc>
          <w:tcPr>
            <w:tcW w:w="3269" w:type="pct"/>
            <w:vAlign w:val="center"/>
          </w:tcPr>
          <w:p>
            <w:pPr>
              <w:spacing w:line="360" w:lineRule="auto"/>
              <w:rPr>
                <w:rFonts w:hint="eastAsia" w:ascii="宋体" w:hAnsi="宋体" w:cs="宋体"/>
                <w:szCs w:val="21"/>
              </w:rPr>
            </w:pPr>
            <w:r>
              <w:rPr>
                <w:rFonts w:hint="eastAsia" w:ascii="宋体" w:hAnsi="宋体" w:cs="宋体"/>
                <w:szCs w:val="21"/>
                <w:lang w:val="en-US" w:eastAsia="zh-CN"/>
              </w:rPr>
              <w:t>1</w:t>
            </w:r>
            <w:r>
              <w:rPr>
                <w:rFonts w:hint="eastAsia" w:ascii="宋体" w:hAnsi="宋体" w:cs="宋体"/>
                <w:szCs w:val="21"/>
              </w:rPr>
              <w:t>、投标人具有业务连续性管理体系证书得</w:t>
            </w:r>
            <w:r>
              <w:rPr>
                <w:rFonts w:hint="eastAsia" w:ascii="宋体" w:hAnsi="宋体" w:cs="宋体"/>
                <w:szCs w:val="21"/>
                <w:lang w:val="en-US" w:eastAsia="zh-CN"/>
              </w:rPr>
              <w:t>1</w:t>
            </w:r>
            <w:r>
              <w:rPr>
                <w:rFonts w:hint="eastAsia" w:ascii="宋体" w:hAnsi="宋体" w:cs="宋体"/>
                <w:szCs w:val="21"/>
              </w:rPr>
              <w:t>分，否则不得分。</w:t>
            </w:r>
          </w:p>
          <w:p>
            <w:pPr>
              <w:spacing w:line="360" w:lineRule="auto"/>
              <w:rPr>
                <w:rFonts w:hint="eastAsia" w:ascii="宋体" w:hAnsi="宋体" w:cs="宋体"/>
                <w:szCs w:val="21"/>
              </w:rPr>
            </w:pPr>
            <w:r>
              <w:rPr>
                <w:rFonts w:hint="eastAsia" w:ascii="宋体" w:hAnsi="宋体" w:cs="宋体"/>
                <w:szCs w:val="21"/>
                <w:lang w:val="en-US" w:eastAsia="zh-CN"/>
              </w:rPr>
              <w:t>2</w:t>
            </w:r>
            <w:r>
              <w:rPr>
                <w:rFonts w:hint="eastAsia" w:ascii="宋体" w:hAnsi="宋体" w:cs="宋体"/>
                <w:szCs w:val="21"/>
              </w:rPr>
              <w:t>、投标人具有隐私信息管理体系认证证书得</w:t>
            </w:r>
            <w:r>
              <w:rPr>
                <w:rFonts w:hint="eastAsia" w:ascii="宋体" w:hAnsi="宋体" w:cs="宋体"/>
                <w:szCs w:val="21"/>
                <w:lang w:val="en-US" w:eastAsia="zh-CN"/>
              </w:rPr>
              <w:t>1</w:t>
            </w:r>
            <w:r>
              <w:rPr>
                <w:rFonts w:hint="eastAsia" w:ascii="宋体" w:hAnsi="宋体" w:cs="宋体"/>
                <w:szCs w:val="21"/>
              </w:rPr>
              <w:t>分</w:t>
            </w:r>
          </w:p>
          <w:p>
            <w:pPr>
              <w:bidi w:val="0"/>
              <w:spacing w:line="240" w:lineRule="auto"/>
              <w:rPr>
                <w:rFonts w:hint="eastAsia" w:ascii="宋体" w:hAnsi="宋体" w:eastAsia="宋体" w:cs="宋体"/>
                <w:color w:val="auto"/>
                <w:sz w:val="24"/>
                <w:szCs w:val="24"/>
              </w:rPr>
            </w:pPr>
            <w:r>
              <w:rPr>
                <w:rFonts w:hint="eastAsia"/>
                <w:b w:val="0"/>
                <w:bCs w:val="0"/>
                <w:szCs w:val="21"/>
              </w:rPr>
              <w:t>（提供上述证书复印件加盖公章，未提供不得分）。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582" w:type="pct"/>
            <w:vMerge w:val="continue"/>
            <w:vAlign w:val="center"/>
          </w:tcPr>
          <w:p>
            <w:pPr>
              <w:bidi w:val="0"/>
              <w:spacing w:line="240" w:lineRule="auto"/>
              <w:jc w:val="center"/>
              <w:rPr>
                <w:rFonts w:hint="eastAsia" w:ascii="宋体" w:hAnsi="宋体" w:eastAsia="宋体" w:cs="宋体"/>
                <w:color w:val="auto"/>
                <w:sz w:val="22"/>
                <w:szCs w:val="22"/>
              </w:rPr>
            </w:pPr>
          </w:p>
        </w:tc>
        <w:tc>
          <w:tcPr>
            <w:tcW w:w="682" w:type="pct"/>
            <w:vAlign w:val="center"/>
          </w:tcPr>
          <w:p>
            <w:pPr>
              <w:bidi w:val="0"/>
              <w:spacing w:line="240" w:lineRule="auto"/>
              <w:jc w:val="center"/>
              <w:rPr>
                <w:rFonts w:hint="eastAsia" w:ascii="宋体" w:hAnsi="宋体" w:cs="宋体" w:eastAsiaTheme="minorEastAsia"/>
                <w:szCs w:val="21"/>
                <w:lang w:val="en-US" w:eastAsia="zh-CN"/>
              </w:rPr>
            </w:pPr>
            <w:r>
              <w:rPr>
                <w:rFonts w:hint="eastAsia" w:ascii="宋体" w:hAnsi="宋体" w:cs="宋体"/>
                <w:szCs w:val="21"/>
                <w:lang w:val="en-US" w:eastAsia="zh-CN"/>
              </w:rPr>
              <w:t>信创兼容性</w:t>
            </w:r>
          </w:p>
        </w:tc>
        <w:tc>
          <w:tcPr>
            <w:tcW w:w="466" w:type="pct"/>
            <w:vAlign w:val="center"/>
          </w:tcPr>
          <w:p>
            <w:pPr>
              <w:bidi w:val="0"/>
              <w:spacing w:line="240" w:lineRule="auto"/>
              <w:jc w:val="center"/>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3</w:t>
            </w:r>
          </w:p>
        </w:tc>
        <w:tc>
          <w:tcPr>
            <w:tcW w:w="3269" w:type="pct"/>
            <w:vAlign w:val="center"/>
          </w:tcPr>
          <w:p>
            <w:pPr>
              <w:spacing w:line="360" w:lineRule="auto"/>
              <w:rPr>
                <w:rFonts w:ascii="宋体" w:hAnsi="宋体" w:cs="宋体"/>
                <w:szCs w:val="21"/>
              </w:rPr>
            </w:pPr>
            <w:r>
              <w:rPr>
                <w:rFonts w:hint="eastAsia" w:ascii="宋体" w:hAnsi="宋体" w:cs="宋体"/>
                <w:szCs w:val="21"/>
              </w:rPr>
              <w:t>投标人所投产品与主流国产化操作系统和数据库的兼容性互认，具有认证证书的，每提供1份得</w:t>
            </w:r>
            <w:r>
              <w:rPr>
                <w:rFonts w:hint="eastAsia" w:ascii="宋体" w:hAnsi="宋体" w:cs="宋体"/>
                <w:szCs w:val="21"/>
                <w:lang w:val="en-US" w:eastAsia="zh-CN"/>
              </w:rPr>
              <w:t>1</w:t>
            </w:r>
            <w:r>
              <w:rPr>
                <w:rFonts w:hint="eastAsia" w:ascii="宋体" w:hAnsi="宋体" w:cs="宋体"/>
                <w:szCs w:val="21"/>
              </w:rPr>
              <w:t>分，满分</w:t>
            </w:r>
            <w:r>
              <w:rPr>
                <w:rFonts w:hint="eastAsia" w:ascii="宋体" w:hAnsi="宋体" w:cs="宋体"/>
                <w:szCs w:val="21"/>
                <w:lang w:val="en-US" w:eastAsia="zh-CN"/>
              </w:rPr>
              <w:t>3</w:t>
            </w:r>
            <w:r>
              <w:rPr>
                <w:rFonts w:hint="eastAsia" w:ascii="宋体" w:hAnsi="宋体" w:cs="宋体"/>
                <w:szCs w:val="21"/>
              </w:rPr>
              <w:t>分。</w:t>
            </w:r>
          </w:p>
          <w:p>
            <w:pPr>
              <w:bidi w:val="0"/>
              <w:spacing w:line="240" w:lineRule="auto"/>
              <w:rPr>
                <w:rFonts w:hint="eastAsia" w:ascii="宋体" w:hAnsi="宋体" w:eastAsia="宋体" w:cs="宋体"/>
                <w:color w:val="auto"/>
                <w:sz w:val="24"/>
                <w:szCs w:val="24"/>
              </w:rPr>
            </w:pPr>
            <w:r>
              <w:rPr>
                <w:rFonts w:hint="eastAsia" w:ascii="宋体" w:hAnsi="宋体" w:cs="宋体"/>
                <w:szCs w:val="21"/>
              </w:rPr>
              <w:t>注：不同产品但是同一厂商认证的证书不重复计分。须提供证书复印件并加盖投标人公章，未提供不得分。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582" w:type="pct"/>
            <w:vMerge w:val="continue"/>
            <w:vAlign w:val="center"/>
          </w:tcPr>
          <w:p>
            <w:pPr>
              <w:bidi w:val="0"/>
              <w:spacing w:line="240" w:lineRule="auto"/>
              <w:jc w:val="center"/>
              <w:rPr>
                <w:rFonts w:hint="eastAsia" w:ascii="宋体" w:hAnsi="宋体" w:eastAsia="宋体" w:cs="宋体"/>
                <w:color w:val="auto"/>
                <w:sz w:val="22"/>
                <w:szCs w:val="22"/>
              </w:rPr>
            </w:pPr>
          </w:p>
        </w:tc>
        <w:tc>
          <w:tcPr>
            <w:tcW w:w="682" w:type="pct"/>
            <w:vAlign w:val="center"/>
          </w:tcPr>
          <w:p>
            <w:pPr>
              <w:bidi w:val="0"/>
              <w:spacing w:line="240" w:lineRule="auto"/>
              <w:jc w:val="center"/>
              <w:rPr>
                <w:rFonts w:hint="eastAsia" w:ascii="宋体" w:hAnsi="宋体" w:cs="宋体" w:eastAsiaTheme="minorEastAsia"/>
                <w:szCs w:val="21"/>
                <w:lang w:val="en-US" w:eastAsia="zh-CN"/>
              </w:rPr>
            </w:pPr>
            <w:r>
              <w:rPr>
                <w:rFonts w:hint="eastAsia" w:ascii="宋体" w:hAnsi="宋体" w:cs="宋体"/>
                <w:szCs w:val="21"/>
                <w:lang w:val="en-US" w:eastAsia="zh-CN"/>
              </w:rPr>
              <w:t>知识产权</w:t>
            </w:r>
          </w:p>
        </w:tc>
        <w:tc>
          <w:tcPr>
            <w:tcW w:w="466" w:type="pct"/>
            <w:vAlign w:val="center"/>
          </w:tcPr>
          <w:p>
            <w:pPr>
              <w:bidi w:val="0"/>
              <w:spacing w:line="240" w:lineRule="auto"/>
              <w:jc w:val="center"/>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lang w:val="en-US" w:eastAsia="zh-CN"/>
              </w:rPr>
              <w:t>1</w:t>
            </w:r>
          </w:p>
        </w:tc>
        <w:tc>
          <w:tcPr>
            <w:tcW w:w="3269" w:type="pct"/>
            <w:vAlign w:val="center"/>
          </w:tcPr>
          <w:p>
            <w:pPr>
              <w:spacing w:line="360" w:lineRule="auto"/>
              <w:rPr>
                <w:rFonts w:hint="eastAsia" w:ascii="宋体" w:hAnsi="宋体" w:eastAsia="宋体" w:cs="宋体"/>
                <w:color w:val="auto"/>
                <w:sz w:val="24"/>
                <w:szCs w:val="24"/>
              </w:rPr>
            </w:pPr>
            <w:r>
              <w:rPr>
                <w:rFonts w:hint="eastAsia" w:ascii="宋体" w:hAnsi="宋体" w:cs="宋体"/>
                <w:szCs w:val="21"/>
              </w:rPr>
              <w:t>1、</w:t>
            </w:r>
            <w:r>
              <w:rPr>
                <w:rFonts w:hint="eastAsia"/>
              </w:rPr>
              <w:t>同时具有</w:t>
            </w:r>
            <w:r>
              <w:rPr>
                <w:rFonts w:hint="eastAsia" w:ascii="宋体" w:hAnsi="宋体" w:cs="宋体"/>
                <w:color w:val="000000" w:themeColor="text1"/>
                <w:szCs w:val="21"/>
                <w:lang w:val="en-US" w:eastAsia="zh-CN"/>
                <w14:textFill>
                  <w14:solidFill>
                    <w14:schemeClr w14:val="tx1"/>
                  </w14:solidFill>
                </w14:textFill>
              </w:rPr>
              <w:t>国家版权局颁发的</w:t>
            </w:r>
            <w:r>
              <w:rPr>
                <w:rFonts w:hint="eastAsia"/>
              </w:rPr>
              <w:t>医保结算清单管理系统的</w:t>
            </w:r>
            <w:r>
              <w:rPr>
                <w:rFonts w:hint="eastAsia"/>
                <w:lang w:val="en-US" w:eastAsia="zh-CN"/>
              </w:rPr>
              <w:t>软件著作权</w:t>
            </w:r>
            <w:r>
              <w:rPr>
                <w:rFonts w:hint="eastAsia"/>
              </w:rPr>
              <w:t>证书和第三方</w:t>
            </w:r>
            <w:r>
              <w:rPr>
                <w:rFonts w:hint="eastAsia"/>
                <w:lang w:val="en-US" w:eastAsia="zh-CN"/>
              </w:rPr>
              <w:t>出具的</w:t>
            </w:r>
            <w:r>
              <w:rPr>
                <w:rFonts w:hint="eastAsia"/>
              </w:rPr>
              <w:t>测评报告的得</w:t>
            </w:r>
            <w:r>
              <w:rPr>
                <w:rFonts w:hint="eastAsia"/>
                <w:lang w:val="en-US" w:eastAsia="zh-CN"/>
              </w:rPr>
              <w:t>1</w:t>
            </w:r>
            <w:r>
              <w:rPr>
                <w:rFonts w:hint="eastAsia"/>
              </w:rPr>
              <w:t>分，否则不得分。</w:t>
            </w:r>
          </w:p>
        </w:tc>
      </w:tr>
    </w:tbl>
    <w:p>
      <w:pPr>
        <w:adjustRightInd w:val="0"/>
        <w:snapToGrid w:val="0"/>
        <w:spacing w:line="360" w:lineRule="auto"/>
        <w:jc w:val="center"/>
        <w:rPr>
          <w:rFonts w:hint="eastAsia" w:ascii="宋体" w:hAnsi="宋体" w:cs="宋体"/>
          <w:b/>
          <w:sz w:val="24"/>
          <w:szCs w:val="20"/>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注：（1）评标委员会对投标人评分的算数平均值即为该投标人的最终评标得分（不得去</w:t>
      </w:r>
      <w:r>
        <w:rPr>
          <w:rFonts w:hint="eastAsia" w:ascii="宋体" w:hAnsi="宋体" w:cs="宋体"/>
          <w:color w:val="auto"/>
          <w:sz w:val="28"/>
          <w:szCs w:val="28"/>
          <w:lang w:val="en-US" w:eastAsia="zh-CN"/>
        </w:rPr>
        <w:t>掉</w:t>
      </w:r>
      <w:r>
        <w:rPr>
          <w:rFonts w:hint="eastAsia" w:ascii="宋体" w:hAnsi="宋体" w:cs="宋体"/>
          <w:color w:val="auto"/>
          <w:sz w:val="28"/>
          <w:szCs w:val="28"/>
        </w:rPr>
        <w:t>评分项目的最高得分和最低得分），评分分值计算保留小数点后两位，小数点后第三位“四舍五入”。</w:t>
      </w:r>
    </w:p>
    <w:p>
      <w:pPr>
        <w:numPr>
          <w:ilvl w:val="0"/>
          <w:numId w:val="2"/>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评标结果按评审后得分由高到低顺序排列；综合得分相同的，按投标报价由低到高顺序排列；综合得分且投标报价相同的，按技术得分由高到低顺序排列。</w:t>
      </w:r>
    </w:p>
    <w:p>
      <w:pPr>
        <w:numPr>
          <w:ilvl w:val="0"/>
          <w:numId w:val="2"/>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投标人投标文件中提供的资料应真实、清晰，如经评委一致认定投标文件提供的资料不清晰、模糊不清的，该项资料所对应的评分分值为0分</w:t>
      </w:r>
      <w:r>
        <w:rPr>
          <w:rFonts w:hint="eastAsia" w:ascii="宋体" w:hAnsi="宋体" w:cs="宋体"/>
          <w:color w:val="auto"/>
          <w:sz w:val="28"/>
          <w:szCs w:val="28"/>
          <w:lang w:eastAsia="zh-CN"/>
        </w:rPr>
        <w:t>。</w:t>
      </w:r>
    </w:p>
    <w:p>
      <w:pPr>
        <w:pStyle w:val="23"/>
        <w:rPr>
          <w:color w:val="auto"/>
        </w:rPr>
      </w:pPr>
    </w:p>
    <w:p>
      <w:pPr>
        <w:rPr>
          <w:color w:val="auto"/>
        </w:rPr>
      </w:pPr>
      <w:r>
        <w:rPr>
          <w:color w:val="auto"/>
        </w:rPr>
        <w:br w:type="page"/>
      </w:r>
    </w:p>
    <w:p>
      <w:pPr>
        <w:pStyle w:val="23"/>
        <w:rPr>
          <w:color w:val="auto"/>
        </w:rPr>
      </w:pPr>
    </w:p>
    <w:p>
      <w:pPr>
        <w:pStyle w:val="23"/>
        <w:widowControl w:val="0"/>
        <w:numPr>
          <w:ilvl w:val="0"/>
          <w:numId w:val="0"/>
        </w:numPr>
        <w:jc w:val="both"/>
        <w:rPr>
          <w:color w:val="auto"/>
          <w:sz w:val="28"/>
          <w:szCs w:val="28"/>
        </w:rPr>
      </w:pPr>
    </w:p>
    <w:p>
      <w:pPr>
        <w:pStyle w:val="23"/>
        <w:widowControl w:val="0"/>
        <w:numPr>
          <w:ilvl w:val="0"/>
          <w:numId w:val="0"/>
        </w:numPr>
        <w:jc w:val="both"/>
        <w:rPr>
          <w:color w:val="auto"/>
          <w:sz w:val="28"/>
          <w:szCs w:val="28"/>
        </w:rPr>
      </w:pPr>
    </w:p>
    <w:p>
      <w:pPr>
        <w:pStyle w:val="2"/>
        <w:numPr>
          <w:ilvl w:val="0"/>
          <w:numId w:val="3"/>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24"/>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23"/>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23"/>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6"/>
        <w:gridCol w:w="2026"/>
        <w:gridCol w:w="1521"/>
        <w:gridCol w:w="1608"/>
        <w:gridCol w:w="1513"/>
        <w:gridCol w:w="106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212"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91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212" w:type="pct"/>
            <w:noWrap w:val="0"/>
            <w:vAlign w:val="center"/>
          </w:tcPr>
          <w:p>
            <w:pPr>
              <w:adjustRightInd w:val="0"/>
              <w:snapToGrid w:val="0"/>
              <w:spacing w:before="50" w:line="360" w:lineRule="auto"/>
              <w:ind w:left="-88" w:leftChars="-42"/>
              <w:jc w:val="center"/>
              <w:rPr>
                <w:color w:val="auto"/>
                <w:szCs w:val="21"/>
              </w:rPr>
            </w:pPr>
          </w:p>
        </w:tc>
        <w:tc>
          <w:tcPr>
            <w:tcW w:w="91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212" w:type="pct"/>
            <w:noWrap w:val="0"/>
            <w:vAlign w:val="center"/>
          </w:tcPr>
          <w:p>
            <w:pPr>
              <w:adjustRightInd w:val="0"/>
              <w:snapToGrid w:val="0"/>
              <w:spacing w:before="50" w:line="360" w:lineRule="auto"/>
              <w:ind w:left="-88" w:leftChars="-42"/>
              <w:jc w:val="center"/>
              <w:rPr>
                <w:color w:val="auto"/>
                <w:szCs w:val="21"/>
              </w:rPr>
            </w:pPr>
          </w:p>
        </w:tc>
        <w:tc>
          <w:tcPr>
            <w:tcW w:w="91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212" w:type="pct"/>
            <w:noWrap w:val="0"/>
            <w:vAlign w:val="center"/>
          </w:tcPr>
          <w:p>
            <w:pPr>
              <w:adjustRightInd w:val="0"/>
              <w:snapToGrid w:val="0"/>
              <w:spacing w:before="50" w:line="360" w:lineRule="auto"/>
              <w:ind w:left="-88" w:leftChars="-42"/>
              <w:jc w:val="center"/>
              <w:rPr>
                <w:color w:val="auto"/>
                <w:szCs w:val="21"/>
              </w:rPr>
            </w:pPr>
          </w:p>
        </w:tc>
        <w:tc>
          <w:tcPr>
            <w:tcW w:w="91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6"/>
      </w:pPr>
    </w:p>
    <w:p>
      <w:pPr>
        <w:spacing w:before="120" w:beforeLines="50" w:after="120" w:afterLines="50" w:line="276" w:lineRule="auto"/>
        <w:rPr>
          <w:rFonts w:hint="eastAsia" w:eastAsia="宋体"/>
          <w:b/>
          <w:bCs/>
          <w:color w:val="auto"/>
          <w:sz w:val="28"/>
          <w:szCs w:val="28"/>
          <w:lang w:eastAsia="zh-CN"/>
        </w:rPr>
      </w:pPr>
    </w:p>
    <w:p>
      <w:pPr>
        <w:pStyle w:val="23"/>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24"/>
        <w:rPr>
          <w:color w:val="auto"/>
        </w:rPr>
      </w:pPr>
    </w:p>
    <w:p>
      <w:pPr>
        <w:pStyle w:val="24"/>
        <w:rPr>
          <w:color w:val="auto"/>
        </w:rPr>
      </w:pPr>
    </w:p>
    <w:p>
      <w:pPr>
        <w:pStyle w:val="24"/>
        <w:rPr>
          <w:color w:val="auto"/>
        </w:rPr>
      </w:pPr>
    </w:p>
    <w:p>
      <w:pPr>
        <w:pStyle w:val="24"/>
        <w:rPr>
          <w:color w:val="auto"/>
        </w:rPr>
      </w:pPr>
    </w:p>
    <w:p>
      <w:pPr>
        <w:pStyle w:val="25"/>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24"/>
        <w:rPr>
          <w:color w:val="auto"/>
        </w:rPr>
      </w:pPr>
    </w:p>
    <w:p>
      <w:pPr>
        <w:pStyle w:val="24"/>
        <w:rPr>
          <w:rFonts w:hint="eastAsia"/>
          <w:color w:val="auto"/>
        </w:rPr>
      </w:pPr>
    </w:p>
    <w:p>
      <w:pPr>
        <w:pStyle w:val="24"/>
        <w:rPr>
          <w:color w:val="auto"/>
        </w:rPr>
      </w:pPr>
    </w:p>
    <w:p>
      <w:pPr>
        <w:pStyle w:val="24"/>
        <w:rPr>
          <w:color w:val="auto"/>
        </w:rPr>
      </w:pPr>
    </w:p>
    <w:p>
      <w:pPr>
        <w:pStyle w:val="24"/>
        <w:rPr>
          <w:color w:val="auto"/>
        </w:rPr>
      </w:pPr>
    </w:p>
    <w:p>
      <w:pPr>
        <w:pStyle w:val="24"/>
        <w:rPr>
          <w:color w:val="auto"/>
        </w:rPr>
      </w:pPr>
    </w:p>
    <w:p>
      <w:pPr>
        <w:pStyle w:val="24"/>
        <w:rPr>
          <w:color w:val="auto"/>
        </w:rPr>
      </w:pPr>
    </w:p>
    <w:p>
      <w:pPr>
        <w:pStyle w:val="24"/>
        <w:rPr>
          <w:rFonts w:hint="eastAsia"/>
          <w:color w:val="auto"/>
        </w:rPr>
      </w:pPr>
    </w:p>
    <w:p>
      <w:pPr>
        <w:pStyle w:val="2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5"/>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23"/>
        <w:rPr>
          <w:rFonts w:hint="eastAsia"/>
          <w:lang w:eastAsia="zh-CN"/>
        </w:rPr>
      </w:pPr>
    </w:p>
    <w:p>
      <w:pPr>
        <w:pStyle w:val="2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5"/>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4"/>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p/>
    <w:p>
      <w:pPr>
        <w:keepNext w:val="0"/>
        <w:keepLines w:val="0"/>
        <w:pageBreakBefore w:val="0"/>
        <w:widowControl w:val="0"/>
        <w:kinsoku/>
        <w:wordWrap/>
        <w:overflowPunct/>
        <w:topLinePunct w:val="0"/>
        <w:autoSpaceDE/>
        <w:autoSpaceDN/>
        <w:bidi w:val="0"/>
        <w:spacing w:line="500" w:lineRule="exact"/>
        <w:jc w:val="center"/>
        <w:textAlignment w:val="auto"/>
        <w:rPr>
          <w:rFonts w:hint="eastAsia" w:ascii="仿宋_GB2312" w:hAnsi="仿宋_GB2312" w:eastAsia="仿宋_GB2312" w:cs="仿宋_GB2312"/>
          <w:b w:val="0"/>
          <w:bCs/>
          <w:color w:val="auto"/>
          <w:sz w:val="28"/>
          <w:u w:val="single"/>
        </w:rPr>
      </w:pPr>
      <w:r>
        <w:rPr>
          <w:rFonts w:hint="eastAsia" w:ascii="仿宋_GB2312" w:hAnsi="仿宋_GB2312" w:eastAsia="仿宋_GB2312" w:cs="仿宋_GB2312"/>
          <w:b w:val="0"/>
          <w:bCs/>
          <w:color w:val="auto"/>
          <w:sz w:val="28"/>
          <w:lang w:val="en-US" w:eastAsia="zh-CN"/>
        </w:rPr>
        <w:t xml:space="preserve">                                            </w:t>
      </w:r>
      <w:r>
        <w:rPr>
          <w:rFonts w:hint="eastAsia" w:ascii="仿宋_GB2312" w:hAnsi="仿宋_GB2312" w:eastAsia="仿宋_GB2312" w:cs="仿宋_GB2312"/>
          <w:b w:val="0"/>
          <w:bCs/>
          <w:color w:val="auto"/>
          <w:sz w:val="28"/>
        </w:rPr>
        <w:t>合同编号：</w:t>
      </w:r>
    </w:p>
    <w:p>
      <w:pPr>
        <w:keepNext w:val="0"/>
        <w:keepLines w:val="0"/>
        <w:pageBreakBefore w:val="0"/>
        <w:widowControl w:val="0"/>
        <w:kinsoku/>
        <w:wordWrap/>
        <w:overflowPunct/>
        <w:topLinePunct w:val="0"/>
        <w:autoSpaceDE/>
        <w:autoSpaceDN/>
        <w:bidi w:val="0"/>
        <w:spacing w:line="500" w:lineRule="exact"/>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医保结算清单全流程管理</w:t>
      </w:r>
      <w:r>
        <w:rPr>
          <w:rFonts w:hint="eastAsia" w:ascii="方正小标宋简体" w:hAnsi="方正小标宋简体" w:eastAsia="方正小标宋简体" w:cs="方正小标宋简体"/>
          <w:b w:val="0"/>
          <w:bCs/>
          <w:color w:val="auto"/>
          <w:sz w:val="44"/>
          <w:szCs w:val="44"/>
          <w:lang w:val="en-US" w:eastAsia="zh-CN"/>
        </w:rPr>
        <w:t>系统</w:t>
      </w:r>
      <w:r>
        <w:rPr>
          <w:rFonts w:hint="eastAsia" w:ascii="方正小标宋简体" w:hAnsi="方正小标宋简体" w:eastAsia="方正小标宋简体" w:cs="方正小标宋简体"/>
          <w:b w:val="0"/>
          <w:bCs/>
          <w:color w:val="auto"/>
          <w:sz w:val="44"/>
          <w:szCs w:val="44"/>
        </w:rPr>
        <w:t>采购合同</w:t>
      </w:r>
    </w:p>
    <w:p>
      <w:pPr>
        <w:keepNext w:val="0"/>
        <w:keepLines w:val="0"/>
        <w:pageBreakBefore w:val="0"/>
        <w:widowControl w:val="0"/>
        <w:kinsoku/>
        <w:wordWrap/>
        <w:overflowPunct/>
        <w:topLinePunct w:val="0"/>
        <w:autoSpaceDE/>
        <w:autoSpaceDN/>
        <w:bidi w:val="0"/>
        <w:spacing w:line="500" w:lineRule="exact"/>
        <w:ind w:firstLine="883" w:firstLineChars="200"/>
        <w:jc w:val="center"/>
        <w:textAlignment w:val="auto"/>
        <w:rPr>
          <w:rFonts w:hint="eastAsia" w:ascii="方正小标宋简体" w:hAnsi="方正小标宋简体" w:eastAsia="方正小标宋简体" w:cs="方正小标宋简体"/>
          <w:b/>
          <w:color w:val="auto"/>
          <w:sz w:val="44"/>
          <w:szCs w:val="44"/>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b/>
          <w:bCs/>
          <w:color w:val="auto"/>
          <w:sz w:val="28"/>
          <w:szCs w:val="28"/>
        </w:rPr>
        <w:t>甲方：</w:t>
      </w:r>
      <w:r>
        <w:rPr>
          <w:rFonts w:hint="eastAsia" w:ascii="仿宋_GB2312" w:hAnsi="仿宋_GB2312" w:eastAsia="仿宋_GB2312" w:cs="仿宋_GB2312"/>
          <w:color w:val="auto"/>
          <w:sz w:val="28"/>
          <w:szCs w:val="28"/>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法定代表人：左建辉</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统一社会信用代码：</w:t>
      </w:r>
      <w:r>
        <w:rPr>
          <w:rFonts w:hint="eastAsia" w:ascii="仿宋_GB2312" w:hAnsi="仿宋_GB2312" w:eastAsia="仿宋_GB2312" w:cs="仿宋_GB2312"/>
          <w:color w:val="auto"/>
          <w:sz w:val="28"/>
          <w:szCs w:val="28"/>
          <w:lang w:val="en-US" w:eastAsia="zh-CN"/>
        </w:rPr>
        <w:t>12431300447162073W</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地址：</w:t>
      </w:r>
      <w:r>
        <w:rPr>
          <w:rFonts w:hint="eastAsia" w:ascii="仿宋_GB2312" w:hAnsi="仿宋_GB2312" w:eastAsia="仿宋_GB2312" w:cs="仿宋_GB2312"/>
          <w:color w:val="auto"/>
          <w:sz w:val="28"/>
          <w:szCs w:val="28"/>
          <w:lang w:val="en-US" w:eastAsia="zh-CN"/>
        </w:rPr>
        <w:t>湖南省娄底市娄星区长青中街51号</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仿宋_GB2312" w:hAnsi="仿宋_GB2312" w:eastAsia="仿宋_GB2312" w:cs="仿宋_GB2312"/>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乙方：</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color w:val="auto"/>
          <w:sz w:val="28"/>
          <w:szCs w:val="28"/>
          <w:lang w:val="en-US" w:eastAsia="zh-CN"/>
        </w:rPr>
        <w:t>法定代表人：</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统一社会信用代码： </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地址：</w:t>
      </w:r>
    </w:p>
    <w:p>
      <w:pPr>
        <w:keepNext w:val="0"/>
        <w:keepLines w:val="0"/>
        <w:pageBreakBefore w:val="0"/>
        <w:widowControl w:val="0"/>
        <w:kinsoku/>
        <w:wordWrap/>
        <w:overflowPunct/>
        <w:topLinePunct w:val="0"/>
        <w:autoSpaceDE/>
        <w:autoSpaceDN/>
        <w:bidi w:val="0"/>
        <w:spacing w:line="500" w:lineRule="exact"/>
        <w:ind w:firstLine="562" w:firstLineChars="200"/>
        <w:textAlignment w:val="auto"/>
        <w:rPr>
          <w:rFonts w:hint="eastAsia" w:ascii="仿宋_GB2312" w:hAnsi="仿宋_GB2312" w:eastAsia="仿宋_GB2312" w:cs="仿宋_GB2312"/>
          <w:b/>
          <w:color w:val="auto"/>
          <w:sz w:val="28"/>
          <w:szCs w:val="28"/>
        </w:rPr>
      </w:pP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甲方通过</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none"/>
          <w:lang w:val="en-US" w:eastAsia="zh-CN"/>
        </w:rPr>
        <w:t>方式</w:t>
      </w:r>
      <w:r>
        <w:rPr>
          <w:rFonts w:hint="eastAsia" w:ascii="仿宋_GB2312" w:hAnsi="仿宋_GB2312" w:eastAsia="仿宋_GB2312" w:cs="仿宋_GB2312"/>
          <w:color w:val="auto"/>
          <w:sz w:val="28"/>
          <w:szCs w:val="28"/>
          <w:lang w:val="en-US" w:eastAsia="zh-CN"/>
        </w:rPr>
        <w:t>采购</w:t>
      </w:r>
      <w:r>
        <w:rPr>
          <w:rFonts w:hint="eastAsia" w:ascii="仿宋_GB2312" w:hAnsi="仿宋_GB2312" w:eastAsia="仿宋_GB2312" w:cs="仿宋_GB2312"/>
          <w:color w:val="auto"/>
          <w:sz w:val="28"/>
          <w:szCs w:val="28"/>
          <w:u w:val="single"/>
          <w:lang w:val="en-US" w:eastAsia="zh-CN"/>
        </w:rPr>
        <w:t xml:space="preserve"> 医保结算清单全流程管理系统 </w:t>
      </w:r>
      <w:r>
        <w:rPr>
          <w:rFonts w:hint="eastAsia" w:ascii="仿宋_GB2312" w:hAnsi="仿宋_GB2312" w:eastAsia="仿宋_GB2312" w:cs="仿宋_GB2312"/>
          <w:color w:val="auto"/>
          <w:sz w:val="28"/>
          <w:szCs w:val="28"/>
          <w:lang w:val="en-US" w:eastAsia="zh-CN"/>
        </w:rPr>
        <w:t>，乙方为成交供应商。根据《中华人民共和国民法典》《中华人民共和国政府采购法》等相关法律规定，甲乙双方在采购项目确定的基础上，就采购</w:t>
      </w:r>
      <w:r>
        <w:rPr>
          <w:rFonts w:hint="eastAsia" w:ascii="仿宋_GB2312" w:hAnsi="仿宋_GB2312" w:eastAsia="仿宋_GB2312" w:cs="仿宋_GB2312"/>
          <w:color w:val="auto"/>
          <w:sz w:val="28"/>
          <w:szCs w:val="28"/>
          <w:u w:val="single"/>
          <w:lang w:val="en-US" w:eastAsia="zh-CN"/>
        </w:rPr>
        <w:t xml:space="preserve"> 医保结算清单全流程管理系统 </w:t>
      </w:r>
      <w:r>
        <w:rPr>
          <w:rFonts w:hint="eastAsia" w:ascii="仿宋_GB2312" w:hAnsi="仿宋_GB2312" w:eastAsia="仿宋_GB2312" w:cs="仿宋_GB2312"/>
          <w:color w:val="auto"/>
          <w:sz w:val="28"/>
          <w:szCs w:val="28"/>
          <w:lang w:val="en-US" w:eastAsia="zh-CN"/>
        </w:rPr>
        <w:t>事宜平等、自愿、公平、诚信协商，达成一致，特订立本合同，以资共同遵守。</w:t>
      </w:r>
    </w:p>
    <w:p>
      <w:pPr>
        <w:keepNext w:val="0"/>
        <w:keepLines w:val="0"/>
        <w:pageBreakBefore w:val="0"/>
        <w:widowControl w:val="0"/>
        <w:kinsoku/>
        <w:wordWrap/>
        <w:overflowPunct/>
        <w:topLinePunct w:val="0"/>
        <w:autoSpaceDE/>
        <w:autoSpaceDN/>
        <w:bidi w:val="0"/>
        <w:spacing w:line="500" w:lineRule="exact"/>
        <w:ind w:firstLine="562" w:firstLineChars="200"/>
        <w:textAlignment w:val="auto"/>
        <w:rPr>
          <w:rFonts w:hint="eastAsia" w:ascii="仿宋_GB2312" w:hAnsi="仿宋_GB2312" w:eastAsia="仿宋_GB2312" w:cs="仿宋_GB2312"/>
          <w:b/>
          <w:color w:val="auto"/>
          <w:sz w:val="28"/>
          <w:szCs w:val="28"/>
          <w:lang w:val="en-US" w:eastAsia="zh-CN"/>
        </w:rPr>
      </w:pPr>
      <w:r>
        <w:rPr>
          <w:rFonts w:hint="eastAsia" w:ascii="仿宋_GB2312" w:hAnsi="仿宋_GB2312" w:eastAsia="仿宋_GB2312" w:cs="仿宋_GB2312"/>
          <w:b/>
          <w:color w:val="auto"/>
          <w:sz w:val="28"/>
          <w:szCs w:val="28"/>
        </w:rPr>
        <w:t xml:space="preserve">第一条 </w:t>
      </w:r>
      <w:r>
        <w:rPr>
          <w:rFonts w:hint="eastAsia" w:ascii="仿宋_GB2312" w:hAnsi="仿宋_GB2312" w:eastAsia="仿宋_GB2312" w:cs="仿宋_GB2312"/>
          <w:b/>
          <w:color w:val="auto"/>
          <w:sz w:val="28"/>
          <w:szCs w:val="28"/>
          <w:lang w:val="en-US" w:eastAsia="zh-CN"/>
        </w:rPr>
        <w:t>采购内容</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1.1 </w:t>
      </w:r>
      <w:r>
        <w:rPr>
          <w:rFonts w:hint="eastAsia" w:ascii="仿宋_GB2312" w:hAnsi="仿宋_GB2312" w:eastAsia="仿宋_GB2312" w:cs="仿宋_GB2312"/>
          <w:color w:val="auto"/>
          <w:sz w:val="28"/>
          <w:szCs w:val="28"/>
          <w:u w:val="none"/>
          <w:lang w:val="en-US" w:eastAsia="zh-CN"/>
        </w:rPr>
        <w:t>甲方向乙方采购的软件</w:t>
      </w:r>
      <w:r>
        <w:rPr>
          <w:rFonts w:hint="eastAsia" w:ascii="仿宋_GB2312" w:hAnsi="仿宋_GB2312" w:eastAsia="仿宋_GB2312" w:cs="仿宋_GB2312"/>
          <w:color w:val="auto"/>
          <w:sz w:val="28"/>
          <w:szCs w:val="28"/>
          <w:lang w:val="en-US" w:eastAsia="zh-CN"/>
        </w:rPr>
        <w:t>名称为</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none"/>
          <w:lang w:val="en-US" w:eastAsia="zh-CN"/>
        </w:rPr>
        <w:t>（</w:t>
      </w:r>
      <w:r>
        <w:rPr>
          <w:rFonts w:hint="eastAsia" w:ascii="仿宋_GB2312" w:hAnsi="仿宋_GB2312" w:eastAsia="仿宋_GB2312" w:cs="仿宋_GB2312"/>
          <w:color w:val="auto"/>
          <w:sz w:val="28"/>
          <w:szCs w:val="28"/>
          <w:lang w:val="en-US" w:eastAsia="zh-CN"/>
        </w:rPr>
        <w:t>版本号：</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none"/>
          <w:lang w:val="en-US" w:eastAsia="zh-CN"/>
        </w:rPr>
        <w:t>），</w:t>
      </w:r>
      <w:r>
        <w:rPr>
          <w:rFonts w:hint="eastAsia" w:ascii="仿宋_GB2312" w:hAnsi="仿宋_GB2312" w:eastAsia="仿宋_GB2312" w:cs="仿宋_GB2312"/>
          <w:color w:val="auto"/>
          <w:sz w:val="28"/>
          <w:szCs w:val="28"/>
          <w:lang w:val="en-US" w:eastAsia="zh-CN"/>
        </w:rPr>
        <w:t>软件功能须</w:t>
      </w:r>
      <w:r>
        <w:rPr>
          <w:rFonts w:hint="eastAsia" w:ascii="仿宋_GB2312" w:hAnsi="仿宋_GB2312" w:eastAsia="仿宋_GB2312" w:cs="仿宋_GB2312"/>
          <w:color w:val="auto"/>
          <w:sz w:val="28"/>
          <w:szCs w:val="28"/>
        </w:rPr>
        <w:t>符合《国家医疗保障按病种分值付费（DIP）技术规范》及《国家医疗保障DIP分组方案》要求</w:t>
      </w:r>
      <w:r>
        <w:rPr>
          <w:rFonts w:hint="eastAsia" w:ascii="仿宋_GB2312" w:hAnsi="仿宋_GB2312" w:eastAsia="仿宋_GB2312" w:cs="仿宋_GB2312"/>
          <w:color w:val="auto"/>
          <w:sz w:val="28"/>
          <w:szCs w:val="28"/>
          <w:lang w:eastAsia="zh-CN"/>
        </w:rPr>
        <w:t>。</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1.2 </w:t>
      </w:r>
      <w:r>
        <w:rPr>
          <w:rFonts w:hint="eastAsia" w:ascii="仿宋_GB2312" w:hAnsi="仿宋_GB2312" w:eastAsia="仿宋_GB2312" w:cs="仿宋_GB2312"/>
          <w:color w:val="auto"/>
          <w:sz w:val="28"/>
          <w:szCs w:val="28"/>
          <w:u w:val="none"/>
          <w:lang w:val="en-US" w:eastAsia="zh-CN"/>
        </w:rPr>
        <w:t>乙方确保拥有软件合法销售权利，交付给甲方的软件来源合法，甲方享有该软件的永久使用权</w:t>
      </w:r>
      <w:r>
        <w:rPr>
          <w:rFonts w:hint="eastAsia" w:ascii="仿宋_GB2312" w:hAnsi="仿宋_GB2312" w:eastAsia="仿宋_GB2312" w:cs="仿宋_GB2312"/>
          <w:color w:val="auto"/>
          <w:sz w:val="28"/>
          <w:szCs w:val="28"/>
          <w:lang w:val="en-US" w:eastAsia="zh-CN"/>
        </w:rPr>
        <w:t>。</w:t>
      </w:r>
    </w:p>
    <w:p>
      <w:pPr>
        <w:pStyle w:val="31"/>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1.3 本合同软件需要与甲方使用的信息系统对接，因对接产生的接口开发等乙方及第三方需要收取的全部费用均由乙方承担。</w:t>
      </w:r>
    </w:p>
    <w:p>
      <w:pPr>
        <w:keepNext w:val="0"/>
        <w:keepLines w:val="0"/>
        <w:pageBreakBefore w:val="0"/>
        <w:widowControl w:val="0"/>
        <w:kinsoku/>
        <w:wordWrap/>
        <w:overflowPunct/>
        <w:topLinePunct w:val="0"/>
        <w:autoSpaceDE/>
        <w:autoSpaceDN/>
        <w:bidi w:val="0"/>
        <w:spacing w:line="500" w:lineRule="exact"/>
        <w:ind w:firstLine="562" w:firstLineChars="200"/>
        <w:textAlignment w:val="auto"/>
        <w:rPr>
          <w:rFonts w:hint="default" w:ascii="仿宋_GB2312" w:hAnsi="仿宋_GB2312" w:eastAsia="仿宋_GB2312" w:cs="仿宋_GB2312"/>
          <w:b/>
          <w:color w:val="auto"/>
          <w:sz w:val="28"/>
          <w:szCs w:val="28"/>
          <w:lang w:val="en-US" w:eastAsia="zh-CN"/>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二</w:t>
      </w:r>
      <w:r>
        <w:rPr>
          <w:rFonts w:hint="eastAsia" w:ascii="仿宋_GB2312" w:hAnsi="仿宋_GB2312" w:eastAsia="仿宋_GB2312" w:cs="仿宋_GB2312"/>
          <w:b/>
          <w:bCs/>
          <w:color w:val="auto"/>
          <w:sz w:val="28"/>
          <w:szCs w:val="28"/>
        </w:rPr>
        <w:t xml:space="preserve">条 </w:t>
      </w:r>
      <w:r>
        <w:rPr>
          <w:rFonts w:hint="eastAsia" w:ascii="仿宋_GB2312" w:hAnsi="仿宋_GB2312" w:eastAsia="仿宋_GB2312" w:cs="仿宋_GB2312"/>
          <w:b/>
          <w:bCs/>
          <w:color w:val="auto"/>
          <w:sz w:val="28"/>
          <w:szCs w:val="28"/>
          <w:lang w:val="en-US" w:eastAsia="zh-CN"/>
        </w:rPr>
        <w:t>交付地点、时间</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default"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2.1 交付地点：娄底市中心医院</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2.2 交付时间：</w:t>
      </w:r>
      <w:r>
        <w:rPr>
          <w:rFonts w:hint="eastAsia" w:ascii="仿宋_GB2312" w:hAnsi="仿宋_GB2312" w:eastAsia="仿宋_GB2312" w:cs="仿宋_GB2312"/>
          <w:bCs/>
          <w:color w:val="auto"/>
          <w:sz w:val="28"/>
          <w:szCs w:val="28"/>
        </w:rPr>
        <w:t>乙方</w:t>
      </w:r>
      <w:r>
        <w:rPr>
          <w:rFonts w:hint="eastAsia" w:ascii="仿宋_GB2312" w:hAnsi="仿宋_GB2312" w:eastAsia="仿宋_GB2312" w:cs="仿宋_GB2312"/>
          <w:bCs/>
          <w:color w:val="auto"/>
          <w:sz w:val="28"/>
          <w:szCs w:val="28"/>
          <w:lang w:val="en-US" w:eastAsia="zh-CN"/>
        </w:rPr>
        <w:t>应自</w:t>
      </w:r>
      <w:r>
        <w:rPr>
          <w:rFonts w:hint="eastAsia" w:ascii="仿宋_GB2312" w:hAnsi="仿宋_GB2312" w:eastAsia="仿宋_GB2312" w:cs="仿宋_GB2312"/>
          <w:bCs/>
          <w:color w:val="auto"/>
          <w:sz w:val="28"/>
          <w:szCs w:val="28"/>
        </w:rPr>
        <w:t>本合同</w:t>
      </w:r>
      <w:r>
        <w:rPr>
          <w:rFonts w:hint="eastAsia" w:ascii="仿宋_GB2312" w:hAnsi="仿宋_GB2312" w:eastAsia="仿宋_GB2312" w:cs="仿宋_GB2312"/>
          <w:bCs/>
          <w:color w:val="auto"/>
          <w:sz w:val="28"/>
          <w:szCs w:val="28"/>
          <w:lang w:val="en-US" w:eastAsia="zh-CN"/>
        </w:rPr>
        <w:t>生效之</w:t>
      </w:r>
      <w:r>
        <w:rPr>
          <w:rFonts w:hint="eastAsia" w:ascii="仿宋_GB2312" w:hAnsi="仿宋_GB2312" w:eastAsia="仿宋_GB2312" w:cs="仿宋_GB2312"/>
          <w:bCs/>
          <w:color w:val="auto"/>
          <w:sz w:val="28"/>
          <w:szCs w:val="28"/>
        </w:rPr>
        <w:t>日起</w:t>
      </w:r>
      <w:r>
        <w:rPr>
          <w:rFonts w:hint="eastAsia" w:ascii="仿宋_GB2312" w:hAnsi="仿宋_GB2312" w:eastAsia="仿宋_GB2312" w:cs="仿宋_GB2312"/>
          <w:bCs/>
          <w:color w:val="auto"/>
          <w:sz w:val="28"/>
          <w:szCs w:val="28"/>
          <w:u w:val="single"/>
        </w:rPr>
        <w:t xml:space="preserve"> 30 </w:t>
      </w:r>
      <w:r>
        <w:rPr>
          <w:rFonts w:hint="eastAsia" w:ascii="仿宋_GB2312" w:hAnsi="仿宋_GB2312" w:eastAsia="仿宋_GB2312" w:cs="仿宋_GB2312"/>
          <w:bCs/>
          <w:color w:val="auto"/>
          <w:sz w:val="28"/>
          <w:szCs w:val="28"/>
        </w:rPr>
        <w:t>日内完成</w:t>
      </w:r>
      <w:r>
        <w:rPr>
          <w:rFonts w:hint="eastAsia" w:ascii="仿宋_GB2312" w:hAnsi="仿宋_GB2312" w:eastAsia="仿宋_GB2312" w:cs="仿宋_GB2312"/>
          <w:color w:val="auto"/>
          <w:sz w:val="28"/>
          <w:szCs w:val="28"/>
          <w:lang w:val="en-US" w:eastAsia="zh-CN"/>
        </w:rPr>
        <w:t>本合同软件的</w:t>
      </w:r>
      <w:r>
        <w:rPr>
          <w:rFonts w:hint="eastAsia" w:ascii="仿宋_GB2312" w:hAnsi="仿宋_GB2312" w:eastAsia="仿宋_GB2312" w:cs="仿宋_GB2312"/>
          <w:bCs/>
          <w:color w:val="auto"/>
          <w:sz w:val="28"/>
          <w:szCs w:val="28"/>
        </w:rPr>
        <w:t>安装、实施、调试</w:t>
      </w:r>
      <w:r>
        <w:rPr>
          <w:rFonts w:hint="eastAsia" w:ascii="仿宋_GB2312" w:hAnsi="仿宋_GB2312" w:eastAsia="仿宋_GB2312" w:cs="仿宋_GB2312"/>
          <w:bCs/>
          <w:color w:val="auto"/>
          <w:sz w:val="28"/>
          <w:szCs w:val="28"/>
          <w:lang w:val="en-US" w:eastAsia="zh-CN"/>
        </w:rPr>
        <w:t>并经甲方验收合格，交付给甲方使用</w:t>
      </w:r>
      <w:r>
        <w:rPr>
          <w:rFonts w:hint="eastAsia" w:ascii="仿宋_GB2312" w:hAnsi="仿宋_GB2312" w:eastAsia="仿宋_GB2312" w:cs="仿宋_GB2312"/>
          <w:bCs/>
          <w:color w:val="auto"/>
          <w:sz w:val="28"/>
          <w:szCs w:val="28"/>
        </w:rPr>
        <w:t>。</w:t>
      </w:r>
    </w:p>
    <w:p>
      <w:pPr>
        <w:keepNext w:val="0"/>
        <w:keepLines w:val="0"/>
        <w:pageBreakBefore w:val="0"/>
        <w:widowControl w:val="0"/>
        <w:kinsoku/>
        <w:wordWrap/>
        <w:overflowPunct/>
        <w:topLinePunct w:val="0"/>
        <w:autoSpaceDE/>
        <w:autoSpaceDN/>
        <w:bidi w:val="0"/>
        <w:spacing w:line="500" w:lineRule="exact"/>
        <w:ind w:firstLine="562" w:firstLineChars="200"/>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三</w:t>
      </w:r>
      <w:r>
        <w:rPr>
          <w:rFonts w:hint="eastAsia" w:ascii="仿宋_GB2312" w:hAnsi="仿宋_GB2312" w:eastAsia="仿宋_GB2312" w:cs="仿宋_GB2312"/>
          <w:b/>
          <w:color w:val="auto"/>
          <w:sz w:val="28"/>
          <w:szCs w:val="28"/>
        </w:rPr>
        <w:t>条 验收</w:t>
      </w:r>
    </w:p>
    <w:p>
      <w:pPr>
        <w:pStyle w:val="16"/>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 xml:space="preserve">3.1 </w:t>
      </w:r>
      <w:r>
        <w:rPr>
          <w:rFonts w:hint="eastAsia" w:ascii="仿宋_GB2312" w:hAnsi="仿宋_GB2312" w:eastAsia="仿宋_GB2312" w:cs="仿宋_GB2312"/>
          <w:color w:val="auto"/>
          <w:sz w:val="28"/>
          <w:szCs w:val="28"/>
        </w:rPr>
        <w:t>乙方完成</w:t>
      </w:r>
      <w:r>
        <w:rPr>
          <w:rFonts w:hint="eastAsia" w:ascii="仿宋_GB2312" w:hAnsi="仿宋_GB2312" w:eastAsia="仿宋_GB2312" w:cs="仿宋_GB2312"/>
          <w:color w:val="auto"/>
          <w:sz w:val="28"/>
          <w:szCs w:val="28"/>
          <w:lang w:val="en-US" w:eastAsia="zh-CN"/>
        </w:rPr>
        <w:t>软件</w:t>
      </w:r>
      <w:r>
        <w:rPr>
          <w:rFonts w:hint="eastAsia" w:ascii="仿宋_GB2312" w:hAnsi="仿宋_GB2312" w:eastAsia="仿宋_GB2312" w:cs="仿宋_GB2312"/>
          <w:bCs/>
          <w:color w:val="auto"/>
          <w:sz w:val="28"/>
          <w:szCs w:val="28"/>
        </w:rPr>
        <w:t>安装、实施、调试后</w:t>
      </w:r>
      <w:r>
        <w:rPr>
          <w:rFonts w:hint="eastAsia" w:ascii="仿宋_GB2312" w:hAnsi="仿宋_GB2312" w:eastAsia="仿宋_GB2312" w:cs="仿宋_GB2312"/>
          <w:color w:val="auto"/>
          <w:sz w:val="28"/>
          <w:szCs w:val="28"/>
        </w:rPr>
        <w:t>，书面通知甲方有关部门共同对合同项目进行验收</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甲方</w:t>
      </w:r>
      <w:r>
        <w:rPr>
          <w:rFonts w:hint="eastAsia" w:ascii="仿宋_GB2312" w:hAnsi="仿宋_GB2312" w:eastAsia="仿宋_GB2312" w:cs="仿宋_GB2312"/>
          <w:color w:val="auto"/>
          <w:sz w:val="28"/>
          <w:szCs w:val="28"/>
          <w:lang w:val="en-US" w:eastAsia="zh-CN"/>
        </w:rPr>
        <w:t>自</w:t>
      </w:r>
      <w:r>
        <w:rPr>
          <w:rFonts w:hint="eastAsia" w:ascii="仿宋_GB2312" w:hAnsi="仿宋_GB2312" w:eastAsia="仿宋_GB2312" w:cs="仿宋_GB2312"/>
          <w:color w:val="auto"/>
          <w:sz w:val="28"/>
          <w:szCs w:val="28"/>
        </w:rPr>
        <w:t>收到乙方书面验收通知之日起7个工作日内组织验收</w:t>
      </w:r>
      <w:r>
        <w:rPr>
          <w:rFonts w:hint="eastAsia" w:ascii="仿宋_GB2312" w:hAnsi="仿宋_GB2312" w:eastAsia="仿宋_GB2312" w:cs="仿宋_GB2312"/>
          <w:color w:val="auto"/>
          <w:sz w:val="28"/>
          <w:szCs w:val="28"/>
          <w:lang w:eastAsia="zh-CN"/>
        </w:rPr>
        <w:t>。</w:t>
      </w:r>
    </w:p>
    <w:p>
      <w:pPr>
        <w:pStyle w:val="16"/>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3.2 </w:t>
      </w:r>
      <w:r>
        <w:rPr>
          <w:rFonts w:hint="eastAsia" w:ascii="仿宋_GB2312" w:hAnsi="仿宋_GB2312" w:eastAsia="仿宋_GB2312" w:cs="仿宋_GB2312"/>
          <w:color w:val="auto"/>
          <w:sz w:val="28"/>
          <w:szCs w:val="28"/>
          <w:highlight w:val="none"/>
        </w:rPr>
        <w:t>甲方</w:t>
      </w:r>
      <w:r>
        <w:rPr>
          <w:rFonts w:hint="eastAsia" w:ascii="仿宋_GB2312" w:hAnsi="仿宋_GB2312" w:eastAsia="仿宋_GB2312" w:cs="仿宋_GB2312"/>
          <w:color w:val="auto"/>
          <w:sz w:val="28"/>
          <w:szCs w:val="28"/>
          <w:highlight w:val="none"/>
          <w:lang w:val="en-US" w:eastAsia="zh-CN"/>
        </w:rPr>
        <w:t>自行验收或邀请具备</w:t>
      </w:r>
      <w:r>
        <w:rPr>
          <w:rFonts w:hint="eastAsia" w:ascii="仿宋_GB2312" w:hAnsi="仿宋_GB2312" w:eastAsia="仿宋_GB2312" w:cs="仿宋_GB2312"/>
          <w:color w:val="auto"/>
          <w:sz w:val="28"/>
          <w:szCs w:val="28"/>
          <w:highlight w:val="none"/>
        </w:rPr>
        <w:t>国家</w:t>
      </w:r>
      <w:r>
        <w:rPr>
          <w:rFonts w:hint="eastAsia" w:ascii="仿宋_GB2312" w:hAnsi="仿宋_GB2312" w:eastAsia="仿宋_GB2312" w:cs="仿宋_GB2312"/>
          <w:color w:val="auto"/>
          <w:sz w:val="28"/>
          <w:szCs w:val="28"/>
          <w:highlight w:val="none"/>
          <w:lang w:val="en-US" w:eastAsia="zh-CN"/>
        </w:rPr>
        <w:t>资质</w:t>
      </w:r>
      <w:r>
        <w:rPr>
          <w:rFonts w:hint="eastAsia" w:ascii="仿宋_GB2312" w:hAnsi="仿宋_GB2312" w:eastAsia="仿宋_GB2312" w:cs="仿宋_GB2312"/>
          <w:color w:val="auto"/>
          <w:sz w:val="28"/>
          <w:szCs w:val="28"/>
          <w:highlight w:val="none"/>
        </w:rPr>
        <w:t>的</w:t>
      </w:r>
      <w:r>
        <w:rPr>
          <w:rFonts w:hint="eastAsia" w:ascii="仿宋_GB2312" w:hAnsi="仿宋_GB2312" w:eastAsia="仿宋_GB2312" w:cs="仿宋_GB2312"/>
          <w:color w:val="auto"/>
          <w:sz w:val="28"/>
          <w:szCs w:val="28"/>
          <w:highlight w:val="none"/>
          <w:lang w:val="en-US" w:eastAsia="zh-CN"/>
        </w:rPr>
        <w:t>第三方</w:t>
      </w:r>
      <w:r>
        <w:rPr>
          <w:rFonts w:hint="eastAsia" w:ascii="仿宋_GB2312" w:hAnsi="仿宋_GB2312" w:eastAsia="仿宋_GB2312" w:cs="仿宋_GB2312"/>
          <w:color w:val="auto"/>
          <w:sz w:val="28"/>
          <w:szCs w:val="28"/>
          <w:highlight w:val="none"/>
        </w:rPr>
        <w:t>专业检测机构</w:t>
      </w:r>
      <w:r>
        <w:rPr>
          <w:rFonts w:hint="eastAsia" w:ascii="仿宋_GB2312" w:hAnsi="仿宋_GB2312" w:eastAsia="仿宋_GB2312" w:cs="仿宋_GB2312"/>
          <w:color w:val="auto"/>
          <w:sz w:val="28"/>
          <w:szCs w:val="28"/>
          <w:highlight w:val="none"/>
          <w:lang w:val="en-US" w:eastAsia="zh-CN"/>
        </w:rPr>
        <w:t>进行</w:t>
      </w:r>
      <w:r>
        <w:rPr>
          <w:rFonts w:hint="eastAsia" w:ascii="仿宋_GB2312" w:hAnsi="仿宋_GB2312" w:eastAsia="仿宋_GB2312" w:cs="仿宋_GB2312"/>
          <w:color w:val="auto"/>
          <w:sz w:val="28"/>
          <w:szCs w:val="28"/>
          <w:highlight w:val="none"/>
        </w:rPr>
        <w:t>验收</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如</w:t>
      </w:r>
      <w:r>
        <w:rPr>
          <w:rFonts w:hint="eastAsia" w:ascii="仿宋_GB2312" w:hAnsi="仿宋_GB2312" w:eastAsia="仿宋_GB2312" w:cs="仿宋_GB2312"/>
          <w:color w:val="auto"/>
          <w:sz w:val="28"/>
          <w:szCs w:val="28"/>
          <w:highlight w:val="none"/>
        </w:rPr>
        <w:t>专业检测机构</w:t>
      </w:r>
      <w:r>
        <w:rPr>
          <w:rFonts w:hint="eastAsia" w:ascii="仿宋_GB2312" w:hAnsi="仿宋_GB2312" w:eastAsia="仿宋_GB2312" w:cs="仿宋_GB2312"/>
          <w:color w:val="auto"/>
          <w:sz w:val="28"/>
          <w:szCs w:val="28"/>
          <w:highlight w:val="none"/>
          <w:lang w:val="en-US" w:eastAsia="zh-CN"/>
        </w:rPr>
        <w:t>进行验收，</w:t>
      </w:r>
      <w:r>
        <w:rPr>
          <w:rFonts w:hint="eastAsia" w:ascii="仿宋_GB2312" w:hAnsi="仿宋_GB2312" w:eastAsia="仿宋_GB2312" w:cs="仿宋_GB2312"/>
          <w:color w:val="auto"/>
          <w:sz w:val="28"/>
          <w:szCs w:val="28"/>
          <w:lang w:val="en-US" w:eastAsia="zh-CN"/>
        </w:rPr>
        <w:t>应</w:t>
      </w:r>
      <w:r>
        <w:rPr>
          <w:rFonts w:hint="eastAsia" w:ascii="仿宋_GB2312" w:hAnsi="仿宋_GB2312" w:eastAsia="仿宋_GB2312" w:cs="仿宋_GB2312"/>
          <w:color w:val="auto"/>
          <w:sz w:val="28"/>
          <w:szCs w:val="28"/>
        </w:rPr>
        <w:t>出具质量检测报告，</w:t>
      </w:r>
      <w:r>
        <w:rPr>
          <w:rFonts w:hint="eastAsia" w:ascii="仿宋_GB2312" w:hAnsi="仿宋_GB2312" w:eastAsia="仿宋_GB2312" w:cs="仿宋_GB2312"/>
          <w:color w:val="auto"/>
          <w:sz w:val="28"/>
          <w:szCs w:val="28"/>
          <w:lang w:val="en-US" w:eastAsia="zh-CN"/>
        </w:rPr>
        <w:t>由此产生的检测、测评费全部由乙方承担</w:t>
      </w:r>
      <w:r>
        <w:rPr>
          <w:rFonts w:hint="eastAsia" w:ascii="仿宋_GB2312" w:hAnsi="仿宋_GB2312" w:eastAsia="仿宋_GB2312" w:cs="仿宋_GB2312"/>
          <w:color w:val="auto"/>
          <w:sz w:val="28"/>
          <w:szCs w:val="28"/>
        </w:rPr>
        <w:t>。</w:t>
      </w:r>
    </w:p>
    <w:p>
      <w:pPr>
        <w:pStyle w:val="16"/>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3.3 如</w:t>
      </w:r>
      <w:r>
        <w:rPr>
          <w:rFonts w:hint="eastAsia" w:ascii="仿宋_GB2312" w:hAnsi="仿宋_GB2312" w:eastAsia="仿宋_GB2312" w:cs="仿宋_GB2312"/>
          <w:color w:val="auto"/>
          <w:sz w:val="28"/>
          <w:szCs w:val="28"/>
        </w:rPr>
        <w:t>经甲方</w:t>
      </w:r>
      <w:r>
        <w:rPr>
          <w:rFonts w:hint="eastAsia" w:ascii="仿宋_GB2312" w:hAnsi="仿宋_GB2312" w:eastAsia="仿宋_GB2312" w:cs="仿宋_GB2312"/>
          <w:color w:val="auto"/>
          <w:sz w:val="28"/>
          <w:szCs w:val="28"/>
          <w:lang w:val="en-US" w:eastAsia="zh-CN"/>
        </w:rPr>
        <w:t>自行</w:t>
      </w:r>
      <w:r>
        <w:rPr>
          <w:rFonts w:hint="eastAsia" w:ascii="仿宋_GB2312" w:hAnsi="仿宋_GB2312" w:eastAsia="仿宋_GB2312" w:cs="仿宋_GB2312"/>
          <w:color w:val="auto"/>
          <w:sz w:val="28"/>
          <w:szCs w:val="28"/>
        </w:rPr>
        <w:t>验收合格</w:t>
      </w:r>
      <w:r>
        <w:rPr>
          <w:rFonts w:hint="eastAsia" w:ascii="仿宋_GB2312" w:hAnsi="仿宋_GB2312" w:eastAsia="仿宋_GB2312" w:cs="仿宋_GB2312"/>
          <w:color w:val="auto"/>
          <w:sz w:val="28"/>
          <w:szCs w:val="28"/>
          <w:lang w:val="en-US" w:eastAsia="zh-CN"/>
        </w:rPr>
        <w:t>或第三方专业检测机构检测合格</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甲方</w:t>
      </w:r>
      <w:r>
        <w:rPr>
          <w:rFonts w:hint="eastAsia" w:ascii="仿宋_GB2312" w:hAnsi="仿宋_GB2312" w:eastAsia="仿宋_GB2312" w:cs="仿宋_GB2312"/>
          <w:color w:val="auto"/>
          <w:sz w:val="28"/>
          <w:szCs w:val="28"/>
        </w:rPr>
        <w:t>向乙方出具验收合格凭证。如经验收不合格，乙方应无条件返工并在10日内调整到位，确保验收合格，由此产生的费用全部由乙方承担。</w:t>
      </w:r>
    </w:p>
    <w:p>
      <w:pPr>
        <w:keepNext w:val="0"/>
        <w:keepLines w:val="0"/>
        <w:pageBreakBefore w:val="0"/>
        <w:widowControl w:val="0"/>
        <w:kinsoku/>
        <w:wordWrap/>
        <w:overflowPunct/>
        <w:topLinePunct w:val="0"/>
        <w:autoSpaceDE/>
        <w:autoSpaceDN/>
        <w:bidi w:val="0"/>
        <w:spacing w:line="500" w:lineRule="exact"/>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四</w:t>
      </w:r>
      <w:r>
        <w:rPr>
          <w:rFonts w:hint="eastAsia" w:ascii="仿宋_GB2312" w:hAnsi="仿宋_GB2312" w:eastAsia="仿宋_GB2312" w:cs="仿宋_GB2312"/>
          <w:b/>
          <w:bCs/>
          <w:color w:val="auto"/>
          <w:sz w:val="28"/>
          <w:szCs w:val="28"/>
        </w:rPr>
        <w:t xml:space="preserve">条 </w:t>
      </w:r>
      <w:r>
        <w:rPr>
          <w:rFonts w:hint="eastAsia" w:ascii="仿宋_GB2312" w:hAnsi="仿宋_GB2312" w:eastAsia="仿宋_GB2312" w:cs="仿宋_GB2312"/>
          <w:b/>
          <w:bCs/>
          <w:color w:val="auto"/>
          <w:sz w:val="28"/>
          <w:szCs w:val="28"/>
          <w:lang w:val="en-US" w:eastAsia="zh-CN"/>
        </w:rPr>
        <w:t>售后</w:t>
      </w:r>
      <w:r>
        <w:rPr>
          <w:rFonts w:hint="eastAsia" w:ascii="仿宋_GB2312" w:hAnsi="仿宋_GB2312" w:eastAsia="仿宋_GB2312" w:cs="仿宋_GB2312"/>
          <w:b/>
          <w:bCs/>
          <w:color w:val="auto"/>
          <w:sz w:val="28"/>
          <w:szCs w:val="28"/>
        </w:rPr>
        <w:t>服务</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 xml:space="preserve"> 本合同软件免费</w:t>
      </w:r>
      <w:r>
        <w:rPr>
          <w:rFonts w:hint="eastAsia" w:ascii="仿宋_GB2312" w:hAnsi="仿宋_GB2312" w:eastAsia="仿宋_GB2312" w:cs="仿宋_GB2312"/>
          <w:color w:val="auto"/>
          <w:sz w:val="28"/>
          <w:szCs w:val="28"/>
        </w:rPr>
        <w:t>维保服务期限为</w:t>
      </w:r>
      <w:r>
        <w:rPr>
          <w:rFonts w:hint="eastAsia" w:ascii="仿宋_GB2312" w:hAnsi="仿宋_GB2312" w:eastAsia="仿宋_GB2312" w:cs="仿宋_GB2312"/>
          <w:color w:val="auto"/>
          <w:sz w:val="28"/>
          <w:szCs w:val="28"/>
          <w:lang w:val="en-US" w:eastAsia="zh-CN"/>
        </w:rPr>
        <w:t>壹</w:t>
      </w:r>
      <w:r>
        <w:rPr>
          <w:rFonts w:hint="eastAsia" w:ascii="仿宋_GB2312" w:hAnsi="仿宋_GB2312" w:eastAsia="仿宋_GB2312" w:cs="仿宋_GB2312"/>
          <w:color w:val="auto"/>
          <w:sz w:val="28"/>
          <w:szCs w:val="28"/>
        </w:rPr>
        <w:t>年，自甲方出具验收合格凭证之日起开始计算。</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4.2 免费</w:t>
      </w:r>
      <w:r>
        <w:rPr>
          <w:rFonts w:hint="eastAsia" w:ascii="仿宋_GB2312" w:hAnsi="仿宋_GB2312" w:eastAsia="仿宋_GB2312" w:cs="仿宋_GB2312"/>
          <w:color w:val="auto"/>
          <w:sz w:val="28"/>
          <w:szCs w:val="28"/>
        </w:rPr>
        <w:t>维保服务期限</w:t>
      </w:r>
      <w:r>
        <w:rPr>
          <w:rFonts w:hint="eastAsia" w:ascii="仿宋_GB2312" w:hAnsi="仿宋_GB2312" w:eastAsia="仿宋_GB2312" w:cs="仿宋_GB2312"/>
          <w:color w:val="auto"/>
          <w:sz w:val="28"/>
          <w:szCs w:val="28"/>
          <w:lang w:val="en-US" w:eastAsia="zh-CN"/>
        </w:rPr>
        <w:t>内，乙方提供如下服务：</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4.2.1 指派工作人员在免费</w:t>
      </w:r>
      <w:r>
        <w:rPr>
          <w:rFonts w:hint="eastAsia" w:ascii="仿宋_GB2312" w:hAnsi="仿宋_GB2312" w:eastAsia="仿宋_GB2312" w:cs="仿宋_GB2312"/>
          <w:color w:val="auto"/>
          <w:sz w:val="28"/>
          <w:szCs w:val="28"/>
        </w:rPr>
        <w:t>维保服务期</w:t>
      </w:r>
      <w:r>
        <w:rPr>
          <w:rFonts w:hint="eastAsia" w:ascii="仿宋_GB2312" w:hAnsi="仿宋_GB2312" w:eastAsia="仿宋_GB2312" w:cs="仿宋_GB2312"/>
          <w:color w:val="auto"/>
          <w:sz w:val="28"/>
          <w:szCs w:val="28"/>
          <w:lang w:val="en-US" w:eastAsia="zh-CN"/>
        </w:rPr>
        <w:t>的前3个月期间驻甲方现场工作，由此产生的人工费、食宿费、交通费等所有费用均由乙方承担。</w:t>
      </w:r>
    </w:p>
    <w:p>
      <w:pPr>
        <w:pStyle w:val="31"/>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highlight w:val="yellow"/>
        </w:rPr>
      </w:pPr>
      <w:r>
        <w:rPr>
          <w:rFonts w:hint="eastAsia" w:ascii="仿宋_GB2312" w:hAnsi="仿宋_GB2312" w:eastAsia="仿宋_GB2312" w:cs="仿宋_GB2312"/>
          <w:color w:val="auto"/>
          <w:sz w:val="28"/>
          <w:szCs w:val="28"/>
          <w:lang w:val="en-US" w:eastAsia="zh-CN"/>
        </w:rPr>
        <w:t xml:space="preserve">4.2.2 </w:t>
      </w:r>
      <w:r>
        <w:rPr>
          <w:rFonts w:hint="eastAsia" w:ascii="仿宋_GB2312" w:hAnsi="仿宋_GB2312" w:eastAsia="仿宋_GB2312" w:cs="仿宋_GB2312"/>
          <w:color w:val="auto"/>
          <w:sz w:val="28"/>
          <w:szCs w:val="28"/>
        </w:rPr>
        <w:t>为甲方</w:t>
      </w:r>
      <w:r>
        <w:rPr>
          <w:rFonts w:hint="eastAsia" w:ascii="仿宋_GB2312" w:hAnsi="仿宋_GB2312" w:eastAsia="仿宋_GB2312" w:cs="仿宋_GB2312"/>
          <w:color w:val="auto"/>
          <w:sz w:val="28"/>
          <w:szCs w:val="28"/>
          <w:lang w:val="en-US" w:eastAsia="zh-CN"/>
        </w:rPr>
        <w:t>提供</w:t>
      </w:r>
      <w:r>
        <w:rPr>
          <w:rFonts w:hint="eastAsia" w:ascii="仿宋_GB2312" w:hAnsi="仿宋_GB2312" w:eastAsia="仿宋_GB2312" w:cs="仿宋_GB2312"/>
          <w:color w:val="auto"/>
          <w:sz w:val="28"/>
          <w:szCs w:val="28"/>
        </w:rPr>
        <w:t>每</w:t>
      </w:r>
      <w:r>
        <w:rPr>
          <w:rFonts w:hint="eastAsia" w:ascii="仿宋_GB2312" w:hAnsi="仿宋_GB2312" w:eastAsia="仿宋_GB2312" w:cs="仿宋_GB2312"/>
          <w:color w:val="auto"/>
          <w:sz w:val="28"/>
          <w:szCs w:val="28"/>
          <w:u w:val="single"/>
        </w:rPr>
        <w:t xml:space="preserve"> 3 </w:t>
      </w:r>
      <w:r>
        <w:rPr>
          <w:rFonts w:hint="eastAsia" w:ascii="仿宋_GB2312" w:hAnsi="仿宋_GB2312" w:eastAsia="仿宋_GB2312" w:cs="仿宋_GB2312"/>
          <w:color w:val="auto"/>
          <w:sz w:val="28"/>
          <w:szCs w:val="28"/>
        </w:rPr>
        <w:t>个月一次</w:t>
      </w:r>
      <w:r>
        <w:rPr>
          <w:rFonts w:hint="eastAsia" w:ascii="仿宋_GB2312" w:hAnsi="仿宋_GB2312" w:eastAsia="仿宋_GB2312" w:cs="仿宋_GB2312"/>
          <w:color w:val="auto"/>
          <w:sz w:val="28"/>
          <w:szCs w:val="28"/>
          <w:lang w:val="en-US" w:eastAsia="zh-CN"/>
        </w:rPr>
        <w:t>的</w:t>
      </w:r>
      <w:r>
        <w:rPr>
          <w:rFonts w:hint="eastAsia" w:ascii="仿宋_GB2312" w:hAnsi="仿宋_GB2312" w:eastAsia="仿宋_GB2312" w:cs="仿宋_GB2312"/>
          <w:color w:val="auto"/>
          <w:sz w:val="28"/>
          <w:szCs w:val="28"/>
        </w:rPr>
        <w:t>定期</w:t>
      </w:r>
      <w:r>
        <w:rPr>
          <w:rFonts w:hint="eastAsia" w:ascii="仿宋_GB2312" w:hAnsi="仿宋_GB2312" w:eastAsia="仿宋_GB2312" w:cs="仿宋_GB2312"/>
          <w:color w:val="auto"/>
          <w:sz w:val="28"/>
          <w:szCs w:val="28"/>
          <w:lang w:val="en-US" w:eastAsia="zh-CN"/>
        </w:rPr>
        <w:t>技术</w:t>
      </w:r>
      <w:r>
        <w:rPr>
          <w:rFonts w:hint="eastAsia" w:ascii="仿宋_GB2312" w:hAnsi="仿宋_GB2312" w:eastAsia="仿宋_GB2312" w:cs="仿宋_GB2312"/>
          <w:color w:val="auto"/>
          <w:sz w:val="28"/>
          <w:szCs w:val="28"/>
        </w:rPr>
        <w:t>巡检</w:t>
      </w:r>
      <w:r>
        <w:rPr>
          <w:rFonts w:hint="eastAsia" w:ascii="仿宋_GB2312" w:hAnsi="仿宋_GB2312" w:eastAsia="仿宋_GB2312" w:cs="仿宋_GB2312"/>
          <w:color w:val="auto"/>
          <w:sz w:val="28"/>
          <w:szCs w:val="28"/>
          <w:lang w:val="en-US" w:eastAsia="zh-CN"/>
        </w:rPr>
        <w:t>及</w:t>
      </w:r>
      <w:r>
        <w:rPr>
          <w:rFonts w:hint="eastAsia" w:ascii="仿宋_GB2312" w:hAnsi="仿宋_GB2312" w:eastAsia="仿宋_GB2312" w:cs="仿宋_GB2312"/>
          <w:color w:val="auto"/>
          <w:sz w:val="28"/>
          <w:szCs w:val="28"/>
        </w:rPr>
        <w:t>系统调优，内容包括需求收集</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系统运行检查</w:t>
      </w:r>
      <w:r>
        <w:rPr>
          <w:rFonts w:hint="eastAsia" w:ascii="仿宋_GB2312" w:hAnsi="仿宋_GB2312" w:eastAsia="仿宋_GB2312" w:cs="仿宋_GB2312"/>
          <w:color w:val="auto"/>
          <w:sz w:val="28"/>
          <w:szCs w:val="28"/>
          <w:lang w:val="en-US" w:eastAsia="zh-CN"/>
        </w:rPr>
        <w:t>以及发现、</w:t>
      </w:r>
      <w:r>
        <w:rPr>
          <w:rFonts w:hint="eastAsia" w:ascii="仿宋_GB2312" w:hAnsi="仿宋_GB2312" w:eastAsia="仿宋_GB2312" w:cs="仿宋_GB2312"/>
          <w:color w:val="auto"/>
          <w:sz w:val="28"/>
          <w:szCs w:val="28"/>
        </w:rPr>
        <w:t>排除故障隐患</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并在每次完成巡检之日起</w:t>
      </w:r>
      <w:r>
        <w:rPr>
          <w:rFonts w:hint="eastAsia" w:ascii="仿宋_GB2312" w:hAnsi="仿宋_GB2312" w:eastAsia="仿宋_GB2312" w:cs="仿宋_GB2312"/>
          <w:color w:val="auto"/>
          <w:sz w:val="28"/>
          <w:szCs w:val="28"/>
          <w:highlight w:val="none"/>
          <w:u w:val="single"/>
          <w:lang w:val="en-US" w:eastAsia="zh-CN"/>
        </w:rPr>
        <w:t xml:space="preserve"> 5 </w:t>
      </w:r>
      <w:r>
        <w:rPr>
          <w:rFonts w:hint="eastAsia" w:ascii="仿宋_GB2312" w:hAnsi="仿宋_GB2312" w:eastAsia="仿宋_GB2312" w:cs="仿宋_GB2312"/>
          <w:color w:val="auto"/>
          <w:sz w:val="28"/>
          <w:szCs w:val="28"/>
          <w:highlight w:val="none"/>
          <w:lang w:val="en-US" w:eastAsia="zh-CN"/>
        </w:rPr>
        <w:t>日内将巡检、需求情况书面告知甲方</w:t>
      </w:r>
      <w:r>
        <w:rPr>
          <w:rFonts w:hint="eastAsia" w:ascii="仿宋_GB2312" w:hAnsi="仿宋_GB2312" w:eastAsia="仿宋_GB2312" w:cs="仿宋_GB2312"/>
          <w:color w:val="auto"/>
          <w:sz w:val="28"/>
          <w:szCs w:val="28"/>
          <w:highlight w:val="none"/>
        </w:rPr>
        <w:t>。</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 xml:space="preserve">2.3 </w:t>
      </w:r>
      <w:r>
        <w:rPr>
          <w:rFonts w:hint="eastAsia" w:ascii="仿宋_GB2312" w:hAnsi="仿宋_GB2312" w:eastAsia="仿宋_GB2312" w:cs="仿宋_GB2312"/>
          <w:color w:val="auto"/>
          <w:sz w:val="28"/>
          <w:szCs w:val="28"/>
        </w:rPr>
        <w:t>提供每日24小时电话咨询、故障诊断、故障排除等技术支持服务</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并对投诉做出相应处理</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指定</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none"/>
          <w:lang w:eastAsia="zh-CN"/>
        </w:rPr>
        <w:t>（</w:t>
      </w:r>
      <w:r>
        <w:rPr>
          <w:rFonts w:hint="eastAsia" w:ascii="仿宋_GB2312" w:hAnsi="仿宋_GB2312" w:eastAsia="仿宋_GB2312" w:cs="仿宋_GB2312"/>
          <w:color w:val="auto"/>
          <w:sz w:val="28"/>
          <w:szCs w:val="28"/>
        </w:rPr>
        <w:t>联系电话</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none"/>
          <w:lang w:val="en-US" w:eastAsia="zh-CN"/>
        </w:rPr>
        <w:t>）</w:t>
      </w:r>
      <w:r>
        <w:rPr>
          <w:rFonts w:hint="eastAsia" w:ascii="仿宋_GB2312" w:hAnsi="仿宋_GB2312" w:eastAsia="仿宋_GB2312" w:cs="仿宋_GB2312"/>
          <w:color w:val="auto"/>
          <w:sz w:val="28"/>
          <w:szCs w:val="28"/>
        </w:rPr>
        <w:t>专门负责</w:t>
      </w:r>
      <w:r>
        <w:rPr>
          <w:rFonts w:hint="eastAsia" w:ascii="仿宋_GB2312" w:hAnsi="仿宋_GB2312" w:eastAsia="仿宋_GB2312" w:cs="仿宋_GB2312"/>
          <w:color w:val="auto"/>
          <w:sz w:val="28"/>
          <w:szCs w:val="28"/>
          <w:lang w:val="en-US" w:eastAsia="zh-CN"/>
        </w:rPr>
        <w:t>维保服务联络</w:t>
      </w:r>
      <w:r>
        <w:rPr>
          <w:rFonts w:hint="eastAsia" w:ascii="仿宋_GB2312" w:hAnsi="仿宋_GB2312" w:eastAsia="仿宋_GB2312" w:cs="仿宋_GB2312"/>
          <w:color w:val="auto"/>
          <w:sz w:val="28"/>
          <w:szCs w:val="28"/>
        </w:rPr>
        <w:t>。如软件系统发生故障，乙方自接到甲方故障通知后30分钟内响应，并通过远程服务进行维护；如远程服务无法解决，乙方应在接到甲方通知时起4小时内到达现场，并在接到甲方故障通知时起24小时内解决故障。如乙方在前述时间内未</w:t>
      </w:r>
      <w:r>
        <w:rPr>
          <w:rFonts w:hint="eastAsia" w:ascii="仿宋_GB2312" w:hAnsi="仿宋_GB2312" w:eastAsia="仿宋_GB2312" w:cs="仿宋_GB2312"/>
          <w:color w:val="auto"/>
          <w:sz w:val="28"/>
          <w:szCs w:val="28"/>
          <w:lang w:eastAsia="zh-CN"/>
        </w:rPr>
        <w:t>解除</w:t>
      </w:r>
      <w:r>
        <w:rPr>
          <w:rFonts w:hint="eastAsia" w:ascii="仿宋_GB2312" w:hAnsi="仿宋_GB2312" w:eastAsia="仿宋_GB2312" w:cs="仿宋_GB2312"/>
          <w:color w:val="auto"/>
          <w:sz w:val="28"/>
          <w:szCs w:val="28"/>
        </w:rPr>
        <w:t>故障，甲方有权委托第三方解决，由此产生的费用甲方有权从</w:t>
      </w:r>
      <w:r>
        <w:rPr>
          <w:rFonts w:hint="eastAsia" w:ascii="仿宋_GB2312" w:hAnsi="仿宋_GB2312" w:eastAsia="仿宋_GB2312" w:cs="仿宋_GB2312"/>
          <w:color w:val="auto"/>
          <w:sz w:val="28"/>
          <w:szCs w:val="28"/>
          <w:lang w:val="en-US" w:eastAsia="zh-CN"/>
        </w:rPr>
        <w:t>应支付给乙方的价款</w:t>
      </w:r>
      <w:r>
        <w:rPr>
          <w:rFonts w:hint="eastAsia" w:ascii="仿宋_GB2312" w:hAnsi="仿宋_GB2312" w:eastAsia="仿宋_GB2312" w:cs="仿宋_GB2312"/>
          <w:color w:val="auto"/>
          <w:sz w:val="28"/>
          <w:szCs w:val="28"/>
        </w:rPr>
        <w:t>内扣除，不足部分由乙方另行补足。</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4.2.4 确保软件在免费维保期内始终为最新版本，且提供本项目所包含功能的最新版本的升级服务、数据迁移等服务，确保该软件能够正常、顺畅、安全使用。</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4.3 免费</w:t>
      </w:r>
      <w:r>
        <w:rPr>
          <w:rFonts w:hint="eastAsia" w:ascii="仿宋_GB2312" w:hAnsi="仿宋_GB2312" w:eastAsia="仿宋_GB2312" w:cs="仿宋_GB2312"/>
          <w:color w:val="auto"/>
          <w:sz w:val="28"/>
          <w:szCs w:val="28"/>
        </w:rPr>
        <w:t>维保服务期限</w:t>
      </w:r>
      <w:r>
        <w:rPr>
          <w:rFonts w:hint="eastAsia" w:ascii="仿宋_GB2312" w:hAnsi="仿宋_GB2312" w:eastAsia="仿宋_GB2312" w:cs="仿宋_GB2312"/>
          <w:color w:val="auto"/>
          <w:sz w:val="28"/>
          <w:szCs w:val="28"/>
          <w:lang w:val="en-US" w:eastAsia="zh-CN"/>
        </w:rPr>
        <w:t>届满后，如甲方依规开展软件维保服务采购，乙方承诺收取的年度维保服务费金额不超过本合同总价6%。</w:t>
      </w:r>
    </w:p>
    <w:p>
      <w:pPr>
        <w:keepNext w:val="0"/>
        <w:keepLines w:val="0"/>
        <w:pageBreakBefore w:val="0"/>
        <w:widowControl w:val="0"/>
        <w:kinsoku/>
        <w:wordWrap/>
        <w:overflowPunct/>
        <w:topLinePunct w:val="0"/>
        <w:autoSpaceDE/>
        <w:autoSpaceDN/>
        <w:bidi w:val="0"/>
        <w:spacing w:line="500" w:lineRule="exact"/>
        <w:ind w:firstLine="562" w:firstLineChars="200"/>
        <w:jc w:val="both"/>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五</w:t>
      </w:r>
      <w:r>
        <w:rPr>
          <w:rFonts w:hint="eastAsia" w:ascii="仿宋_GB2312" w:hAnsi="仿宋_GB2312" w:eastAsia="仿宋_GB2312" w:cs="仿宋_GB2312"/>
          <w:b/>
          <w:color w:val="auto"/>
          <w:sz w:val="28"/>
          <w:szCs w:val="28"/>
        </w:rPr>
        <w:t xml:space="preserve">条 </w:t>
      </w:r>
      <w:r>
        <w:rPr>
          <w:rFonts w:hint="eastAsia" w:ascii="仿宋_GB2312" w:hAnsi="仿宋_GB2312" w:eastAsia="仿宋_GB2312" w:cs="仿宋_GB2312"/>
          <w:b/>
          <w:color w:val="auto"/>
          <w:sz w:val="28"/>
          <w:szCs w:val="28"/>
          <w:lang w:val="en-US" w:eastAsia="zh-CN"/>
        </w:rPr>
        <w:t>甲</w:t>
      </w:r>
      <w:r>
        <w:rPr>
          <w:rFonts w:hint="eastAsia" w:ascii="仿宋_GB2312" w:hAnsi="仿宋_GB2312" w:eastAsia="仿宋_GB2312" w:cs="仿宋_GB2312"/>
          <w:b/>
          <w:color w:val="auto"/>
          <w:sz w:val="28"/>
          <w:szCs w:val="28"/>
        </w:rPr>
        <w:t>方</w:t>
      </w:r>
      <w:r>
        <w:rPr>
          <w:rFonts w:hint="eastAsia" w:ascii="仿宋_GB2312" w:hAnsi="仿宋_GB2312" w:eastAsia="仿宋_GB2312" w:cs="仿宋_GB2312"/>
          <w:b/>
          <w:color w:val="auto"/>
          <w:sz w:val="28"/>
          <w:szCs w:val="28"/>
          <w:lang w:val="en-US" w:eastAsia="zh-CN"/>
        </w:rPr>
        <w:t>的</w:t>
      </w:r>
      <w:r>
        <w:rPr>
          <w:rFonts w:hint="eastAsia" w:ascii="仿宋_GB2312" w:hAnsi="仿宋_GB2312" w:eastAsia="仿宋_GB2312" w:cs="仿宋_GB2312"/>
          <w:b/>
          <w:color w:val="auto"/>
          <w:sz w:val="28"/>
          <w:szCs w:val="28"/>
        </w:rPr>
        <w:t>权利义务</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5.1</w:t>
      </w:r>
      <w:r>
        <w:rPr>
          <w:rFonts w:hint="eastAsia" w:ascii="仿宋_GB2312" w:hAnsi="仿宋_GB2312" w:eastAsia="仿宋_GB2312" w:cs="仿宋_GB2312"/>
          <w:color w:val="auto"/>
          <w:sz w:val="28"/>
          <w:szCs w:val="28"/>
        </w:rPr>
        <w:t xml:space="preserve"> 甲方应向乙方提供</w:t>
      </w:r>
      <w:r>
        <w:rPr>
          <w:rFonts w:hint="eastAsia" w:ascii="仿宋_GB2312" w:hAnsi="仿宋_GB2312" w:eastAsia="仿宋_GB2312" w:cs="仿宋_GB2312"/>
          <w:color w:val="auto"/>
          <w:sz w:val="28"/>
          <w:szCs w:val="28"/>
          <w:lang w:val="en-US" w:eastAsia="zh-CN"/>
        </w:rPr>
        <w:t>本合同</w:t>
      </w:r>
      <w:r>
        <w:rPr>
          <w:rFonts w:hint="eastAsia" w:ascii="仿宋_GB2312" w:hAnsi="仿宋_GB2312" w:eastAsia="仿宋_GB2312" w:cs="仿宋_GB2312"/>
          <w:color w:val="auto"/>
          <w:sz w:val="28"/>
          <w:szCs w:val="28"/>
        </w:rPr>
        <w:t>项目建设有关的资料</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并为乙方项目实施提供必要的场地、设备和人员支持</w:t>
      </w:r>
      <w:r>
        <w:rPr>
          <w:rFonts w:hint="eastAsia" w:ascii="仿宋_GB2312" w:hAnsi="仿宋_GB2312" w:eastAsia="仿宋_GB2312" w:cs="仿宋_GB2312"/>
          <w:color w:val="auto"/>
          <w:sz w:val="28"/>
          <w:szCs w:val="28"/>
        </w:rPr>
        <w:t>。</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highlight w:val="yellow"/>
        </w:rPr>
      </w:pPr>
      <w:r>
        <w:rPr>
          <w:rFonts w:hint="eastAsia" w:ascii="仿宋_GB2312" w:hAnsi="仿宋_GB2312" w:eastAsia="仿宋_GB2312" w:cs="仿宋_GB2312"/>
          <w:color w:val="auto"/>
          <w:sz w:val="28"/>
          <w:szCs w:val="28"/>
          <w:lang w:val="en-US" w:eastAsia="zh-CN"/>
        </w:rPr>
        <w:t>5.2</w:t>
      </w:r>
      <w:r>
        <w:rPr>
          <w:rFonts w:hint="eastAsia" w:ascii="仿宋_GB2312" w:hAnsi="仿宋_GB2312" w:eastAsia="仿宋_GB2312" w:cs="仿宋_GB2312"/>
          <w:color w:val="auto"/>
          <w:sz w:val="28"/>
          <w:szCs w:val="28"/>
          <w:highlight w:val="none"/>
        </w:rPr>
        <w:t xml:space="preserve"> 对于服务器的安全防护（如访问控制、病毒查杀、入侵防护、补丁升级等）工作由甲方自行负责，乙方提供实施建议和技术支持</w:t>
      </w:r>
      <w:r>
        <w:rPr>
          <w:rFonts w:hint="eastAsia" w:ascii="仿宋_GB2312" w:hAnsi="仿宋_GB2312" w:eastAsia="仿宋_GB2312" w:cs="仿宋_GB2312"/>
          <w:color w:val="auto"/>
          <w:sz w:val="28"/>
          <w:szCs w:val="28"/>
          <w:highlight w:val="none"/>
          <w:lang w:val="en-US" w:eastAsia="zh-CN"/>
        </w:rPr>
        <w:t>并免费</w:t>
      </w:r>
      <w:r>
        <w:rPr>
          <w:rFonts w:hint="eastAsia" w:ascii="仿宋_GB2312" w:hAnsi="仿宋_GB2312" w:eastAsia="仿宋_GB2312" w:cs="仿宋_GB2312"/>
          <w:color w:val="auto"/>
          <w:sz w:val="28"/>
          <w:szCs w:val="28"/>
          <w:highlight w:val="none"/>
        </w:rPr>
        <w:t>配合实施安全补救工作。</w:t>
      </w:r>
    </w:p>
    <w:p>
      <w:pPr>
        <w:pStyle w:val="16"/>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lang w:val="en-US" w:eastAsia="zh-CN"/>
        </w:rPr>
        <w:t>5.3</w:t>
      </w:r>
      <w:r>
        <w:rPr>
          <w:rFonts w:hint="eastAsia" w:ascii="仿宋_GB2312" w:hAnsi="仿宋_GB2312" w:eastAsia="仿宋_GB2312" w:cs="仿宋_GB2312"/>
          <w:color w:val="auto"/>
          <w:sz w:val="28"/>
          <w:szCs w:val="28"/>
        </w:rPr>
        <w:t xml:space="preserve"> 甲方应遵守国家《计算机软件保护条例》有关规定，未经乙方书面许可，不得以任何形式再次转让、租赁或供其他机构研究该软件。</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5.4</w:t>
      </w:r>
      <w:r>
        <w:rPr>
          <w:rFonts w:hint="eastAsia" w:ascii="仿宋_GB2312" w:hAnsi="仿宋_GB2312" w:eastAsia="仿宋_GB2312" w:cs="仿宋_GB2312"/>
          <w:color w:val="auto"/>
          <w:sz w:val="28"/>
          <w:szCs w:val="28"/>
        </w:rPr>
        <w:t xml:space="preserve"> 未经乙方书面许可，甲方不得对乙方提供技术服务的应用、软件进行反向工程（reverse engineer）、反向编译（decompile）或反汇编（disassemble），不得对其解密扩散或复制转让。</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5.5</w:t>
      </w:r>
      <w:r>
        <w:rPr>
          <w:rFonts w:hint="eastAsia" w:ascii="仿宋_GB2312" w:hAnsi="仿宋_GB2312" w:eastAsia="仿宋_GB2312" w:cs="仿宋_GB2312"/>
          <w:color w:val="auto"/>
          <w:sz w:val="28"/>
          <w:szCs w:val="28"/>
        </w:rPr>
        <w:t xml:space="preserve"> 甲方应指定</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联系电话</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专</w:t>
      </w:r>
      <w:r>
        <w:rPr>
          <w:rFonts w:hint="eastAsia" w:ascii="仿宋_GB2312" w:hAnsi="仿宋_GB2312" w:eastAsia="仿宋_GB2312" w:cs="仿宋_GB2312"/>
          <w:color w:val="auto"/>
          <w:sz w:val="28"/>
          <w:szCs w:val="28"/>
          <w:lang w:val="en-US" w:eastAsia="zh-CN"/>
        </w:rPr>
        <w:t>门与</w:t>
      </w:r>
      <w:r>
        <w:rPr>
          <w:rFonts w:hint="eastAsia" w:ascii="仿宋_GB2312" w:hAnsi="仿宋_GB2312" w:eastAsia="仿宋_GB2312" w:cs="仿宋_GB2312"/>
          <w:color w:val="auto"/>
          <w:sz w:val="28"/>
          <w:szCs w:val="28"/>
        </w:rPr>
        <w:t>乙方联络</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负责</w:t>
      </w:r>
      <w:r>
        <w:rPr>
          <w:rFonts w:hint="eastAsia" w:ascii="仿宋_GB2312" w:hAnsi="仿宋_GB2312" w:eastAsia="仿宋_GB2312" w:cs="仿宋_GB2312"/>
          <w:color w:val="auto"/>
          <w:sz w:val="28"/>
          <w:szCs w:val="28"/>
          <w:lang w:val="en-US" w:eastAsia="zh-CN"/>
        </w:rPr>
        <w:t>合同履行</w:t>
      </w:r>
      <w:r>
        <w:rPr>
          <w:rFonts w:hint="eastAsia" w:ascii="仿宋_GB2312" w:hAnsi="仿宋_GB2312" w:eastAsia="仿宋_GB2312" w:cs="仿宋_GB2312"/>
          <w:color w:val="auto"/>
          <w:sz w:val="28"/>
          <w:szCs w:val="28"/>
        </w:rPr>
        <w:t>，为乙方工作提供良好的外部条件。</w:t>
      </w:r>
    </w:p>
    <w:p>
      <w:pPr>
        <w:keepNext w:val="0"/>
        <w:keepLines w:val="0"/>
        <w:pageBreakBefore w:val="0"/>
        <w:widowControl w:val="0"/>
        <w:kinsoku/>
        <w:wordWrap/>
        <w:overflowPunct/>
        <w:topLinePunct w:val="0"/>
        <w:autoSpaceDE/>
        <w:autoSpaceDN/>
        <w:bidi w:val="0"/>
        <w:spacing w:line="500" w:lineRule="exact"/>
        <w:ind w:firstLine="562" w:firstLineChars="200"/>
        <w:jc w:val="both"/>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六</w:t>
      </w:r>
      <w:r>
        <w:rPr>
          <w:rFonts w:hint="eastAsia" w:ascii="仿宋_GB2312" w:hAnsi="仿宋_GB2312" w:eastAsia="仿宋_GB2312" w:cs="仿宋_GB2312"/>
          <w:b/>
          <w:color w:val="auto"/>
          <w:sz w:val="28"/>
          <w:szCs w:val="28"/>
        </w:rPr>
        <w:t xml:space="preserve">条 </w:t>
      </w:r>
      <w:r>
        <w:rPr>
          <w:rFonts w:hint="eastAsia" w:ascii="仿宋_GB2312" w:hAnsi="仿宋_GB2312" w:eastAsia="仿宋_GB2312" w:cs="仿宋_GB2312"/>
          <w:b/>
          <w:color w:val="auto"/>
          <w:sz w:val="28"/>
          <w:szCs w:val="28"/>
          <w:lang w:val="en-US" w:eastAsia="zh-CN"/>
        </w:rPr>
        <w:t>乙</w:t>
      </w:r>
      <w:r>
        <w:rPr>
          <w:rFonts w:hint="eastAsia" w:ascii="仿宋_GB2312" w:hAnsi="仿宋_GB2312" w:eastAsia="仿宋_GB2312" w:cs="仿宋_GB2312"/>
          <w:b/>
          <w:color w:val="auto"/>
          <w:sz w:val="28"/>
          <w:szCs w:val="28"/>
        </w:rPr>
        <w:t>方</w:t>
      </w:r>
      <w:r>
        <w:rPr>
          <w:rFonts w:hint="eastAsia" w:ascii="仿宋_GB2312" w:hAnsi="仿宋_GB2312" w:eastAsia="仿宋_GB2312" w:cs="仿宋_GB2312"/>
          <w:b/>
          <w:color w:val="auto"/>
          <w:sz w:val="28"/>
          <w:szCs w:val="28"/>
          <w:lang w:val="en-US" w:eastAsia="zh-CN"/>
        </w:rPr>
        <w:t>的</w:t>
      </w:r>
      <w:r>
        <w:rPr>
          <w:rFonts w:hint="eastAsia" w:ascii="仿宋_GB2312" w:hAnsi="仿宋_GB2312" w:eastAsia="仿宋_GB2312" w:cs="仿宋_GB2312"/>
          <w:b/>
          <w:color w:val="auto"/>
          <w:sz w:val="28"/>
          <w:szCs w:val="28"/>
        </w:rPr>
        <w:t>权利义务</w:t>
      </w:r>
    </w:p>
    <w:p>
      <w:pPr>
        <w:pStyle w:val="31"/>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6.1</w:t>
      </w:r>
      <w:r>
        <w:rPr>
          <w:rFonts w:hint="eastAsia" w:ascii="仿宋_GB2312" w:hAnsi="仿宋_GB2312" w:eastAsia="仿宋_GB2312" w:cs="仿宋_GB2312"/>
          <w:color w:val="auto"/>
          <w:sz w:val="28"/>
          <w:szCs w:val="28"/>
        </w:rPr>
        <w:t xml:space="preserve"> 乙方应</w:t>
      </w:r>
      <w:r>
        <w:rPr>
          <w:rFonts w:hint="eastAsia" w:ascii="仿宋_GB2312" w:hAnsi="仿宋_GB2312" w:eastAsia="仿宋_GB2312" w:cs="仿宋_GB2312"/>
          <w:color w:val="auto"/>
          <w:sz w:val="28"/>
          <w:szCs w:val="28"/>
          <w:lang w:val="en-US" w:eastAsia="zh-CN"/>
        </w:rPr>
        <w:t>全面履行</w:t>
      </w:r>
      <w:r>
        <w:rPr>
          <w:rFonts w:hint="eastAsia" w:ascii="仿宋_GB2312" w:hAnsi="仿宋_GB2312" w:eastAsia="仿宋_GB2312" w:cs="仿宋_GB2312"/>
          <w:color w:val="auto"/>
          <w:sz w:val="28"/>
          <w:szCs w:val="28"/>
        </w:rPr>
        <w:t>本合同</w:t>
      </w:r>
      <w:r>
        <w:rPr>
          <w:rFonts w:hint="eastAsia" w:ascii="仿宋_GB2312" w:hAnsi="仿宋_GB2312" w:eastAsia="仿宋_GB2312" w:cs="仿宋_GB2312"/>
          <w:color w:val="auto"/>
          <w:sz w:val="28"/>
          <w:szCs w:val="28"/>
          <w:lang w:val="en-US" w:eastAsia="zh-CN"/>
        </w:rPr>
        <w:t>义务</w:t>
      </w:r>
      <w:r>
        <w:rPr>
          <w:rFonts w:hint="eastAsia" w:ascii="仿宋_GB2312" w:hAnsi="仿宋_GB2312" w:eastAsia="仿宋_GB2312" w:cs="仿宋_GB2312"/>
          <w:color w:val="auto"/>
          <w:sz w:val="28"/>
          <w:szCs w:val="28"/>
        </w:rPr>
        <w:t>，根据甲方要求完成</w:t>
      </w:r>
      <w:r>
        <w:rPr>
          <w:rFonts w:hint="eastAsia" w:ascii="仿宋_GB2312" w:hAnsi="仿宋_GB2312" w:eastAsia="仿宋_GB2312" w:cs="仿宋_GB2312"/>
          <w:color w:val="auto"/>
          <w:sz w:val="28"/>
          <w:szCs w:val="28"/>
          <w:lang w:val="en-US" w:eastAsia="zh-CN"/>
        </w:rPr>
        <w:t>项目</w:t>
      </w:r>
      <w:r>
        <w:rPr>
          <w:rFonts w:hint="eastAsia" w:ascii="仿宋_GB2312" w:hAnsi="仿宋_GB2312" w:eastAsia="仿宋_GB2312" w:cs="仿宋_GB2312"/>
          <w:color w:val="auto"/>
          <w:sz w:val="28"/>
          <w:szCs w:val="28"/>
        </w:rPr>
        <w:t>产品交付及提供售后服务，并</w:t>
      </w:r>
      <w:r>
        <w:rPr>
          <w:rFonts w:hint="eastAsia" w:ascii="仿宋_GB2312" w:hAnsi="仿宋_GB2312" w:eastAsia="仿宋_GB2312" w:cs="仿宋_GB2312"/>
          <w:color w:val="auto"/>
          <w:sz w:val="28"/>
          <w:szCs w:val="28"/>
          <w:lang w:val="en-US" w:eastAsia="zh-CN"/>
        </w:rPr>
        <w:t>通过</w:t>
      </w:r>
      <w:r>
        <w:rPr>
          <w:rFonts w:hint="eastAsia" w:ascii="仿宋_GB2312" w:hAnsi="仿宋_GB2312" w:eastAsia="仿宋_GB2312" w:cs="仿宋_GB2312"/>
          <w:color w:val="auto"/>
          <w:sz w:val="28"/>
          <w:szCs w:val="28"/>
        </w:rPr>
        <w:t>甲方验收。</w:t>
      </w:r>
    </w:p>
    <w:p>
      <w:pPr>
        <w:pStyle w:val="31"/>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6.2 乙方须</w:t>
      </w:r>
      <w:r>
        <w:rPr>
          <w:rFonts w:hint="eastAsia" w:ascii="仿宋_GB2312" w:hAnsi="仿宋_GB2312" w:eastAsia="仿宋_GB2312" w:cs="仿宋_GB2312"/>
          <w:color w:val="auto"/>
          <w:sz w:val="28"/>
          <w:szCs w:val="28"/>
        </w:rPr>
        <w:t>配合甲方制定培训计划，并负责按照计划</w:t>
      </w:r>
      <w:r>
        <w:rPr>
          <w:rFonts w:hint="eastAsia" w:ascii="仿宋_GB2312" w:hAnsi="仿宋_GB2312" w:eastAsia="仿宋_GB2312" w:cs="仿宋_GB2312"/>
          <w:color w:val="auto"/>
          <w:sz w:val="28"/>
          <w:szCs w:val="28"/>
          <w:lang w:val="en-US" w:eastAsia="zh-CN"/>
        </w:rPr>
        <w:t>对甲方人员</w:t>
      </w:r>
      <w:r>
        <w:rPr>
          <w:rFonts w:hint="eastAsia" w:ascii="仿宋_GB2312" w:hAnsi="仿宋_GB2312" w:eastAsia="仿宋_GB2312" w:cs="仿宋_GB2312"/>
          <w:color w:val="auto"/>
          <w:sz w:val="28"/>
          <w:szCs w:val="28"/>
        </w:rPr>
        <w:t>进行培训，保证</w:t>
      </w:r>
      <w:r>
        <w:rPr>
          <w:rFonts w:hint="eastAsia" w:ascii="仿宋_GB2312" w:hAnsi="仿宋_GB2312" w:eastAsia="仿宋_GB2312" w:cs="仿宋_GB2312"/>
          <w:color w:val="auto"/>
          <w:sz w:val="28"/>
          <w:szCs w:val="28"/>
          <w:lang w:val="en-US" w:eastAsia="zh-CN"/>
        </w:rPr>
        <w:t>甲方</w:t>
      </w:r>
      <w:r>
        <w:rPr>
          <w:rFonts w:hint="eastAsia" w:ascii="仿宋_GB2312" w:hAnsi="仿宋_GB2312" w:eastAsia="仿宋_GB2312" w:cs="仿宋_GB2312"/>
          <w:color w:val="auto"/>
          <w:sz w:val="28"/>
          <w:szCs w:val="28"/>
        </w:rPr>
        <w:t>所有参训人员均能熟练掌握相应软件的操作使用方法。</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6.3 乙方应制定数据安全管理规定，确保甲方用户数据安全，保证数据不丢失，按甲方要求对数据进行定期备份并将备份数据移交给甲方备存，乙方不得私自留存或向第三方转移备份数据。</w:t>
      </w:r>
    </w:p>
    <w:p>
      <w:pPr>
        <w:pStyle w:val="31"/>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6.4</w:t>
      </w:r>
      <w:r>
        <w:rPr>
          <w:rFonts w:hint="eastAsia" w:ascii="仿宋_GB2312" w:hAnsi="仿宋_GB2312" w:eastAsia="仿宋_GB2312" w:cs="仿宋_GB2312"/>
          <w:color w:val="auto"/>
          <w:sz w:val="28"/>
          <w:szCs w:val="28"/>
          <w:highlight w:val="none"/>
          <w:lang w:val="en-US" w:eastAsia="zh-CN"/>
        </w:rPr>
        <w:t xml:space="preserve"> 在合同约定的建设期及免维期内逢</w:t>
      </w:r>
      <w:r>
        <w:rPr>
          <w:rFonts w:hint="eastAsia" w:ascii="仿宋_GB2312" w:hAnsi="仿宋_GB2312" w:eastAsia="仿宋_GB2312" w:cs="仿宋_GB2312"/>
          <w:color w:val="auto"/>
          <w:sz w:val="28"/>
          <w:szCs w:val="28"/>
          <w:highlight w:val="none"/>
        </w:rPr>
        <w:t>年底结算、清算期间，</w:t>
      </w:r>
      <w:r>
        <w:rPr>
          <w:rFonts w:hint="eastAsia" w:ascii="仿宋_GB2312" w:hAnsi="仿宋_GB2312" w:eastAsia="仿宋_GB2312" w:cs="仿宋_GB2312"/>
          <w:color w:val="auto"/>
          <w:sz w:val="28"/>
          <w:szCs w:val="28"/>
        </w:rPr>
        <w:t>乙方应为甲方提供数据支持</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在甲方处理大量数据时，</w:t>
      </w:r>
      <w:r>
        <w:rPr>
          <w:rFonts w:hint="eastAsia" w:ascii="仿宋_GB2312" w:hAnsi="仿宋_GB2312" w:eastAsia="仿宋_GB2312" w:cs="仿宋_GB2312"/>
          <w:color w:val="auto"/>
          <w:sz w:val="28"/>
          <w:szCs w:val="28"/>
          <w:lang w:val="en-US" w:eastAsia="zh-CN"/>
        </w:rPr>
        <w:t>乙方须</w:t>
      </w:r>
      <w:r>
        <w:rPr>
          <w:rFonts w:hint="eastAsia" w:ascii="仿宋_GB2312" w:hAnsi="仿宋_GB2312" w:eastAsia="仿宋_GB2312" w:cs="仿宋_GB2312"/>
          <w:color w:val="auto"/>
          <w:sz w:val="28"/>
          <w:szCs w:val="28"/>
        </w:rPr>
        <w:t>到甲方现场提供指导服务至数据处理服务结束时止</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期间产生的人工费、食宿费、交通费等所有费用均由乙方承担</w:t>
      </w:r>
      <w:r>
        <w:rPr>
          <w:rFonts w:hint="eastAsia" w:ascii="仿宋_GB2312" w:hAnsi="仿宋_GB2312" w:eastAsia="仿宋_GB2312" w:cs="仿宋_GB2312"/>
          <w:color w:val="auto"/>
          <w:sz w:val="28"/>
          <w:szCs w:val="28"/>
        </w:rPr>
        <w:t>。</w:t>
      </w:r>
    </w:p>
    <w:p>
      <w:pPr>
        <w:pStyle w:val="31"/>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6.5 </w:t>
      </w:r>
      <w:r>
        <w:rPr>
          <w:rFonts w:hint="eastAsia" w:ascii="仿宋_GB2312" w:hAnsi="仿宋_GB2312" w:eastAsia="仿宋_GB2312" w:cs="仿宋_GB2312"/>
          <w:color w:val="auto"/>
          <w:sz w:val="28"/>
          <w:szCs w:val="28"/>
        </w:rPr>
        <w:t>乙方负责指派有</w:t>
      </w:r>
      <w:r>
        <w:rPr>
          <w:rFonts w:hint="eastAsia" w:ascii="仿宋_GB2312" w:hAnsi="仿宋_GB2312" w:eastAsia="仿宋_GB2312" w:cs="仿宋_GB2312"/>
          <w:color w:val="auto"/>
          <w:sz w:val="28"/>
          <w:szCs w:val="28"/>
          <w:lang w:val="en-US" w:eastAsia="zh-CN"/>
        </w:rPr>
        <w:t>资质</w:t>
      </w:r>
      <w:r>
        <w:rPr>
          <w:rFonts w:hint="eastAsia" w:ascii="仿宋_GB2312" w:hAnsi="仿宋_GB2312" w:eastAsia="仿宋_GB2312" w:cs="仿宋_GB2312"/>
          <w:color w:val="auto"/>
          <w:sz w:val="28"/>
          <w:szCs w:val="28"/>
        </w:rPr>
        <w:t>的专业技术人员</w:t>
      </w:r>
      <w:r>
        <w:rPr>
          <w:rFonts w:hint="eastAsia" w:ascii="仿宋_GB2312" w:hAnsi="仿宋_GB2312" w:eastAsia="仿宋_GB2312" w:cs="仿宋_GB2312"/>
          <w:color w:val="auto"/>
          <w:sz w:val="28"/>
          <w:szCs w:val="28"/>
          <w:lang w:val="en-US" w:eastAsia="zh-CN"/>
        </w:rPr>
        <w:t>为甲方</w:t>
      </w:r>
      <w:r>
        <w:rPr>
          <w:rFonts w:hint="eastAsia" w:ascii="仿宋_GB2312" w:hAnsi="仿宋_GB2312" w:eastAsia="仿宋_GB2312" w:cs="仿宋_GB2312"/>
          <w:color w:val="auto"/>
          <w:sz w:val="28"/>
          <w:szCs w:val="28"/>
        </w:rPr>
        <w:t>提供服务，保证服务人员数量</w:t>
      </w:r>
      <w:r>
        <w:rPr>
          <w:rFonts w:hint="eastAsia" w:ascii="仿宋_GB2312" w:hAnsi="仿宋_GB2312" w:eastAsia="仿宋_GB2312" w:cs="仿宋_GB2312"/>
          <w:color w:val="auto"/>
          <w:sz w:val="28"/>
          <w:szCs w:val="28"/>
          <w:lang w:val="en-US" w:eastAsia="zh-CN"/>
        </w:rPr>
        <w:t>充足</w:t>
      </w:r>
      <w:r>
        <w:rPr>
          <w:rFonts w:hint="eastAsia" w:ascii="仿宋_GB2312" w:hAnsi="仿宋_GB2312" w:eastAsia="仿宋_GB2312" w:cs="仿宋_GB2312"/>
          <w:color w:val="auto"/>
          <w:sz w:val="28"/>
          <w:szCs w:val="28"/>
        </w:rPr>
        <w:t>，有足够的能力履行合同规定的技术服务。</w:t>
      </w:r>
      <w:r>
        <w:rPr>
          <w:rFonts w:hint="eastAsia" w:ascii="仿宋_GB2312" w:hAnsi="仿宋_GB2312" w:eastAsia="仿宋_GB2312" w:cs="仿宋_GB2312"/>
          <w:color w:val="auto"/>
          <w:sz w:val="28"/>
          <w:szCs w:val="28"/>
          <w:lang w:val="en-US" w:eastAsia="zh-CN"/>
        </w:rPr>
        <w:t>如甲方要求更换乙方技术人员的，乙方应在收到甲方书面通知后</w:t>
      </w:r>
      <w:r>
        <w:rPr>
          <w:rFonts w:hint="eastAsia" w:ascii="仿宋_GB2312" w:hAnsi="仿宋_GB2312" w:eastAsia="仿宋_GB2312" w:cs="仿宋_GB2312"/>
          <w:color w:val="auto"/>
          <w:sz w:val="28"/>
          <w:szCs w:val="28"/>
          <w:u w:val="none"/>
          <w:lang w:val="en-US" w:eastAsia="zh-CN"/>
        </w:rPr>
        <w:t>3</w:t>
      </w:r>
      <w:r>
        <w:rPr>
          <w:rFonts w:hint="eastAsia" w:ascii="仿宋_GB2312" w:hAnsi="仿宋_GB2312" w:eastAsia="仿宋_GB2312" w:cs="仿宋_GB2312"/>
          <w:color w:val="auto"/>
          <w:sz w:val="28"/>
          <w:szCs w:val="28"/>
          <w:lang w:val="en-US" w:eastAsia="zh-CN"/>
        </w:rPr>
        <w:t>日内更换到位。</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6.6</w:t>
      </w:r>
      <w:r>
        <w:rPr>
          <w:rFonts w:hint="eastAsia" w:ascii="仿宋_GB2312" w:hAnsi="仿宋_GB2312" w:eastAsia="仿宋_GB2312" w:cs="仿宋_GB2312"/>
          <w:color w:val="auto"/>
          <w:sz w:val="28"/>
          <w:szCs w:val="28"/>
        </w:rPr>
        <w:t xml:space="preserve"> 乙方应指定</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联系电话</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专</w:t>
      </w:r>
      <w:r>
        <w:rPr>
          <w:rFonts w:hint="eastAsia" w:ascii="仿宋_GB2312" w:hAnsi="仿宋_GB2312" w:eastAsia="仿宋_GB2312" w:cs="仿宋_GB2312"/>
          <w:color w:val="auto"/>
          <w:sz w:val="28"/>
          <w:szCs w:val="28"/>
          <w:lang w:val="en-US" w:eastAsia="zh-CN"/>
        </w:rPr>
        <w:t>门与</w:t>
      </w:r>
      <w:r>
        <w:rPr>
          <w:rFonts w:hint="eastAsia" w:ascii="仿宋_GB2312" w:hAnsi="仿宋_GB2312" w:eastAsia="仿宋_GB2312" w:cs="仿宋_GB2312"/>
          <w:color w:val="auto"/>
          <w:sz w:val="28"/>
          <w:szCs w:val="28"/>
        </w:rPr>
        <w:t>甲方联络</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负责</w:t>
      </w:r>
      <w:r>
        <w:rPr>
          <w:rFonts w:hint="eastAsia" w:ascii="仿宋_GB2312" w:hAnsi="仿宋_GB2312" w:eastAsia="仿宋_GB2312" w:cs="仿宋_GB2312"/>
          <w:color w:val="auto"/>
          <w:sz w:val="28"/>
          <w:szCs w:val="28"/>
          <w:lang w:val="en-US" w:eastAsia="zh-CN"/>
        </w:rPr>
        <w:t>合同履行</w:t>
      </w:r>
      <w:r>
        <w:rPr>
          <w:rFonts w:hint="eastAsia" w:ascii="仿宋_GB2312" w:hAnsi="仿宋_GB2312" w:eastAsia="仿宋_GB2312" w:cs="仿宋_GB2312"/>
          <w:color w:val="auto"/>
          <w:sz w:val="28"/>
          <w:szCs w:val="28"/>
        </w:rPr>
        <w:t>。</w:t>
      </w:r>
    </w:p>
    <w:p>
      <w:pPr>
        <w:keepNext w:val="0"/>
        <w:keepLines w:val="0"/>
        <w:pageBreakBefore w:val="0"/>
        <w:widowControl w:val="0"/>
        <w:kinsoku/>
        <w:wordWrap/>
        <w:overflowPunct/>
        <w:topLinePunct w:val="0"/>
        <w:autoSpaceDE/>
        <w:autoSpaceDN/>
        <w:bidi w:val="0"/>
        <w:spacing w:line="500" w:lineRule="exact"/>
        <w:ind w:firstLine="562" w:firstLineChars="200"/>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七</w:t>
      </w:r>
      <w:r>
        <w:rPr>
          <w:rFonts w:hint="eastAsia" w:ascii="仿宋_GB2312" w:hAnsi="仿宋_GB2312" w:eastAsia="仿宋_GB2312" w:cs="仿宋_GB2312"/>
          <w:b/>
          <w:color w:val="auto"/>
          <w:sz w:val="28"/>
          <w:szCs w:val="28"/>
        </w:rPr>
        <w:t xml:space="preserve">条  </w:t>
      </w:r>
      <w:r>
        <w:rPr>
          <w:rFonts w:hint="eastAsia" w:ascii="仿宋_GB2312" w:hAnsi="仿宋_GB2312" w:eastAsia="仿宋_GB2312" w:cs="仿宋_GB2312"/>
          <w:b/>
          <w:color w:val="auto"/>
          <w:sz w:val="28"/>
          <w:szCs w:val="28"/>
          <w:lang w:val="en-US" w:eastAsia="zh-CN"/>
        </w:rPr>
        <w:t>服务费</w:t>
      </w:r>
      <w:r>
        <w:rPr>
          <w:rFonts w:hint="eastAsia" w:ascii="仿宋_GB2312" w:hAnsi="仿宋_GB2312" w:eastAsia="仿宋_GB2312" w:cs="仿宋_GB2312"/>
          <w:b/>
          <w:color w:val="auto"/>
          <w:sz w:val="28"/>
          <w:szCs w:val="28"/>
        </w:rPr>
        <w:t>标准、支付时间和方式</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7</w:t>
      </w:r>
      <w:r>
        <w:rPr>
          <w:rFonts w:hint="eastAsia" w:ascii="仿宋_GB2312" w:hAnsi="仿宋_GB2312" w:eastAsia="仿宋_GB2312" w:cs="仿宋_GB2312"/>
          <w:color w:val="auto"/>
          <w:sz w:val="28"/>
          <w:szCs w:val="28"/>
        </w:rPr>
        <w:t>.1 本合同约定服务费实行总价包干，包干总价为</w:t>
      </w:r>
      <w:r>
        <w:rPr>
          <w:rFonts w:hint="eastAsia" w:ascii="仿宋_GB2312" w:hAnsi="仿宋_GB2312" w:eastAsia="仿宋_GB2312" w:cs="仿宋_GB2312"/>
          <w:color w:val="auto"/>
          <w:sz w:val="28"/>
          <w:szCs w:val="28"/>
          <w:u w:val="none"/>
        </w:rPr>
        <w:t>人民币</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none"/>
          <w:lang w:val="en-US" w:eastAsia="zh-CN"/>
        </w:rPr>
        <w:t>元</w:t>
      </w:r>
      <w:r>
        <w:rPr>
          <w:rFonts w:hint="eastAsia" w:ascii="仿宋_GB2312" w:hAnsi="仿宋_GB2312" w:eastAsia="仿宋_GB2312" w:cs="仿宋_GB2312"/>
          <w:color w:val="auto"/>
          <w:sz w:val="28"/>
          <w:szCs w:val="28"/>
          <w:u w:val="none"/>
        </w:rPr>
        <w:t>（小写</w:t>
      </w:r>
      <w:r>
        <w:rPr>
          <w:rFonts w:hint="eastAsia" w:ascii="仿宋_GB2312" w:hAnsi="仿宋_GB2312" w:eastAsia="仿宋_GB2312" w:cs="仿宋_GB2312"/>
          <w:color w:val="auto"/>
          <w:sz w:val="28"/>
          <w:szCs w:val="28"/>
          <w:u w:val="none"/>
          <w:lang w:eastAsia="zh-CN"/>
        </w:rPr>
        <w:t>：</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none"/>
        </w:rPr>
        <w:t>元）</w:t>
      </w:r>
      <w:r>
        <w:rPr>
          <w:rFonts w:hint="eastAsia" w:ascii="仿宋_GB2312" w:hAnsi="仿宋_GB2312" w:eastAsia="仿宋_GB2312" w:cs="仿宋_GB2312"/>
          <w:color w:val="auto"/>
          <w:sz w:val="28"/>
          <w:szCs w:val="28"/>
        </w:rPr>
        <w:t>。该价款已包含软件系统费、模块制作安装费、服务费、运输费、包装费、保险费、装卸费、搬运费、安装调试费、安装材料费、检测检验</w:t>
      </w:r>
      <w:r>
        <w:rPr>
          <w:rFonts w:hint="eastAsia" w:ascii="仿宋_GB2312" w:hAnsi="仿宋_GB2312" w:eastAsia="仿宋_GB2312" w:cs="仿宋_GB2312"/>
          <w:color w:val="auto"/>
          <w:sz w:val="28"/>
          <w:szCs w:val="28"/>
          <w:lang w:val="en-US" w:eastAsia="zh-CN"/>
        </w:rPr>
        <w:t>测评</w:t>
      </w:r>
      <w:r>
        <w:rPr>
          <w:rFonts w:hint="eastAsia" w:ascii="仿宋_GB2312" w:hAnsi="仿宋_GB2312" w:eastAsia="仿宋_GB2312" w:cs="仿宋_GB2312"/>
          <w:color w:val="auto"/>
          <w:sz w:val="28"/>
          <w:szCs w:val="28"/>
        </w:rPr>
        <w:t>费、培训费、售后服务费、知识产权许可使用</w:t>
      </w:r>
      <w:r>
        <w:rPr>
          <w:rFonts w:hint="eastAsia" w:ascii="仿宋_GB2312" w:hAnsi="仿宋_GB2312" w:eastAsia="仿宋_GB2312" w:cs="仿宋_GB2312"/>
          <w:color w:val="auto"/>
          <w:sz w:val="28"/>
          <w:szCs w:val="28"/>
          <w:lang w:val="en-US" w:eastAsia="zh-CN"/>
        </w:rPr>
        <w:t>费</w:t>
      </w:r>
      <w:r>
        <w:rPr>
          <w:rFonts w:hint="eastAsia" w:ascii="仿宋_GB2312" w:hAnsi="仿宋_GB2312" w:eastAsia="仿宋_GB2312" w:cs="仿宋_GB2312"/>
          <w:color w:val="auto"/>
          <w:sz w:val="28"/>
          <w:szCs w:val="28"/>
        </w:rPr>
        <w:t>、软件升级</w:t>
      </w:r>
      <w:r>
        <w:rPr>
          <w:rFonts w:hint="eastAsia" w:ascii="仿宋_GB2312" w:hAnsi="仿宋_GB2312" w:eastAsia="仿宋_GB2312" w:cs="仿宋_GB2312"/>
          <w:color w:val="auto"/>
          <w:sz w:val="28"/>
          <w:szCs w:val="28"/>
          <w:lang w:eastAsia="zh-CN"/>
        </w:rPr>
        <w:t>费</w:t>
      </w:r>
      <w:r>
        <w:rPr>
          <w:rFonts w:hint="eastAsia" w:ascii="仿宋_GB2312" w:hAnsi="仿宋_GB2312" w:eastAsia="仿宋_GB2312" w:cs="仿宋_GB2312"/>
          <w:color w:val="auto"/>
          <w:sz w:val="28"/>
          <w:szCs w:val="28"/>
        </w:rPr>
        <w:t>、税费等全部费用，甲方不再就本合同约定范围内的项目支付任何其他费用。</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7</w:t>
      </w:r>
      <w:r>
        <w:rPr>
          <w:rFonts w:hint="eastAsia" w:ascii="仿宋_GB2312" w:hAnsi="仿宋_GB2312" w:eastAsia="仿宋_GB2312" w:cs="仿宋_GB2312"/>
          <w:color w:val="auto"/>
          <w:sz w:val="28"/>
          <w:szCs w:val="28"/>
        </w:rPr>
        <w:t xml:space="preserve">.2 </w:t>
      </w:r>
      <w:r>
        <w:rPr>
          <w:rFonts w:hint="eastAsia" w:ascii="仿宋_GB2312" w:hAnsi="仿宋_GB2312" w:eastAsia="仿宋_GB2312" w:cs="仿宋_GB2312"/>
          <w:color w:val="auto"/>
          <w:sz w:val="28"/>
          <w:szCs w:val="28"/>
          <w:highlight w:val="none"/>
        </w:rPr>
        <w:t>甲方</w:t>
      </w:r>
      <w:r>
        <w:rPr>
          <w:rFonts w:hint="eastAsia" w:ascii="仿宋_GB2312" w:hAnsi="仿宋_GB2312" w:eastAsia="仿宋_GB2312" w:cs="仿宋_GB2312"/>
          <w:color w:val="auto"/>
          <w:sz w:val="28"/>
          <w:szCs w:val="28"/>
          <w:highlight w:val="none"/>
          <w:lang w:val="en-US" w:eastAsia="zh-CN"/>
        </w:rPr>
        <w:t>分三次支付本合同费用：</w:t>
      </w:r>
      <w:r>
        <w:rPr>
          <w:rFonts w:hint="eastAsia" w:ascii="仿宋_GB2312" w:hAnsi="仿宋_GB2312" w:eastAsia="仿宋_GB2312" w:cs="仿宋_GB2312"/>
          <w:color w:val="auto"/>
          <w:sz w:val="28"/>
          <w:szCs w:val="28"/>
          <w:highlight w:val="none"/>
        </w:rPr>
        <w:t>在本合同生效之日起30个工作日内支付合同总价款的</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0%，即人民币</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none"/>
          <w:lang w:val="en-US" w:eastAsia="zh-CN"/>
        </w:rPr>
        <w:t>元</w:t>
      </w:r>
      <w:r>
        <w:rPr>
          <w:rFonts w:hint="eastAsia" w:ascii="仿宋_GB2312" w:hAnsi="仿宋_GB2312" w:eastAsia="仿宋_GB2312" w:cs="仿宋_GB2312"/>
          <w:color w:val="auto"/>
          <w:sz w:val="28"/>
          <w:szCs w:val="28"/>
          <w:highlight w:val="none"/>
        </w:rPr>
        <w:t>（小写</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元）；在甲方出具验收合格报告之日起30个工作日内支付总价款的</w:t>
      </w:r>
      <w:r>
        <w:rPr>
          <w:rFonts w:hint="eastAsia" w:ascii="仿宋_GB2312" w:hAnsi="仿宋_GB2312" w:eastAsia="仿宋_GB2312" w:cs="仿宋_GB2312"/>
          <w:color w:val="auto"/>
          <w:sz w:val="28"/>
          <w:szCs w:val="28"/>
          <w:highlight w:val="none"/>
          <w:lang w:val="en-US" w:eastAsia="zh-CN"/>
        </w:rPr>
        <w:t>7</w:t>
      </w:r>
      <w:r>
        <w:rPr>
          <w:rFonts w:hint="eastAsia" w:ascii="仿宋_GB2312" w:hAnsi="仿宋_GB2312" w:eastAsia="仿宋_GB2312" w:cs="仿宋_GB2312"/>
          <w:color w:val="auto"/>
          <w:sz w:val="28"/>
          <w:szCs w:val="28"/>
          <w:highlight w:val="none"/>
        </w:rPr>
        <w:t>0%，即人民币</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（小写</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元）；</w:t>
      </w:r>
      <w:r>
        <w:rPr>
          <w:rFonts w:hint="eastAsia" w:ascii="仿宋_GB2312" w:hAnsi="仿宋_GB2312" w:eastAsia="仿宋_GB2312" w:cs="仿宋_GB2312"/>
          <w:color w:val="auto"/>
          <w:sz w:val="28"/>
          <w:szCs w:val="28"/>
        </w:rPr>
        <w:t>余款10%即人民币</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（小写</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元），甲方在</w:t>
      </w:r>
      <w:r>
        <w:rPr>
          <w:rFonts w:hint="eastAsia" w:ascii="仿宋_GB2312" w:hAnsi="仿宋_GB2312" w:eastAsia="仿宋_GB2312" w:cs="仿宋_GB2312"/>
          <w:color w:val="auto"/>
          <w:sz w:val="28"/>
          <w:szCs w:val="28"/>
          <w:lang w:val="en-US" w:eastAsia="zh-CN"/>
        </w:rPr>
        <w:t>免费</w:t>
      </w:r>
      <w:r>
        <w:rPr>
          <w:rFonts w:hint="eastAsia" w:ascii="仿宋_GB2312" w:hAnsi="仿宋_GB2312" w:eastAsia="仿宋_GB2312" w:cs="仿宋_GB2312"/>
          <w:color w:val="auto"/>
          <w:sz w:val="28"/>
          <w:szCs w:val="28"/>
        </w:rPr>
        <w:t>维保服务期限届满</w:t>
      </w:r>
      <w:r>
        <w:rPr>
          <w:rFonts w:hint="eastAsia" w:ascii="仿宋_GB2312" w:hAnsi="仿宋_GB2312" w:eastAsia="仿宋_GB2312" w:cs="仿宋_GB2312"/>
          <w:color w:val="auto"/>
          <w:sz w:val="28"/>
          <w:szCs w:val="28"/>
          <w:lang w:val="en-US" w:eastAsia="zh-CN"/>
        </w:rPr>
        <w:t>且</w:t>
      </w:r>
      <w:r>
        <w:rPr>
          <w:rFonts w:hint="eastAsia" w:ascii="仿宋_GB2312" w:hAnsi="仿宋_GB2312" w:eastAsia="仿宋_GB2312" w:cs="仿宋_GB2312"/>
          <w:color w:val="auto"/>
          <w:sz w:val="28"/>
          <w:szCs w:val="28"/>
        </w:rPr>
        <w:t>无</w:t>
      </w:r>
      <w:r>
        <w:rPr>
          <w:rFonts w:hint="eastAsia" w:ascii="仿宋_GB2312" w:hAnsi="仿宋_GB2312" w:eastAsia="仿宋_GB2312" w:cs="仿宋_GB2312"/>
          <w:color w:val="auto"/>
          <w:sz w:val="28"/>
          <w:szCs w:val="28"/>
          <w:lang w:val="en-US" w:eastAsia="zh-CN"/>
        </w:rPr>
        <w:t>质量、</w:t>
      </w:r>
      <w:r>
        <w:rPr>
          <w:rFonts w:hint="eastAsia" w:ascii="仿宋_GB2312" w:hAnsi="仿宋_GB2312" w:eastAsia="仿宋_GB2312" w:cs="仿宋_GB2312"/>
          <w:color w:val="auto"/>
          <w:sz w:val="28"/>
          <w:szCs w:val="28"/>
        </w:rPr>
        <w:t>服务问题之日起10个工作日内无息支付给乙方。</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7</w:t>
      </w:r>
      <w:r>
        <w:rPr>
          <w:rFonts w:hint="eastAsia" w:ascii="仿宋_GB2312" w:hAnsi="仿宋_GB2312" w:eastAsia="仿宋_GB2312" w:cs="仿宋_GB2312"/>
          <w:color w:val="auto"/>
          <w:sz w:val="28"/>
          <w:szCs w:val="28"/>
        </w:rPr>
        <w:t>.3 甲方通过银行转账向乙方支付价款，乙方指定收款银行账户如下：</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default" w:ascii="仿宋_GB2312" w:hAnsi="仿宋_GB2312" w:eastAsia="仿宋_GB2312" w:cs="仿宋_GB2312"/>
          <w:color w:val="auto"/>
          <w:sz w:val="28"/>
          <w:szCs w:val="28"/>
          <w:u w:val="single"/>
          <w:lang w:val="en-US" w:eastAsia="zh-CN"/>
        </w:rPr>
      </w:pPr>
      <w:r>
        <w:rPr>
          <w:rFonts w:hint="eastAsia" w:ascii="仿宋_GB2312" w:hAnsi="仿宋_GB2312" w:eastAsia="仿宋_GB2312" w:cs="仿宋_GB2312"/>
          <w:color w:val="auto"/>
          <w:sz w:val="28"/>
          <w:szCs w:val="28"/>
        </w:rPr>
        <w:t>户名：</w:t>
      </w:r>
      <w:r>
        <w:rPr>
          <w:rFonts w:hint="eastAsia" w:ascii="仿宋_GB2312" w:hAnsi="仿宋_GB2312" w:eastAsia="仿宋_GB2312" w:cs="仿宋_GB2312"/>
          <w:color w:val="auto"/>
          <w:sz w:val="28"/>
          <w:szCs w:val="28"/>
          <w:u w:val="single"/>
          <w:lang w:val="en-US" w:eastAsia="zh-CN"/>
        </w:rPr>
        <w:t xml:space="preserve">              </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default" w:ascii="仿宋_GB2312" w:hAnsi="仿宋_GB2312" w:eastAsia="仿宋_GB2312" w:cs="仿宋_GB2312"/>
          <w:color w:val="auto"/>
          <w:sz w:val="28"/>
          <w:szCs w:val="28"/>
          <w:u w:val="single"/>
          <w:lang w:val="en-US" w:eastAsia="zh-CN"/>
        </w:rPr>
      </w:pPr>
      <w:r>
        <w:rPr>
          <w:rFonts w:hint="eastAsia" w:ascii="仿宋_GB2312" w:hAnsi="仿宋_GB2312" w:eastAsia="仿宋_GB2312" w:cs="仿宋_GB2312"/>
          <w:color w:val="auto"/>
          <w:sz w:val="28"/>
          <w:szCs w:val="28"/>
        </w:rPr>
        <w:t>开户行：</w:t>
      </w:r>
      <w:r>
        <w:rPr>
          <w:rFonts w:hint="eastAsia" w:ascii="仿宋_GB2312" w:hAnsi="仿宋_GB2312" w:eastAsia="仿宋_GB2312" w:cs="仿宋_GB2312"/>
          <w:color w:val="auto"/>
          <w:sz w:val="28"/>
          <w:szCs w:val="28"/>
          <w:u w:val="single"/>
          <w:lang w:val="en-US" w:eastAsia="zh-CN"/>
        </w:rPr>
        <w:t xml:space="preserve">            </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default" w:ascii="仿宋_GB2312" w:hAnsi="仿宋_GB2312" w:eastAsia="仿宋_GB2312" w:cs="仿宋_GB2312"/>
          <w:color w:val="auto"/>
          <w:sz w:val="28"/>
          <w:szCs w:val="28"/>
          <w:u w:val="single"/>
          <w:lang w:val="en-US" w:eastAsia="zh-CN"/>
        </w:rPr>
      </w:pPr>
      <w:r>
        <w:rPr>
          <w:rFonts w:hint="eastAsia" w:ascii="仿宋_GB2312" w:hAnsi="仿宋_GB2312" w:eastAsia="仿宋_GB2312" w:cs="仿宋_GB2312"/>
          <w:color w:val="auto"/>
          <w:sz w:val="28"/>
          <w:szCs w:val="28"/>
        </w:rPr>
        <w:t>账号：</w:t>
      </w:r>
      <w:r>
        <w:rPr>
          <w:rFonts w:hint="eastAsia" w:ascii="仿宋_GB2312" w:hAnsi="仿宋_GB2312" w:eastAsia="仿宋_GB2312" w:cs="仿宋_GB2312"/>
          <w:color w:val="auto"/>
          <w:sz w:val="28"/>
          <w:szCs w:val="28"/>
          <w:u w:val="single"/>
          <w:lang w:val="en-US" w:eastAsia="zh-CN"/>
        </w:rPr>
        <w:t xml:space="preserve">              </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7</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 xml:space="preserve">4 </w:t>
      </w:r>
      <w:r>
        <w:rPr>
          <w:rFonts w:hint="eastAsia" w:ascii="仿宋_GB2312" w:hAnsi="仿宋_GB2312" w:eastAsia="仿宋_GB2312" w:cs="仿宋_GB2312"/>
          <w:color w:val="auto"/>
          <w:sz w:val="28"/>
          <w:szCs w:val="28"/>
        </w:rPr>
        <w:t>乙方应在甲方每次付款前，向甲方提供以自己名义开具的与付款金额</w:t>
      </w:r>
      <w:r>
        <w:rPr>
          <w:rFonts w:hint="eastAsia" w:ascii="仿宋_GB2312" w:hAnsi="仿宋_GB2312" w:eastAsia="仿宋_GB2312" w:cs="仿宋_GB2312"/>
          <w:color w:val="auto"/>
          <w:sz w:val="28"/>
          <w:szCs w:val="28"/>
          <w:lang w:val="en-US" w:eastAsia="zh-CN"/>
        </w:rPr>
        <w:t>等</w:t>
      </w:r>
      <w:r>
        <w:rPr>
          <w:rFonts w:hint="eastAsia" w:ascii="仿宋_GB2312" w:hAnsi="仿宋_GB2312" w:eastAsia="仿宋_GB2312" w:cs="仿宋_GB2312"/>
          <w:color w:val="auto"/>
          <w:sz w:val="28"/>
          <w:szCs w:val="28"/>
        </w:rPr>
        <w:t>额的增值税普通发票。如乙方未提供发票，甲方有权顺延付款期限。</w:t>
      </w:r>
    </w:p>
    <w:p>
      <w:pPr>
        <w:keepNext w:val="0"/>
        <w:keepLines w:val="0"/>
        <w:pageBreakBefore w:val="0"/>
        <w:widowControl w:val="0"/>
        <w:kinsoku/>
        <w:wordWrap/>
        <w:overflowPunct/>
        <w:topLinePunct w:val="0"/>
        <w:autoSpaceDE/>
        <w:autoSpaceDN/>
        <w:bidi w:val="0"/>
        <w:spacing w:line="500" w:lineRule="exact"/>
        <w:ind w:firstLine="562" w:firstLineChars="200"/>
        <w:jc w:val="both"/>
        <w:textAlignment w:val="auto"/>
        <w:rPr>
          <w:rFonts w:hint="eastAsia" w:ascii="仿宋_GB2312" w:hAnsi="仿宋_GB2312" w:eastAsia="仿宋_GB2312" w:cs="仿宋_GB2312"/>
          <w:b/>
          <w:color w:val="auto"/>
          <w:sz w:val="28"/>
          <w:szCs w:val="28"/>
          <w:lang w:val="en-US" w:eastAsia="zh-CN"/>
        </w:rPr>
      </w:pPr>
      <w:r>
        <w:rPr>
          <w:rFonts w:hint="eastAsia" w:ascii="仿宋_GB2312" w:hAnsi="仿宋_GB2312" w:eastAsia="仿宋_GB2312" w:cs="仿宋_GB2312"/>
          <w:b/>
          <w:color w:val="auto"/>
          <w:sz w:val="28"/>
          <w:szCs w:val="28"/>
          <w:lang w:val="en-US" w:eastAsia="zh-CN"/>
        </w:rPr>
        <w:t>第八条 风险承担</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8.1 乙方履行本合同过程中发生事故，包括但不限于在运输、装卸、安装、调试培训及维护过程中发生事故，给甲方、乙方或第三方人身、财产造成的所有损失，均由乙方负责处理和承担全部法律责任、经济赔偿。</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8.2 如甲方因乙方服务等原因涉及纠纷、诉讼或被处以行政处罚，由乙方承担甲方因纠纷、诉讼、罚款等造成的全部经济损失。</w:t>
      </w:r>
    </w:p>
    <w:p>
      <w:pPr>
        <w:keepNext w:val="0"/>
        <w:keepLines w:val="0"/>
        <w:pageBreakBefore w:val="0"/>
        <w:widowControl w:val="0"/>
        <w:kinsoku/>
        <w:wordWrap/>
        <w:overflowPunct/>
        <w:topLinePunct w:val="0"/>
        <w:autoSpaceDE/>
        <w:autoSpaceDN/>
        <w:bidi w:val="0"/>
        <w:spacing w:line="500" w:lineRule="exact"/>
        <w:ind w:firstLine="562" w:firstLineChars="200"/>
        <w:jc w:val="both"/>
        <w:textAlignment w:val="auto"/>
        <w:rPr>
          <w:rFonts w:hint="eastAsia" w:ascii="仿宋_GB2312" w:hAnsi="仿宋_GB2312" w:eastAsia="仿宋_GB2312" w:cs="仿宋_GB2312"/>
          <w:b/>
          <w:color w:val="auto"/>
          <w:sz w:val="28"/>
          <w:szCs w:val="28"/>
          <w:lang w:val="en-US" w:eastAsia="zh-CN"/>
        </w:rPr>
      </w:pPr>
      <w:r>
        <w:rPr>
          <w:rFonts w:hint="eastAsia" w:ascii="仿宋_GB2312" w:hAnsi="仿宋_GB2312" w:eastAsia="仿宋_GB2312" w:cs="仿宋_GB2312"/>
          <w:b/>
          <w:color w:val="auto"/>
          <w:sz w:val="28"/>
          <w:szCs w:val="28"/>
          <w:lang w:val="en-US" w:eastAsia="zh-CN"/>
        </w:rPr>
        <w:t>第九条 廉洁条款</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9.1 乙方应严格遵守国家相关法律法规，涉及合同的有关业务活动必须坚持公开、公平、公正、诚信原则，不得为获取不正当利益，损害国家、集体和甲方利益。</w:t>
      </w:r>
    </w:p>
    <w:p>
      <w:pPr>
        <w:keepNext w:val="0"/>
        <w:keepLines w:val="0"/>
        <w:pageBreakBefore w:val="0"/>
        <w:widowControl w:val="0"/>
        <w:kinsoku/>
        <w:wordWrap/>
        <w:overflowPunct/>
        <w:topLinePunct w:val="0"/>
        <w:autoSpaceDE/>
        <w:autoSpaceDN/>
        <w:bidi w:val="0"/>
        <w:spacing w:line="500" w:lineRule="exact"/>
        <w:ind w:firstLine="562" w:firstLineChars="200"/>
        <w:jc w:val="both"/>
        <w:textAlignment w:val="auto"/>
        <w:rPr>
          <w:rFonts w:hint="eastAsia" w:ascii="仿宋_GB2312" w:hAnsi="仿宋_GB2312" w:eastAsia="仿宋_GB2312" w:cs="仿宋_GB2312"/>
          <w:b/>
          <w:bCs/>
          <w:color w:val="auto"/>
          <w:sz w:val="28"/>
          <w:szCs w:val="28"/>
          <w:u w:val="single"/>
          <w:lang w:val="en-US" w:eastAsia="zh-CN"/>
        </w:rPr>
      </w:pPr>
      <w:r>
        <w:rPr>
          <w:rFonts w:hint="eastAsia" w:ascii="仿宋_GB2312" w:hAnsi="仿宋_GB2312" w:eastAsia="仿宋_GB2312" w:cs="仿宋_GB2312"/>
          <w:b/>
          <w:bCs/>
          <w:color w:val="auto"/>
          <w:sz w:val="28"/>
          <w:szCs w:val="28"/>
          <w:u w:val="single"/>
          <w:lang w:val="en-US" w:eastAsia="zh-CN"/>
        </w:rPr>
        <w:t>9.2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pPr>
        <w:keepNext w:val="0"/>
        <w:keepLines w:val="0"/>
        <w:pageBreakBefore w:val="0"/>
        <w:widowControl w:val="0"/>
        <w:kinsoku/>
        <w:wordWrap/>
        <w:overflowPunct/>
        <w:topLinePunct w:val="0"/>
        <w:autoSpaceDE/>
        <w:autoSpaceDN/>
        <w:bidi w:val="0"/>
        <w:spacing w:line="500" w:lineRule="exact"/>
        <w:ind w:firstLine="562" w:firstLineChars="200"/>
        <w:jc w:val="both"/>
        <w:textAlignment w:val="auto"/>
        <w:rPr>
          <w:rFonts w:hint="eastAsia" w:ascii="仿宋_GB2312" w:hAnsi="仿宋_GB2312" w:eastAsia="仿宋_GB2312" w:cs="仿宋_GB2312"/>
          <w:b/>
          <w:color w:val="auto"/>
          <w:sz w:val="28"/>
          <w:szCs w:val="28"/>
          <w:lang w:val="en-US" w:eastAsia="zh-CN"/>
        </w:rPr>
      </w:pPr>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十</w:t>
      </w:r>
      <w:r>
        <w:rPr>
          <w:rFonts w:hint="eastAsia" w:ascii="仿宋_GB2312" w:hAnsi="仿宋_GB2312" w:eastAsia="仿宋_GB2312" w:cs="仿宋_GB2312"/>
          <w:b/>
          <w:color w:val="auto"/>
          <w:sz w:val="28"/>
          <w:szCs w:val="28"/>
        </w:rPr>
        <w:t>条 保密</w:t>
      </w:r>
      <w:r>
        <w:rPr>
          <w:rFonts w:hint="eastAsia" w:ascii="仿宋_GB2312" w:hAnsi="仿宋_GB2312" w:eastAsia="仿宋_GB2312" w:cs="仿宋_GB2312"/>
          <w:b/>
          <w:color w:val="auto"/>
          <w:sz w:val="28"/>
          <w:szCs w:val="28"/>
          <w:lang w:val="en-US" w:eastAsia="zh-CN"/>
        </w:rPr>
        <w:t>义务</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10.1双方在磋商、签订、履行本合同过程中知晓的任何形式的信息、资料、数据（以下合称“保密信息”），双方约定如下：</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10.1.1 未经任意一方书面同意，不得将保密信息用于任何非本合同之目的用途。</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10.1.2 未经任意一方书面同意，不得将保密信息透露给任何第三方。不得允许（出借、赠予、出租、转让等处理保密信息的行为皆属于“允许”）或协助未经授权的第三方使用保密信息。</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10.1.3 乙方保证对甲方提供的保密信息予以妥善保存，并至少采取适用于对自己的保密信息同样的保护措施和审慎程度进行保密。</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10.1.4 乙方不得刺探与本身业务无关的甲方保密信息。</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10.1.5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10.1.6 项目终止后，乙方应立即将甲方的保密信息全部载体归还甲方，或根据甲方的要求予以销毁，不得以任何形式保留原件或备份。</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10.1.7 若乙方与第三方合并、被第三方兼并或被第三方直接或间接控制，不得向该第三方披露任何甲方的保密信息。乙方应立即将甲方的保密信息全部载体归还甲方，或根据甲方的要求予以销毁，不得以任何形式保留原件或备份。但如事先获得甲方的书面同意，乙方可继续使用该保密信息。</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10.1.8 如果乙方被要求向政府部门、法院或其他有权部门提供保密信息，乙方在可能的情况下，应立即向甲方予以通报。</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10.1.9 任何保密信息的获取并不意味着授予乙方任何有关甲方所有的专利权或版权，也不意味着授予乙方有关甲方保密信息的任何权利，除了乙方有权为履行其在合同项目下的义务合理使用甲方提供的保密信息。</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10.1.10 保密义务同样适用于有关未经注册或未被授予专利权的发明的文件和信息。因对本协议所指保密信息的使用而直接或间接产生的知识产权方面的权利由双方当事人协商决定其归属。</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10.2 本合同中所说“保密信息”指如下信息：</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10.2.1 双方就合同订立、履行、变更等产生的研究、商讨、交流等信息。</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10.2.2 与甲方有关为乙方知晓、保存或可能上传、交换的信息，包括但不限于如下：</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10.2.2.1 技术信息：包括涉及甲方信息化建设中的技术信息，包括软件技术、数据、管理文件等；</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10.2.2.2 人事信息：包括涉及甲方的人事档案、薪酬及考核等人力资源管理信息；</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10.2.2.3 医院运行信息：包括涉及甲方业务运行的各种信息，医院经营方向、经营决策、定价政策以及内部掌握的合同、协议、项目方案等；</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10.2.2.4 财务信息：包括涉及甲方的各项财务报表、成本及预算报告、员工工资等；</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10.2.2.5 患者信息：包括涉及甲方门诊、住院患者的相关诊疗信息，如患者基本信息、诊疗计划、病历信息、费用信息、处方等；</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10.2.2.6 应当予以保密的商业秘密、个人隐私等信息。</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10.3 本合同约定的保密信息为永久绝对保密，保密条款在本合同终止后仍然有效。</w:t>
      </w:r>
    </w:p>
    <w:p>
      <w:pPr>
        <w:keepNext w:val="0"/>
        <w:keepLines w:val="0"/>
        <w:pageBreakBefore w:val="0"/>
        <w:widowControl w:val="0"/>
        <w:kinsoku/>
        <w:wordWrap/>
        <w:overflowPunct/>
        <w:topLinePunct w:val="0"/>
        <w:autoSpaceDE/>
        <w:autoSpaceDN/>
        <w:bidi w:val="0"/>
        <w:spacing w:line="500" w:lineRule="exact"/>
        <w:ind w:firstLine="562" w:firstLineChars="200"/>
        <w:jc w:val="both"/>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b/>
          <w:bCs/>
          <w:color w:val="auto"/>
          <w:sz w:val="28"/>
          <w:szCs w:val="28"/>
          <w:lang w:val="en-US" w:eastAsia="zh-CN"/>
        </w:rPr>
        <w:t>第十一条 知识产权</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11.1 </w:t>
      </w:r>
      <w:r>
        <w:rPr>
          <w:rFonts w:hint="eastAsia" w:ascii="仿宋_GB2312" w:hAnsi="仿宋_GB2312" w:eastAsia="仿宋_GB2312" w:cs="仿宋_GB2312"/>
          <w:color w:val="auto"/>
          <w:sz w:val="28"/>
          <w:szCs w:val="28"/>
        </w:rPr>
        <w:t>乙方应确保其向甲方提供的所有应用、软件、数据信息享有知识产权或取得相关权利人的合法授权，且符合相关法律法规规定和技术规范要求，不存在侵犯任何第三方合法权益（包括但不限于知识产权、肖像权、名誉权、隐私权等）的情况；如乙方违反上述保证而引起任何争议，由乙方负责解决并承担相关费用。</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11.2</w:t>
      </w:r>
      <w:r>
        <w:rPr>
          <w:rFonts w:hint="eastAsia" w:ascii="仿宋_GB2312" w:hAnsi="仿宋_GB2312" w:eastAsia="仿宋_GB2312" w:cs="仿宋_GB2312"/>
          <w:color w:val="auto"/>
          <w:sz w:val="28"/>
          <w:szCs w:val="28"/>
          <w:highlight w:val="none"/>
        </w:rPr>
        <w:t xml:space="preserve"> 乙方利用甲方提供的技术服务完成的技术成果，其知识产权归甲方所有。</w:t>
      </w:r>
    </w:p>
    <w:p>
      <w:pPr>
        <w:pStyle w:val="16"/>
        <w:keepNext w:val="0"/>
        <w:keepLines w:val="0"/>
        <w:pageBreakBefore w:val="0"/>
        <w:widowControl w:val="0"/>
        <w:kinsoku/>
        <w:wordWrap/>
        <w:overflowPunct/>
        <w:topLinePunct w:val="0"/>
        <w:autoSpaceDE/>
        <w:autoSpaceDN/>
        <w:bidi w:val="0"/>
        <w:spacing w:line="500" w:lineRule="exact"/>
        <w:ind w:firstLine="562" w:firstLineChars="200"/>
        <w:jc w:val="both"/>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第十二条 通知与送达</w:t>
      </w:r>
    </w:p>
    <w:p>
      <w:pPr>
        <w:pStyle w:val="16"/>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12.1 甲乙双方同意，与本合同有关的任何文书，应以书面方式按照本合同约定发送，书面方式包括手机短信、微信、书面函件、电子邮件等形式。</w:t>
      </w:r>
    </w:p>
    <w:p>
      <w:pPr>
        <w:pStyle w:val="16"/>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12.2 双方确认的文书（包括未来可能发生的诉讼或仲裁活动中法院或仲裁机构的送达法律文书）送达地址：</w:t>
      </w:r>
    </w:p>
    <w:p>
      <w:pPr>
        <w:pStyle w:val="16"/>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12.2.1 甲方的联系地址：</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，联系人：</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，联系电话：</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，邮箱地址：</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，或微信号：</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w:t>
      </w:r>
    </w:p>
    <w:p>
      <w:pPr>
        <w:pStyle w:val="16"/>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12.2.2 乙方的联系地址：</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，联系人：</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 联系电话：</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，邮箱地址：</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，或微信号：</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w:t>
      </w:r>
    </w:p>
    <w:p>
      <w:pPr>
        <w:pStyle w:val="16"/>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12.3 上述通知应被视为在下列时间送达：以快递或专人发送的，在收件人签收之日或拒收之日；以挂号邮件发出的，在发出之日起7个工作日；以电子邮件发出的，在电子邮件进入收件方电子邮箱服务器之日。</w:t>
      </w:r>
    </w:p>
    <w:p>
      <w:pPr>
        <w:pStyle w:val="16"/>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12.4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pPr>
        <w:pStyle w:val="16"/>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b/>
          <w:color w:val="auto"/>
          <w:sz w:val="28"/>
          <w:szCs w:val="28"/>
          <w:lang w:val="en-US" w:eastAsia="zh-CN"/>
        </w:rPr>
      </w:pPr>
      <w:r>
        <w:rPr>
          <w:rFonts w:hint="eastAsia" w:ascii="仿宋_GB2312" w:hAnsi="仿宋_GB2312" w:eastAsia="仿宋_GB2312" w:cs="仿宋_GB2312"/>
          <w:b/>
          <w:color w:val="auto"/>
          <w:sz w:val="28"/>
          <w:szCs w:val="28"/>
          <w:lang w:val="en-US" w:eastAsia="zh-CN"/>
        </w:rPr>
        <w:t>第十三条 合同的变更和解除</w:t>
      </w:r>
    </w:p>
    <w:p>
      <w:pPr>
        <w:pStyle w:val="1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13.1 本合同经双方协商一致后可以变更，双方应另行签订补充协议。</w:t>
      </w:r>
    </w:p>
    <w:p>
      <w:pPr>
        <w:pStyle w:val="1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13.2 乙方出现以下违约情形之一的，甲方有权拒绝支付任何价款并解除合同：</w:t>
      </w:r>
    </w:p>
    <w:p>
      <w:pPr>
        <w:pStyle w:val="1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13.2.1 未在约定期限内完成软件安装、调试并通过验收，逾期</w:t>
      </w:r>
      <w:r>
        <w:rPr>
          <w:rFonts w:hint="eastAsia" w:ascii="仿宋_GB2312" w:hAnsi="仿宋_GB2312" w:eastAsia="仿宋_GB2312" w:cs="仿宋_GB2312"/>
          <w:color w:val="auto"/>
          <w:kern w:val="2"/>
          <w:sz w:val="28"/>
          <w:szCs w:val="28"/>
          <w:u w:val="single"/>
          <w:lang w:val="en-US" w:eastAsia="zh-CN" w:bidi="ar-SA"/>
        </w:rPr>
        <w:t xml:space="preserve"> 10 </w:t>
      </w:r>
      <w:r>
        <w:rPr>
          <w:rFonts w:hint="eastAsia" w:ascii="仿宋_GB2312" w:hAnsi="仿宋_GB2312" w:eastAsia="仿宋_GB2312" w:cs="仿宋_GB2312"/>
          <w:color w:val="auto"/>
          <w:kern w:val="2"/>
          <w:sz w:val="28"/>
          <w:szCs w:val="28"/>
          <w:u w:val="none"/>
          <w:lang w:val="en-US" w:eastAsia="zh-CN" w:bidi="ar-SA"/>
        </w:rPr>
        <w:t>日</w:t>
      </w:r>
      <w:r>
        <w:rPr>
          <w:rFonts w:hint="eastAsia" w:ascii="仿宋_GB2312" w:hAnsi="仿宋_GB2312" w:eastAsia="仿宋_GB2312" w:cs="仿宋_GB2312"/>
          <w:color w:val="auto"/>
          <w:kern w:val="2"/>
          <w:sz w:val="28"/>
          <w:szCs w:val="28"/>
          <w:lang w:val="en-US" w:eastAsia="zh-CN" w:bidi="ar-SA"/>
        </w:rPr>
        <w:t>仍不能完成的；</w:t>
      </w:r>
    </w:p>
    <w:p>
      <w:pPr>
        <w:pStyle w:val="1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13.2.2 软件功能验收不合格，经返工后仍未通过甲方验收的；</w:t>
      </w:r>
    </w:p>
    <w:p>
      <w:pPr>
        <w:pStyle w:val="1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13.2.3 免费维保期内连续2次未按甲方要求完成维保服务的；</w:t>
      </w:r>
    </w:p>
    <w:p>
      <w:pPr>
        <w:pStyle w:val="1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13.2.4 乙方将本合同权利义务全部或部分转让给第三方；</w:t>
      </w:r>
    </w:p>
    <w:p>
      <w:pPr>
        <w:pStyle w:val="1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2"/>
          <w:sz w:val="28"/>
          <w:szCs w:val="28"/>
          <w:u w:val="none"/>
          <w:lang w:val="en-US" w:eastAsia="zh-CN" w:bidi="ar-SA"/>
        </w:rPr>
      </w:pPr>
      <w:r>
        <w:rPr>
          <w:rFonts w:hint="eastAsia" w:ascii="仿宋_GB2312" w:hAnsi="仿宋_GB2312" w:eastAsia="仿宋_GB2312" w:cs="仿宋_GB2312"/>
          <w:color w:val="auto"/>
          <w:kern w:val="2"/>
          <w:sz w:val="28"/>
          <w:szCs w:val="28"/>
          <w:lang w:val="en-US" w:eastAsia="zh-CN" w:bidi="ar-SA"/>
        </w:rPr>
        <w:t>13.2.5 甲方要求更换乙方工作人员，乙方逾期</w:t>
      </w:r>
      <w:r>
        <w:rPr>
          <w:rFonts w:hint="eastAsia" w:ascii="仿宋_GB2312" w:hAnsi="仿宋_GB2312" w:eastAsia="仿宋_GB2312" w:cs="仿宋_GB2312"/>
          <w:color w:val="auto"/>
          <w:kern w:val="2"/>
          <w:sz w:val="28"/>
          <w:szCs w:val="28"/>
          <w:u w:val="single"/>
          <w:lang w:val="en-US" w:eastAsia="zh-CN" w:bidi="ar-SA"/>
        </w:rPr>
        <w:t xml:space="preserve"> 7 </w:t>
      </w:r>
      <w:r>
        <w:rPr>
          <w:rFonts w:hint="eastAsia" w:ascii="仿宋_GB2312" w:hAnsi="仿宋_GB2312" w:eastAsia="仿宋_GB2312" w:cs="仿宋_GB2312"/>
          <w:color w:val="auto"/>
          <w:kern w:val="2"/>
          <w:sz w:val="28"/>
          <w:szCs w:val="28"/>
          <w:u w:val="none"/>
          <w:lang w:val="en-US" w:eastAsia="zh-CN" w:bidi="ar-SA"/>
        </w:rPr>
        <w:t>日仍不更换的；</w:t>
      </w:r>
    </w:p>
    <w:p>
      <w:pPr>
        <w:pStyle w:val="1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color w:val="auto"/>
          <w:kern w:val="2"/>
          <w:sz w:val="28"/>
          <w:szCs w:val="28"/>
          <w:u w:val="none"/>
          <w:lang w:val="en-US" w:eastAsia="zh-CN" w:bidi="ar-SA"/>
        </w:rPr>
      </w:pPr>
      <w:r>
        <w:rPr>
          <w:rFonts w:hint="eastAsia" w:ascii="仿宋_GB2312" w:hAnsi="仿宋_GB2312" w:eastAsia="仿宋_GB2312" w:cs="仿宋_GB2312"/>
          <w:color w:val="auto"/>
          <w:kern w:val="2"/>
          <w:sz w:val="28"/>
          <w:szCs w:val="28"/>
          <w:u w:val="none"/>
          <w:lang w:val="en-US" w:eastAsia="zh-CN" w:bidi="ar-SA"/>
        </w:rPr>
        <w:t>13.2.6 乙方违反保密义务的；</w:t>
      </w:r>
    </w:p>
    <w:p>
      <w:pPr>
        <w:pStyle w:val="1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13.2.7 其他根本违约的情形。</w:t>
      </w:r>
    </w:p>
    <w:p>
      <w:pPr>
        <w:pStyle w:val="16"/>
        <w:keepNext w:val="0"/>
        <w:keepLines w:val="0"/>
        <w:pageBreakBefore w:val="0"/>
        <w:widowControl w:val="0"/>
        <w:kinsoku/>
        <w:wordWrap/>
        <w:overflowPunct/>
        <w:topLinePunct w:val="0"/>
        <w:autoSpaceDE/>
        <w:autoSpaceDN/>
        <w:bidi w:val="0"/>
        <w:spacing w:line="500" w:lineRule="exact"/>
        <w:ind w:firstLine="562" w:firstLineChars="200"/>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十四</w:t>
      </w:r>
      <w:r>
        <w:rPr>
          <w:rFonts w:hint="eastAsia" w:ascii="仿宋_GB2312" w:hAnsi="仿宋_GB2312" w:eastAsia="仿宋_GB2312" w:cs="仿宋_GB2312"/>
          <w:b/>
          <w:color w:val="auto"/>
          <w:sz w:val="28"/>
          <w:szCs w:val="28"/>
        </w:rPr>
        <w:t>条 违约责任</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14</w:t>
      </w:r>
      <w:r>
        <w:rPr>
          <w:rFonts w:hint="eastAsia" w:ascii="仿宋_GB2312" w:hAnsi="仿宋_GB2312" w:eastAsia="仿宋_GB2312" w:cs="仿宋_GB2312"/>
          <w:color w:val="auto"/>
          <w:sz w:val="28"/>
          <w:szCs w:val="28"/>
        </w:rPr>
        <w:t>.1 乙方未在本合同约定</w:t>
      </w:r>
      <w:r>
        <w:rPr>
          <w:rFonts w:hint="eastAsia" w:ascii="仿宋_GB2312" w:hAnsi="仿宋_GB2312" w:eastAsia="仿宋_GB2312" w:cs="仿宋_GB2312"/>
          <w:color w:val="auto"/>
          <w:sz w:val="28"/>
          <w:szCs w:val="28"/>
          <w:lang w:val="en-US" w:eastAsia="zh-CN"/>
        </w:rPr>
        <w:t>期限内通过甲方验收的</w:t>
      </w:r>
      <w:r>
        <w:rPr>
          <w:rFonts w:hint="eastAsia" w:ascii="仿宋_GB2312" w:hAnsi="仿宋_GB2312" w:eastAsia="仿宋_GB2312" w:cs="仿宋_GB2312"/>
          <w:color w:val="auto"/>
          <w:sz w:val="28"/>
          <w:szCs w:val="28"/>
        </w:rPr>
        <w:t>，除应赔偿甲方因此造成的损失外，每逾期一日，按合同总</w:t>
      </w:r>
      <w:r>
        <w:rPr>
          <w:rFonts w:hint="eastAsia" w:ascii="仿宋_GB2312" w:hAnsi="仿宋_GB2312" w:eastAsia="仿宋_GB2312" w:cs="仿宋_GB2312"/>
          <w:color w:val="auto"/>
          <w:sz w:val="28"/>
          <w:szCs w:val="28"/>
          <w:lang w:val="en-US" w:eastAsia="zh-CN"/>
        </w:rPr>
        <w:t>价款</w:t>
      </w:r>
      <w:r>
        <w:rPr>
          <w:rFonts w:hint="eastAsia" w:ascii="仿宋_GB2312" w:hAnsi="仿宋_GB2312" w:eastAsia="仿宋_GB2312" w:cs="仿宋_GB2312"/>
          <w:color w:val="auto"/>
          <w:sz w:val="28"/>
          <w:szCs w:val="28"/>
          <w:lang w:eastAsia="zh-CN"/>
        </w:rPr>
        <w:t>千分之一</w:t>
      </w:r>
      <w:r>
        <w:rPr>
          <w:rFonts w:hint="eastAsia" w:ascii="仿宋_GB2312" w:hAnsi="仿宋_GB2312" w:eastAsia="仿宋_GB2312" w:cs="仿宋_GB2312"/>
          <w:color w:val="auto"/>
          <w:sz w:val="28"/>
          <w:szCs w:val="28"/>
        </w:rPr>
        <w:t>的标准</w:t>
      </w:r>
      <w:r>
        <w:rPr>
          <w:rFonts w:hint="eastAsia" w:ascii="仿宋_GB2312" w:hAnsi="仿宋_GB2312" w:eastAsia="仿宋_GB2312" w:cs="仿宋_GB2312"/>
          <w:color w:val="auto"/>
          <w:sz w:val="28"/>
          <w:szCs w:val="28"/>
          <w:lang w:val="en-US" w:eastAsia="zh-CN"/>
        </w:rPr>
        <w:t>向</w:t>
      </w:r>
      <w:r>
        <w:rPr>
          <w:rFonts w:hint="eastAsia" w:ascii="仿宋_GB2312" w:hAnsi="仿宋_GB2312" w:eastAsia="仿宋_GB2312" w:cs="仿宋_GB2312"/>
          <w:color w:val="auto"/>
          <w:sz w:val="28"/>
          <w:szCs w:val="28"/>
        </w:rPr>
        <w:t>甲方支付违约金。</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14.2 乙方未按合同约定及时完成维保服务或未在约定时间内按甲方要求更换乙方工作人员的，除应赔偿甲方因此造成的损失外，每逾期一日，按合同总价款千分之一的标准向甲方支付违约金。</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14.3</w:t>
      </w:r>
      <w:r>
        <w:rPr>
          <w:rFonts w:hint="eastAsia" w:ascii="仿宋_GB2312" w:hAnsi="仿宋_GB2312" w:eastAsia="仿宋_GB2312" w:cs="仿宋_GB2312"/>
          <w:color w:val="auto"/>
          <w:sz w:val="28"/>
          <w:szCs w:val="28"/>
        </w:rPr>
        <w:t xml:space="preserve"> 如乙方单方解除合同或甲方因</w:t>
      </w:r>
      <w:r>
        <w:rPr>
          <w:rFonts w:hint="eastAsia" w:ascii="仿宋_GB2312" w:hAnsi="仿宋_GB2312" w:eastAsia="仿宋_GB2312" w:cs="仿宋_GB2312"/>
          <w:color w:val="auto"/>
          <w:sz w:val="28"/>
          <w:szCs w:val="28"/>
          <w:lang w:val="en-US" w:eastAsia="zh-CN"/>
        </w:rPr>
        <w:t>13.2情形</w:t>
      </w:r>
      <w:r>
        <w:rPr>
          <w:rFonts w:hint="eastAsia" w:ascii="仿宋_GB2312" w:hAnsi="仿宋_GB2312" w:eastAsia="仿宋_GB2312" w:cs="仿宋_GB2312"/>
          <w:color w:val="auto"/>
          <w:sz w:val="28"/>
          <w:szCs w:val="28"/>
        </w:rPr>
        <w:t>解除合同，乙方应赔偿给甲方造成的全部经济损失</w:t>
      </w:r>
      <w:r>
        <w:rPr>
          <w:rFonts w:hint="eastAsia" w:ascii="仿宋_GB2312" w:hAnsi="仿宋_GB2312" w:eastAsia="仿宋_GB2312" w:cs="仿宋_GB2312"/>
          <w:color w:val="auto"/>
          <w:sz w:val="28"/>
          <w:szCs w:val="28"/>
          <w:lang w:val="en-US" w:eastAsia="zh-CN"/>
        </w:rPr>
        <w:t>（包括但不限于实际经济损失，第三方履行产生的费用，因纠纷产生的律师费、诉讼费、差旅费等）</w:t>
      </w:r>
      <w:r>
        <w:rPr>
          <w:rFonts w:hint="eastAsia" w:ascii="仿宋_GB2312" w:hAnsi="仿宋_GB2312" w:eastAsia="仿宋_GB2312" w:cs="仿宋_GB2312"/>
          <w:color w:val="auto"/>
          <w:sz w:val="28"/>
          <w:szCs w:val="28"/>
        </w:rPr>
        <w:t>，并按本合同总价款30%</w:t>
      </w:r>
      <w:r>
        <w:rPr>
          <w:rFonts w:hint="eastAsia" w:ascii="仿宋_GB2312" w:hAnsi="仿宋_GB2312" w:eastAsia="仿宋_GB2312" w:cs="仿宋_GB2312"/>
          <w:color w:val="auto"/>
          <w:sz w:val="28"/>
          <w:szCs w:val="28"/>
          <w:lang w:val="en-US" w:eastAsia="zh-CN"/>
        </w:rPr>
        <w:t>的</w:t>
      </w:r>
      <w:r>
        <w:rPr>
          <w:rFonts w:hint="eastAsia" w:ascii="仿宋_GB2312" w:hAnsi="仿宋_GB2312" w:eastAsia="仿宋_GB2312" w:cs="仿宋_GB2312"/>
          <w:color w:val="auto"/>
          <w:sz w:val="28"/>
          <w:szCs w:val="28"/>
        </w:rPr>
        <w:t>标准</w:t>
      </w:r>
      <w:r>
        <w:rPr>
          <w:rFonts w:hint="eastAsia" w:ascii="仿宋_GB2312" w:hAnsi="仿宋_GB2312" w:eastAsia="仿宋_GB2312" w:cs="仿宋_GB2312"/>
          <w:color w:val="auto"/>
          <w:sz w:val="28"/>
          <w:szCs w:val="28"/>
          <w:lang w:val="en-US" w:eastAsia="zh-CN"/>
        </w:rPr>
        <w:t>向</w:t>
      </w:r>
      <w:r>
        <w:rPr>
          <w:rFonts w:hint="eastAsia" w:ascii="仿宋_GB2312" w:hAnsi="仿宋_GB2312" w:eastAsia="仿宋_GB2312" w:cs="仿宋_GB2312"/>
          <w:color w:val="auto"/>
          <w:sz w:val="28"/>
          <w:szCs w:val="28"/>
        </w:rPr>
        <w:t>甲方支付违约金。</w:t>
      </w:r>
    </w:p>
    <w:p>
      <w:pPr>
        <w:keepNext w:val="0"/>
        <w:keepLines w:val="0"/>
        <w:pageBreakBefore w:val="0"/>
        <w:widowControl w:val="0"/>
        <w:kinsoku/>
        <w:wordWrap/>
        <w:overflowPunct/>
        <w:topLinePunct w:val="0"/>
        <w:autoSpaceDE/>
        <w:autoSpaceDN/>
        <w:bidi w:val="0"/>
        <w:spacing w:line="500" w:lineRule="exact"/>
        <w:ind w:firstLine="562" w:firstLineChars="200"/>
        <w:jc w:val="both"/>
        <w:textAlignment w:val="auto"/>
        <w:rPr>
          <w:rFonts w:hint="eastAsia" w:ascii="仿宋_GB2312" w:hAnsi="仿宋_GB2312" w:eastAsia="仿宋_GB2312" w:cs="仿宋_GB2312"/>
          <w:b/>
          <w:bCs/>
          <w:color w:val="auto"/>
          <w:sz w:val="28"/>
          <w:szCs w:val="28"/>
          <w:u w:val="single"/>
          <w:lang w:val="en-US" w:eastAsia="zh-CN"/>
        </w:rPr>
      </w:pPr>
      <w:r>
        <w:rPr>
          <w:rFonts w:hint="eastAsia" w:ascii="仿宋_GB2312" w:hAnsi="仿宋_GB2312" w:eastAsia="仿宋_GB2312" w:cs="仿宋_GB2312"/>
          <w:b/>
          <w:bCs/>
          <w:color w:val="auto"/>
          <w:sz w:val="28"/>
          <w:szCs w:val="28"/>
          <w:u w:val="single"/>
          <w:lang w:val="en-US" w:eastAsia="zh-CN"/>
        </w:rPr>
        <w:t>14.4 无论甲方在任意时候（不限于本合同履行期间）发现存在违反本合同廉洁条款的行为，乙方均须向甲方一次性支付惩罚性违约金50000.00元。如乙方除需承担违反廉洁条款的违约责任外，同时存在其他违约行为，乙方仍须就其他违约行为承担相应违约责任。</w:t>
      </w:r>
    </w:p>
    <w:p>
      <w:pPr>
        <w:keepNext w:val="0"/>
        <w:keepLines w:val="0"/>
        <w:pageBreakBefore w:val="0"/>
        <w:widowControl w:val="0"/>
        <w:kinsoku/>
        <w:wordWrap/>
        <w:overflowPunct/>
        <w:topLinePunct w:val="0"/>
        <w:autoSpaceDE/>
        <w:autoSpaceDN/>
        <w:bidi w:val="0"/>
        <w:spacing w:line="500" w:lineRule="exact"/>
        <w:ind w:firstLine="562" w:firstLineChars="200"/>
        <w:jc w:val="both"/>
        <w:textAlignment w:val="auto"/>
        <w:rPr>
          <w:rFonts w:hint="eastAsia" w:ascii="仿宋_GB2312" w:hAnsi="仿宋_GB2312" w:eastAsia="仿宋_GB2312" w:cs="仿宋_GB2312"/>
          <w:b/>
          <w:bCs/>
          <w:color w:val="auto"/>
          <w:sz w:val="28"/>
          <w:szCs w:val="28"/>
          <w:u w:val="single"/>
        </w:rPr>
      </w:pPr>
      <w:r>
        <w:rPr>
          <w:rFonts w:hint="eastAsia" w:ascii="仿宋_GB2312" w:hAnsi="仿宋_GB2312" w:eastAsia="仿宋_GB2312" w:cs="仿宋_GB2312"/>
          <w:b/>
          <w:bCs/>
          <w:color w:val="auto"/>
          <w:sz w:val="28"/>
          <w:szCs w:val="28"/>
          <w:u w:val="single"/>
          <w:lang w:val="en-US" w:eastAsia="zh-CN"/>
        </w:rPr>
        <w:t>14.5 依据本合同约定乙方应支付给甲方的违约金，甲方有权在应支付给乙方的任意价款中直接予以扣除，如扣除部分不足，乙方应在接到甲方通知后3日内补足。</w:t>
      </w:r>
    </w:p>
    <w:p>
      <w:pPr>
        <w:keepNext w:val="0"/>
        <w:keepLines w:val="0"/>
        <w:pageBreakBefore w:val="0"/>
        <w:widowControl w:val="0"/>
        <w:kinsoku/>
        <w:wordWrap/>
        <w:overflowPunct/>
        <w:topLinePunct w:val="0"/>
        <w:autoSpaceDE/>
        <w:autoSpaceDN/>
        <w:bidi w:val="0"/>
        <w:spacing w:line="500" w:lineRule="exact"/>
        <w:ind w:firstLine="562" w:firstLineChars="200"/>
        <w:jc w:val="both"/>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第十</w:t>
      </w:r>
      <w:r>
        <w:rPr>
          <w:rFonts w:hint="eastAsia" w:ascii="仿宋_GB2312" w:hAnsi="仿宋_GB2312" w:eastAsia="仿宋_GB2312" w:cs="仿宋_GB2312"/>
          <w:b/>
          <w:color w:val="auto"/>
          <w:sz w:val="28"/>
          <w:szCs w:val="28"/>
          <w:lang w:val="en-US" w:eastAsia="zh-CN"/>
        </w:rPr>
        <w:t>五</w:t>
      </w:r>
      <w:r>
        <w:rPr>
          <w:rFonts w:hint="eastAsia" w:ascii="仿宋_GB2312" w:hAnsi="仿宋_GB2312" w:eastAsia="仿宋_GB2312" w:cs="仿宋_GB2312"/>
          <w:b/>
          <w:color w:val="auto"/>
          <w:sz w:val="28"/>
          <w:szCs w:val="28"/>
        </w:rPr>
        <w:t>条 法律适用和争议解决</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.1 本合同的成立、有效性、解释、履行、签署、修订和终止以及争议的解决均应适用中华人民共和国法律。</w:t>
      </w:r>
    </w:p>
    <w:p>
      <w:pPr>
        <w:keepNext w:val="0"/>
        <w:keepLines w:val="0"/>
        <w:pageBreakBefore w:val="0"/>
        <w:widowControl w:val="0"/>
        <w:kinsoku/>
        <w:wordWrap/>
        <w:overflowPunct/>
        <w:topLinePunct w:val="0"/>
        <w:autoSpaceDE/>
        <w:autoSpaceDN/>
        <w:bidi w:val="0"/>
        <w:spacing w:line="500" w:lineRule="exact"/>
        <w:ind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.2 如双方在履行本合同过程中发生争议，双方应先协商解决，协商解决不成的，任一方均可向甲方所在地有管辖权的人民法院提起诉讼解决。</w:t>
      </w:r>
    </w:p>
    <w:p>
      <w:pPr>
        <w:keepNext w:val="0"/>
        <w:keepLines w:val="0"/>
        <w:pageBreakBefore w:val="0"/>
        <w:widowControl w:val="0"/>
        <w:kinsoku/>
        <w:wordWrap/>
        <w:overflowPunct/>
        <w:topLinePunct w:val="0"/>
        <w:autoSpaceDE/>
        <w:autoSpaceDN/>
        <w:bidi w:val="0"/>
        <w:spacing w:line="500" w:lineRule="exact"/>
        <w:ind w:firstLine="562" w:firstLineChars="200"/>
        <w:jc w:val="both"/>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第十</w:t>
      </w:r>
      <w:r>
        <w:rPr>
          <w:rFonts w:hint="eastAsia" w:ascii="仿宋_GB2312" w:hAnsi="仿宋_GB2312" w:eastAsia="仿宋_GB2312" w:cs="仿宋_GB2312"/>
          <w:b/>
          <w:color w:val="auto"/>
          <w:sz w:val="28"/>
          <w:szCs w:val="28"/>
          <w:lang w:val="en-US" w:eastAsia="zh-CN"/>
        </w:rPr>
        <w:t>六</w:t>
      </w:r>
      <w:r>
        <w:rPr>
          <w:rFonts w:hint="eastAsia" w:ascii="仿宋_GB2312" w:hAnsi="仿宋_GB2312" w:eastAsia="仿宋_GB2312" w:cs="仿宋_GB2312"/>
          <w:b/>
          <w:color w:val="auto"/>
          <w:sz w:val="28"/>
          <w:szCs w:val="28"/>
        </w:rPr>
        <w:t>条 附则</w:t>
      </w:r>
    </w:p>
    <w:p>
      <w:pPr>
        <w:keepNext w:val="0"/>
        <w:keepLines w:val="0"/>
        <w:pageBreakBefore w:val="0"/>
        <w:widowControl w:val="0"/>
        <w:kinsoku/>
        <w:wordWrap/>
        <w:overflowPunct/>
        <w:topLinePunct w:val="0"/>
        <w:autoSpaceDE/>
        <w:autoSpaceDN/>
        <w:bidi w:val="0"/>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1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pPr>
        <w:keepNext w:val="0"/>
        <w:keepLines w:val="0"/>
        <w:pageBreakBefore w:val="0"/>
        <w:widowControl w:val="0"/>
        <w:kinsoku/>
        <w:wordWrap/>
        <w:overflowPunct/>
        <w:topLinePunct w:val="0"/>
        <w:autoSpaceDE/>
        <w:autoSpaceDN/>
        <w:bidi w:val="0"/>
        <w:spacing w:line="500" w:lineRule="exact"/>
        <w:ind w:firstLine="560"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 xml:space="preserve">6.2 </w:t>
      </w:r>
      <w:r>
        <w:rPr>
          <w:rFonts w:hint="eastAsia" w:ascii="仿宋_GB2312" w:hAnsi="仿宋_GB2312" w:eastAsia="仿宋_GB2312" w:cs="仿宋_GB2312"/>
          <w:color w:val="auto"/>
          <w:sz w:val="28"/>
          <w:szCs w:val="28"/>
        </w:rPr>
        <w:t>本合同壹式肆份，甲方执叁份，乙方执壹份，自双方签字并盖章之日起生效。</w:t>
      </w:r>
    </w:p>
    <w:p>
      <w:pPr>
        <w:keepNext w:val="0"/>
        <w:keepLines w:val="0"/>
        <w:pageBreakBefore w:val="0"/>
        <w:widowControl w:val="0"/>
        <w:kinsoku/>
        <w:wordWrap/>
        <w:overflowPunct/>
        <w:topLinePunct w:val="0"/>
        <w:autoSpaceDE/>
        <w:autoSpaceDN/>
        <w:bidi w:val="0"/>
        <w:spacing w:line="500" w:lineRule="exact"/>
        <w:textAlignment w:val="auto"/>
        <w:rPr>
          <w:rFonts w:ascii="宋体" w:hAnsi="宋体" w:eastAsia="宋体"/>
          <w:color w:val="auto"/>
          <w:sz w:val="24"/>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甲方（盖章）：娄底市中心医院        乙方（盖章）：</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法定代表人（签字）：                法定代表人（签字）：  </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或委托代理人（签字）：              或委托代理人（签字）：</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_GB2312" w:hAnsi="仿宋_GB2312" w:eastAsia="仿宋_GB2312" w:cs="仿宋_GB2312"/>
          <w:color w:val="auto"/>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Style w:val="27"/>
          <w:rFonts w:hint="eastAsia" w:ascii="仿宋_GB2312" w:hAnsi="仿宋_GB2312" w:eastAsia="仿宋_GB2312" w:cs="仿宋_GB2312"/>
          <w:bCs/>
          <w:sz w:val="28"/>
          <w:szCs w:val="28"/>
        </w:rPr>
      </w:pPr>
      <w:r>
        <w:rPr>
          <w:rFonts w:hint="eastAsia" w:ascii="仿宋_GB2312" w:hAnsi="仿宋_GB2312" w:eastAsia="仿宋_GB2312" w:cs="仿宋_GB2312"/>
          <w:color w:val="auto"/>
          <w:sz w:val="28"/>
          <w:szCs w:val="28"/>
        </w:rPr>
        <w:t xml:space="preserve">合同签订地履行地：娄底市娄星区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 xml:space="preserve">签订时间：    年   月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日</w:t>
      </w:r>
    </w:p>
    <w:p/>
    <w:p/>
    <w:p/>
    <w:p/>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8280" w:hanging="8280" w:hangingChars="4600"/>
      <w:jc w:val="both"/>
      <w:rPr>
        <w:rFonts w:hint="eastAsia"/>
      </w:rP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zODQ5MzFiNDhmNzNkNmIxNjg5YjQzMWMwMjMzZWYifQ=="/>
  </w:docVars>
  <w:rsids>
    <w:rsidRoot w:val="019513DF"/>
    <w:rsid w:val="019513DF"/>
    <w:rsid w:val="0344728C"/>
    <w:rsid w:val="084B5BA0"/>
    <w:rsid w:val="0B971310"/>
    <w:rsid w:val="0D533126"/>
    <w:rsid w:val="2C191BAA"/>
    <w:rsid w:val="2EBD6EEF"/>
    <w:rsid w:val="59EA607C"/>
    <w:rsid w:val="66575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qFormat/>
    <w:uiPriority w:val="0"/>
    <w:pPr>
      <w:spacing w:after="120"/>
    </w:pPr>
    <w:rPr>
      <w:szCs w:val="21"/>
    </w:rPr>
  </w:style>
  <w:style w:type="paragraph" w:styleId="6">
    <w:name w:val="Body Text Indent"/>
    <w:basedOn w:val="1"/>
    <w:next w:val="7"/>
    <w:qFormat/>
    <w:uiPriority w:val="99"/>
    <w:pPr>
      <w:spacing w:line="400" w:lineRule="exact"/>
      <w:ind w:left="630"/>
    </w:pPr>
    <w:rPr>
      <w:rFonts w:ascii="楷体_GB2312"/>
      <w:sz w:val="30"/>
      <w:szCs w:val="30"/>
    </w:rPr>
  </w:style>
  <w:style w:type="paragraph" w:styleId="7">
    <w:name w:val="Body Text Indent 3"/>
    <w:basedOn w:val="1"/>
    <w:next w:val="1"/>
    <w:qFormat/>
    <w:uiPriority w:val="0"/>
    <w:pPr>
      <w:spacing w:after="120"/>
      <w:ind w:left="420" w:leftChars="200"/>
    </w:pPr>
    <w:rPr>
      <w:sz w:val="16"/>
      <w:szCs w:val="16"/>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styleId="11">
    <w:name w:val="Body Text First Indent 2"/>
    <w:basedOn w:val="6"/>
    <w:next w:val="1"/>
    <w:qFormat/>
    <w:uiPriority w:val="0"/>
    <w:pPr>
      <w:overflowPunct w:val="0"/>
      <w:adjustRightInd w:val="0"/>
      <w:spacing w:line="500" w:lineRule="exact"/>
      <w:ind w:firstLine="420" w:firstLineChars="200"/>
      <w:textAlignment w:val="baseline"/>
    </w:pPr>
    <w:rPr>
      <w:rFonts w:eastAsia="仿宋_GB2312"/>
      <w:kern w:val="28"/>
      <w:sz w:val="28"/>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qFormat/>
    <w:uiPriority w:val="0"/>
    <w:rPr>
      <w:color w:val="0000FF"/>
      <w:u w:val="single"/>
    </w:rPr>
  </w:style>
  <w:style w:type="paragraph" w:customStyle="1" w:styleId="1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7">
    <w:name w:val="大标题"/>
    <w:basedOn w:val="1"/>
    <w:next w:val="11"/>
    <w:qFormat/>
    <w:uiPriority w:val="0"/>
    <w:pPr>
      <w:jc w:val="center"/>
    </w:pPr>
    <w:rPr>
      <w:rFonts w:ascii="Arial" w:hAnsi="Arial" w:eastAsia="宋体"/>
      <w:b/>
      <w:sz w:val="28"/>
      <w:szCs w:val="24"/>
    </w:rPr>
  </w:style>
  <w:style w:type="paragraph" w:customStyle="1" w:styleId="18">
    <w:name w:val="样式 小四 行距: 1.5 倍行距"/>
    <w:basedOn w:val="1"/>
    <w:qFormat/>
    <w:uiPriority w:val="0"/>
    <w:pPr>
      <w:ind w:firstLine="480"/>
    </w:pPr>
    <w:rPr>
      <w:rFonts w:cs="宋体"/>
      <w:szCs w:val="20"/>
    </w:rPr>
  </w:style>
  <w:style w:type="paragraph" w:customStyle="1" w:styleId="19">
    <w:name w:val="全宋体"/>
    <w:basedOn w:val="1"/>
    <w:qFormat/>
    <w:uiPriority w:val="0"/>
    <w:rPr>
      <w:rFonts w:ascii="宋体" w:hAnsi="宋体" w:eastAsia="宋体" w:cs="宋体"/>
      <w:sz w:val="24"/>
      <w:szCs w:val="21"/>
    </w:rPr>
  </w:style>
  <w:style w:type="paragraph" w:customStyle="1" w:styleId="20">
    <w:name w:val="Table Paragraph"/>
    <w:basedOn w:val="1"/>
    <w:qFormat/>
    <w:uiPriority w:val="0"/>
    <w:pPr>
      <w:autoSpaceDE w:val="0"/>
      <w:autoSpaceDN w:val="0"/>
      <w:adjustRightInd w:val="0"/>
      <w:jc w:val="left"/>
    </w:pPr>
    <w:rPr>
      <w:rFonts w:ascii="Calibri" w:hAnsi="Calibri"/>
      <w:kern w:val="0"/>
      <w:sz w:val="24"/>
    </w:rPr>
  </w:style>
  <w:style w:type="character" w:customStyle="1" w:styleId="21">
    <w:name w:val="font41"/>
    <w:basedOn w:val="14"/>
    <w:qFormat/>
    <w:uiPriority w:val="0"/>
    <w:rPr>
      <w:rFonts w:hint="default" w:ascii="Calibri" w:hAnsi="Calibri" w:cs="Calibri"/>
      <w:color w:val="000000"/>
      <w:sz w:val="24"/>
      <w:szCs w:val="24"/>
      <w:u w:val="none"/>
    </w:rPr>
  </w:style>
  <w:style w:type="character" w:customStyle="1" w:styleId="22">
    <w:name w:val="font21"/>
    <w:basedOn w:val="14"/>
    <w:qFormat/>
    <w:uiPriority w:val="0"/>
    <w:rPr>
      <w:rFonts w:hint="eastAsia" w:ascii="宋体" w:hAnsi="宋体" w:eastAsia="宋体" w:cs="宋体"/>
      <w:color w:val="000000"/>
      <w:sz w:val="21"/>
      <w:szCs w:val="21"/>
      <w:u w:val="none"/>
    </w:rPr>
  </w:style>
  <w:style w:type="paragraph" w:customStyle="1" w:styleId="23">
    <w:name w:val="列出段落1"/>
    <w:basedOn w:val="1"/>
    <w:qFormat/>
    <w:uiPriority w:val="99"/>
    <w:pPr>
      <w:ind w:firstLine="420" w:firstLineChars="200"/>
    </w:pPr>
  </w:style>
  <w:style w:type="paragraph" w:customStyle="1" w:styleId="24">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5">
    <w:name w:val="List Paragraph"/>
    <w:basedOn w:val="1"/>
    <w:qFormat/>
    <w:uiPriority w:val="34"/>
    <w:pPr>
      <w:ind w:firstLine="420" w:firstLineChars="200"/>
    </w:pPr>
    <w:rPr>
      <w:rFonts w:ascii="Calibri" w:hAnsi="Calibri"/>
      <w:szCs w:val="22"/>
    </w:rPr>
  </w:style>
  <w:style w:type="paragraph" w:customStyle="1" w:styleId="26">
    <w:name w:val="PlainText"/>
    <w:basedOn w:val="1"/>
    <w:qFormat/>
    <w:uiPriority w:val="0"/>
    <w:rPr>
      <w:rFonts w:ascii="宋体" w:hAnsi="Courier New"/>
      <w:szCs w:val="21"/>
    </w:rPr>
  </w:style>
  <w:style w:type="character" w:customStyle="1" w:styleId="27">
    <w:name w:val="NormalCharacter"/>
    <w:semiHidden/>
    <w:qFormat/>
    <w:uiPriority w:val="0"/>
  </w:style>
  <w:style w:type="paragraph" w:customStyle="1" w:styleId="28">
    <w:name w:val="HtmlNormal"/>
    <w:basedOn w:val="1"/>
    <w:qFormat/>
    <w:uiPriority w:val="0"/>
    <w:pPr>
      <w:spacing w:before="100" w:beforeAutospacing="1" w:after="100" w:afterAutospacing="1"/>
      <w:jc w:val="left"/>
    </w:pPr>
    <w:rPr>
      <w:rFonts w:ascii="宋体" w:hAnsi="宋体"/>
      <w:kern w:val="0"/>
      <w:sz w:val="24"/>
    </w:rPr>
  </w:style>
  <w:style w:type="paragraph" w:customStyle="1" w:styleId="29">
    <w:name w:val="UserStyle_3"/>
    <w:basedOn w:val="1"/>
    <w:qFormat/>
    <w:uiPriority w:val="0"/>
    <w:pPr>
      <w:ind w:firstLine="420" w:firstLineChars="200"/>
    </w:pPr>
  </w:style>
  <w:style w:type="paragraph" w:customStyle="1" w:styleId="30">
    <w:name w:val="UserStyle_5"/>
    <w:basedOn w:val="1"/>
    <w:qFormat/>
    <w:uiPriority w:val="0"/>
    <w:pPr>
      <w:ind w:firstLine="420" w:firstLineChars="200"/>
    </w:pPr>
  </w:style>
  <w:style w:type="paragraph" w:customStyle="1" w:styleId="31">
    <w:name w:val="列表段落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14286</Words>
  <Characters>14900</Characters>
  <Lines>0</Lines>
  <Paragraphs>0</Paragraphs>
  <TotalTime>61</TotalTime>
  <ScaleCrop>false</ScaleCrop>
  <LinksUpToDate>false</LinksUpToDate>
  <CharactersWithSpaces>16002</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2024-09-02T02:04:00Z</dcterms:created>
  <dc:creator>是小豹子</dc:creator>
  <cp:lastModifiedBy>是小豹子</cp:lastModifiedBy>
  <dcterms:modified xsi:type="dcterms:W3CDTF">2024-09-04T09:11:59Z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A5DF7C135878410FBBB531EF83F2405A_11</vt:lpwstr>
  </property>
</Properties>
</file>