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692D2DB5">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6"/>
        <w:snapToGrid w:val="0"/>
        <w:jc w:val="center"/>
        <w:rPr>
          <w:rFonts w:hint="eastAsia" w:ascii="Arial" w:hAnsi="Arial" w:eastAsia="方正小标宋简体" w:cs="Arial"/>
          <w:color w:val="auto"/>
          <w:sz w:val="72"/>
          <w:szCs w:val="72"/>
          <w:lang w:eastAsia="zh-CN"/>
        </w:rPr>
      </w:pPr>
    </w:p>
    <w:p w14:paraId="788AF8A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6"/>
        <w:snapToGrid w:val="0"/>
        <w:jc w:val="center"/>
        <w:rPr>
          <w:rFonts w:ascii="Arial" w:hAnsi="Arial" w:eastAsia="方正小标宋简体" w:cs="Arial"/>
          <w:color w:val="auto"/>
          <w:sz w:val="72"/>
          <w:szCs w:val="72"/>
        </w:rPr>
      </w:pPr>
    </w:p>
    <w:p w14:paraId="5F69EBCF">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奶粉采购</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十一</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娄底市中心医院奶粉采购</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娄底市中心医院奶粉采购</w:t>
      </w:r>
      <w:r>
        <w:rPr>
          <w:rFonts w:ascii="仿宋" w:hAnsi="仿宋" w:eastAsia="仿宋" w:cs="仿宋"/>
          <w:i w:val="0"/>
          <w:iCs w:val="0"/>
          <w:caps w:val="0"/>
          <w:color w:val="auto"/>
          <w:spacing w:val="0"/>
          <w:sz w:val="28"/>
          <w:szCs w:val="28"/>
          <w:shd w:val="clear" w:fill="FFFFFF"/>
        </w:rPr>
        <w:t>项目</w:t>
      </w:r>
    </w:p>
    <w:p w14:paraId="578DFB3B">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6"/>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115EB18D">
      <w:pPr>
        <w:pStyle w:val="6"/>
        <w:numPr>
          <w:ilvl w:val="0"/>
          <w:numId w:val="1"/>
        </w:numPr>
        <w:tabs>
          <w:tab w:val="left" w:pos="312"/>
        </w:tabs>
        <w:snapToGrid w:val="0"/>
        <w:spacing w:line="480" w:lineRule="auto"/>
        <w:ind w:firstLine="560" w:firstLineChars="200"/>
        <w:rPr>
          <w:rFonts w:hint="eastAsia" w:ascii="仿宋" w:hAnsi="仿宋" w:eastAsia="仿宋" w:cs="仿宋"/>
          <w:b w:val="0"/>
          <w:bCs w:val="0"/>
          <w:color w:val="auto"/>
          <w:kern w:val="0"/>
          <w:sz w:val="28"/>
          <w:szCs w:val="28"/>
          <w:shd w:val="clear" w:color="auto" w:fill="auto"/>
          <w:lang w:val="en-US" w:eastAsia="zh-CN"/>
        </w:rPr>
      </w:pPr>
      <w:r>
        <w:rPr>
          <w:rFonts w:hint="eastAsia"/>
          <w:bCs/>
          <w:color w:val="auto"/>
          <w:sz w:val="28"/>
          <w:szCs w:val="28"/>
          <w:lang w:val="en-US" w:eastAsia="zh-CN"/>
        </w:rPr>
        <w:t>投标人资格要求</w:t>
      </w:r>
    </w:p>
    <w:p w14:paraId="64AEDE33">
      <w:pPr>
        <w:pStyle w:val="6"/>
        <w:numPr>
          <w:ilvl w:val="0"/>
          <w:numId w:val="2"/>
        </w:numPr>
        <w:tabs>
          <w:tab w:val="left" w:pos="312"/>
        </w:tabs>
        <w:snapToGrid w:val="0"/>
        <w:spacing w:line="480" w:lineRule="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满足《中华人民共和国政府采购法》第二十二条规定，即：</w:t>
      </w:r>
    </w:p>
    <w:p w14:paraId="3916F18C">
      <w:pPr>
        <w:pStyle w:val="6"/>
        <w:numPr>
          <w:ilvl w:val="0"/>
          <w:numId w:val="0"/>
        </w:numPr>
        <w:tabs>
          <w:tab w:val="left" w:pos="312"/>
        </w:tabs>
        <w:snapToGrid w:val="0"/>
        <w:spacing w:line="480" w:lineRule="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（1）具有独立承担民事责任的能力；</w:t>
      </w:r>
    </w:p>
    <w:p w14:paraId="0706BC48">
      <w:pPr>
        <w:pStyle w:val="6"/>
        <w:numPr>
          <w:ilvl w:val="0"/>
          <w:numId w:val="3"/>
        </w:numPr>
        <w:tabs>
          <w:tab w:val="left" w:pos="312"/>
        </w:tabs>
        <w:snapToGrid w:val="0"/>
        <w:spacing w:line="480" w:lineRule="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具有良好的商业信誉和健全的财务会计制度；</w:t>
      </w:r>
    </w:p>
    <w:p w14:paraId="2F207D00">
      <w:pPr>
        <w:pStyle w:val="6"/>
        <w:numPr>
          <w:ilvl w:val="0"/>
          <w:numId w:val="3"/>
        </w:numPr>
        <w:tabs>
          <w:tab w:val="left" w:pos="312"/>
        </w:tabs>
        <w:snapToGrid w:val="0"/>
        <w:spacing w:line="480" w:lineRule="auto"/>
        <w:ind w:left="0" w:leftChars="0" w:firstLine="0" w:firstLineChars="0"/>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具有履行合同所必需的设备和专业技术能力；</w:t>
      </w:r>
    </w:p>
    <w:p w14:paraId="432B397D">
      <w:pPr>
        <w:pStyle w:val="6"/>
        <w:numPr>
          <w:ilvl w:val="0"/>
          <w:numId w:val="3"/>
        </w:numPr>
        <w:tabs>
          <w:tab w:val="left" w:pos="312"/>
        </w:tabs>
        <w:snapToGrid w:val="0"/>
        <w:spacing w:line="480" w:lineRule="auto"/>
        <w:ind w:left="0" w:leftChars="0" w:firstLine="0" w:firstLineChars="0"/>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有依法缴纳税收和社会保障资金的良好记录；</w:t>
      </w:r>
    </w:p>
    <w:p w14:paraId="146EDE75">
      <w:pPr>
        <w:pStyle w:val="6"/>
        <w:numPr>
          <w:ilvl w:val="0"/>
          <w:numId w:val="3"/>
        </w:numPr>
        <w:tabs>
          <w:tab w:val="left" w:pos="312"/>
        </w:tabs>
        <w:snapToGrid w:val="0"/>
        <w:spacing w:line="480" w:lineRule="auto"/>
        <w:ind w:left="0" w:leftChars="0" w:firstLine="0" w:firstLineChars="0"/>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参加政府采购活动前三年内，在经营活动中没有重大违法记录；</w:t>
      </w:r>
    </w:p>
    <w:p w14:paraId="173D397D">
      <w:pPr>
        <w:pStyle w:val="6"/>
        <w:numPr>
          <w:ilvl w:val="0"/>
          <w:numId w:val="3"/>
        </w:numPr>
        <w:tabs>
          <w:tab w:val="left" w:pos="312"/>
        </w:tabs>
        <w:snapToGrid w:val="0"/>
        <w:spacing w:line="480" w:lineRule="auto"/>
        <w:ind w:left="0" w:leftChars="0" w:firstLine="0" w:firstLineChars="0"/>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法律、行政法规规定的其他条件。</w:t>
      </w:r>
    </w:p>
    <w:p w14:paraId="56B5A576">
      <w:pPr>
        <w:pStyle w:val="6"/>
        <w:numPr>
          <w:ilvl w:val="0"/>
          <w:numId w:val="0"/>
        </w:numPr>
        <w:tabs>
          <w:tab w:val="left" w:pos="312"/>
        </w:tabs>
        <w:snapToGrid w:val="0"/>
        <w:spacing w:line="480" w:lineRule="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2、本项目的特定资格要求：供应商必须是所投产品的生产商或代理商或授权委托的经销商；生产商须具有食品生产许可证或食品注册证，代理商须具有所投货物经营范围的食品经营（流通）许可证和代理商证明资料，经销商须提供有效的证明资料。</w:t>
      </w:r>
    </w:p>
    <w:p w14:paraId="449C5F2E">
      <w:pPr>
        <w:pStyle w:val="3"/>
        <w:pageBreakBefore w:val="0"/>
        <w:widowControl w:val="0"/>
        <w:kinsoku/>
        <w:wordWrap/>
        <w:overflowPunct/>
        <w:topLinePunct w:val="0"/>
        <w:autoSpaceDE/>
        <w:autoSpaceDN/>
        <w:bidi w:val="0"/>
        <w:adjustRightInd/>
        <w:snapToGrid/>
        <w:spacing w:before="0" w:after="0" w:line="540" w:lineRule="exact"/>
        <w:ind w:firstLine="560" w:firstLineChars="200"/>
        <w:textAlignment w:val="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3、单位负责人为同一人或者存在直接控股、管理关系的不同供应商，不得参加同一合同项下的政府采购活动。</w:t>
      </w:r>
    </w:p>
    <w:p w14:paraId="7BC498D4">
      <w:pPr>
        <w:pStyle w:val="3"/>
        <w:pageBreakBefore w:val="0"/>
        <w:widowControl w:val="0"/>
        <w:kinsoku/>
        <w:wordWrap/>
        <w:overflowPunct/>
        <w:topLinePunct w:val="0"/>
        <w:autoSpaceDE/>
        <w:autoSpaceDN/>
        <w:bidi w:val="0"/>
        <w:adjustRightInd/>
        <w:snapToGrid/>
        <w:spacing w:before="0" w:after="0" w:line="540" w:lineRule="exact"/>
        <w:ind w:firstLine="560" w:firstLineChars="200"/>
        <w:textAlignment w:val="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4、为本采购项目提供整体设计、规范编制或者项目管理、监理、检测等服务的，不得再参加此项目的其他采购活动。</w:t>
      </w:r>
    </w:p>
    <w:p w14:paraId="2E6F2889">
      <w:pPr>
        <w:pStyle w:val="3"/>
        <w:pageBreakBefore w:val="0"/>
        <w:widowControl w:val="0"/>
        <w:kinsoku/>
        <w:wordWrap/>
        <w:overflowPunct/>
        <w:topLinePunct w:val="0"/>
        <w:autoSpaceDE/>
        <w:autoSpaceDN/>
        <w:bidi w:val="0"/>
        <w:adjustRightInd/>
        <w:snapToGrid/>
        <w:spacing w:before="0" w:after="0" w:line="540" w:lineRule="exact"/>
        <w:ind w:firstLine="560" w:firstLineChars="200"/>
        <w:textAlignment w:val="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5、列入失信被执行人、重大税收违法失信主体名单、政府采购严重违法失信行为记录名单的，拒绝其参与政府采购活动。</w:t>
      </w:r>
    </w:p>
    <w:p w14:paraId="2C832629">
      <w:pPr>
        <w:pStyle w:val="3"/>
        <w:pageBreakBefore w:val="0"/>
        <w:widowControl w:val="0"/>
        <w:kinsoku/>
        <w:wordWrap/>
        <w:overflowPunct/>
        <w:topLinePunct w:val="0"/>
        <w:autoSpaceDE/>
        <w:autoSpaceDN/>
        <w:bidi w:val="0"/>
        <w:adjustRightInd/>
        <w:snapToGrid/>
        <w:spacing w:before="0" w:after="0" w:line="540" w:lineRule="exact"/>
        <w:ind w:firstLine="560" w:firstLineChars="200"/>
        <w:textAlignment w:val="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6、联合体响应：本次采购不接受联合体响应。</w:t>
      </w:r>
    </w:p>
    <w:p w14:paraId="7ABD2153">
      <w:pPr>
        <w:pageBreakBefore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注:所有复印件须全部</w:t>
      </w:r>
      <w:r>
        <w:rPr>
          <w:rFonts w:hint="eastAsia" w:ascii="仿宋" w:hAnsi="仿宋" w:eastAsia="仿宋" w:cs="仿宋"/>
          <w:color w:val="auto"/>
          <w:sz w:val="28"/>
          <w:szCs w:val="28"/>
          <w:shd w:val="clear" w:color="auto" w:fill="auto"/>
          <w:lang w:eastAsia="zh-CN"/>
        </w:rPr>
        <w:t>盖章</w:t>
      </w:r>
      <w:r>
        <w:rPr>
          <w:rFonts w:hint="eastAsia" w:ascii="仿宋" w:hAnsi="仿宋" w:eastAsia="仿宋" w:cs="仿宋"/>
          <w:color w:val="auto"/>
          <w:sz w:val="28"/>
          <w:szCs w:val="28"/>
          <w:shd w:val="clear" w:color="auto" w:fill="auto"/>
        </w:rPr>
        <w:t>。</w:t>
      </w:r>
    </w:p>
    <w:p w14:paraId="4D779DB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w:t>
      </w:r>
      <w:bookmarkStart w:id="8" w:name="_GoBack"/>
      <w:r>
        <w:rPr>
          <w:rFonts w:hint="eastAsia" w:ascii="仿宋_GB2312" w:hAnsi="Times New Roman" w:eastAsia="仿宋_GB2312" w:cs="仿宋_GB2312"/>
          <w:bCs/>
          <w:color w:val="auto"/>
          <w:kern w:val="0"/>
          <w:sz w:val="28"/>
          <w:szCs w:val="28"/>
          <w:lang w:val="en-US" w:eastAsia="zh-CN" w:bidi="ar-SA"/>
        </w:rPr>
        <w:t>开标时间：2025年</w:t>
      </w:r>
      <w:r>
        <w:rPr>
          <w:rFonts w:hint="eastAsia" w:cs="仿宋_GB2312"/>
          <w:bCs/>
          <w:color w:val="auto"/>
          <w:kern w:val="0"/>
          <w:sz w:val="28"/>
          <w:szCs w:val="28"/>
          <w:lang w:val="en-US" w:eastAsia="zh-CN" w:bidi="ar-SA"/>
        </w:rPr>
        <w:t>12</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10:00</w:t>
      </w:r>
      <w:bookmarkEnd w:id="8"/>
      <w:r>
        <w:rPr>
          <w:rFonts w:hint="eastAsia" w:ascii="仿宋_GB2312" w:hAnsi="Times New Roman" w:eastAsia="仿宋_GB2312" w:cs="仿宋_GB2312"/>
          <w:bCs/>
          <w:color w:val="auto"/>
          <w:kern w:val="0"/>
          <w:sz w:val="28"/>
          <w:szCs w:val="28"/>
          <w:lang w:val="en-US" w:eastAsia="zh-CN" w:bidi="ar-SA"/>
        </w:rPr>
        <w:t>；</w:t>
      </w:r>
    </w:p>
    <w:p w14:paraId="0F04DBB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9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1"/>
        <w:gridCol w:w="2235"/>
        <w:gridCol w:w="1960"/>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2235"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控制单价(元)</w:t>
            </w:r>
          </w:p>
        </w:tc>
        <w:tc>
          <w:tcPr>
            <w:tcW w:w="1960"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奶粉采购</w:t>
            </w:r>
            <w:r>
              <w:rPr>
                <w:rFonts w:ascii="仿宋" w:hAnsi="仿宋" w:eastAsia="仿宋" w:cs="仿宋"/>
                <w:i w:val="0"/>
                <w:iCs w:val="0"/>
                <w:caps w:val="0"/>
                <w:color w:val="auto"/>
                <w:spacing w:val="0"/>
                <w:sz w:val="28"/>
                <w:szCs w:val="28"/>
                <w:shd w:val="clear" w:fill="FFFFFF"/>
              </w:rPr>
              <w:t>项目</w:t>
            </w:r>
          </w:p>
        </w:tc>
        <w:tc>
          <w:tcPr>
            <w:tcW w:w="2235" w:type="dxa"/>
            <w:tcBorders>
              <w:top w:val="single" w:color="auto" w:sz="4" w:space="0"/>
              <w:left w:val="single" w:color="auto" w:sz="4" w:space="0"/>
              <w:bottom w:val="single" w:color="auto" w:sz="4" w:space="0"/>
              <w:right w:val="single" w:color="auto" w:sz="4" w:space="0"/>
            </w:tcBorders>
            <w:vAlign w:val="center"/>
          </w:tcPr>
          <w:p w14:paraId="26042D3C">
            <w:pPr>
              <w:pStyle w:val="3"/>
              <w:pageBreakBefore w:val="0"/>
              <w:kinsoku/>
              <w:wordWrap/>
              <w:overflowPunct/>
              <w:topLinePunct w:val="0"/>
              <w:bidi w:val="0"/>
              <w:spacing w:line="440" w:lineRule="exact"/>
              <w:jc w:val="center"/>
              <w:textAlignment w:val="auto"/>
              <w:rPr>
                <w:rFonts w:hint="default"/>
                <w:color w:val="auto"/>
                <w:lang w:val="en-US" w:eastAsia="zh-CN"/>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见技术参数</w:t>
            </w:r>
          </w:p>
        </w:tc>
        <w:tc>
          <w:tcPr>
            <w:tcW w:w="1960" w:type="dxa"/>
            <w:tcBorders>
              <w:top w:val="single" w:color="auto" w:sz="4" w:space="0"/>
              <w:left w:val="single" w:color="auto" w:sz="4" w:space="0"/>
              <w:bottom w:val="single" w:color="auto" w:sz="4" w:space="0"/>
              <w:right w:val="single" w:color="auto" w:sz="4" w:space="0"/>
            </w:tcBorders>
            <w:vAlign w:val="center"/>
          </w:tcPr>
          <w:p w14:paraId="1B20F30B">
            <w:pPr>
              <w:pStyle w:val="3"/>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405012.00</w:t>
            </w:r>
          </w:p>
        </w:tc>
      </w:tr>
    </w:tbl>
    <w:p w14:paraId="77939CAB">
      <w:pPr>
        <w:pageBreakBefore w:val="0"/>
        <w:numPr>
          <w:ilvl w:val="0"/>
          <w:numId w:val="4"/>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28E26C19">
      <w:pPr>
        <w:pageBreakBefore w:val="0"/>
        <w:numPr>
          <w:ilvl w:val="0"/>
          <w:numId w:val="0"/>
        </w:numPr>
        <w:tabs>
          <w:tab w:val="left" w:pos="900"/>
          <w:tab w:val="left" w:pos="1080"/>
        </w:tabs>
        <w:kinsoku/>
        <w:wordWrap/>
        <w:overflowPunct/>
        <w:topLinePunct w:val="0"/>
        <w:autoSpaceDE/>
        <w:autoSpaceDN/>
        <w:bidi w:val="0"/>
        <w:adjustRightInd/>
        <w:snapToGrid/>
        <w:spacing w:line="540" w:lineRule="exact"/>
        <w:ind w:firstLine="560" w:firstLineChars="200"/>
        <w:textAlignment w:val="auto"/>
        <w:rPr>
          <w:rFonts w:hint="eastAsia" w:ascii="新宋体" w:hAnsi="新宋体" w:eastAsia="新宋体" w:cs="新宋体"/>
          <w:color w:val="auto"/>
          <w:kern w:val="0"/>
          <w:sz w:val="28"/>
          <w:szCs w:val="28"/>
          <w:shd w:val="clear" w:color="auto" w:fill="auto"/>
        </w:rPr>
      </w:pPr>
      <w:r>
        <w:rPr>
          <w:rFonts w:hint="eastAsia" w:ascii="仿宋" w:hAnsi="仿宋" w:eastAsia="仿宋" w:cs="仿宋"/>
          <w:b w:val="0"/>
          <w:bCs w:val="0"/>
          <w:color w:val="auto"/>
          <w:kern w:val="0"/>
          <w:sz w:val="28"/>
          <w:szCs w:val="28"/>
          <w:shd w:val="clear" w:color="auto" w:fill="auto"/>
          <w:lang w:val="en-US" w:eastAsia="zh-CN"/>
        </w:rPr>
        <w:t>(一)</w:t>
      </w:r>
      <w:r>
        <w:rPr>
          <w:rFonts w:hint="eastAsia" w:ascii="仿宋" w:hAnsi="仿宋" w:eastAsia="仿宋" w:cs="仿宋"/>
          <w:b w:val="0"/>
          <w:bCs w:val="0"/>
          <w:color w:val="auto"/>
          <w:kern w:val="0"/>
          <w:sz w:val="28"/>
          <w:szCs w:val="28"/>
          <w:shd w:val="clear" w:color="auto" w:fill="auto"/>
        </w:rPr>
        <w:t>名称</w:t>
      </w:r>
      <w:r>
        <w:rPr>
          <w:rFonts w:hint="eastAsia" w:ascii="仿宋" w:hAnsi="仿宋" w:eastAsia="仿宋" w:cs="仿宋"/>
          <w:color w:val="auto"/>
          <w:kern w:val="0"/>
          <w:sz w:val="28"/>
          <w:szCs w:val="28"/>
          <w:shd w:val="clear" w:color="auto" w:fill="auto"/>
        </w:rPr>
        <w:t>、数量及技术参数详见下表</w:t>
      </w:r>
    </w:p>
    <w:tbl>
      <w:tblPr>
        <w:tblStyle w:val="13"/>
        <w:tblW w:w="5800" w:type="pct"/>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1710"/>
        <w:gridCol w:w="5040"/>
        <w:gridCol w:w="1030"/>
        <w:gridCol w:w="1120"/>
        <w:gridCol w:w="1015"/>
      </w:tblGrid>
      <w:tr w14:paraId="0E8BD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466" w:type="dxa"/>
            <w:noWrap w:val="0"/>
            <w:vAlign w:val="center"/>
          </w:tcPr>
          <w:p w14:paraId="1163AEA1">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lang w:eastAsia="zh-CN"/>
              </w:rPr>
            </w:pPr>
            <w:r>
              <w:rPr>
                <w:rFonts w:hint="eastAsia" w:ascii="仿宋" w:hAnsi="仿宋" w:eastAsia="仿宋" w:cs="仿宋"/>
                <w:color w:val="auto"/>
                <w:kern w:val="0"/>
                <w:sz w:val="21"/>
                <w:szCs w:val="21"/>
                <w:shd w:val="clear" w:color="auto" w:fill="auto"/>
                <w:lang w:val="en-US" w:eastAsia="zh-CN"/>
              </w:rPr>
              <w:t>序号</w:t>
            </w:r>
          </w:p>
        </w:tc>
        <w:tc>
          <w:tcPr>
            <w:tcW w:w="1710" w:type="dxa"/>
            <w:noWrap w:val="0"/>
            <w:vAlign w:val="center"/>
          </w:tcPr>
          <w:p w14:paraId="51DD658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品名</w:t>
            </w:r>
          </w:p>
        </w:tc>
        <w:tc>
          <w:tcPr>
            <w:tcW w:w="5040" w:type="dxa"/>
            <w:noWrap w:val="0"/>
            <w:vAlign w:val="center"/>
          </w:tcPr>
          <w:p w14:paraId="2289F662">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奶粉配方参数</w:t>
            </w:r>
          </w:p>
        </w:tc>
        <w:tc>
          <w:tcPr>
            <w:tcW w:w="1030" w:type="dxa"/>
            <w:noWrap w:val="0"/>
            <w:vAlign w:val="center"/>
          </w:tcPr>
          <w:p w14:paraId="213D964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数量</w:t>
            </w:r>
          </w:p>
          <w:p w14:paraId="7D6E8010">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lang w:eastAsia="zh-CN"/>
              </w:rPr>
            </w:pPr>
            <w:r>
              <w:rPr>
                <w:rFonts w:hint="eastAsia" w:ascii="仿宋" w:hAnsi="仿宋" w:eastAsia="仿宋" w:cs="仿宋"/>
                <w:color w:val="auto"/>
                <w:kern w:val="0"/>
                <w:sz w:val="21"/>
                <w:szCs w:val="21"/>
                <w:shd w:val="clear" w:color="auto" w:fill="auto"/>
                <w:lang w:val="en-US" w:eastAsia="zh-CN"/>
              </w:rPr>
              <w:t>（克）</w:t>
            </w:r>
          </w:p>
        </w:tc>
        <w:tc>
          <w:tcPr>
            <w:tcW w:w="1120" w:type="dxa"/>
            <w:noWrap w:val="0"/>
            <w:vAlign w:val="center"/>
          </w:tcPr>
          <w:p w14:paraId="54FBFA29">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控制单价（元</w:t>
            </w:r>
            <w:r>
              <w:rPr>
                <w:rFonts w:hint="eastAsia" w:ascii="仿宋" w:hAnsi="仿宋" w:eastAsia="仿宋" w:cs="仿宋"/>
                <w:color w:val="auto"/>
                <w:kern w:val="0"/>
                <w:sz w:val="21"/>
                <w:szCs w:val="21"/>
                <w:shd w:val="clear" w:color="auto" w:fill="auto"/>
                <w:lang w:val="en-US" w:eastAsia="zh-CN"/>
              </w:rPr>
              <w:t>/克</w:t>
            </w:r>
            <w:r>
              <w:rPr>
                <w:rFonts w:hint="eastAsia" w:ascii="仿宋" w:hAnsi="仿宋" w:eastAsia="仿宋" w:cs="仿宋"/>
                <w:color w:val="auto"/>
                <w:kern w:val="0"/>
                <w:sz w:val="21"/>
                <w:szCs w:val="21"/>
                <w:shd w:val="clear" w:color="auto" w:fill="auto"/>
              </w:rPr>
              <w:t>）</w:t>
            </w:r>
          </w:p>
        </w:tc>
        <w:tc>
          <w:tcPr>
            <w:tcW w:w="1015" w:type="dxa"/>
            <w:noWrap w:val="0"/>
            <w:vAlign w:val="center"/>
          </w:tcPr>
          <w:p w14:paraId="3A181FE7">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rPr>
              <w:t>控制</w:t>
            </w:r>
            <w:r>
              <w:rPr>
                <w:rFonts w:hint="eastAsia" w:ascii="仿宋" w:hAnsi="仿宋" w:eastAsia="仿宋" w:cs="仿宋"/>
                <w:color w:val="auto"/>
                <w:kern w:val="0"/>
                <w:sz w:val="21"/>
                <w:szCs w:val="21"/>
                <w:shd w:val="clear" w:color="auto" w:fill="auto"/>
                <w:lang w:val="en-US" w:eastAsia="zh-CN"/>
              </w:rPr>
              <w:t>总价（元）</w:t>
            </w:r>
          </w:p>
        </w:tc>
      </w:tr>
      <w:tr w14:paraId="535C7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466" w:type="dxa"/>
            <w:noWrap w:val="0"/>
            <w:vAlign w:val="center"/>
          </w:tcPr>
          <w:p w14:paraId="4F2C15B8">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1</w:t>
            </w:r>
          </w:p>
        </w:tc>
        <w:tc>
          <w:tcPr>
            <w:tcW w:w="1710" w:type="dxa"/>
            <w:noWrap w:val="0"/>
            <w:vAlign w:val="center"/>
          </w:tcPr>
          <w:p w14:paraId="6CD00A9C">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普通婴儿奶粉（400g/罐）</w:t>
            </w:r>
          </w:p>
        </w:tc>
        <w:tc>
          <w:tcPr>
            <w:tcW w:w="5040" w:type="dxa"/>
            <w:noWrap w:val="0"/>
            <w:vAlign w:val="center"/>
          </w:tcPr>
          <w:p w14:paraId="7202033A">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sz w:val="21"/>
                <w:szCs w:val="21"/>
                <w:shd w:val="clear" w:color="auto" w:fill="auto"/>
                <w:lang w:val="en-US" w:eastAsia="zh-CN"/>
              </w:rPr>
            </w:pPr>
            <w:r>
              <w:rPr>
                <w:rFonts w:hint="eastAsia" w:ascii="仿宋" w:hAnsi="仿宋" w:eastAsia="仿宋" w:cs="仿宋"/>
                <w:color w:val="auto"/>
                <w:sz w:val="21"/>
                <w:szCs w:val="21"/>
                <w:shd w:val="clear" w:color="auto" w:fill="auto"/>
              </w:rPr>
              <w:t>适用年龄:0-6个月的足月儿。</w:t>
            </w:r>
            <w:r>
              <w:rPr>
                <w:rFonts w:hint="eastAsia" w:ascii="仿宋" w:hAnsi="仿宋" w:eastAsia="仿宋" w:cs="仿宋"/>
                <w:color w:val="auto"/>
                <w:kern w:val="0"/>
                <w:sz w:val="21"/>
                <w:szCs w:val="21"/>
                <w:shd w:val="clear" w:color="auto" w:fill="auto"/>
                <w:lang w:val="en-US" w:eastAsia="zh-CN"/>
              </w:rPr>
              <w:t>热卡</w:t>
            </w:r>
            <w:r>
              <w:rPr>
                <w:rFonts w:hint="eastAsia" w:ascii="仿宋" w:hAnsi="仿宋" w:eastAsia="仿宋" w:cs="仿宋"/>
                <w:b/>
                <w:bCs/>
                <w:color w:val="auto"/>
                <w:kern w:val="0"/>
                <w:sz w:val="21"/>
                <w:szCs w:val="21"/>
                <w:shd w:val="clear" w:color="auto" w:fill="auto"/>
                <w:lang w:val="en-US" w:eastAsia="zh-CN"/>
              </w:rPr>
              <w:t>67±1</w:t>
            </w:r>
            <w:r>
              <w:rPr>
                <w:rFonts w:hint="eastAsia" w:ascii="仿宋" w:hAnsi="仿宋" w:eastAsia="仿宋" w:cs="仿宋"/>
                <w:color w:val="auto"/>
                <w:kern w:val="0"/>
                <w:sz w:val="21"/>
                <w:szCs w:val="21"/>
                <w:shd w:val="clear" w:color="auto" w:fill="auto"/>
                <w:lang w:val="en-US" w:eastAsia="zh-CN"/>
              </w:rPr>
              <w:t>（Kcal/100ml），</w:t>
            </w:r>
            <w:r>
              <w:rPr>
                <w:rFonts w:hint="eastAsia" w:ascii="仿宋" w:hAnsi="仿宋" w:eastAsia="仿宋" w:cs="仿宋"/>
                <w:color w:val="auto"/>
                <w:sz w:val="21"/>
                <w:szCs w:val="21"/>
                <w:shd w:val="clear" w:color="auto" w:fill="auto"/>
              </w:rPr>
              <w:t>能满足新生儿的成长要求</w:t>
            </w:r>
            <w:r>
              <w:rPr>
                <w:rFonts w:hint="eastAsia" w:ascii="仿宋" w:hAnsi="仿宋" w:eastAsia="仿宋" w:cs="仿宋"/>
                <w:color w:val="auto"/>
                <w:sz w:val="21"/>
                <w:szCs w:val="21"/>
                <w:shd w:val="clear" w:color="auto" w:fill="auto"/>
                <w:lang w:eastAsia="zh-CN"/>
              </w:rPr>
              <w:t>，</w:t>
            </w:r>
            <w:r>
              <w:rPr>
                <w:rFonts w:hint="eastAsia" w:ascii="仿宋" w:hAnsi="仿宋" w:eastAsia="仿宋" w:cs="仿宋"/>
                <w:color w:val="auto"/>
                <w:sz w:val="21"/>
                <w:szCs w:val="21"/>
                <w:shd w:val="clear" w:color="auto" w:fill="auto"/>
                <w:lang w:val="en-US" w:eastAsia="zh-CN"/>
              </w:rPr>
              <w:t>厅装。</w:t>
            </w:r>
          </w:p>
        </w:tc>
        <w:tc>
          <w:tcPr>
            <w:tcW w:w="1030" w:type="dxa"/>
            <w:noWrap w:val="0"/>
            <w:vAlign w:val="center"/>
          </w:tcPr>
          <w:p w14:paraId="4448DDC5">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1680000</w:t>
            </w:r>
          </w:p>
        </w:tc>
        <w:tc>
          <w:tcPr>
            <w:tcW w:w="1120" w:type="dxa"/>
            <w:noWrap/>
            <w:vAlign w:val="center"/>
          </w:tcPr>
          <w:p w14:paraId="701D803A">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0.08</w:t>
            </w:r>
          </w:p>
        </w:tc>
        <w:tc>
          <w:tcPr>
            <w:tcW w:w="1015" w:type="dxa"/>
            <w:noWrap/>
            <w:vAlign w:val="center"/>
          </w:tcPr>
          <w:p w14:paraId="2CDBF63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134400</w:t>
            </w:r>
          </w:p>
        </w:tc>
      </w:tr>
      <w:tr w14:paraId="39EBC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466" w:type="dxa"/>
            <w:noWrap w:val="0"/>
            <w:vAlign w:val="center"/>
          </w:tcPr>
          <w:p w14:paraId="13CA406E">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2</w:t>
            </w:r>
          </w:p>
        </w:tc>
        <w:tc>
          <w:tcPr>
            <w:tcW w:w="1710" w:type="dxa"/>
            <w:noWrap w:val="0"/>
            <w:vAlign w:val="center"/>
          </w:tcPr>
          <w:p w14:paraId="2F1841D3">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适度水解乳清蛋白配方奶粉（400g/罐）</w:t>
            </w:r>
          </w:p>
        </w:tc>
        <w:tc>
          <w:tcPr>
            <w:tcW w:w="5040" w:type="dxa"/>
            <w:noWrap w:val="0"/>
            <w:vAlign w:val="center"/>
          </w:tcPr>
          <w:p w14:paraId="341D4491">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rPr>
              <w:t>适用年龄：0-6个月足月儿，热卡</w:t>
            </w:r>
            <w:r>
              <w:rPr>
                <w:rFonts w:hint="eastAsia" w:ascii="仿宋" w:hAnsi="仿宋" w:eastAsia="仿宋" w:cs="仿宋"/>
                <w:b/>
                <w:bCs/>
                <w:color w:val="auto"/>
                <w:kern w:val="0"/>
                <w:sz w:val="21"/>
                <w:szCs w:val="21"/>
                <w:shd w:val="clear" w:color="auto" w:fill="auto"/>
                <w:lang w:val="en-US" w:eastAsia="zh-CN"/>
              </w:rPr>
              <w:t>67±1</w:t>
            </w:r>
            <w:r>
              <w:rPr>
                <w:rFonts w:hint="eastAsia" w:ascii="仿宋" w:hAnsi="仿宋" w:eastAsia="仿宋" w:cs="仿宋"/>
                <w:color w:val="auto"/>
                <w:sz w:val="21"/>
                <w:szCs w:val="21"/>
                <w:shd w:val="clear" w:color="auto" w:fill="auto"/>
              </w:rPr>
              <w:t>（Kcal/100ml），能满足有过敏风险的新生儿生长发育需要，厅装</w:t>
            </w:r>
          </w:p>
        </w:tc>
        <w:tc>
          <w:tcPr>
            <w:tcW w:w="1030" w:type="dxa"/>
            <w:noWrap w:val="0"/>
            <w:vAlign w:val="center"/>
          </w:tcPr>
          <w:p w14:paraId="0793955E">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480000</w:t>
            </w:r>
          </w:p>
        </w:tc>
        <w:tc>
          <w:tcPr>
            <w:tcW w:w="1120" w:type="dxa"/>
            <w:noWrap/>
            <w:vAlign w:val="center"/>
          </w:tcPr>
          <w:p w14:paraId="325FAED8">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0.12</w:t>
            </w:r>
          </w:p>
        </w:tc>
        <w:tc>
          <w:tcPr>
            <w:tcW w:w="1015" w:type="dxa"/>
            <w:noWrap/>
            <w:vAlign w:val="center"/>
          </w:tcPr>
          <w:p w14:paraId="78FD608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57600</w:t>
            </w:r>
          </w:p>
        </w:tc>
      </w:tr>
      <w:tr w14:paraId="3CD2B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466" w:type="dxa"/>
            <w:noWrap w:val="0"/>
            <w:vAlign w:val="center"/>
          </w:tcPr>
          <w:p w14:paraId="306361DB">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3</w:t>
            </w:r>
          </w:p>
        </w:tc>
        <w:tc>
          <w:tcPr>
            <w:tcW w:w="1710" w:type="dxa"/>
            <w:noWrap w:val="0"/>
            <w:vAlign w:val="center"/>
          </w:tcPr>
          <w:p w14:paraId="4675D129">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b w:val="0"/>
                <w:bCs w:val="0"/>
                <w:color w:val="auto"/>
                <w:kern w:val="0"/>
                <w:sz w:val="21"/>
                <w:szCs w:val="21"/>
                <w:shd w:val="clear" w:color="auto" w:fill="auto"/>
              </w:rPr>
            </w:pPr>
            <w:r>
              <w:rPr>
                <w:rFonts w:hint="eastAsia" w:ascii="仿宋" w:hAnsi="仿宋" w:eastAsia="仿宋" w:cs="仿宋"/>
                <w:b w:val="0"/>
                <w:bCs w:val="0"/>
                <w:color w:val="auto"/>
                <w:kern w:val="0"/>
                <w:sz w:val="21"/>
                <w:szCs w:val="21"/>
                <w:shd w:val="clear" w:color="auto" w:fill="auto"/>
              </w:rPr>
              <w:t>早产奶粉</w:t>
            </w:r>
          </w:p>
          <w:p w14:paraId="106437ED">
            <w:pPr>
              <w:pStyle w:val="20"/>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b w:val="0"/>
                <w:bCs w:val="0"/>
                <w:color w:val="auto"/>
                <w:kern w:val="0"/>
                <w:sz w:val="21"/>
                <w:szCs w:val="21"/>
                <w:shd w:val="clear" w:color="auto" w:fill="auto"/>
                <w:lang w:val="en-US" w:eastAsia="zh-CN"/>
              </w:rPr>
              <w:t>（400g/罐）</w:t>
            </w:r>
          </w:p>
        </w:tc>
        <w:tc>
          <w:tcPr>
            <w:tcW w:w="5040" w:type="dxa"/>
            <w:noWrap w:val="0"/>
            <w:vAlign w:val="center"/>
          </w:tcPr>
          <w:p w14:paraId="425BAEF7">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适用年龄:适合1.8公斤以下早产宝宝使用</w:t>
            </w:r>
            <w:r>
              <w:rPr>
                <w:rFonts w:hint="eastAsia" w:ascii="仿宋" w:hAnsi="仿宋" w:eastAsia="仿宋" w:cs="仿宋"/>
                <w:color w:val="auto"/>
                <w:sz w:val="21"/>
                <w:szCs w:val="21"/>
                <w:shd w:val="clear" w:color="auto" w:fill="auto"/>
                <w:lang w:eastAsia="zh-CN"/>
              </w:rPr>
              <w:t>，</w:t>
            </w:r>
            <w:r>
              <w:rPr>
                <w:rFonts w:hint="eastAsia" w:ascii="仿宋" w:hAnsi="仿宋" w:eastAsia="仿宋" w:cs="仿宋"/>
                <w:color w:val="auto"/>
                <w:kern w:val="0"/>
                <w:sz w:val="21"/>
                <w:szCs w:val="21"/>
                <w:shd w:val="clear" w:color="auto" w:fill="auto"/>
                <w:lang w:val="en-US" w:eastAsia="zh-CN"/>
              </w:rPr>
              <w:t>热卡80</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kern w:val="0"/>
                <w:sz w:val="21"/>
                <w:szCs w:val="21"/>
                <w:shd w:val="clear" w:color="auto" w:fill="auto"/>
                <w:lang w:val="en-US" w:eastAsia="zh-CN"/>
              </w:rPr>
              <w:t>（Kcal/100ml），</w:t>
            </w:r>
            <w:r>
              <w:rPr>
                <w:rFonts w:hint="eastAsia" w:ascii="仿宋" w:hAnsi="仿宋" w:eastAsia="仿宋" w:cs="仿宋"/>
                <w:color w:val="auto"/>
                <w:sz w:val="21"/>
                <w:szCs w:val="21"/>
                <w:shd w:val="clear" w:color="auto" w:fill="auto"/>
                <w:lang w:val="en-US" w:eastAsia="zh-CN"/>
              </w:rPr>
              <w:t>厅装。</w:t>
            </w:r>
          </w:p>
        </w:tc>
        <w:tc>
          <w:tcPr>
            <w:tcW w:w="1030" w:type="dxa"/>
            <w:noWrap w:val="0"/>
            <w:vAlign w:val="center"/>
          </w:tcPr>
          <w:p w14:paraId="486CB8EB">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480000</w:t>
            </w:r>
          </w:p>
        </w:tc>
        <w:tc>
          <w:tcPr>
            <w:tcW w:w="1120" w:type="dxa"/>
            <w:noWrap/>
            <w:vAlign w:val="center"/>
          </w:tcPr>
          <w:p w14:paraId="67FED6FF">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0.12</w:t>
            </w:r>
          </w:p>
        </w:tc>
        <w:tc>
          <w:tcPr>
            <w:tcW w:w="1015" w:type="dxa"/>
            <w:noWrap/>
            <w:vAlign w:val="center"/>
          </w:tcPr>
          <w:p w14:paraId="45012C5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57600</w:t>
            </w:r>
          </w:p>
        </w:tc>
      </w:tr>
      <w:tr w14:paraId="38EB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466" w:type="dxa"/>
            <w:noWrap w:val="0"/>
            <w:vAlign w:val="center"/>
          </w:tcPr>
          <w:p w14:paraId="02F8EE8F">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eastAsia="zh-CN"/>
              </w:rPr>
            </w:pPr>
            <w:r>
              <w:rPr>
                <w:rFonts w:hint="eastAsia" w:ascii="仿宋" w:hAnsi="仿宋" w:eastAsia="仿宋" w:cs="仿宋"/>
                <w:color w:val="auto"/>
                <w:kern w:val="0"/>
                <w:sz w:val="21"/>
                <w:szCs w:val="21"/>
                <w:shd w:val="clear" w:color="auto" w:fill="auto"/>
                <w:lang w:val="en-US" w:eastAsia="zh-CN"/>
              </w:rPr>
              <w:t>4</w:t>
            </w:r>
          </w:p>
        </w:tc>
        <w:tc>
          <w:tcPr>
            <w:tcW w:w="1710" w:type="dxa"/>
            <w:noWrap w:val="0"/>
            <w:vAlign w:val="center"/>
          </w:tcPr>
          <w:p w14:paraId="390CEAD3">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早产过度</w:t>
            </w:r>
          </w:p>
          <w:p w14:paraId="0BC2C551">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配方奶粉</w:t>
            </w:r>
          </w:p>
          <w:p w14:paraId="2F15C203">
            <w:pPr>
              <w:pStyle w:val="20"/>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b w:val="0"/>
                <w:bCs w:val="0"/>
                <w:color w:val="auto"/>
                <w:kern w:val="0"/>
                <w:sz w:val="21"/>
                <w:szCs w:val="21"/>
                <w:shd w:val="clear" w:color="auto" w:fill="auto"/>
                <w:lang w:val="en-US" w:eastAsia="zh-CN"/>
              </w:rPr>
              <w:t>（400g/罐）</w:t>
            </w:r>
          </w:p>
        </w:tc>
        <w:tc>
          <w:tcPr>
            <w:tcW w:w="5040" w:type="dxa"/>
            <w:noWrap w:val="0"/>
            <w:vAlign w:val="center"/>
          </w:tcPr>
          <w:p w14:paraId="5203C235">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适用年龄:适合1.8公斤以上早产宝宝使用</w:t>
            </w:r>
            <w:r>
              <w:rPr>
                <w:rFonts w:hint="eastAsia" w:ascii="仿宋" w:hAnsi="仿宋" w:eastAsia="仿宋" w:cs="仿宋"/>
                <w:color w:val="auto"/>
                <w:sz w:val="21"/>
                <w:szCs w:val="21"/>
                <w:shd w:val="clear" w:color="auto" w:fill="auto"/>
                <w:lang w:eastAsia="zh-CN"/>
              </w:rPr>
              <w:t>，</w:t>
            </w:r>
            <w:r>
              <w:rPr>
                <w:rFonts w:hint="eastAsia" w:ascii="仿宋" w:hAnsi="仿宋" w:eastAsia="仿宋" w:cs="仿宋"/>
                <w:color w:val="auto"/>
                <w:kern w:val="0"/>
                <w:sz w:val="21"/>
                <w:szCs w:val="21"/>
                <w:shd w:val="clear" w:color="auto" w:fill="auto"/>
                <w:lang w:val="en-US" w:eastAsia="zh-CN"/>
              </w:rPr>
              <w:t>热卡</w:t>
            </w:r>
            <w:r>
              <w:rPr>
                <w:rFonts w:hint="eastAsia" w:ascii="仿宋" w:hAnsi="仿宋" w:eastAsia="仿宋" w:cs="仿宋"/>
                <w:b/>
                <w:bCs/>
                <w:color w:val="auto"/>
                <w:kern w:val="0"/>
                <w:sz w:val="21"/>
                <w:szCs w:val="21"/>
                <w:shd w:val="clear" w:color="auto" w:fill="auto"/>
                <w:lang w:val="en-US" w:eastAsia="zh-CN"/>
              </w:rPr>
              <w:t>73±1</w:t>
            </w:r>
            <w:r>
              <w:rPr>
                <w:rFonts w:hint="eastAsia" w:ascii="仿宋" w:hAnsi="仿宋" w:eastAsia="仿宋" w:cs="仿宋"/>
                <w:color w:val="auto"/>
                <w:kern w:val="0"/>
                <w:sz w:val="21"/>
                <w:szCs w:val="21"/>
                <w:shd w:val="clear" w:color="auto" w:fill="auto"/>
                <w:lang w:val="en-US" w:eastAsia="zh-CN"/>
              </w:rPr>
              <w:t>（Kcal/100ml），</w:t>
            </w:r>
            <w:r>
              <w:rPr>
                <w:rFonts w:hint="eastAsia" w:ascii="仿宋" w:hAnsi="仿宋" w:eastAsia="仿宋" w:cs="仿宋"/>
                <w:color w:val="auto"/>
                <w:sz w:val="21"/>
                <w:szCs w:val="21"/>
                <w:shd w:val="clear" w:color="auto" w:fill="auto"/>
                <w:lang w:val="en-US" w:eastAsia="zh-CN"/>
              </w:rPr>
              <w:t>厅装。</w:t>
            </w:r>
          </w:p>
        </w:tc>
        <w:tc>
          <w:tcPr>
            <w:tcW w:w="1030" w:type="dxa"/>
            <w:noWrap w:val="0"/>
            <w:vAlign w:val="center"/>
          </w:tcPr>
          <w:p w14:paraId="39528598">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6000</w:t>
            </w:r>
          </w:p>
        </w:tc>
        <w:tc>
          <w:tcPr>
            <w:tcW w:w="1120" w:type="dxa"/>
            <w:noWrap/>
            <w:vAlign w:val="center"/>
          </w:tcPr>
          <w:p w14:paraId="288F4D98">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0.47</w:t>
            </w:r>
          </w:p>
        </w:tc>
        <w:tc>
          <w:tcPr>
            <w:tcW w:w="1015" w:type="dxa"/>
            <w:noWrap/>
            <w:vAlign w:val="center"/>
          </w:tcPr>
          <w:p w14:paraId="150CC7A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2820</w:t>
            </w:r>
          </w:p>
        </w:tc>
      </w:tr>
      <w:tr w14:paraId="4C55D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466" w:type="dxa"/>
            <w:noWrap w:val="0"/>
            <w:vAlign w:val="center"/>
          </w:tcPr>
          <w:p w14:paraId="3385E857">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5</w:t>
            </w:r>
          </w:p>
        </w:tc>
        <w:tc>
          <w:tcPr>
            <w:tcW w:w="1710" w:type="dxa"/>
            <w:noWrap w:val="0"/>
            <w:vAlign w:val="center"/>
          </w:tcPr>
          <w:p w14:paraId="4ED640F1">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母乳强化剂</w:t>
            </w:r>
          </w:p>
          <w:p w14:paraId="06848787">
            <w:pPr>
              <w:pStyle w:val="20"/>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b w:val="0"/>
                <w:bCs w:val="0"/>
                <w:color w:val="auto"/>
                <w:kern w:val="0"/>
                <w:sz w:val="21"/>
                <w:szCs w:val="21"/>
                <w:shd w:val="clear" w:color="auto" w:fill="auto"/>
                <w:lang w:val="en-US" w:eastAsia="zh-CN"/>
              </w:rPr>
              <w:t>（72g/盒）</w:t>
            </w:r>
          </w:p>
        </w:tc>
        <w:tc>
          <w:tcPr>
            <w:tcW w:w="5040" w:type="dxa"/>
            <w:noWrap w:val="0"/>
            <w:vAlign w:val="center"/>
          </w:tcPr>
          <w:p w14:paraId="5E374A02">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rPr>
              <w:t>适用年龄：适合有母乳的早产宝宝，可强化母乳热卡到</w:t>
            </w:r>
            <w:r>
              <w:rPr>
                <w:rFonts w:hint="eastAsia" w:ascii="仿宋" w:hAnsi="仿宋" w:eastAsia="仿宋" w:cs="仿宋"/>
                <w:b/>
                <w:bCs/>
                <w:color w:val="auto"/>
                <w:sz w:val="21"/>
                <w:szCs w:val="21"/>
                <w:shd w:val="clear" w:color="auto" w:fill="auto"/>
              </w:rPr>
              <w:t>85</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sz w:val="21"/>
                <w:szCs w:val="21"/>
                <w:shd w:val="clear" w:color="auto" w:fill="auto"/>
              </w:rPr>
              <w:t>（Kcal/100ml），盒装</w:t>
            </w:r>
          </w:p>
        </w:tc>
        <w:tc>
          <w:tcPr>
            <w:tcW w:w="1030" w:type="dxa"/>
            <w:noWrap w:val="0"/>
            <w:vAlign w:val="center"/>
          </w:tcPr>
          <w:p w14:paraId="02F0B8A1">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12960</w:t>
            </w:r>
          </w:p>
        </w:tc>
        <w:tc>
          <w:tcPr>
            <w:tcW w:w="1120" w:type="dxa"/>
            <w:noWrap/>
            <w:vAlign w:val="center"/>
          </w:tcPr>
          <w:p w14:paraId="5708A675">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sz w:val="21"/>
                <w:szCs w:val="21"/>
                <w:shd w:val="clear" w:color="auto" w:fill="auto"/>
                <w:lang w:val="en-US" w:eastAsia="zh-CN"/>
              </w:rPr>
            </w:pPr>
            <w:r>
              <w:rPr>
                <w:rFonts w:hint="eastAsia" w:ascii="仿宋" w:hAnsi="仿宋" w:eastAsia="仿宋" w:cs="仿宋"/>
                <w:color w:val="auto"/>
                <w:sz w:val="21"/>
                <w:szCs w:val="21"/>
                <w:shd w:val="clear" w:color="auto" w:fill="auto"/>
                <w:lang w:val="en-US" w:eastAsia="zh-CN"/>
              </w:rPr>
              <w:t>7.20</w:t>
            </w:r>
          </w:p>
        </w:tc>
        <w:tc>
          <w:tcPr>
            <w:tcW w:w="1015" w:type="dxa"/>
            <w:noWrap/>
            <w:vAlign w:val="center"/>
          </w:tcPr>
          <w:p w14:paraId="3A36BEA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93312</w:t>
            </w:r>
          </w:p>
        </w:tc>
      </w:tr>
      <w:tr w14:paraId="01AB3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466" w:type="dxa"/>
            <w:noWrap w:val="0"/>
            <w:vAlign w:val="center"/>
          </w:tcPr>
          <w:p w14:paraId="645264AB">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6</w:t>
            </w:r>
          </w:p>
        </w:tc>
        <w:tc>
          <w:tcPr>
            <w:tcW w:w="1710" w:type="dxa"/>
            <w:noWrap w:val="0"/>
            <w:vAlign w:val="center"/>
          </w:tcPr>
          <w:p w14:paraId="4F797DC4">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氨基酸奶粉</w:t>
            </w:r>
          </w:p>
          <w:p w14:paraId="429DD8E0">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（400g/罐）</w:t>
            </w:r>
          </w:p>
        </w:tc>
        <w:tc>
          <w:tcPr>
            <w:tcW w:w="5040" w:type="dxa"/>
            <w:noWrap w:val="0"/>
            <w:vAlign w:val="center"/>
          </w:tcPr>
          <w:p w14:paraId="42B496CC">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lang w:val="en-US" w:eastAsia="zh-CN"/>
              </w:rPr>
              <w:t>适用年龄:0-12个月的中重度过敏宝宝。全氨基酸配方，热卡</w:t>
            </w:r>
            <w:r>
              <w:rPr>
                <w:rFonts w:hint="eastAsia" w:ascii="仿宋" w:hAnsi="仿宋" w:eastAsia="仿宋" w:cs="仿宋"/>
                <w:b/>
                <w:bCs/>
                <w:color w:val="auto"/>
                <w:sz w:val="21"/>
                <w:szCs w:val="21"/>
                <w:shd w:val="clear" w:color="auto" w:fill="auto"/>
                <w:lang w:val="en-US" w:eastAsia="zh-CN"/>
              </w:rPr>
              <w:t>67</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sz w:val="21"/>
                <w:szCs w:val="21"/>
                <w:shd w:val="clear" w:color="auto" w:fill="auto"/>
                <w:lang w:val="en-US" w:eastAsia="zh-CN"/>
              </w:rPr>
              <w:t>（Kcal/100ml），能满足过敏期间婴幼儿的成长要求，厅装。</w:t>
            </w:r>
          </w:p>
        </w:tc>
        <w:tc>
          <w:tcPr>
            <w:tcW w:w="1030" w:type="dxa"/>
            <w:noWrap w:val="0"/>
            <w:vAlign w:val="center"/>
          </w:tcPr>
          <w:p w14:paraId="6B8EEAA0">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24000</w:t>
            </w:r>
          </w:p>
        </w:tc>
        <w:tc>
          <w:tcPr>
            <w:tcW w:w="1120" w:type="dxa"/>
            <w:noWrap/>
            <w:vAlign w:val="center"/>
          </w:tcPr>
          <w:p w14:paraId="324F7DC4">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sz w:val="21"/>
                <w:szCs w:val="21"/>
                <w:shd w:val="clear" w:color="auto" w:fill="auto"/>
                <w:lang w:val="en-US" w:eastAsia="zh-CN"/>
              </w:rPr>
            </w:pPr>
            <w:r>
              <w:rPr>
                <w:rFonts w:hint="eastAsia" w:ascii="仿宋" w:hAnsi="仿宋" w:eastAsia="仿宋" w:cs="仿宋"/>
                <w:color w:val="auto"/>
                <w:sz w:val="21"/>
                <w:szCs w:val="21"/>
                <w:shd w:val="clear" w:color="auto" w:fill="auto"/>
                <w:lang w:val="en-US" w:eastAsia="zh-CN"/>
              </w:rPr>
              <w:t>1.05</w:t>
            </w:r>
          </w:p>
        </w:tc>
        <w:tc>
          <w:tcPr>
            <w:tcW w:w="1015" w:type="dxa"/>
            <w:noWrap/>
            <w:vAlign w:val="center"/>
          </w:tcPr>
          <w:p w14:paraId="414E504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25200</w:t>
            </w:r>
          </w:p>
        </w:tc>
      </w:tr>
      <w:tr w14:paraId="67B8D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466" w:type="dxa"/>
            <w:noWrap w:val="0"/>
            <w:vAlign w:val="center"/>
          </w:tcPr>
          <w:p w14:paraId="5F921C9D">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7</w:t>
            </w:r>
          </w:p>
        </w:tc>
        <w:tc>
          <w:tcPr>
            <w:tcW w:w="1710" w:type="dxa"/>
            <w:noWrap w:val="0"/>
            <w:vAlign w:val="center"/>
          </w:tcPr>
          <w:p w14:paraId="1AFCE224">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深度水解奶粉</w:t>
            </w:r>
          </w:p>
          <w:p w14:paraId="6D1F9DD1">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（400g/罐）</w:t>
            </w:r>
          </w:p>
        </w:tc>
        <w:tc>
          <w:tcPr>
            <w:tcW w:w="5040" w:type="dxa"/>
            <w:noWrap w:val="0"/>
            <w:vAlign w:val="center"/>
          </w:tcPr>
          <w:p w14:paraId="16B68138">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rPr>
              <w:t>适用年龄:0-12个月的轻中度过敏宝宝。热卡</w:t>
            </w:r>
            <w:r>
              <w:rPr>
                <w:rFonts w:hint="eastAsia" w:ascii="仿宋" w:hAnsi="仿宋" w:eastAsia="仿宋" w:cs="仿宋"/>
                <w:b/>
                <w:bCs/>
                <w:color w:val="auto"/>
                <w:sz w:val="21"/>
                <w:szCs w:val="21"/>
                <w:shd w:val="clear" w:color="auto" w:fill="auto"/>
              </w:rPr>
              <w:t>67</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sz w:val="21"/>
                <w:szCs w:val="21"/>
                <w:shd w:val="clear" w:color="auto" w:fill="auto"/>
              </w:rPr>
              <w:t>（Kcal/100ml），能满足过敏期间婴幼儿的成长要求，厅装。</w:t>
            </w:r>
          </w:p>
        </w:tc>
        <w:tc>
          <w:tcPr>
            <w:tcW w:w="1030" w:type="dxa"/>
            <w:noWrap w:val="0"/>
            <w:vAlign w:val="center"/>
          </w:tcPr>
          <w:p w14:paraId="58C0F033">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42000</w:t>
            </w:r>
          </w:p>
        </w:tc>
        <w:tc>
          <w:tcPr>
            <w:tcW w:w="1120" w:type="dxa"/>
            <w:noWrap/>
            <w:vAlign w:val="center"/>
          </w:tcPr>
          <w:p w14:paraId="31026F34">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sz w:val="21"/>
                <w:szCs w:val="21"/>
                <w:shd w:val="clear" w:color="auto" w:fill="auto"/>
                <w:lang w:val="en-US" w:eastAsia="zh-CN"/>
              </w:rPr>
            </w:pPr>
            <w:r>
              <w:rPr>
                <w:rFonts w:hint="eastAsia" w:ascii="仿宋" w:hAnsi="仿宋" w:eastAsia="仿宋" w:cs="仿宋"/>
                <w:color w:val="auto"/>
                <w:sz w:val="21"/>
                <w:szCs w:val="21"/>
                <w:shd w:val="clear" w:color="auto" w:fill="auto"/>
                <w:lang w:val="en-US" w:eastAsia="zh-CN"/>
              </w:rPr>
              <w:t>0.7</w:t>
            </w:r>
          </w:p>
        </w:tc>
        <w:tc>
          <w:tcPr>
            <w:tcW w:w="1015" w:type="dxa"/>
            <w:noWrap/>
            <w:vAlign w:val="center"/>
          </w:tcPr>
          <w:p w14:paraId="7D8EFF2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29400</w:t>
            </w:r>
          </w:p>
        </w:tc>
      </w:tr>
      <w:tr w14:paraId="7E011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466" w:type="dxa"/>
            <w:noWrap w:val="0"/>
            <w:vAlign w:val="center"/>
          </w:tcPr>
          <w:p w14:paraId="70AE6D4F">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8</w:t>
            </w:r>
          </w:p>
        </w:tc>
        <w:tc>
          <w:tcPr>
            <w:tcW w:w="1710" w:type="dxa"/>
            <w:noWrap w:val="0"/>
            <w:vAlign w:val="center"/>
          </w:tcPr>
          <w:p w14:paraId="389849C9">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腹泻</w:t>
            </w:r>
            <w:r>
              <w:rPr>
                <w:rFonts w:hint="eastAsia" w:ascii="仿宋" w:hAnsi="仿宋" w:eastAsia="仿宋" w:cs="仿宋"/>
                <w:color w:val="auto"/>
                <w:kern w:val="0"/>
                <w:sz w:val="21"/>
                <w:szCs w:val="21"/>
                <w:shd w:val="clear" w:color="auto" w:fill="auto"/>
                <w:lang w:val="en-US" w:eastAsia="zh-CN"/>
              </w:rPr>
              <w:t>无糖</w:t>
            </w:r>
          </w:p>
          <w:p w14:paraId="4DEB9C5B">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配方</w:t>
            </w:r>
            <w:r>
              <w:rPr>
                <w:rFonts w:hint="eastAsia" w:ascii="仿宋" w:hAnsi="仿宋" w:eastAsia="仿宋" w:cs="仿宋"/>
                <w:color w:val="auto"/>
                <w:kern w:val="0"/>
                <w:sz w:val="21"/>
                <w:szCs w:val="21"/>
                <w:shd w:val="clear" w:color="auto" w:fill="auto"/>
              </w:rPr>
              <w:t>奶粉</w:t>
            </w:r>
          </w:p>
          <w:p w14:paraId="03C2141D">
            <w:pPr>
              <w:pStyle w:val="20"/>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b w:val="0"/>
                <w:bCs w:val="0"/>
                <w:color w:val="auto"/>
                <w:kern w:val="0"/>
                <w:sz w:val="21"/>
                <w:szCs w:val="21"/>
                <w:shd w:val="clear" w:color="auto" w:fill="auto"/>
                <w:lang w:val="en-US" w:eastAsia="zh-CN"/>
              </w:rPr>
              <w:t>（400g/罐）</w:t>
            </w:r>
          </w:p>
        </w:tc>
        <w:tc>
          <w:tcPr>
            <w:tcW w:w="5040" w:type="dxa"/>
            <w:noWrap w:val="0"/>
            <w:vAlign w:val="center"/>
          </w:tcPr>
          <w:p w14:paraId="2F1ACBFC">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rPr>
              <w:t>适用年龄:0-36个月的急性腹泻婴幼儿。无乳糖，热卡</w:t>
            </w:r>
            <w:r>
              <w:rPr>
                <w:rFonts w:hint="eastAsia" w:ascii="仿宋" w:hAnsi="仿宋" w:eastAsia="仿宋" w:cs="仿宋"/>
                <w:b/>
                <w:bCs/>
                <w:color w:val="auto"/>
                <w:sz w:val="21"/>
                <w:szCs w:val="21"/>
                <w:shd w:val="clear" w:color="auto" w:fill="auto"/>
              </w:rPr>
              <w:t>67</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sz w:val="21"/>
                <w:szCs w:val="21"/>
                <w:shd w:val="clear" w:color="auto" w:fill="auto"/>
              </w:rPr>
              <w:t>（Kcal/100ml），能满足腹泻急性期及恢复期婴幼儿的成长要求，厅装。</w:t>
            </w:r>
          </w:p>
        </w:tc>
        <w:tc>
          <w:tcPr>
            <w:tcW w:w="1030" w:type="dxa"/>
            <w:noWrap w:val="0"/>
            <w:vAlign w:val="center"/>
          </w:tcPr>
          <w:p w14:paraId="16393EAA">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12000</w:t>
            </w:r>
          </w:p>
        </w:tc>
        <w:tc>
          <w:tcPr>
            <w:tcW w:w="1120" w:type="dxa"/>
            <w:noWrap/>
            <w:vAlign w:val="center"/>
          </w:tcPr>
          <w:p w14:paraId="7ED19F89">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sz w:val="21"/>
                <w:szCs w:val="21"/>
                <w:shd w:val="clear" w:color="auto" w:fill="auto"/>
                <w:lang w:val="en-US" w:eastAsia="zh-CN"/>
              </w:rPr>
            </w:pPr>
            <w:r>
              <w:rPr>
                <w:rFonts w:hint="eastAsia" w:ascii="仿宋" w:hAnsi="仿宋" w:eastAsia="仿宋" w:cs="仿宋"/>
                <w:color w:val="auto"/>
                <w:sz w:val="21"/>
                <w:szCs w:val="21"/>
                <w:shd w:val="clear" w:color="auto" w:fill="auto"/>
                <w:lang w:val="en-US" w:eastAsia="zh-CN"/>
              </w:rPr>
              <w:t>0.39</w:t>
            </w:r>
          </w:p>
        </w:tc>
        <w:tc>
          <w:tcPr>
            <w:tcW w:w="1015" w:type="dxa"/>
            <w:noWrap/>
            <w:vAlign w:val="center"/>
          </w:tcPr>
          <w:p w14:paraId="156B178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4680</w:t>
            </w:r>
          </w:p>
        </w:tc>
      </w:tr>
      <w:tr w14:paraId="3F576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10381" w:type="dxa"/>
            <w:gridSpan w:val="6"/>
            <w:noWrap w:val="0"/>
            <w:vAlign w:val="center"/>
          </w:tcPr>
          <w:p w14:paraId="5A91C9AA">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★注：1、以上所有配方奶粉须为同一品牌，否则视为无效投标</w:t>
            </w:r>
          </w:p>
          <w:p w14:paraId="415BA742">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仿宋" w:hAnsi="仿宋" w:eastAsia="仿宋" w:cs="仿宋"/>
                <w:color w:val="auto"/>
                <w:sz w:val="21"/>
                <w:szCs w:val="21"/>
                <w:shd w:val="clear" w:color="auto" w:fill="auto"/>
                <w:lang w:val="en-US" w:eastAsia="zh-CN"/>
              </w:rPr>
            </w:pPr>
            <w:r>
              <w:rPr>
                <w:rFonts w:hint="eastAsia" w:ascii="仿宋" w:hAnsi="仿宋" w:eastAsia="仿宋" w:cs="仿宋"/>
                <w:sz w:val="21"/>
                <w:szCs w:val="21"/>
                <w:lang w:val="en-US" w:eastAsia="zh-CN"/>
              </w:rPr>
              <w:t xml:space="preserve">2、以上所有产品须提供国内婴儿配方乳粉配方注册证书或特殊医学用途配方食品注册证书，否则视为无效投标 </w:t>
            </w:r>
          </w:p>
        </w:tc>
      </w:tr>
    </w:tbl>
    <w:p w14:paraId="660E7D66">
      <w:pPr>
        <w:pageBreakBefore w:val="0"/>
        <w:kinsoku/>
        <w:wordWrap/>
        <w:overflowPunct/>
        <w:topLinePunct w:val="0"/>
        <w:autoSpaceDE/>
        <w:autoSpaceDN/>
        <w:bidi w:val="0"/>
        <w:adjustRightInd/>
        <w:snapToGrid/>
        <w:spacing w:line="540" w:lineRule="exact"/>
        <w:ind w:firstLine="560" w:firstLineChars="200"/>
        <w:textAlignment w:val="auto"/>
        <w:outlineLvl w:val="1"/>
        <w:rPr>
          <w:rFonts w:hint="eastAsia" w:ascii="仿宋" w:hAnsi="仿宋" w:eastAsia="仿宋" w:cs="仿宋"/>
          <w:b w:val="0"/>
          <w:bCs/>
          <w:color w:val="auto"/>
          <w:kern w:val="0"/>
          <w:sz w:val="28"/>
          <w:szCs w:val="28"/>
          <w:shd w:val="clear" w:color="auto" w:fill="auto"/>
          <w:lang w:val="en-US" w:eastAsia="zh-CN"/>
        </w:rPr>
      </w:pPr>
    </w:p>
    <w:p w14:paraId="29551E44">
      <w:pPr>
        <w:pageBreakBefore w:val="0"/>
        <w:kinsoku/>
        <w:wordWrap/>
        <w:overflowPunct/>
        <w:topLinePunct w:val="0"/>
        <w:autoSpaceDE/>
        <w:autoSpaceDN/>
        <w:bidi w:val="0"/>
        <w:adjustRightInd/>
        <w:snapToGrid/>
        <w:spacing w:line="540" w:lineRule="exact"/>
        <w:ind w:firstLine="562" w:firstLineChars="200"/>
        <w:textAlignment w:val="auto"/>
        <w:outlineLvl w:val="1"/>
        <w:rPr>
          <w:rFonts w:hint="eastAsia" w:ascii="仿宋" w:hAnsi="仿宋" w:eastAsia="仿宋" w:cs="仿宋"/>
          <w:b/>
          <w:color w:val="auto"/>
          <w:kern w:val="0"/>
          <w:sz w:val="28"/>
          <w:szCs w:val="28"/>
          <w:shd w:val="clear" w:color="auto" w:fill="auto"/>
        </w:rPr>
      </w:pPr>
      <w:r>
        <w:rPr>
          <w:rFonts w:hint="eastAsia" w:ascii="仿宋" w:hAnsi="仿宋" w:eastAsia="仿宋" w:cs="仿宋"/>
          <w:b/>
          <w:color w:val="auto"/>
          <w:kern w:val="0"/>
          <w:sz w:val="28"/>
          <w:szCs w:val="28"/>
          <w:shd w:val="clear" w:color="auto" w:fill="auto"/>
          <w:lang w:val="en-US" w:eastAsia="zh-CN"/>
        </w:rPr>
        <w:t>(二)</w:t>
      </w:r>
      <w:r>
        <w:rPr>
          <w:rFonts w:hint="eastAsia" w:ascii="仿宋" w:hAnsi="仿宋" w:eastAsia="仿宋" w:cs="仿宋"/>
          <w:b/>
          <w:color w:val="auto"/>
          <w:kern w:val="0"/>
          <w:sz w:val="28"/>
          <w:szCs w:val="28"/>
          <w:shd w:val="clear" w:color="auto" w:fill="auto"/>
        </w:rPr>
        <w:t xml:space="preserve">、服务技术要求 </w:t>
      </w:r>
    </w:p>
    <w:p w14:paraId="4E398526">
      <w:pPr>
        <w:pageBreakBefore w:val="0"/>
        <w:widowControl/>
        <w:kinsoku/>
        <w:wordWrap/>
        <w:overflowPunct/>
        <w:topLinePunct w:val="0"/>
        <w:autoSpaceDE/>
        <w:autoSpaceDN/>
        <w:bidi w:val="0"/>
        <w:adjustRightInd/>
        <w:snapToGrid/>
        <w:spacing w:line="540" w:lineRule="exact"/>
        <w:ind w:firstLine="560" w:firstLineChars="200"/>
        <w:jc w:val="left"/>
        <w:textAlignment w:val="auto"/>
        <w:rPr>
          <w:rFonts w:hint="eastAsia" w:ascii="仿宋" w:hAnsi="仿宋" w:eastAsia="仿宋" w:cs="仿宋"/>
          <w:color w:val="auto"/>
          <w:sz w:val="28"/>
          <w:szCs w:val="28"/>
          <w:shd w:val="clear" w:color="auto" w:fill="auto"/>
        </w:rPr>
      </w:pPr>
      <w:bookmarkStart w:id="1" w:name="_Toc26300"/>
      <w:r>
        <w:rPr>
          <w:rFonts w:hint="eastAsia" w:ascii="仿宋" w:hAnsi="仿宋" w:eastAsia="仿宋" w:cs="仿宋"/>
          <w:color w:val="auto"/>
          <w:sz w:val="28"/>
          <w:szCs w:val="28"/>
          <w:shd w:val="clear" w:color="auto" w:fill="auto"/>
        </w:rPr>
        <w:t>1、质量要求：必须符合国家食品安全标准及相关法规要求。</w:t>
      </w:r>
    </w:p>
    <w:p w14:paraId="07E5FD4B">
      <w:pPr>
        <w:pageBreakBefore w:val="0"/>
        <w:widowControl/>
        <w:kinsoku/>
        <w:wordWrap/>
        <w:overflowPunct/>
        <w:topLinePunct w:val="0"/>
        <w:autoSpaceDE/>
        <w:autoSpaceDN/>
        <w:bidi w:val="0"/>
        <w:adjustRightInd/>
        <w:snapToGrid/>
        <w:spacing w:line="540" w:lineRule="exact"/>
        <w:ind w:firstLine="560" w:firstLineChars="200"/>
        <w:jc w:val="left"/>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2、质量标准：符合招标条件及国家行业标准。</w:t>
      </w:r>
    </w:p>
    <w:p w14:paraId="6F6CE94E">
      <w:pPr>
        <w:pageBreakBefore w:val="0"/>
        <w:widowControl/>
        <w:kinsoku/>
        <w:wordWrap/>
        <w:overflowPunct/>
        <w:topLinePunct w:val="0"/>
        <w:autoSpaceDE/>
        <w:autoSpaceDN/>
        <w:bidi w:val="0"/>
        <w:adjustRightInd/>
        <w:snapToGrid/>
        <w:spacing w:line="540" w:lineRule="exact"/>
        <w:ind w:firstLine="560" w:firstLineChars="200"/>
        <w:jc w:val="left"/>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3、供应商提供的奶粉类货物必须符合国家及有关部门的技术标准和规范，满足</w:t>
      </w:r>
      <w:r>
        <w:rPr>
          <w:rFonts w:hint="eastAsia" w:ascii="仿宋" w:hAnsi="仿宋" w:eastAsia="仿宋" w:cs="仿宋"/>
          <w:color w:val="auto"/>
          <w:sz w:val="28"/>
          <w:szCs w:val="28"/>
          <w:shd w:val="clear" w:color="auto" w:fill="auto"/>
          <w:lang w:val="en-US" w:eastAsia="zh-CN"/>
        </w:rPr>
        <w:t>采购</w:t>
      </w:r>
      <w:r>
        <w:rPr>
          <w:rFonts w:hint="eastAsia" w:ascii="仿宋" w:hAnsi="仿宋" w:eastAsia="仿宋" w:cs="仿宋"/>
          <w:color w:val="auto"/>
          <w:sz w:val="28"/>
          <w:szCs w:val="28"/>
          <w:shd w:val="clear" w:color="auto" w:fill="auto"/>
        </w:rPr>
        <w:t>人要求。</w:t>
      </w:r>
    </w:p>
    <w:p w14:paraId="0D20F43F">
      <w:pPr>
        <w:pageBreakBefore w:val="0"/>
        <w:widowControl/>
        <w:kinsoku/>
        <w:wordWrap/>
        <w:overflowPunct/>
        <w:topLinePunct w:val="0"/>
        <w:autoSpaceDE/>
        <w:autoSpaceDN/>
        <w:bidi w:val="0"/>
        <w:adjustRightInd/>
        <w:snapToGrid/>
        <w:spacing w:line="540" w:lineRule="exact"/>
        <w:ind w:firstLine="560" w:firstLineChars="200"/>
        <w:jc w:val="left"/>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4、所有奶粉类货物质量等于或优于本技术要求时才能为</w:t>
      </w:r>
      <w:r>
        <w:rPr>
          <w:rFonts w:hint="eastAsia" w:ascii="仿宋" w:hAnsi="仿宋" w:eastAsia="仿宋" w:cs="仿宋"/>
          <w:color w:val="auto"/>
          <w:sz w:val="28"/>
          <w:szCs w:val="28"/>
          <w:shd w:val="clear" w:color="auto" w:fill="auto"/>
          <w:lang w:val="en-US" w:eastAsia="zh-CN"/>
        </w:rPr>
        <w:t>采购</w:t>
      </w:r>
      <w:r>
        <w:rPr>
          <w:rFonts w:hint="eastAsia" w:ascii="仿宋" w:hAnsi="仿宋" w:eastAsia="仿宋" w:cs="仿宋"/>
          <w:color w:val="auto"/>
          <w:sz w:val="28"/>
          <w:szCs w:val="28"/>
          <w:shd w:val="clear" w:color="auto" w:fill="auto"/>
        </w:rPr>
        <w:t>人所接受。</w:t>
      </w:r>
    </w:p>
    <w:p w14:paraId="5ACD3F8F">
      <w:pPr>
        <w:pageBreakBefore w:val="0"/>
        <w:widowControl/>
        <w:kinsoku/>
        <w:wordWrap/>
        <w:overflowPunct/>
        <w:topLinePunct w:val="0"/>
        <w:autoSpaceDE/>
        <w:autoSpaceDN/>
        <w:bidi w:val="0"/>
        <w:adjustRightInd/>
        <w:snapToGrid/>
        <w:spacing w:line="540" w:lineRule="exact"/>
        <w:ind w:firstLine="560" w:firstLineChars="200"/>
        <w:jc w:val="left"/>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5、质量保证期：自验收合格之日起1年。</w:t>
      </w:r>
    </w:p>
    <w:bookmarkEnd w:id="1"/>
    <w:p w14:paraId="3F19D8CE">
      <w:pPr>
        <w:pageBreakBefore w:val="0"/>
        <w:kinsoku/>
        <w:wordWrap/>
        <w:overflowPunct/>
        <w:topLinePunct w:val="0"/>
        <w:autoSpaceDE/>
        <w:autoSpaceDN/>
        <w:bidi w:val="0"/>
        <w:adjustRightInd/>
        <w:snapToGrid/>
        <w:spacing w:line="540" w:lineRule="exact"/>
        <w:ind w:firstLine="562" w:firstLineChars="200"/>
        <w:textAlignment w:val="auto"/>
        <w:outlineLvl w:val="1"/>
        <w:rPr>
          <w:rFonts w:hint="eastAsia" w:ascii="仿宋" w:hAnsi="仿宋" w:eastAsia="仿宋" w:cs="仿宋"/>
          <w:b/>
          <w:color w:val="auto"/>
          <w:kern w:val="0"/>
          <w:sz w:val="28"/>
          <w:szCs w:val="28"/>
          <w:shd w:val="clear" w:color="auto" w:fill="auto"/>
        </w:rPr>
      </w:pPr>
      <w:r>
        <w:rPr>
          <w:rFonts w:hint="eastAsia" w:ascii="仿宋" w:hAnsi="仿宋" w:eastAsia="仿宋" w:cs="仿宋"/>
          <w:b/>
          <w:color w:val="auto"/>
          <w:kern w:val="0"/>
          <w:sz w:val="28"/>
          <w:szCs w:val="28"/>
          <w:shd w:val="clear" w:color="auto" w:fill="auto"/>
          <w:lang w:val="en-US" w:eastAsia="zh-CN"/>
        </w:rPr>
        <w:t>(三)、</w:t>
      </w:r>
      <w:r>
        <w:rPr>
          <w:rFonts w:hint="eastAsia" w:ascii="仿宋" w:hAnsi="仿宋" w:eastAsia="仿宋" w:cs="仿宋"/>
          <w:b/>
          <w:color w:val="auto"/>
          <w:kern w:val="0"/>
          <w:sz w:val="28"/>
          <w:szCs w:val="28"/>
          <w:shd w:val="clear" w:color="auto" w:fill="auto"/>
        </w:rPr>
        <w:t>交付及验收</w:t>
      </w:r>
    </w:p>
    <w:p w14:paraId="58B6DF3C">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1、服务期：</w:t>
      </w:r>
      <w:r>
        <w:rPr>
          <w:rFonts w:hint="eastAsia" w:ascii="仿宋" w:hAnsi="仿宋" w:eastAsia="仿宋" w:cs="仿宋"/>
          <w:color w:val="auto"/>
          <w:sz w:val="28"/>
          <w:szCs w:val="28"/>
          <w:shd w:val="clear" w:color="auto" w:fill="auto"/>
          <w:lang w:val="en-US" w:eastAsia="zh-CN"/>
        </w:rPr>
        <w:t>3</w:t>
      </w:r>
      <w:r>
        <w:rPr>
          <w:rFonts w:hint="eastAsia" w:ascii="仿宋" w:hAnsi="仿宋" w:eastAsia="仿宋" w:cs="仿宋"/>
          <w:color w:val="auto"/>
          <w:sz w:val="28"/>
          <w:szCs w:val="28"/>
          <w:shd w:val="clear" w:color="auto" w:fill="auto"/>
        </w:rPr>
        <w:t>年，具体时间以合同签订时间为准。</w:t>
      </w:r>
    </w:p>
    <w:p w14:paraId="0D1C704B">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2、交货期、交货时间地点及方式</w:t>
      </w:r>
    </w:p>
    <w:p w14:paraId="63C7E683">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2.1交货期：</w:t>
      </w:r>
      <w:r>
        <w:rPr>
          <w:rFonts w:hint="eastAsia" w:ascii="仿宋" w:hAnsi="仿宋" w:eastAsia="仿宋" w:cs="仿宋"/>
          <w:color w:val="auto"/>
          <w:sz w:val="28"/>
          <w:szCs w:val="28"/>
          <w:shd w:val="clear" w:color="auto" w:fill="auto"/>
          <w:lang w:val="en-US" w:eastAsia="zh-CN"/>
        </w:rPr>
        <w:t>3</w:t>
      </w:r>
      <w:r>
        <w:rPr>
          <w:rFonts w:hint="eastAsia" w:ascii="仿宋" w:hAnsi="仿宋" w:eastAsia="仿宋" w:cs="仿宋"/>
          <w:color w:val="auto"/>
          <w:sz w:val="28"/>
          <w:szCs w:val="28"/>
          <w:shd w:val="clear" w:color="auto" w:fill="auto"/>
        </w:rPr>
        <w:t>年内分批次供货。</w:t>
      </w:r>
    </w:p>
    <w:p w14:paraId="58E63E08">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2.2交货时间及地点：按照</w:t>
      </w:r>
      <w:r>
        <w:rPr>
          <w:rFonts w:hint="eastAsia" w:ascii="仿宋" w:hAnsi="仿宋" w:eastAsia="仿宋" w:cs="仿宋"/>
          <w:color w:val="auto"/>
          <w:sz w:val="28"/>
          <w:szCs w:val="28"/>
          <w:shd w:val="clear" w:color="auto" w:fill="auto"/>
          <w:lang w:val="en-US" w:eastAsia="zh-CN"/>
        </w:rPr>
        <w:t>采购</w:t>
      </w:r>
      <w:r>
        <w:rPr>
          <w:rFonts w:hint="eastAsia" w:ascii="仿宋" w:hAnsi="仿宋" w:eastAsia="仿宋" w:cs="仿宋"/>
          <w:color w:val="auto"/>
          <w:sz w:val="28"/>
          <w:szCs w:val="28"/>
          <w:shd w:val="clear" w:color="auto" w:fill="auto"/>
        </w:rPr>
        <w:t>人要求，中选单位免费将所需货物运送至</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指定地点并验收合格并完成验收。</w:t>
      </w:r>
    </w:p>
    <w:p w14:paraId="1AA9CD23">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2.3交货方式：按照</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要求现场交货，不接受快递员送货验货。本项目具体数量以实际发生量为准。</w:t>
      </w:r>
    </w:p>
    <w:p w14:paraId="1ED6E1B9">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3、中选单位必须根据</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需求安排供货派单。供货派单完毕后，中选单位必须与</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确认数量、型号、送货地点等，</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确认后，方可供货派送。</w:t>
      </w:r>
    </w:p>
    <w:p w14:paraId="3DF981E2">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4、中选单位应按国家及行业要求的标准和规范，对奶粉类货物进行检验，提出检验报告并对检验报告的准确性负责。</w:t>
      </w:r>
    </w:p>
    <w:p w14:paraId="4C6DCC66">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5、</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有权对产品进行发货前的检验，并派代表到中选单位检查奶粉类货物质量。</w:t>
      </w:r>
    </w:p>
    <w:p w14:paraId="1EC4115F">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6、奶粉类货物交付时间：由</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指定时间为准。</w:t>
      </w:r>
    </w:p>
    <w:p w14:paraId="29C7FE10">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7、如</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无特殊要求，所有奶粉类货物必须运到</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指定的交货现场后才能拆封。</w:t>
      </w:r>
    </w:p>
    <w:p w14:paraId="3026EC43">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8、奶粉类货物送达交付地点后，</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有权对其进行抽样验收。中选单位已按照合同规定提供了符合要求的全部产品，视为验收合格。对不符合合同约定的奶粉类货物，</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有权拒收。</w:t>
      </w:r>
    </w:p>
    <w:p w14:paraId="0B1E003A">
      <w:pPr>
        <w:pageBreakBefore w:val="0"/>
        <w:kinsoku/>
        <w:wordWrap/>
        <w:overflowPunct/>
        <w:topLinePunct w:val="0"/>
        <w:autoSpaceDE/>
        <w:autoSpaceDN/>
        <w:bidi w:val="0"/>
        <w:adjustRightInd/>
        <w:snapToGrid/>
        <w:spacing w:line="540" w:lineRule="exact"/>
        <w:ind w:firstLine="562" w:firstLineChars="200"/>
        <w:textAlignment w:val="auto"/>
        <w:outlineLvl w:val="1"/>
        <w:rPr>
          <w:rFonts w:hint="eastAsia" w:ascii="仿宋" w:hAnsi="仿宋" w:eastAsia="仿宋" w:cs="仿宋"/>
          <w:b/>
          <w:color w:val="auto"/>
          <w:kern w:val="0"/>
          <w:sz w:val="28"/>
          <w:szCs w:val="28"/>
          <w:shd w:val="clear" w:color="auto" w:fill="auto"/>
        </w:rPr>
      </w:pPr>
      <w:bookmarkStart w:id="2" w:name="_Toc12814"/>
      <w:bookmarkStart w:id="3" w:name="_Toc14636"/>
      <w:r>
        <w:rPr>
          <w:rFonts w:hint="eastAsia" w:ascii="仿宋" w:hAnsi="仿宋" w:eastAsia="仿宋" w:cs="仿宋"/>
          <w:b/>
          <w:color w:val="auto"/>
          <w:kern w:val="0"/>
          <w:sz w:val="28"/>
          <w:szCs w:val="28"/>
          <w:shd w:val="clear" w:color="auto" w:fill="auto"/>
          <w:lang w:val="en-US" w:eastAsia="zh-CN"/>
        </w:rPr>
        <w:t>(四)</w:t>
      </w:r>
      <w:r>
        <w:rPr>
          <w:rFonts w:hint="eastAsia" w:ascii="仿宋" w:hAnsi="仿宋" w:eastAsia="仿宋" w:cs="仿宋"/>
          <w:b/>
          <w:color w:val="auto"/>
          <w:kern w:val="0"/>
          <w:sz w:val="28"/>
          <w:szCs w:val="28"/>
          <w:shd w:val="clear" w:color="auto" w:fill="auto"/>
        </w:rPr>
        <w:t>、售后服务</w:t>
      </w:r>
      <w:bookmarkEnd w:id="2"/>
      <w:bookmarkEnd w:id="3"/>
    </w:p>
    <w:p w14:paraId="25779D63">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1、售后服务时间自奶粉类货物最终验收合格并交付使用之日起计算。货物在最终使用者手中发生由于生产质量问题时，中选单位保证在接到通知24小时内赶到现场进行更换或退货，费用由中选单位负责。</w:t>
      </w:r>
    </w:p>
    <w:p w14:paraId="793F1276">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lang w:val="en-US" w:eastAsia="zh-CN"/>
        </w:rPr>
      </w:pPr>
      <w:r>
        <w:rPr>
          <w:rFonts w:hint="eastAsia" w:ascii="仿宋" w:hAnsi="仿宋" w:eastAsia="仿宋" w:cs="仿宋"/>
          <w:color w:val="auto"/>
          <w:sz w:val="28"/>
          <w:szCs w:val="28"/>
          <w:shd w:val="clear" w:color="auto" w:fill="auto"/>
        </w:rPr>
        <w:t>2、</w:t>
      </w:r>
      <w:r>
        <w:rPr>
          <w:rFonts w:hint="eastAsia" w:ascii="仿宋" w:hAnsi="仿宋" w:eastAsia="仿宋" w:cs="仿宋"/>
          <w:color w:val="auto"/>
          <w:sz w:val="28"/>
          <w:szCs w:val="28"/>
          <w:shd w:val="clear" w:color="auto" w:fill="auto"/>
          <w:lang w:val="en-US" w:eastAsia="zh-CN"/>
        </w:rPr>
        <w:t>投标</w:t>
      </w:r>
      <w:r>
        <w:rPr>
          <w:rFonts w:hint="eastAsia" w:ascii="仿宋" w:hAnsi="仿宋" w:eastAsia="仿宋" w:cs="仿宋"/>
          <w:color w:val="auto"/>
          <w:sz w:val="28"/>
          <w:szCs w:val="28"/>
          <w:shd w:val="clear" w:color="auto" w:fill="auto"/>
        </w:rPr>
        <w:t>申请人须在响应文件中自行提供售后服务承诺，并保证具有相应的完善的售后服务能力。</w:t>
      </w:r>
    </w:p>
    <w:p w14:paraId="41EA66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2"/>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529308BC">
      <w:pPr>
        <w:pStyle w:val="2"/>
        <w:bidi w:val="0"/>
        <w:jc w:val="center"/>
      </w:pPr>
      <w:bookmarkStart w:id="4" w:name="OLE_LINK2"/>
      <w:r>
        <w:rPr>
          <w:rFonts w:hint="eastAsia" w:ascii="仿宋" w:hAnsi="仿宋" w:eastAsia="仿宋" w:cs="仿宋"/>
          <w:b w:val="0"/>
          <w:bCs w:val="0"/>
          <w:color w:val="auto"/>
          <w:sz w:val="28"/>
          <w:szCs w:val="28"/>
          <w:lang w:val="en-US" w:eastAsia="zh-CN"/>
        </w:rPr>
        <w:t xml:space="preserve">          </w:t>
      </w:r>
      <w:r>
        <w:rPr>
          <w:rFonts w:hint="eastAsia"/>
        </w:rPr>
        <w:t>娄底市中心医院奶粉供货合同</w:t>
      </w:r>
    </w:p>
    <w:p w14:paraId="18610B29">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甲方（采购方）：</w:t>
      </w:r>
      <w:r>
        <w:rPr>
          <w:rFonts w:hint="eastAsia" w:ascii="仿宋" w:hAnsi="仿宋" w:eastAsia="仿宋" w:cs="仿宋"/>
          <w:color w:val="000000" w:themeColor="text1"/>
          <w:sz w:val="28"/>
          <w:szCs w:val="28"/>
          <w:highlight w:val="none"/>
          <w:lang w:val="en-US" w:eastAsia="zh-CN"/>
          <w14:textFill>
            <w14:solidFill>
              <w14:schemeClr w14:val="tx1"/>
            </w14:solidFill>
          </w14:textFill>
        </w:rPr>
        <w:t>娄底市中心医院</w:t>
      </w:r>
    </w:p>
    <w:p w14:paraId="79930D7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法定代表人：杨吉军</w:t>
      </w:r>
    </w:p>
    <w:p w14:paraId="58A8B508">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统一社会信用代码：12431300447162073W</w:t>
      </w:r>
    </w:p>
    <w:p w14:paraId="2D014174">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地址：湖南省娄底市娄星区长青中街51号</w:t>
      </w:r>
    </w:p>
    <w:p w14:paraId="6939DDBD">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联系人：程俊杰</w:t>
      </w:r>
    </w:p>
    <w:p w14:paraId="735B8AC3">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联系电话：18873820001</w:t>
      </w:r>
    </w:p>
    <w:p w14:paraId="36794046">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乙方（供货方）：</w:t>
      </w:r>
    </w:p>
    <w:p w14:paraId="718013EF">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w:t>
      </w:r>
    </w:p>
    <w:p w14:paraId="06974E91">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w:t>
      </w:r>
    </w:p>
    <w:p w14:paraId="678EF22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w:t>
      </w:r>
    </w:p>
    <w:p w14:paraId="33301637">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w:t>
      </w:r>
    </w:p>
    <w:p w14:paraId="392E6E04">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w:t>
      </w:r>
    </w:p>
    <w:p w14:paraId="2E325A42">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甲方通过医院公开挂网</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方式</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奶粉 </w:t>
      </w:r>
      <w:r>
        <w:rPr>
          <w:rFonts w:hint="eastAsia" w:ascii="仿宋" w:hAnsi="仿宋" w:eastAsia="仿宋" w:cs="仿宋"/>
          <w:color w:val="000000" w:themeColor="text1"/>
          <w:sz w:val="28"/>
          <w:szCs w:val="28"/>
          <w:highlight w:val="none"/>
          <w:lang w:val="en-US" w:eastAsia="zh-CN"/>
          <w14:textFill>
            <w14:solidFill>
              <w14:schemeClr w14:val="tx1"/>
            </w14:solidFill>
          </w14:textFill>
        </w:rPr>
        <w:t>，乙方为中标/中选供应商，</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项目编号：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奶粉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相关</w:t>
      </w:r>
      <w:r>
        <w:rPr>
          <w:rFonts w:hint="eastAsia" w:ascii="仿宋" w:hAnsi="仿宋" w:eastAsia="仿宋" w:cs="仿宋"/>
          <w:color w:val="000000" w:themeColor="text1"/>
          <w:sz w:val="28"/>
          <w:szCs w:val="28"/>
          <w:highlight w:val="none"/>
          <w:lang w:val="en-US" w:eastAsia="zh-CN"/>
          <w14:textFill>
            <w14:solidFill>
              <w14:schemeClr w14:val="tx1"/>
            </w14:solidFill>
          </w14:textFill>
        </w:rPr>
        <w:t>事宜平等、自愿、公平、诚信协商，达成一致，特订立本合同，以资共同遵守。</w:t>
      </w:r>
    </w:p>
    <w:p w14:paraId="1449BC9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第一条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采购内容</w:t>
      </w:r>
    </w:p>
    <w:p w14:paraId="40F31A7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 货物名称、品牌、型号、价格</w:t>
      </w:r>
    </w:p>
    <w:tbl>
      <w:tblPr>
        <w:tblStyle w:val="13"/>
        <w:tblW w:w="5531" w:type="pct"/>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640"/>
        <w:gridCol w:w="4073"/>
        <w:gridCol w:w="1073"/>
        <w:gridCol w:w="1088"/>
        <w:gridCol w:w="1389"/>
      </w:tblGrid>
      <w:tr w14:paraId="2C3D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636" w:type="dxa"/>
            <w:noWrap w:val="0"/>
            <w:vAlign w:val="center"/>
          </w:tcPr>
          <w:p w14:paraId="4A15E5EE">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lang w:eastAsia="zh-CN"/>
              </w:rPr>
            </w:pPr>
            <w:r>
              <w:rPr>
                <w:rFonts w:hint="eastAsia" w:ascii="仿宋" w:hAnsi="仿宋" w:eastAsia="仿宋" w:cs="仿宋"/>
                <w:color w:val="auto"/>
                <w:kern w:val="0"/>
                <w:sz w:val="21"/>
                <w:szCs w:val="21"/>
                <w:shd w:val="clear" w:color="auto" w:fill="auto"/>
                <w:lang w:val="en-US" w:eastAsia="zh-CN"/>
              </w:rPr>
              <w:t>序号</w:t>
            </w:r>
          </w:p>
        </w:tc>
        <w:tc>
          <w:tcPr>
            <w:tcW w:w="1640" w:type="dxa"/>
            <w:noWrap w:val="0"/>
            <w:vAlign w:val="center"/>
          </w:tcPr>
          <w:p w14:paraId="568E11C7">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品名</w:t>
            </w:r>
          </w:p>
        </w:tc>
        <w:tc>
          <w:tcPr>
            <w:tcW w:w="4074" w:type="dxa"/>
            <w:noWrap w:val="0"/>
            <w:vAlign w:val="center"/>
          </w:tcPr>
          <w:p w14:paraId="2E61B78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奶粉配方参数</w:t>
            </w:r>
          </w:p>
        </w:tc>
        <w:tc>
          <w:tcPr>
            <w:tcW w:w="1073" w:type="dxa"/>
            <w:noWrap w:val="0"/>
            <w:vAlign w:val="center"/>
          </w:tcPr>
          <w:p w14:paraId="624BEC6E">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数量</w:t>
            </w:r>
          </w:p>
          <w:p w14:paraId="7E5BF619">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lang w:eastAsia="zh-CN"/>
              </w:rPr>
            </w:pPr>
            <w:r>
              <w:rPr>
                <w:rFonts w:hint="eastAsia" w:ascii="仿宋" w:hAnsi="仿宋" w:eastAsia="仿宋" w:cs="仿宋"/>
                <w:color w:val="auto"/>
                <w:kern w:val="0"/>
                <w:sz w:val="21"/>
                <w:szCs w:val="21"/>
                <w:shd w:val="clear" w:color="auto" w:fill="auto"/>
                <w:lang w:val="en-US" w:eastAsia="zh-CN"/>
              </w:rPr>
              <w:t>（克）</w:t>
            </w:r>
          </w:p>
        </w:tc>
        <w:tc>
          <w:tcPr>
            <w:tcW w:w="1088" w:type="dxa"/>
            <w:noWrap w:val="0"/>
            <w:vAlign w:val="center"/>
          </w:tcPr>
          <w:p w14:paraId="365E6796">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000000" w:themeColor="text1"/>
                <w:kern w:val="0"/>
                <w:sz w:val="21"/>
                <w:szCs w:val="21"/>
                <w:lang w:val="en-US" w:eastAsia="zh-CN"/>
                <w14:textFill>
                  <w14:solidFill>
                    <w14:schemeClr w14:val="tx1"/>
                  </w14:solidFill>
                </w14:textFill>
              </w:rPr>
              <w:t>品牌</w:t>
            </w:r>
          </w:p>
        </w:tc>
        <w:tc>
          <w:tcPr>
            <w:tcW w:w="1389" w:type="dxa"/>
            <w:noWrap w:val="0"/>
            <w:vAlign w:val="center"/>
          </w:tcPr>
          <w:p w14:paraId="130B76DE">
            <w:pPr>
              <w:keepNext w:val="0"/>
              <w:keepLines w:val="0"/>
              <w:pageBreakBefore w:val="0"/>
              <w:widowControl w:val="0"/>
              <w:kinsoku/>
              <w:wordWrap/>
              <w:overflowPunct/>
              <w:topLinePunct w:val="0"/>
              <w:autoSpaceDE/>
              <w:autoSpaceDN/>
              <w:bidi w:val="0"/>
              <w:adjustRightInd/>
              <w:snapToGrid/>
              <w:spacing w:line="460" w:lineRule="exact"/>
              <w:jc w:val="center"/>
              <w:rPr>
                <w:rFonts w:hint="eastAsia" w:ascii="仿宋" w:hAnsi="仿宋" w:eastAsia="仿宋" w:cs="仿宋"/>
                <w:color w:val="000000" w:themeColor="text1"/>
                <w:kern w:val="0"/>
                <w:sz w:val="21"/>
                <w:szCs w:val="21"/>
                <w14:textFill>
                  <w14:solidFill>
                    <w14:schemeClr w14:val="tx1"/>
                  </w14:solidFill>
                </w14:textFill>
              </w:rPr>
            </w:pPr>
            <w:r>
              <w:rPr>
                <w:rFonts w:hint="eastAsia" w:ascii="仿宋" w:hAnsi="仿宋" w:eastAsia="仿宋" w:cs="仿宋"/>
                <w:color w:val="000000" w:themeColor="text1"/>
                <w:kern w:val="0"/>
                <w:sz w:val="21"/>
                <w:szCs w:val="21"/>
                <w14:textFill>
                  <w14:solidFill>
                    <w14:schemeClr w14:val="tx1"/>
                  </w14:solidFill>
                </w14:textFill>
              </w:rPr>
              <w:t>单价</w:t>
            </w:r>
          </w:p>
          <w:p w14:paraId="0E6546BC">
            <w:pPr>
              <w:keepNext w:val="0"/>
              <w:keepLines w:val="0"/>
              <w:pageBreakBefore w:val="0"/>
              <w:widowControl w:val="0"/>
              <w:kinsoku/>
              <w:wordWrap/>
              <w:overflowPunct/>
              <w:topLinePunct w:val="0"/>
              <w:autoSpaceDE/>
              <w:autoSpaceDN/>
              <w:bidi w:val="0"/>
              <w:adjustRightInd/>
              <w:snapToGrid/>
              <w:spacing w:line="460" w:lineRule="exact"/>
              <w:jc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000000" w:themeColor="text1"/>
                <w:kern w:val="0"/>
                <w:sz w:val="21"/>
                <w:szCs w:val="21"/>
                <w14:textFill>
                  <w14:solidFill>
                    <w14:schemeClr w14:val="tx1"/>
                  </w14:solidFill>
                </w14:textFill>
              </w:rPr>
              <w:t>（元/克）</w:t>
            </w:r>
          </w:p>
        </w:tc>
      </w:tr>
      <w:tr w14:paraId="28CE8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36" w:type="dxa"/>
            <w:noWrap w:val="0"/>
            <w:vAlign w:val="center"/>
          </w:tcPr>
          <w:p w14:paraId="0A12A435">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1</w:t>
            </w:r>
          </w:p>
        </w:tc>
        <w:tc>
          <w:tcPr>
            <w:tcW w:w="1640" w:type="dxa"/>
            <w:noWrap w:val="0"/>
            <w:vAlign w:val="center"/>
          </w:tcPr>
          <w:p w14:paraId="6F9DDE71">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普通婴儿奶粉（400g/罐）</w:t>
            </w:r>
          </w:p>
        </w:tc>
        <w:tc>
          <w:tcPr>
            <w:tcW w:w="4074" w:type="dxa"/>
            <w:noWrap w:val="0"/>
            <w:vAlign w:val="center"/>
          </w:tcPr>
          <w:p w14:paraId="0BEBAC94">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sz w:val="21"/>
                <w:szCs w:val="21"/>
                <w:shd w:val="clear" w:color="auto" w:fill="auto"/>
                <w:lang w:val="en-US" w:eastAsia="zh-CN"/>
              </w:rPr>
            </w:pPr>
            <w:r>
              <w:rPr>
                <w:rFonts w:hint="eastAsia" w:ascii="仿宋" w:hAnsi="仿宋" w:eastAsia="仿宋" w:cs="仿宋"/>
                <w:color w:val="auto"/>
                <w:sz w:val="21"/>
                <w:szCs w:val="21"/>
                <w:shd w:val="clear" w:color="auto" w:fill="auto"/>
              </w:rPr>
              <w:t>适用年龄:0-6个月的足月儿。</w:t>
            </w:r>
            <w:r>
              <w:rPr>
                <w:rFonts w:hint="eastAsia" w:ascii="仿宋" w:hAnsi="仿宋" w:eastAsia="仿宋" w:cs="仿宋"/>
                <w:color w:val="auto"/>
                <w:kern w:val="0"/>
                <w:sz w:val="21"/>
                <w:szCs w:val="21"/>
                <w:shd w:val="clear" w:color="auto" w:fill="auto"/>
                <w:lang w:val="en-US" w:eastAsia="zh-CN"/>
              </w:rPr>
              <w:t>热卡</w:t>
            </w:r>
            <w:r>
              <w:rPr>
                <w:rFonts w:hint="eastAsia" w:ascii="仿宋" w:hAnsi="仿宋" w:eastAsia="仿宋" w:cs="仿宋"/>
                <w:b/>
                <w:bCs/>
                <w:color w:val="auto"/>
                <w:kern w:val="0"/>
                <w:sz w:val="21"/>
                <w:szCs w:val="21"/>
                <w:shd w:val="clear" w:color="auto" w:fill="auto"/>
                <w:lang w:val="en-US" w:eastAsia="zh-CN"/>
              </w:rPr>
              <w:t>67±1</w:t>
            </w:r>
            <w:r>
              <w:rPr>
                <w:rFonts w:hint="eastAsia" w:ascii="仿宋" w:hAnsi="仿宋" w:eastAsia="仿宋" w:cs="仿宋"/>
                <w:color w:val="auto"/>
                <w:kern w:val="0"/>
                <w:sz w:val="21"/>
                <w:szCs w:val="21"/>
                <w:shd w:val="clear" w:color="auto" w:fill="auto"/>
                <w:lang w:val="en-US" w:eastAsia="zh-CN"/>
              </w:rPr>
              <w:t>（Kcal/100ml），</w:t>
            </w:r>
            <w:r>
              <w:rPr>
                <w:rFonts w:hint="eastAsia" w:ascii="仿宋" w:hAnsi="仿宋" w:eastAsia="仿宋" w:cs="仿宋"/>
                <w:color w:val="auto"/>
                <w:sz w:val="21"/>
                <w:szCs w:val="21"/>
                <w:shd w:val="clear" w:color="auto" w:fill="auto"/>
              </w:rPr>
              <w:t>能满足新生儿的成长要求</w:t>
            </w:r>
            <w:r>
              <w:rPr>
                <w:rFonts w:hint="eastAsia" w:ascii="仿宋" w:hAnsi="仿宋" w:eastAsia="仿宋" w:cs="仿宋"/>
                <w:color w:val="auto"/>
                <w:sz w:val="21"/>
                <w:szCs w:val="21"/>
                <w:shd w:val="clear" w:color="auto" w:fill="auto"/>
                <w:lang w:eastAsia="zh-CN"/>
              </w:rPr>
              <w:t>，</w:t>
            </w:r>
            <w:r>
              <w:rPr>
                <w:rFonts w:hint="eastAsia" w:ascii="仿宋" w:hAnsi="仿宋" w:eastAsia="仿宋" w:cs="仿宋"/>
                <w:color w:val="auto"/>
                <w:sz w:val="21"/>
                <w:szCs w:val="21"/>
                <w:shd w:val="clear" w:color="auto" w:fill="auto"/>
                <w:lang w:val="en-US" w:eastAsia="zh-CN"/>
              </w:rPr>
              <w:t>厅装。</w:t>
            </w:r>
          </w:p>
        </w:tc>
        <w:tc>
          <w:tcPr>
            <w:tcW w:w="1073" w:type="dxa"/>
            <w:noWrap w:val="0"/>
            <w:vAlign w:val="center"/>
          </w:tcPr>
          <w:p w14:paraId="1F763E50">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1680000</w:t>
            </w:r>
          </w:p>
        </w:tc>
        <w:tc>
          <w:tcPr>
            <w:tcW w:w="1088" w:type="dxa"/>
            <w:noWrap/>
            <w:vAlign w:val="center"/>
          </w:tcPr>
          <w:p w14:paraId="4DA30B4F">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kern w:val="0"/>
                <w:sz w:val="21"/>
                <w:szCs w:val="21"/>
                <w:shd w:val="clear" w:color="auto" w:fill="auto"/>
                <w:lang w:val="en-US" w:eastAsia="zh-CN"/>
              </w:rPr>
            </w:pPr>
          </w:p>
        </w:tc>
        <w:tc>
          <w:tcPr>
            <w:tcW w:w="1389" w:type="dxa"/>
            <w:noWrap/>
            <w:vAlign w:val="center"/>
          </w:tcPr>
          <w:p w14:paraId="3E0890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5236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636" w:type="dxa"/>
            <w:noWrap w:val="0"/>
            <w:vAlign w:val="center"/>
          </w:tcPr>
          <w:p w14:paraId="4697B32A">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2</w:t>
            </w:r>
          </w:p>
        </w:tc>
        <w:tc>
          <w:tcPr>
            <w:tcW w:w="1640" w:type="dxa"/>
            <w:noWrap w:val="0"/>
            <w:vAlign w:val="center"/>
          </w:tcPr>
          <w:p w14:paraId="24909B90">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适度水解乳清蛋白配方奶粉（400g/罐）</w:t>
            </w:r>
          </w:p>
        </w:tc>
        <w:tc>
          <w:tcPr>
            <w:tcW w:w="4074" w:type="dxa"/>
            <w:noWrap w:val="0"/>
            <w:vAlign w:val="center"/>
          </w:tcPr>
          <w:p w14:paraId="276DFFFB">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rPr>
              <w:t>适用年龄：0-6个月足月儿，热卡</w:t>
            </w:r>
            <w:r>
              <w:rPr>
                <w:rFonts w:hint="eastAsia" w:ascii="仿宋" w:hAnsi="仿宋" w:eastAsia="仿宋" w:cs="仿宋"/>
                <w:b/>
                <w:bCs/>
                <w:color w:val="auto"/>
                <w:kern w:val="0"/>
                <w:sz w:val="21"/>
                <w:szCs w:val="21"/>
                <w:shd w:val="clear" w:color="auto" w:fill="auto"/>
                <w:lang w:val="en-US" w:eastAsia="zh-CN"/>
              </w:rPr>
              <w:t>67±1</w:t>
            </w:r>
            <w:r>
              <w:rPr>
                <w:rFonts w:hint="eastAsia" w:ascii="仿宋" w:hAnsi="仿宋" w:eastAsia="仿宋" w:cs="仿宋"/>
                <w:color w:val="auto"/>
                <w:sz w:val="21"/>
                <w:szCs w:val="21"/>
                <w:shd w:val="clear" w:color="auto" w:fill="auto"/>
              </w:rPr>
              <w:t>（Kcal/100ml），能满足有过敏风险的新生儿生长发育需要，厅装</w:t>
            </w:r>
          </w:p>
        </w:tc>
        <w:tc>
          <w:tcPr>
            <w:tcW w:w="1073" w:type="dxa"/>
            <w:noWrap w:val="0"/>
            <w:vAlign w:val="center"/>
          </w:tcPr>
          <w:p w14:paraId="308686E5">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480000</w:t>
            </w:r>
          </w:p>
        </w:tc>
        <w:tc>
          <w:tcPr>
            <w:tcW w:w="1088" w:type="dxa"/>
            <w:noWrap/>
            <w:vAlign w:val="center"/>
          </w:tcPr>
          <w:p w14:paraId="23E25D87">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kern w:val="0"/>
                <w:sz w:val="21"/>
                <w:szCs w:val="21"/>
                <w:shd w:val="clear" w:color="auto" w:fill="auto"/>
                <w:lang w:val="en-US" w:eastAsia="zh-CN"/>
              </w:rPr>
            </w:pPr>
          </w:p>
        </w:tc>
        <w:tc>
          <w:tcPr>
            <w:tcW w:w="1389" w:type="dxa"/>
            <w:noWrap/>
            <w:vAlign w:val="center"/>
          </w:tcPr>
          <w:p w14:paraId="61DDBB2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78AFC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6" w:type="dxa"/>
            <w:noWrap w:val="0"/>
            <w:vAlign w:val="center"/>
          </w:tcPr>
          <w:p w14:paraId="01763BDE">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3</w:t>
            </w:r>
          </w:p>
        </w:tc>
        <w:tc>
          <w:tcPr>
            <w:tcW w:w="1640" w:type="dxa"/>
            <w:noWrap w:val="0"/>
            <w:vAlign w:val="center"/>
          </w:tcPr>
          <w:p w14:paraId="4E6A2D55">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b w:val="0"/>
                <w:bCs w:val="0"/>
                <w:color w:val="auto"/>
                <w:kern w:val="0"/>
                <w:sz w:val="21"/>
                <w:szCs w:val="21"/>
                <w:shd w:val="clear" w:color="auto" w:fill="auto"/>
              </w:rPr>
            </w:pPr>
            <w:r>
              <w:rPr>
                <w:rFonts w:hint="eastAsia" w:ascii="仿宋" w:hAnsi="仿宋" w:eastAsia="仿宋" w:cs="仿宋"/>
                <w:b w:val="0"/>
                <w:bCs w:val="0"/>
                <w:color w:val="auto"/>
                <w:kern w:val="0"/>
                <w:sz w:val="21"/>
                <w:szCs w:val="21"/>
                <w:shd w:val="clear" w:color="auto" w:fill="auto"/>
              </w:rPr>
              <w:t>早产奶粉</w:t>
            </w:r>
          </w:p>
          <w:p w14:paraId="2767B0F3">
            <w:pPr>
              <w:pStyle w:val="20"/>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b w:val="0"/>
                <w:bCs w:val="0"/>
                <w:color w:val="auto"/>
                <w:kern w:val="0"/>
                <w:sz w:val="21"/>
                <w:szCs w:val="21"/>
                <w:shd w:val="clear" w:color="auto" w:fill="auto"/>
                <w:lang w:val="en-US" w:eastAsia="zh-CN"/>
              </w:rPr>
              <w:t>（400g/罐）</w:t>
            </w:r>
          </w:p>
        </w:tc>
        <w:tc>
          <w:tcPr>
            <w:tcW w:w="4074" w:type="dxa"/>
            <w:noWrap w:val="0"/>
            <w:vAlign w:val="center"/>
          </w:tcPr>
          <w:p w14:paraId="73AA3B99">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适用年龄:适合1.8公斤以下早产宝宝使用</w:t>
            </w:r>
            <w:r>
              <w:rPr>
                <w:rFonts w:hint="eastAsia" w:ascii="仿宋" w:hAnsi="仿宋" w:eastAsia="仿宋" w:cs="仿宋"/>
                <w:color w:val="auto"/>
                <w:sz w:val="21"/>
                <w:szCs w:val="21"/>
                <w:shd w:val="clear" w:color="auto" w:fill="auto"/>
                <w:lang w:eastAsia="zh-CN"/>
              </w:rPr>
              <w:t>，</w:t>
            </w:r>
            <w:r>
              <w:rPr>
                <w:rFonts w:hint="eastAsia" w:ascii="仿宋" w:hAnsi="仿宋" w:eastAsia="仿宋" w:cs="仿宋"/>
                <w:color w:val="auto"/>
                <w:kern w:val="0"/>
                <w:sz w:val="21"/>
                <w:szCs w:val="21"/>
                <w:shd w:val="clear" w:color="auto" w:fill="auto"/>
                <w:lang w:val="en-US" w:eastAsia="zh-CN"/>
              </w:rPr>
              <w:t>热卡80</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kern w:val="0"/>
                <w:sz w:val="21"/>
                <w:szCs w:val="21"/>
                <w:shd w:val="clear" w:color="auto" w:fill="auto"/>
                <w:lang w:val="en-US" w:eastAsia="zh-CN"/>
              </w:rPr>
              <w:t>（Kcal/100ml），</w:t>
            </w:r>
            <w:r>
              <w:rPr>
                <w:rFonts w:hint="eastAsia" w:ascii="仿宋" w:hAnsi="仿宋" w:eastAsia="仿宋" w:cs="仿宋"/>
                <w:color w:val="auto"/>
                <w:sz w:val="21"/>
                <w:szCs w:val="21"/>
                <w:shd w:val="clear" w:color="auto" w:fill="auto"/>
                <w:lang w:val="en-US" w:eastAsia="zh-CN"/>
              </w:rPr>
              <w:t>厅装。</w:t>
            </w:r>
          </w:p>
        </w:tc>
        <w:tc>
          <w:tcPr>
            <w:tcW w:w="1073" w:type="dxa"/>
            <w:noWrap w:val="0"/>
            <w:vAlign w:val="center"/>
          </w:tcPr>
          <w:p w14:paraId="51DDBB59">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480000</w:t>
            </w:r>
          </w:p>
        </w:tc>
        <w:tc>
          <w:tcPr>
            <w:tcW w:w="1088" w:type="dxa"/>
            <w:noWrap/>
            <w:vAlign w:val="center"/>
          </w:tcPr>
          <w:p w14:paraId="4C794FA2">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kern w:val="0"/>
                <w:sz w:val="21"/>
                <w:szCs w:val="21"/>
                <w:shd w:val="clear" w:color="auto" w:fill="auto"/>
                <w:lang w:val="en-US" w:eastAsia="zh-CN"/>
              </w:rPr>
            </w:pPr>
          </w:p>
        </w:tc>
        <w:tc>
          <w:tcPr>
            <w:tcW w:w="1389" w:type="dxa"/>
            <w:noWrap/>
            <w:vAlign w:val="center"/>
          </w:tcPr>
          <w:p w14:paraId="2AAD03C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77455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636" w:type="dxa"/>
            <w:noWrap w:val="0"/>
            <w:vAlign w:val="center"/>
          </w:tcPr>
          <w:p w14:paraId="2591A726">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eastAsia="zh-CN"/>
              </w:rPr>
            </w:pPr>
            <w:r>
              <w:rPr>
                <w:rFonts w:hint="eastAsia" w:ascii="仿宋" w:hAnsi="仿宋" w:eastAsia="仿宋" w:cs="仿宋"/>
                <w:color w:val="auto"/>
                <w:kern w:val="0"/>
                <w:sz w:val="21"/>
                <w:szCs w:val="21"/>
                <w:shd w:val="clear" w:color="auto" w:fill="auto"/>
                <w:lang w:val="en-US" w:eastAsia="zh-CN"/>
              </w:rPr>
              <w:t>4</w:t>
            </w:r>
          </w:p>
        </w:tc>
        <w:tc>
          <w:tcPr>
            <w:tcW w:w="1640" w:type="dxa"/>
            <w:noWrap w:val="0"/>
            <w:vAlign w:val="center"/>
          </w:tcPr>
          <w:p w14:paraId="389C5ADC">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早产过度</w:t>
            </w:r>
          </w:p>
          <w:p w14:paraId="6311857A">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配方奶粉</w:t>
            </w:r>
          </w:p>
          <w:p w14:paraId="26FAB6B8">
            <w:pPr>
              <w:pStyle w:val="20"/>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b w:val="0"/>
                <w:bCs w:val="0"/>
                <w:color w:val="auto"/>
                <w:kern w:val="0"/>
                <w:sz w:val="21"/>
                <w:szCs w:val="21"/>
                <w:shd w:val="clear" w:color="auto" w:fill="auto"/>
                <w:lang w:val="en-US" w:eastAsia="zh-CN"/>
              </w:rPr>
              <w:t>（400g/罐）</w:t>
            </w:r>
          </w:p>
        </w:tc>
        <w:tc>
          <w:tcPr>
            <w:tcW w:w="4074" w:type="dxa"/>
            <w:noWrap w:val="0"/>
            <w:vAlign w:val="center"/>
          </w:tcPr>
          <w:p w14:paraId="535B3728">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适用年龄:适合1.8公斤以上早产宝宝使用</w:t>
            </w:r>
            <w:r>
              <w:rPr>
                <w:rFonts w:hint="eastAsia" w:ascii="仿宋" w:hAnsi="仿宋" w:eastAsia="仿宋" w:cs="仿宋"/>
                <w:color w:val="auto"/>
                <w:sz w:val="21"/>
                <w:szCs w:val="21"/>
                <w:shd w:val="clear" w:color="auto" w:fill="auto"/>
                <w:lang w:eastAsia="zh-CN"/>
              </w:rPr>
              <w:t>，</w:t>
            </w:r>
            <w:r>
              <w:rPr>
                <w:rFonts w:hint="eastAsia" w:ascii="仿宋" w:hAnsi="仿宋" w:eastAsia="仿宋" w:cs="仿宋"/>
                <w:color w:val="auto"/>
                <w:kern w:val="0"/>
                <w:sz w:val="21"/>
                <w:szCs w:val="21"/>
                <w:shd w:val="clear" w:color="auto" w:fill="auto"/>
                <w:lang w:val="en-US" w:eastAsia="zh-CN"/>
              </w:rPr>
              <w:t>热卡</w:t>
            </w:r>
            <w:r>
              <w:rPr>
                <w:rFonts w:hint="eastAsia" w:ascii="仿宋" w:hAnsi="仿宋" w:eastAsia="仿宋" w:cs="仿宋"/>
                <w:b/>
                <w:bCs/>
                <w:color w:val="auto"/>
                <w:kern w:val="0"/>
                <w:sz w:val="21"/>
                <w:szCs w:val="21"/>
                <w:shd w:val="clear" w:color="auto" w:fill="auto"/>
                <w:lang w:val="en-US" w:eastAsia="zh-CN"/>
              </w:rPr>
              <w:t>73±1</w:t>
            </w:r>
            <w:r>
              <w:rPr>
                <w:rFonts w:hint="eastAsia" w:ascii="仿宋" w:hAnsi="仿宋" w:eastAsia="仿宋" w:cs="仿宋"/>
                <w:color w:val="auto"/>
                <w:kern w:val="0"/>
                <w:sz w:val="21"/>
                <w:szCs w:val="21"/>
                <w:shd w:val="clear" w:color="auto" w:fill="auto"/>
                <w:lang w:val="en-US" w:eastAsia="zh-CN"/>
              </w:rPr>
              <w:t>（Kcal/100ml），</w:t>
            </w:r>
            <w:r>
              <w:rPr>
                <w:rFonts w:hint="eastAsia" w:ascii="仿宋" w:hAnsi="仿宋" w:eastAsia="仿宋" w:cs="仿宋"/>
                <w:color w:val="auto"/>
                <w:sz w:val="21"/>
                <w:szCs w:val="21"/>
                <w:shd w:val="clear" w:color="auto" w:fill="auto"/>
                <w:lang w:val="en-US" w:eastAsia="zh-CN"/>
              </w:rPr>
              <w:t>厅装。</w:t>
            </w:r>
          </w:p>
        </w:tc>
        <w:tc>
          <w:tcPr>
            <w:tcW w:w="1073" w:type="dxa"/>
            <w:noWrap w:val="0"/>
            <w:vAlign w:val="center"/>
          </w:tcPr>
          <w:p w14:paraId="241F654A">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6000</w:t>
            </w:r>
          </w:p>
        </w:tc>
        <w:tc>
          <w:tcPr>
            <w:tcW w:w="1088" w:type="dxa"/>
            <w:noWrap/>
            <w:vAlign w:val="center"/>
          </w:tcPr>
          <w:p w14:paraId="77D71C6C">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kern w:val="0"/>
                <w:sz w:val="21"/>
                <w:szCs w:val="21"/>
                <w:shd w:val="clear" w:color="auto" w:fill="auto"/>
                <w:lang w:val="en-US" w:eastAsia="zh-CN"/>
              </w:rPr>
            </w:pPr>
          </w:p>
        </w:tc>
        <w:tc>
          <w:tcPr>
            <w:tcW w:w="1389" w:type="dxa"/>
            <w:noWrap/>
            <w:vAlign w:val="center"/>
          </w:tcPr>
          <w:p w14:paraId="2FC4FFD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154EC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6" w:type="dxa"/>
            <w:noWrap w:val="0"/>
            <w:vAlign w:val="center"/>
          </w:tcPr>
          <w:p w14:paraId="2D9DB179">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5</w:t>
            </w:r>
          </w:p>
        </w:tc>
        <w:tc>
          <w:tcPr>
            <w:tcW w:w="1640" w:type="dxa"/>
            <w:noWrap w:val="0"/>
            <w:vAlign w:val="center"/>
          </w:tcPr>
          <w:p w14:paraId="6049DEFC">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母乳强化剂</w:t>
            </w:r>
          </w:p>
          <w:p w14:paraId="64561185">
            <w:pPr>
              <w:pStyle w:val="20"/>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b w:val="0"/>
                <w:bCs w:val="0"/>
                <w:color w:val="auto"/>
                <w:kern w:val="0"/>
                <w:sz w:val="21"/>
                <w:szCs w:val="21"/>
                <w:shd w:val="clear" w:color="auto" w:fill="auto"/>
                <w:lang w:val="en-US" w:eastAsia="zh-CN"/>
              </w:rPr>
              <w:t>（72g/盒）</w:t>
            </w:r>
          </w:p>
        </w:tc>
        <w:tc>
          <w:tcPr>
            <w:tcW w:w="4074" w:type="dxa"/>
            <w:noWrap w:val="0"/>
            <w:vAlign w:val="center"/>
          </w:tcPr>
          <w:p w14:paraId="4070A4B2">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rPr>
              <w:t>适用年龄：适合有母乳的早产宝宝，可强化母乳热卡到</w:t>
            </w:r>
            <w:r>
              <w:rPr>
                <w:rFonts w:hint="eastAsia" w:ascii="仿宋" w:hAnsi="仿宋" w:eastAsia="仿宋" w:cs="仿宋"/>
                <w:b/>
                <w:bCs/>
                <w:color w:val="auto"/>
                <w:sz w:val="21"/>
                <w:szCs w:val="21"/>
                <w:shd w:val="clear" w:color="auto" w:fill="auto"/>
              </w:rPr>
              <w:t>85</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sz w:val="21"/>
                <w:szCs w:val="21"/>
                <w:shd w:val="clear" w:color="auto" w:fill="auto"/>
              </w:rPr>
              <w:t>（Kcal/100ml），盒装</w:t>
            </w:r>
          </w:p>
        </w:tc>
        <w:tc>
          <w:tcPr>
            <w:tcW w:w="1073" w:type="dxa"/>
            <w:noWrap w:val="0"/>
            <w:vAlign w:val="center"/>
          </w:tcPr>
          <w:p w14:paraId="75C12C09">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12960</w:t>
            </w:r>
          </w:p>
        </w:tc>
        <w:tc>
          <w:tcPr>
            <w:tcW w:w="1088" w:type="dxa"/>
            <w:noWrap/>
            <w:vAlign w:val="center"/>
          </w:tcPr>
          <w:p w14:paraId="114EF721">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sz w:val="21"/>
                <w:szCs w:val="21"/>
                <w:shd w:val="clear" w:color="auto" w:fill="auto"/>
                <w:lang w:val="en-US" w:eastAsia="zh-CN"/>
              </w:rPr>
            </w:pPr>
          </w:p>
        </w:tc>
        <w:tc>
          <w:tcPr>
            <w:tcW w:w="1389" w:type="dxa"/>
            <w:noWrap/>
            <w:vAlign w:val="center"/>
          </w:tcPr>
          <w:p w14:paraId="544D28B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4BBB2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6" w:type="dxa"/>
            <w:noWrap w:val="0"/>
            <w:vAlign w:val="center"/>
          </w:tcPr>
          <w:p w14:paraId="679E027E">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6</w:t>
            </w:r>
          </w:p>
        </w:tc>
        <w:tc>
          <w:tcPr>
            <w:tcW w:w="1640" w:type="dxa"/>
            <w:noWrap w:val="0"/>
            <w:vAlign w:val="center"/>
          </w:tcPr>
          <w:p w14:paraId="16E9BDB8">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氨基酸奶粉</w:t>
            </w:r>
          </w:p>
          <w:p w14:paraId="641592D1">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（400g/罐）</w:t>
            </w:r>
          </w:p>
        </w:tc>
        <w:tc>
          <w:tcPr>
            <w:tcW w:w="4074" w:type="dxa"/>
            <w:noWrap w:val="0"/>
            <w:vAlign w:val="center"/>
          </w:tcPr>
          <w:p w14:paraId="777EDAA6">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lang w:val="en-US" w:eastAsia="zh-CN"/>
              </w:rPr>
              <w:t>适用年龄:0-12个月的中重度过敏宝宝。全氨基酸配方，热卡</w:t>
            </w:r>
            <w:r>
              <w:rPr>
                <w:rFonts w:hint="eastAsia" w:ascii="仿宋" w:hAnsi="仿宋" w:eastAsia="仿宋" w:cs="仿宋"/>
                <w:b/>
                <w:bCs/>
                <w:color w:val="auto"/>
                <w:sz w:val="21"/>
                <w:szCs w:val="21"/>
                <w:shd w:val="clear" w:color="auto" w:fill="auto"/>
                <w:lang w:val="en-US" w:eastAsia="zh-CN"/>
              </w:rPr>
              <w:t>67</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sz w:val="21"/>
                <w:szCs w:val="21"/>
                <w:shd w:val="clear" w:color="auto" w:fill="auto"/>
                <w:lang w:val="en-US" w:eastAsia="zh-CN"/>
              </w:rPr>
              <w:t>（Kcal/100ml），能满足过敏期间婴幼儿的成长要求，厅装。</w:t>
            </w:r>
          </w:p>
        </w:tc>
        <w:tc>
          <w:tcPr>
            <w:tcW w:w="1073" w:type="dxa"/>
            <w:noWrap w:val="0"/>
            <w:vAlign w:val="center"/>
          </w:tcPr>
          <w:p w14:paraId="16AD23D4">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24000</w:t>
            </w:r>
          </w:p>
        </w:tc>
        <w:tc>
          <w:tcPr>
            <w:tcW w:w="1088" w:type="dxa"/>
            <w:noWrap/>
            <w:vAlign w:val="center"/>
          </w:tcPr>
          <w:p w14:paraId="348C4852">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sz w:val="21"/>
                <w:szCs w:val="21"/>
                <w:shd w:val="clear" w:color="auto" w:fill="auto"/>
                <w:lang w:val="en-US" w:eastAsia="zh-CN"/>
              </w:rPr>
            </w:pPr>
          </w:p>
        </w:tc>
        <w:tc>
          <w:tcPr>
            <w:tcW w:w="1389" w:type="dxa"/>
            <w:noWrap/>
            <w:vAlign w:val="center"/>
          </w:tcPr>
          <w:p w14:paraId="6C70C2E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40661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6" w:type="dxa"/>
            <w:noWrap w:val="0"/>
            <w:vAlign w:val="center"/>
          </w:tcPr>
          <w:p w14:paraId="75F8DF48">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7</w:t>
            </w:r>
          </w:p>
        </w:tc>
        <w:tc>
          <w:tcPr>
            <w:tcW w:w="1640" w:type="dxa"/>
            <w:noWrap w:val="0"/>
            <w:vAlign w:val="center"/>
          </w:tcPr>
          <w:p w14:paraId="6048F90F">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深度水解奶粉</w:t>
            </w:r>
          </w:p>
          <w:p w14:paraId="3A2A6AD3">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（400g/罐）</w:t>
            </w:r>
          </w:p>
        </w:tc>
        <w:tc>
          <w:tcPr>
            <w:tcW w:w="4074" w:type="dxa"/>
            <w:noWrap w:val="0"/>
            <w:vAlign w:val="center"/>
          </w:tcPr>
          <w:p w14:paraId="78BE26DA">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rPr>
              <w:t>适用年龄:0-12个月的轻中度过敏宝宝。热卡</w:t>
            </w:r>
            <w:r>
              <w:rPr>
                <w:rFonts w:hint="eastAsia" w:ascii="仿宋" w:hAnsi="仿宋" w:eastAsia="仿宋" w:cs="仿宋"/>
                <w:b/>
                <w:bCs/>
                <w:color w:val="auto"/>
                <w:sz w:val="21"/>
                <w:szCs w:val="21"/>
                <w:shd w:val="clear" w:color="auto" w:fill="auto"/>
              </w:rPr>
              <w:t>67</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sz w:val="21"/>
                <w:szCs w:val="21"/>
                <w:shd w:val="clear" w:color="auto" w:fill="auto"/>
              </w:rPr>
              <w:t>（Kcal/100ml），能满足过敏期间婴幼儿的成长要求，厅装。</w:t>
            </w:r>
          </w:p>
        </w:tc>
        <w:tc>
          <w:tcPr>
            <w:tcW w:w="1073" w:type="dxa"/>
            <w:noWrap w:val="0"/>
            <w:vAlign w:val="center"/>
          </w:tcPr>
          <w:p w14:paraId="0EDB4F38">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42000</w:t>
            </w:r>
          </w:p>
        </w:tc>
        <w:tc>
          <w:tcPr>
            <w:tcW w:w="1088" w:type="dxa"/>
            <w:noWrap/>
            <w:vAlign w:val="center"/>
          </w:tcPr>
          <w:p w14:paraId="1A0E7F94">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sz w:val="21"/>
                <w:szCs w:val="21"/>
                <w:shd w:val="clear" w:color="auto" w:fill="auto"/>
                <w:lang w:val="en-US" w:eastAsia="zh-CN"/>
              </w:rPr>
            </w:pPr>
          </w:p>
        </w:tc>
        <w:tc>
          <w:tcPr>
            <w:tcW w:w="1389" w:type="dxa"/>
            <w:noWrap/>
            <w:vAlign w:val="center"/>
          </w:tcPr>
          <w:p w14:paraId="2B10018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733BF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6" w:type="dxa"/>
            <w:noWrap w:val="0"/>
            <w:vAlign w:val="center"/>
          </w:tcPr>
          <w:p w14:paraId="4D71FC22">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8</w:t>
            </w:r>
          </w:p>
        </w:tc>
        <w:tc>
          <w:tcPr>
            <w:tcW w:w="1640" w:type="dxa"/>
            <w:noWrap w:val="0"/>
            <w:vAlign w:val="center"/>
          </w:tcPr>
          <w:p w14:paraId="0AE1C8BF">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腹泻</w:t>
            </w:r>
            <w:r>
              <w:rPr>
                <w:rFonts w:hint="eastAsia" w:ascii="仿宋" w:hAnsi="仿宋" w:eastAsia="仿宋" w:cs="仿宋"/>
                <w:color w:val="auto"/>
                <w:kern w:val="0"/>
                <w:sz w:val="21"/>
                <w:szCs w:val="21"/>
                <w:shd w:val="clear" w:color="auto" w:fill="auto"/>
                <w:lang w:val="en-US" w:eastAsia="zh-CN"/>
              </w:rPr>
              <w:t>无糖</w:t>
            </w:r>
          </w:p>
          <w:p w14:paraId="407BE6FB">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配方</w:t>
            </w:r>
            <w:r>
              <w:rPr>
                <w:rFonts w:hint="eastAsia" w:ascii="仿宋" w:hAnsi="仿宋" w:eastAsia="仿宋" w:cs="仿宋"/>
                <w:color w:val="auto"/>
                <w:kern w:val="0"/>
                <w:sz w:val="21"/>
                <w:szCs w:val="21"/>
                <w:shd w:val="clear" w:color="auto" w:fill="auto"/>
              </w:rPr>
              <w:t>奶粉</w:t>
            </w:r>
          </w:p>
          <w:p w14:paraId="444DF0A7">
            <w:pPr>
              <w:pStyle w:val="20"/>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b w:val="0"/>
                <w:bCs w:val="0"/>
                <w:color w:val="auto"/>
                <w:kern w:val="0"/>
                <w:sz w:val="21"/>
                <w:szCs w:val="21"/>
                <w:shd w:val="clear" w:color="auto" w:fill="auto"/>
                <w:lang w:val="en-US" w:eastAsia="zh-CN"/>
              </w:rPr>
              <w:t>（400g/罐）</w:t>
            </w:r>
          </w:p>
        </w:tc>
        <w:tc>
          <w:tcPr>
            <w:tcW w:w="4074" w:type="dxa"/>
            <w:noWrap w:val="0"/>
            <w:vAlign w:val="center"/>
          </w:tcPr>
          <w:p w14:paraId="38808FEA">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rPr>
              <w:t>适用年龄:0-36个月的急性腹泻婴幼儿。无乳糖，热卡</w:t>
            </w:r>
            <w:r>
              <w:rPr>
                <w:rFonts w:hint="eastAsia" w:ascii="仿宋" w:hAnsi="仿宋" w:eastAsia="仿宋" w:cs="仿宋"/>
                <w:b/>
                <w:bCs/>
                <w:color w:val="auto"/>
                <w:sz w:val="21"/>
                <w:szCs w:val="21"/>
                <w:shd w:val="clear" w:color="auto" w:fill="auto"/>
              </w:rPr>
              <w:t>67</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sz w:val="21"/>
                <w:szCs w:val="21"/>
                <w:shd w:val="clear" w:color="auto" w:fill="auto"/>
              </w:rPr>
              <w:t>（Kcal/100ml），能满足腹泻急性期及恢复期婴幼儿的成长要求，厅装。</w:t>
            </w:r>
          </w:p>
        </w:tc>
        <w:tc>
          <w:tcPr>
            <w:tcW w:w="1073" w:type="dxa"/>
            <w:noWrap w:val="0"/>
            <w:vAlign w:val="center"/>
          </w:tcPr>
          <w:p w14:paraId="27F0138B">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12000</w:t>
            </w:r>
          </w:p>
        </w:tc>
        <w:tc>
          <w:tcPr>
            <w:tcW w:w="1088" w:type="dxa"/>
            <w:noWrap/>
            <w:vAlign w:val="center"/>
          </w:tcPr>
          <w:p w14:paraId="4AB0DE8B">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sz w:val="21"/>
                <w:szCs w:val="21"/>
                <w:shd w:val="clear" w:color="auto" w:fill="auto"/>
                <w:lang w:val="en-US" w:eastAsia="zh-CN"/>
              </w:rPr>
            </w:pPr>
          </w:p>
        </w:tc>
        <w:tc>
          <w:tcPr>
            <w:tcW w:w="1389" w:type="dxa"/>
            <w:noWrap/>
            <w:vAlign w:val="center"/>
          </w:tcPr>
          <w:p w14:paraId="50895FF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712F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9900" w:type="dxa"/>
            <w:gridSpan w:val="6"/>
            <w:noWrap w:val="0"/>
            <w:vAlign w:val="center"/>
          </w:tcPr>
          <w:p w14:paraId="482FDA70">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★注：1、以上所有配方奶粉须为同一品牌，否则视为无效投标</w:t>
            </w:r>
          </w:p>
          <w:p w14:paraId="350D1E0E">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仿宋" w:hAnsi="仿宋" w:eastAsia="仿宋" w:cs="仿宋"/>
                <w:color w:val="auto"/>
                <w:sz w:val="21"/>
                <w:szCs w:val="21"/>
                <w:shd w:val="clear" w:color="auto" w:fill="auto"/>
                <w:lang w:val="en-US" w:eastAsia="zh-CN"/>
              </w:rPr>
            </w:pPr>
            <w:r>
              <w:rPr>
                <w:rFonts w:hint="eastAsia" w:ascii="仿宋" w:hAnsi="仿宋" w:eastAsia="仿宋" w:cs="仿宋"/>
                <w:sz w:val="21"/>
                <w:szCs w:val="21"/>
                <w:lang w:val="en-US" w:eastAsia="zh-CN"/>
              </w:rPr>
              <w:t xml:space="preserve">2、以上所有产品须提供国内婴儿配方乳粉配方注册证书或特殊医学用途配方食品注册证书，否则视为无效投标 </w:t>
            </w:r>
          </w:p>
        </w:tc>
      </w:tr>
    </w:tbl>
    <w:p w14:paraId="3F9E7ED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1.2 本合同约定价格为固定单价，不因物价、市场波动变更，约定价格包括且不限于设计费、材料费、人工费、安装费、包装费、运输费、装卸费、调试费、接口费、检测费、检验费、税费、保险费、售后服务费、附随服务费等在内所有费用。 </w:t>
      </w:r>
    </w:p>
    <w:p w14:paraId="485FF509">
      <w:pPr>
        <w:keepNext w:val="0"/>
        <w:keepLines w:val="0"/>
        <w:pageBreakBefore w:val="0"/>
        <w:widowControl/>
        <w:kinsoku/>
        <w:wordWrap/>
        <w:overflowPunct/>
        <w:topLinePunct w:val="0"/>
        <w:autoSpaceDE/>
        <w:autoSpaceDN/>
        <w:bidi w:val="0"/>
        <w:adjustRightInd/>
        <w:snapToGrid/>
        <w:spacing w:line="48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 xml:space="preserve">1.3 </w:t>
      </w:r>
      <w:r>
        <w:rPr>
          <w:rFonts w:hint="eastAsia" w:ascii="仿宋" w:hAnsi="仿宋" w:eastAsia="仿宋" w:cs="仿宋"/>
          <w:b/>
          <w:bCs/>
          <w:color w:val="auto"/>
          <w:sz w:val="28"/>
          <w:szCs w:val="28"/>
        </w:rPr>
        <w:t>供货期限</w:t>
      </w:r>
    </w:p>
    <w:p w14:paraId="06D0A89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color w:val="auto"/>
          <w:sz w:val="28"/>
          <w:szCs w:val="28"/>
          <w:lang w:val="en-US" w:eastAsia="zh-CN"/>
        </w:rPr>
        <w:t xml:space="preserve">1.3.1 </w:t>
      </w:r>
      <w:r>
        <w:rPr>
          <w:rFonts w:hint="eastAsia" w:ascii="仿宋" w:hAnsi="仿宋" w:eastAsia="仿宋" w:cs="仿宋"/>
          <w:color w:val="auto"/>
          <w:sz w:val="28"/>
          <w:szCs w:val="28"/>
        </w:rPr>
        <w:t>乙方供货期限为</w:t>
      </w:r>
      <w:r>
        <w:rPr>
          <w:rFonts w:hint="eastAsia" w:ascii="仿宋" w:hAnsi="仿宋" w:eastAsia="仿宋" w:cs="仿宋"/>
          <w:color w:val="auto"/>
          <w:sz w:val="28"/>
          <w:szCs w:val="28"/>
          <w:u w:val="single"/>
          <w:lang w:val="en-US" w:eastAsia="zh-CN"/>
        </w:rPr>
        <w:t>叁</w:t>
      </w:r>
      <w:r>
        <w:rPr>
          <w:rFonts w:hint="eastAsia" w:ascii="仿宋" w:hAnsi="仿宋" w:eastAsia="仿宋" w:cs="仿宋"/>
          <w:color w:val="auto"/>
          <w:sz w:val="28"/>
          <w:szCs w:val="28"/>
        </w:rPr>
        <w:t>年，即从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日起至</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日止</w:t>
      </w:r>
      <w:r>
        <w:rPr>
          <w:rFonts w:hint="eastAsia" w:ascii="仿宋" w:hAnsi="仿宋" w:eastAsia="仿宋" w:cs="仿宋"/>
          <w:b w:val="0"/>
          <w:bCs w:val="0"/>
          <w:color w:val="auto"/>
          <w:kern w:val="0"/>
          <w:sz w:val="28"/>
          <w:szCs w:val="28"/>
          <w:lang w:val="en-US" w:eastAsia="zh-CN"/>
        </w:rPr>
        <w:t>或自本合同签订后甲方向乙方采购金额</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元时止，以先到者为准。</w:t>
      </w:r>
    </w:p>
    <w:p w14:paraId="48646BE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highlight w:val="none"/>
          <w:lang w:val="en-US" w:eastAsia="zh-CN"/>
        </w:rPr>
        <w:t>1.3.2 本合同期限届满、重新招标选定供应商前，乙方必须按本合同约定继续履行，以确保甲方工作正常运行。</w:t>
      </w:r>
    </w:p>
    <w:p w14:paraId="07145CF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2" w:firstLineChars="20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kern w:val="2"/>
          <w:sz w:val="28"/>
          <w:szCs w:val="28"/>
          <w:highlight w:val="none"/>
          <w:lang w:val="en-US" w:eastAsia="zh-CN" w:bidi="ar-SA"/>
        </w:rPr>
        <w:t xml:space="preserve">第二条  </w:t>
      </w:r>
      <w:r>
        <w:rPr>
          <w:rFonts w:hint="eastAsia" w:ascii="仿宋" w:hAnsi="仿宋" w:eastAsia="仿宋" w:cs="仿宋"/>
          <w:b/>
          <w:bCs/>
          <w:color w:val="auto"/>
          <w:sz w:val="28"/>
          <w:szCs w:val="28"/>
          <w:highlight w:val="none"/>
          <w:lang w:val="en-US" w:eastAsia="zh-CN"/>
        </w:rPr>
        <w:t>交货时间、地点、运输、装卸、搬运</w:t>
      </w:r>
    </w:p>
    <w:p w14:paraId="4642657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2.1 交货时间：</w:t>
      </w:r>
      <w:r>
        <w:rPr>
          <w:rFonts w:hint="eastAsia" w:ascii="仿宋" w:hAnsi="仿宋" w:eastAsia="仿宋" w:cs="仿宋"/>
          <w:color w:val="auto"/>
          <w:sz w:val="28"/>
          <w:szCs w:val="28"/>
          <w:highlight w:val="none"/>
          <w:u w:val="none"/>
          <w:lang w:val="en-US" w:eastAsia="zh-CN"/>
        </w:rPr>
        <w:t>本合同货物分批次交付，乙方应在每次接到甲方通知之日起</w:t>
      </w:r>
      <w:r>
        <w:rPr>
          <w:rFonts w:hint="eastAsia" w:ascii="仿宋" w:hAnsi="仿宋" w:eastAsia="仿宋" w:cs="仿宋"/>
          <w:color w:val="auto"/>
          <w:sz w:val="28"/>
          <w:szCs w:val="28"/>
          <w:highlight w:val="none"/>
          <w:u w:val="single"/>
          <w:lang w:val="en-US" w:eastAsia="zh-CN"/>
        </w:rPr>
        <w:t xml:space="preserve"> 7 </w:t>
      </w:r>
      <w:r>
        <w:rPr>
          <w:rFonts w:hint="eastAsia" w:ascii="仿宋" w:hAnsi="仿宋" w:eastAsia="仿宋" w:cs="仿宋"/>
          <w:color w:val="auto"/>
          <w:sz w:val="28"/>
          <w:szCs w:val="28"/>
          <w:highlight w:val="none"/>
          <w:u w:val="none"/>
          <w:lang w:val="en-US" w:eastAsia="zh-CN"/>
        </w:rPr>
        <w:t>日内将</w:t>
      </w:r>
      <w:r>
        <w:rPr>
          <w:rFonts w:hint="eastAsia" w:ascii="仿宋" w:hAnsi="仿宋" w:eastAsia="仿宋" w:cs="仿宋"/>
          <w:color w:val="auto"/>
          <w:sz w:val="28"/>
          <w:szCs w:val="28"/>
          <w:highlight w:val="none"/>
          <w:lang w:val="en-US" w:eastAsia="zh-CN"/>
        </w:rPr>
        <w:t>甲方要求的货物运至甲方指定交货地点，通过验收并交付甲方使用。甲方需紧急供货的，乙方应在收到甲方通知后24小时内送货到位，并通过甲方验收后交付甲方使用。</w:t>
      </w:r>
    </w:p>
    <w:p w14:paraId="32FFE90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2.2 甲方指定交货地点：娄底市中心医院。 </w:t>
      </w:r>
    </w:p>
    <w:p w14:paraId="2E9EF96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2.3 运输、装卸、搬运：由乙方自备交通运输工具将货物运至合同约定地点，并负责货物装卸、搬运的人工及费用。</w:t>
      </w:r>
    </w:p>
    <w:p w14:paraId="5D92D33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第三条 质量标准、质量验收、包装要求</w:t>
      </w:r>
    </w:p>
    <w:p w14:paraId="05E947D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3</w:t>
      </w:r>
      <w:r>
        <w:rPr>
          <w:rFonts w:hint="eastAsia" w:ascii="仿宋" w:hAnsi="仿宋" w:eastAsia="仿宋" w:cs="仿宋"/>
          <w:bCs/>
          <w:color w:val="auto"/>
          <w:sz w:val="28"/>
          <w:szCs w:val="28"/>
        </w:rPr>
        <w:t>.1 乙方提供的所有产品必须符合甲方派单要求，符合国家质量标准和规范，附有每批次产品合格证书、质检报告，且奶粉送达甲方指定交货现场时距离产品生产日期不得超过2个月。</w:t>
      </w:r>
    </w:p>
    <w:p w14:paraId="5CB924D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bCs/>
          <w:color w:val="auto"/>
          <w:sz w:val="28"/>
          <w:szCs w:val="28"/>
          <w:lang w:val="en-US" w:eastAsia="zh-CN"/>
        </w:rPr>
        <w:t>3</w:t>
      </w:r>
      <w:r>
        <w:rPr>
          <w:rFonts w:hint="eastAsia" w:ascii="仿宋" w:hAnsi="仿宋" w:eastAsia="仿宋" w:cs="仿宋"/>
          <w:bCs/>
          <w:color w:val="auto"/>
          <w:sz w:val="28"/>
          <w:szCs w:val="28"/>
        </w:rPr>
        <w:t>.2 除甲方派单时特殊要求外，所有奶粉必须运到甲方指定交货现场后才能拆封，否则甲方不予验收。</w:t>
      </w:r>
      <w:r>
        <w:rPr>
          <w:rFonts w:hint="eastAsia" w:ascii="仿宋" w:hAnsi="仿宋" w:eastAsia="仿宋" w:cs="仿宋"/>
          <w:color w:val="auto"/>
          <w:sz w:val="28"/>
          <w:szCs w:val="28"/>
        </w:rPr>
        <w:t>甲方指定收货人根据本合同约定和派单要求，组织奶粉使用科室对奶粉品类、数量等共同进行到货验收，如验收合格，甲方予签字确认，如验收不合格，乙方应在24小时内无条件更换到位。</w:t>
      </w:r>
    </w:p>
    <w:p w14:paraId="514DD9C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第四条 售后服务</w:t>
      </w:r>
    </w:p>
    <w:p w14:paraId="564A8C2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 xml:space="preserve"> 本合同产品质保期为1年，自甲方验收合格之日起算。</w:t>
      </w:r>
      <w:r>
        <w:rPr>
          <w:rFonts w:hint="eastAsia" w:ascii="仿宋" w:hAnsi="仿宋" w:eastAsia="仿宋" w:cs="仿宋"/>
          <w:bCs/>
          <w:color w:val="auto"/>
          <w:sz w:val="28"/>
          <w:szCs w:val="28"/>
        </w:rPr>
        <w:t>如产品在质保期内出现变质、变味等质量问题或处于临期状态（距离产品保质期不足45天），乙方均须在接到甲方通知后24小时内完成更换或进行退货，由此产生的费用均由乙方承担。</w:t>
      </w:r>
    </w:p>
    <w:p w14:paraId="0D2412B2">
      <w:pPr>
        <w:keepNext w:val="0"/>
        <w:keepLines w:val="0"/>
        <w:pageBreakBefore w:val="0"/>
        <w:widowControl w:val="0"/>
        <w:kinsoku/>
        <w:wordWrap/>
        <w:overflowPunct/>
        <w:topLinePunct w:val="0"/>
        <w:autoSpaceDE/>
        <w:autoSpaceDN/>
        <w:bidi w:val="0"/>
        <w:adjustRightInd/>
        <w:snapToGrid/>
        <w:spacing w:line="480" w:lineRule="exact"/>
        <w:ind w:firstLine="554" w:firstLineChars="198"/>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4</w:t>
      </w:r>
      <w:r>
        <w:rPr>
          <w:rFonts w:hint="eastAsia" w:ascii="仿宋" w:hAnsi="仿宋" w:eastAsia="仿宋" w:cs="仿宋"/>
          <w:bCs/>
          <w:color w:val="auto"/>
          <w:sz w:val="28"/>
          <w:szCs w:val="28"/>
        </w:rPr>
        <w:t>.</w:t>
      </w:r>
      <w:r>
        <w:rPr>
          <w:rFonts w:hint="eastAsia" w:ascii="仿宋" w:hAnsi="仿宋" w:eastAsia="仿宋" w:cs="仿宋"/>
          <w:bCs/>
          <w:color w:val="auto"/>
          <w:sz w:val="28"/>
          <w:szCs w:val="28"/>
          <w:lang w:val="en-US" w:eastAsia="zh-CN"/>
        </w:rPr>
        <w:t>2</w:t>
      </w:r>
      <w:r>
        <w:rPr>
          <w:rFonts w:hint="eastAsia" w:ascii="仿宋" w:hAnsi="仿宋" w:eastAsia="仿宋" w:cs="仿宋"/>
          <w:bCs/>
          <w:color w:val="auto"/>
          <w:sz w:val="28"/>
          <w:szCs w:val="28"/>
        </w:rPr>
        <w:t xml:space="preserve"> 甲方有权随时对乙方提供的奶粉抽样送质检部门进行检验检测，如有奶粉出现检验检测不合格，视为该奶粉所在批次订单的全部奶粉质量不合格，甲方不对该批次奶粉进行结算。</w:t>
      </w:r>
    </w:p>
    <w:p w14:paraId="6199971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4.3 质保期内乙方免费提供更换服务。</w:t>
      </w:r>
    </w:p>
    <w:p w14:paraId="555DB3A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第六条 付款时间、方式</w:t>
      </w:r>
    </w:p>
    <w:p w14:paraId="1F649AB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color w:val="auto"/>
          <w:sz w:val="28"/>
          <w:szCs w:val="28"/>
          <w:highlight w:val="none"/>
          <w:lang w:val="en-US" w:eastAsia="zh-CN"/>
        </w:rPr>
        <w:t xml:space="preserve">6.1 </w:t>
      </w:r>
      <w:r>
        <w:rPr>
          <w:rFonts w:hint="eastAsia" w:ascii="仿宋" w:hAnsi="仿宋" w:eastAsia="仿宋" w:cs="仿宋"/>
          <w:b w:val="0"/>
          <w:bCs w:val="0"/>
          <w:color w:val="auto"/>
          <w:sz w:val="28"/>
          <w:szCs w:val="28"/>
        </w:rPr>
        <w:t>甲、乙双方按批次进行结算和付款；甲方每次收到乙方提供的</w:t>
      </w:r>
      <w:r>
        <w:rPr>
          <w:rFonts w:hint="eastAsia" w:ascii="仿宋" w:hAnsi="仿宋" w:eastAsia="仿宋" w:cs="仿宋"/>
          <w:b w:val="0"/>
          <w:bCs w:val="0"/>
          <w:color w:val="auto"/>
          <w:sz w:val="28"/>
          <w:szCs w:val="28"/>
          <w:lang w:val="en-US" w:eastAsia="zh-CN"/>
        </w:rPr>
        <w:t>产品</w:t>
      </w:r>
      <w:r>
        <w:rPr>
          <w:rFonts w:hint="eastAsia" w:ascii="仿宋" w:hAnsi="仿宋" w:eastAsia="仿宋" w:cs="仿宋"/>
          <w:b w:val="0"/>
          <w:bCs w:val="0"/>
          <w:color w:val="auto"/>
          <w:sz w:val="28"/>
          <w:szCs w:val="28"/>
        </w:rPr>
        <w:t>并经验收合格之日起</w:t>
      </w:r>
      <w:r>
        <w:rPr>
          <w:rFonts w:hint="eastAsia" w:ascii="仿宋" w:hAnsi="仿宋" w:eastAsia="仿宋" w:cs="仿宋"/>
          <w:b w:val="0"/>
          <w:bCs w:val="0"/>
          <w:color w:val="auto"/>
          <w:sz w:val="28"/>
          <w:szCs w:val="28"/>
          <w:u w:val="single"/>
        </w:rPr>
        <w:t>30</w:t>
      </w:r>
      <w:r>
        <w:rPr>
          <w:rFonts w:hint="eastAsia" w:ascii="仿宋" w:hAnsi="仿宋" w:eastAsia="仿宋" w:cs="仿宋"/>
          <w:b w:val="0"/>
          <w:bCs w:val="0"/>
          <w:color w:val="auto"/>
          <w:sz w:val="28"/>
          <w:szCs w:val="28"/>
        </w:rPr>
        <w:t>日内，双方进行据实结算。乙方应在结算后向甲方提供以自己名义开具的对应金额的增值税普通发票，甲方自收到发票</w:t>
      </w:r>
      <w:r>
        <w:rPr>
          <w:rFonts w:hint="eastAsia" w:ascii="仿宋" w:hAnsi="仿宋" w:eastAsia="仿宋" w:cs="仿宋"/>
          <w:b w:val="0"/>
          <w:bCs w:val="0"/>
          <w:color w:val="auto"/>
          <w:sz w:val="28"/>
          <w:szCs w:val="28"/>
          <w:highlight w:val="none"/>
          <w:lang w:val="en-US" w:eastAsia="zh-CN"/>
        </w:rPr>
        <w:t>且确认不存在扣除乙方款项情形</w:t>
      </w:r>
      <w:r>
        <w:rPr>
          <w:rFonts w:hint="eastAsia" w:ascii="仿宋" w:hAnsi="仿宋" w:eastAsia="仿宋" w:cs="仿宋"/>
          <w:b w:val="0"/>
          <w:bCs w:val="0"/>
          <w:color w:val="auto"/>
          <w:sz w:val="28"/>
          <w:szCs w:val="28"/>
          <w:highlight w:val="none"/>
        </w:rPr>
        <w:t>之</w:t>
      </w:r>
      <w:r>
        <w:rPr>
          <w:rFonts w:hint="eastAsia" w:ascii="仿宋" w:hAnsi="仿宋" w:eastAsia="仿宋" w:cs="仿宋"/>
          <w:b w:val="0"/>
          <w:bCs w:val="0"/>
          <w:color w:val="auto"/>
          <w:sz w:val="28"/>
          <w:szCs w:val="28"/>
        </w:rPr>
        <w:t>日起</w:t>
      </w: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个月内</w:t>
      </w:r>
      <w:r>
        <w:rPr>
          <w:rFonts w:hint="eastAsia" w:ascii="仿宋" w:hAnsi="仿宋" w:eastAsia="仿宋" w:cs="仿宋"/>
          <w:b w:val="0"/>
          <w:bCs w:val="0"/>
          <w:color w:val="auto"/>
          <w:sz w:val="28"/>
          <w:szCs w:val="28"/>
          <w:lang w:val="en-US" w:eastAsia="zh-CN"/>
        </w:rPr>
        <w:t>一次性足额支付给</w:t>
      </w:r>
      <w:r>
        <w:rPr>
          <w:rFonts w:hint="eastAsia" w:ascii="仿宋" w:hAnsi="仿宋" w:eastAsia="仿宋" w:cs="仿宋"/>
          <w:b w:val="0"/>
          <w:bCs w:val="0"/>
          <w:color w:val="auto"/>
          <w:sz w:val="28"/>
          <w:szCs w:val="28"/>
        </w:rPr>
        <w:t>乙方</w:t>
      </w:r>
      <w:r>
        <w:rPr>
          <w:rFonts w:hint="eastAsia" w:ascii="仿宋" w:hAnsi="仿宋" w:eastAsia="仿宋" w:cs="仿宋"/>
          <w:b w:val="0"/>
          <w:bCs w:val="0"/>
          <w:color w:val="auto"/>
          <w:sz w:val="28"/>
          <w:szCs w:val="28"/>
          <w:lang w:val="en-US" w:eastAsia="zh-CN"/>
        </w:rPr>
        <w:t>；如存在需扣除乙方款项情形，甲方扣除相应款项后将该次余款一次性支付给乙方。如因乙方未提供发票，甲方有权顺延付款期限，乙方自行承担相应责任</w:t>
      </w:r>
      <w:r>
        <w:rPr>
          <w:rFonts w:hint="eastAsia" w:ascii="仿宋" w:hAnsi="仿宋" w:eastAsia="仿宋" w:cs="仿宋"/>
          <w:b w:val="0"/>
          <w:bCs w:val="0"/>
          <w:color w:val="auto"/>
          <w:sz w:val="28"/>
          <w:szCs w:val="28"/>
        </w:rPr>
        <w:t>。</w:t>
      </w:r>
    </w:p>
    <w:p w14:paraId="5D0FD29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lang w:val="en-US" w:eastAsia="zh-Hans"/>
        </w:rPr>
        <w:t>.2 乙方指</w:t>
      </w:r>
      <w:r>
        <w:rPr>
          <w:rFonts w:hint="eastAsia" w:ascii="仿宋" w:hAnsi="仿宋" w:eastAsia="仿宋" w:cs="仿宋"/>
          <w:b w:val="0"/>
          <w:bCs w:val="0"/>
          <w:color w:val="auto"/>
          <w:sz w:val="28"/>
          <w:szCs w:val="28"/>
        </w:rPr>
        <w:t>定</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与甲</w:t>
      </w:r>
      <w:r>
        <w:rPr>
          <w:rFonts w:hint="eastAsia" w:ascii="仿宋" w:hAnsi="仿宋" w:eastAsia="仿宋" w:cs="仿宋"/>
          <w:b w:val="0"/>
          <w:bCs w:val="0"/>
          <w:color w:val="auto"/>
          <w:kern w:val="0"/>
          <w:sz w:val="28"/>
          <w:szCs w:val="28"/>
        </w:rPr>
        <w:t>方办理</w:t>
      </w:r>
      <w:r>
        <w:rPr>
          <w:rFonts w:hint="eastAsia" w:ascii="仿宋" w:hAnsi="仿宋" w:eastAsia="仿宋" w:cs="仿宋"/>
          <w:b w:val="0"/>
          <w:bCs w:val="0"/>
          <w:color w:val="FF0000"/>
          <w:kern w:val="0"/>
          <w:sz w:val="28"/>
          <w:szCs w:val="28"/>
          <w:lang w:val="en-US" w:eastAsia="zh-CN"/>
        </w:rPr>
        <w:t>交货、验收、</w:t>
      </w:r>
      <w:r>
        <w:rPr>
          <w:rFonts w:hint="eastAsia" w:ascii="仿宋" w:hAnsi="仿宋" w:eastAsia="仿宋" w:cs="仿宋"/>
          <w:b w:val="0"/>
          <w:bCs w:val="0"/>
          <w:color w:val="auto"/>
          <w:kern w:val="0"/>
          <w:sz w:val="28"/>
          <w:szCs w:val="28"/>
        </w:rPr>
        <w:t>结算、领款手续。</w:t>
      </w:r>
    </w:p>
    <w:p w14:paraId="79A5E31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rPr>
        <w:t>.3 甲方通过银行转账方式向乙方支付价款，乙方指定收款银行账户的开户行</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户名：</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，账号：</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w:t>
      </w:r>
    </w:p>
    <w:p w14:paraId="7C3CC42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.4 如乙方指定的办理</w:t>
      </w:r>
      <w:r>
        <w:rPr>
          <w:rFonts w:hint="eastAsia" w:ascii="仿宋" w:hAnsi="仿宋" w:eastAsia="仿宋" w:cs="仿宋"/>
          <w:b w:val="0"/>
          <w:bCs w:val="0"/>
          <w:color w:val="FF0000"/>
          <w:sz w:val="28"/>
          <w:szCs w:val="28"/>
          <w:lang w:val="en-US" w:eastAsia="zh-CN"/>
        </w:rPr>
        <w:t>交货</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FF0000"/>
          <w:sz w:val="28"/>
          <w:szCs w:val="28"/>
          <w:lang w:val="en-US" w:eastAsia="zh-CN"/>
        </w:rPr>
        <w:t>验收</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结算、领款</w:t>
      </w:r>
      <w:r>
        <w:rPr>
          <w:rFonts w:hint="eastAsia" w:ascii="仿宋" w:hAnsi="仿宋" w:eastAsia="仿宋" w:cs="仿宋"/>
          <w:b w:val="0"/>
          <w:bCs w:val="0"/>
          <w:color w:val="auto"/>
          <w:sz w:val="28"/>
          <w:szCs w:val="28"/>
          <w:lang w:val="en-US" w:eastAsia="zh-CN"/>
        </w:rPr>
        <w:t>手续</w:t>
      </w:r>
      <w:r>
        <w:rPr>
          <w:rFonts w:hint="eastAsia" w:ascii="仿宋" w:hAnsi="仿宋" w:eastAsia="仿宋" w:cs="仿宋"/>
          <w:b w:val="0"/>
          <w:bCs w:val="0"/>
          <w:color w:val="auto"/>
          <w:sz w:val="28"/>
          <w:szCs w:val="28"/>
        </w:rPr>
        <w:t>人员、收款账户等发生变化，应及时书面通知甲方；未及时通知，乙方应自行承担相应的不利后果。</w:t>
      </w:r>
    </w:p>
    <w:p w14:paraId="0563096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第七条 风险承担</w:t>
      </w:r>
    </w:p>
    <w:p w14:paraId="12EFC5C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14:paraId="7DDD744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7.2 本合同货物毁损、丢失的风险自甲方在验收报告单上签字确认合格后转移给甲方，此前货物的一切风险均由乙方承担。</w:t>
      </w:r>
    </w:p>
    <w:p w14:paraId="0E020FD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7.3 如甲方因乙方货物、质保服务等原因涉及纠纷、诉讼或被处以行政处罚，由乙方承担甲方因纠纷、诉讼、罚款等造成的全部经济损失。</w:t>
      </w:r>
    </w:p>
    <w:p w14:paraId="48DFB80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第八条 廉洁条款</w:t>
      </w:r>
    </w:p>
    <w:p w14:paraId="7F7AC3D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8.1 乙方应严格遵守国家相关法律法规，涉及合同的有关业务活动必须坚持公开、公平、公正、诚信原则，不得为获取不正当利益，损害国家、集体和甲方利益。</w:t>
      </w:r>
    </w:p>
    <w:p w14:paraId="1EC2F8F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 xml:space="preserve">8.2 </w:t>
      </w:r>
      <w:r>
        <w:rPr>
          <w:rFonts w:hint="eastAsia" w:ascii="仿宋" w:hAnsi="仿宋" w:eastAsia="仿宋" w:cs="仿宋"/>
          <w:b/>
          <w:bCs/>
          <w:color w:val="auto"/>
          <w:sz w:val="28"/>
          <w:szCs w:val="28"/>
          <w:highlight w:val="none"/>
          <w:u w:val="single"/>
          <w:lang w:val="en-US" w:eastAsia="zh-CN"/>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3623BBFF">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第九条 保密条款</w:t>
      </w:r>
    </w:p>
    <w:p w14:paraId="257C5196">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9.1 本合同订立、履行、变更等产生的研究、商讨、交流等信息，履行本合同获悉的甲方商业秘密、运营信息、工作人员信息、患陪个人信息等，均属保密信息。</w:t>
      </w:r>
    </w:p>
    <w:p w14:paraId="4AE47721">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9.2 乙方应对保密信息采取有效手段严格保密，不得用于非本合同之目的或向第三方泄露。如政府部门、法院或其他有权部门要求乙方提供保密信息，乙方应当立即向甲方通报。</w:t>
      </w:r>
    </w:p>
    <w:p w14:paraId="3998D82F">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9.3 因乙方未履行本合同保密义务造成甲方或第三方损失的，由乙方承担全部赔偿责任。</w:t>
      </w:r>
    </w:p>
    <w:p w14:paraId="59FACAB7">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9.4 本合同保密条款在合同被认定无效、被撤销或终止、解除后仍然有效。</w:t>
      </w:r>
    </w:p>
    <w:p w14:paraId="3F4A1924">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第十条 通知与送达</w:t>
      </w:r>
    </w:p>
    <w:p w14:paraId="0D7DD366">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10.1 甲乙双方同意，与本合同有关的任何文书，应以书面方式按照本合同约定发送，书面方式包括手机短信、微信、书面函件、电子邮件等形式。</w:t>
      </w:r>
    </w:p>
    <w:p w14:paraId="5F578D06">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10.2 双方确认的文书（包括未来可能发生的诉讼或仲裁活动中法院或仲裁机构的送达法律文书）送达地址：</w:t>
      </w:r>
    </w:p>
    <w:p w14:paraId="031358AB">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10.2.1 甲方的联系地址：</w:t>
      </w:r>
      <w:r>
        <w:rPr>
          <w:rFonts w:hint="eastAsia" w:ascii="仿宋" w:hAnsi="仿宋" w:eastAsia="仿宋" w:cs="仿宋"/>
          <w:b w:val="0"/>
          <w:bCs w:val="0"/>
          <w:color w:val="auto"/>
          <w:sz w:val="28"/>
          <w:szCs w:val="28"/>
          <w:highlight w:val="none"/>
          <w:u w:val="single"/>
          <w:lang w:val="en-US" w:eastAsia="zh-CN"/>
        </w:rPr>
        <w:t xml:space="preserve"> 娄底市中心医院 </w:t>
      </w:r>
      <w:r>
        <w:rPr>
          <w:rFonts w:hint="eastAsia" w:ascii="仿宋" w:hAnsi="仿宋" w:eastAsia="仿宋" w:cs="仿宋"/>
          <w:b w:val="0"/>
          <w:bCs w:val="0"/>
          <w:color w:val="auto"/>
          <w:sz w:val="28"/>
          <w:szCs w:val="28"/>
          <w:highlight w:val="none"/>
          <w:lang w:val="en-US" w:eastAsia="zh-CN"/>
        </w:rPr>
        <w:t>，联系人：</w:t>
      </w:r>
      <w:r>
        <w:rPr>
          <w:rFonts w:hint="eastAsia" w:ascii="仿宋" w:hAnsi="仿宋" w:eastAsia="仿宋" w:cs="仿宋"/>
          <w:b w:val="0"/>
          <w:bCs w:val="0"/>
          <w:color w:val="auto"/>
          <w:sz w:val="28"/>
          <w:szCs w:val="28"/>
          <w:highlight w:val="none"/>
          <w:u w:val="single"/>
          <w:lang w:val="en-US" w:eastAsia="zh-CN"/>
        </w:rPr>
        <w:t xml:space="preserve"> 程俊杰 </w:t>
      </w:r>
      <w:r>
        <w:rPr>
          <w:rFonts w:hint="eastAsia" w:ascii="仿宋" w:hAnsi="仿宋" w:eastAsia="仿宋" w:cs="仿宋"/>
          <w:b w:val="0"/>
          <w:bCs w:val="0"/>
          <w:color w:val="auto"/>
          <w:sz w:val="28"/>
          <w:szCs w:val="28"/>
          <w:highlight w:val="none"/>
          <w:lang w:val="en-US" w:eastAsia="zh-CN"/>
        </w:rPr>
        <w:t>，联系电话：</w:t>
      </w:r>
      <w:r>
        <w:rPr>
          <w:rFonts w:hint="eastAsia" w:ascii="仿宋" w:hAnsi="仿宋" w:eastAsia="仿宋" w:cs="仿宋"/>
          <w:b w:val="0"/>
          <w:bCs w:val="0"/>
          <w:color w:val="auto"/>
          <w:sz w:val="28"/>
          <w:szCs w:val="28"/>
          <w:highlight w:val="none"/>
          <w:u w:val="single"/>
          <w:lang w:val="en-US" w:eastAsia="zh-CN"/>
        </w:rPr>
        <w:t xml:space="preserve"> 18873820001 </w:t>
      </w:r>
      <w:r>
        <w:rPr>
          <w:rFonts w:hint="eastAsia" w:ascii="仿宋" w:hAnsi="仿宋" w:eastAsia="仿宋" w:cs="仿宋"/>
          <w:b w:val="0"/>
          <w:bCs w:val="0"/>
          <w:color w:val="auto"/>
          <w:sz w:val="28"/>
          <w:szCs w:val="28"/>
          <w:highlight w:val="none"/>
          <w:lang w:val="en-US" w:eastAsia="zh-CN"/>
        </w:rPr>
        <w:t>，邮箱地址：</w:t>
      </w:r>
      <w:r>
        <w:rPr>
          <w:rFonts w:hint="eastAsia" w:ascii="仿宋" w:hAnsi="仿宋" w:eastAsia="仿宋" w:cs="仿宋"/>
          <w:b w:val="0"/>
          <w:bCs w:val="0"/>
          <w:color w:val="auto"/>
          <w:sz w:val="28"/>
          <w:szCs w:val="28"/>
          <w:highlight w:val="none"/>
          <w:u w:val="single"/>
          <w:lang w:val="en-US" w:eastAsia="zh-CN"/>
        </w:rPr>
        <w:t xml:space="preserve"> 31712129@.qq.com </w:t>
      </w:r>
      <w:r>
        <w:rPr>
          <w:rFonts w:hint="eastAsia" w:ascii="仿宋" w:hAnsi="仿宋" w:eastAsia="仿宋" w:cs="仿宋"/>
          <w:b w:val="0"/>
          <w:bCs w:val="0"/>
          <w:color w:val="auto"/>
          <w:sz w:val="28"/>
          <w:szCs w:val="28"/>
          <w:highlight w:val="none"/>
          <w:lang w:val="en-US" w:eastAsia="zh-CN"/>
        </w:rPr>
        <w:t>，或微信号：</w:t>
      </w:r>
      <w:r>
        <w:rPr>
          <w:rFonts w:hint="eastAsia" w:ascii="仿宋" w:hAnsi="仿宋" w:eastAsia="仿宋" w:cs="仿宋"/>
          <w:b w:val="0"/>
          <w:bCs w:val="0"/>
          <w:color w:val="auto"/>
          <w:sz w:val="28"/>
          <w:szCs w:val="28"/>
          <w:highlight w:val="none"/>
          <w:u w:val="single"/>
          <w:lang w:val="en-US" w:eastAsia="zh-CN"/>
        </w:rPr>
        <w:t xml:space="preserve"> / </w:t>
      </w:r>
      <w:r>
        <w:rPr>
          <w:rFonts w:hint="eastAsia" w:ascii="仿宋" w:hAnsi="仿宋" w:eastAsia="仿宋" w:cs="仿宋"/>
          <w:b w:val="0"/>
          <w:bCs w:val="0"/>
          <w:color w:val="auto"/>
          <w:sz w:val="28"/>
          <w:szCs w:val="28"/>
          <w:highlight w:val="none"/>
          <w:lang w:val="en-US" w:eastAsia="zh-CN"/>
        </w:rPr>
        <w:t>。</w:t>
      </w:r>
    </w:p>
    <w:p w14:paraId="3E8408A8">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10.2.2 乙方的联系地址：</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lang w:val="en-US" w:eastAsia="zh-CN"/>
        </w:rPr>
        <w:t xml:space="preserve"> ，联系人：</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lang w:val="en-US" w:eastAsia="zh-CN"/>
        </w:rPr>
        <w:t>， 联系电话：</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lang w:val="en-US" w:eastAsia="zh-CN"/>
        </w:rPr>
        <w:t>，邮箱地址：</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lang w:val="en-US" w:eastAsia="zh-CN"/>
        </w:rPr>
        <w:t>，或微信号：</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lang w:val="en-US" w:eastAsia="zh-CN"/>
        </w:rPr>
        <w:t>。</w:t>
      </w:r>
    </w:p>
    <w:p w14:paraId="29C90E23">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7AB97D81">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389D5B88">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eastAsia="zh-CN"/>
        </w:rPr>
        <w:t>第十</w:t>
      </w:r>
      <w:r>
        <w:rPr>
          <w:rFonts w:hint="eastAsia" w:ascii="仿宋" w:hAnsi="仿宋" w:eastAsia="仿宋" w:cs="仿宋"/>
          <w:b/>
          <w:bCs/>
          <w:color w:val="auto"/>
          <w:sz w:val="28"/>
          <w:szCs w:val="28"/>
          <w:highlight w:val="none"/>
          <w:lang w:val="en-US" w:eastAsia="zh-CN"/>
        </w:rPr>
        <w:t>一</w:t>
      </w:r>
      <w:r>
        <w:rPr>
          <w:rFonts w:hint="eastAsia" w:ascii="仿宋" w:hAnsi="仿宋" w:eastAsia="仿宋" w:cs="仿宋"/>
          <w:b/>
          <w:bCs/>
          <w:color w:val="auto"/>
          <w:sz w:val="28"/>
          <w:szCs w:val="28"/>
          <w:highlight w:val="none"/>
          <w:lang w:eastAsia="zh-CN"/>
        </w:rPr>
        <w:t>条</w:t>
      </w:r>
      <w:r>
        <w:rPr>
          <w:rFonts w:hint="eastAsia" w:ascii="仿宋" w:hAnsi="仿宋" w:eastAsia="仿宋" w:cs="仿宋"/>
          <w:b/>
          <w:bCs/>
          <w:color w:val="auto"/>
          <w:sz w:val="28"/>
          <w:szCs w:val="28"/>
          <w:highlight w:val="none"/>
          <w:lang w:val="en-US" w:eastAsia="zh-CN"/>
        </w:rPr>
        <w:t xml:space="preserve"> 合同的变更、解除</w:t>
      </w:r>
    </w:p>
    <w:p w14:paraId="305DDFAC">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11.1 本合同经双方协商一致后可以变更，双方应另行签订补充协议。</w:t>
      </w:r>
    </w:p>
    <w:p w14:paraId="0E8019BC">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5A6AA4D5">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11.3 </w:t>
      </w:r>
      <w:r>
        <w:rPr>
          <w:rFonts w:hint="eastAsia" w:ascii="仿宋" w:hAnsi="仿宋" w:eastAsia="仿宋" w:cs="仿宋"/>
          <w:color w:val="auto"/>
          <w:sz w:val="28"/>
          <w:szCs w:val="28"/>
          <w:highlight w:val="none"/>
        </w:rPr>
        <w:t>乙方出现以下违约情形之一的，甲方有权拒绝支付任何价款并解除合同：</w:t>
      </w:r>
    </w:p>
    <w:p w14:paraId="7F5B30EA">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.1 乙方逾期</w:t>
      </w:r>
      <w:r>
        <w:rPr>
          <w:rFonts w:hint="eastAsia" w:ascii="仿宋" w:hAnsi="仿宋" w:eastAsia="仿宋" w:cs="仿宋"/>
          <w:color w:val="auto"/>
          <w:sz w:val="28"/>
          <w:szCs w:val="28"/>
          <w:highlight w:val="none"/>
          <w:u w:val="single"/>
          <w:lang w:val="en-US" w:eastAsia="zh-CN"/>
        </w:rPr>
        <w:t xml:space="preserve"> 7 </w:t>
      </w:r>
      <w:r>
        <w:rPr>
          <w:rFonts w:hint="eastAsia" w:ascii="仿宋" w:hAnsi="仿宋" w:eastAsia="仿宋" w:cs="仿宋"/>
          <w:color w:val="auto"/>
          <w:sz w:val="28"/>
          <w:szCs w:val="28"/>
          <w:highlight w:val="none"/>
        </w:rPr>
        <w:t>日仍不能供货</w:t>
      </w:r>
      <w:r>
        <w:rPr>
          <w:rFonts w:hint="eastAsia" w:ascii="仿宋" w:hAnsi="仿宋" w:eastAsia="仿宋" w:cs="仿宋"/>
          <w:color w:val="auto"/>
          <w:sz w:val="28"/>
          <w:szCs w:val="28"/>
          <w:highlight w:val="none"/>
          <w:lang w:eastAsia="zh-CN"/>
        </w:rPr>
        <w:t>；</w:t>
      </w:r>
    </w:p>
    <w:p w14:paraId="1EA72AE8">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11.3.2 乙方未能在本合同约定的紧急供货时间内供货的</w:t>
      </w:r>
      <w:r>
        <w:rPr>
          <w:rFonts w:hint="eastAsia" w:ascii="仿宋" w:hAnsi="仿宋" w:eastAsia="仿宋" w:cs="仿宋"/>
          <w:color w:val="auto"/>
          <w:sz w:val="28"/>
          <w:szCs w:val="28"/>
          <w:highlight w:val="none"/>
        </w:rPr>
        <w:t>；</w:t>
      </w:r>
    </w:p>
    <w:p w14:paraId="2EFB0AD9">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 xml:space="preserve"> 乙方提供的</w:t>
      </w:r>
      <w:r>
        <w:rPr>
          <w:rFonts w:hint="eastAsia" w:ascii="仿宋" w:hAnsi="仿宋" w:eastAsia="仿宋" w:cs="仿宋"/>
          <w:color w:val="auto"/>
          <w:sz w:val="28"/>
          <w:szCs w:val="28"/>
          <w:highlight w:val="none"/>
          <w:lang w:eastAsia="zh-CN"/>
        </w:rPr>
        <w:t>货物</w:t>
      </w:r>
      <w:r>
        <w:rPr>
          <w:rFonts w:hint="eastAsia" w:ascii="仿宋" w:hAnsi="仿宋" w:eastAsia="仿宋" w:cs="仿宋"/>
          <w:color w:val="auto"/>
          <w:sz w:val="28"/>
          <w:szCs w:val="28"/>
          <w:highlight w:val="none"/>
        </w:rPr>
        <w:t>质量不符合国家标准、本合同标准或</w:t>
      </w:r>
      <w:r>
        <w:rPr>
          <w:rFonts w:hint="eastAsia" w:ascii="仿宋" w:hAnsi="仿宋" w:eastAsia="仿宋" w:cs="仿宋"/>
          <w:color w:val="auto"/>
          <w:sz w:val="28"/>
          <w:szCs w:val="28"/>
          <w:highlight w:val="none"/>
          <w:lang w:eastAsia="zh-CN"/>
        </w:rPr>
        <w:t>投标文件</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响应文件约定标准；</w:t>
      </w:r>
    </w:p>
    <w:p w14:paraId="52987CD7">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 乙方将</w:t>
      </w:r>
      <w:r>
        <w:rPr>
          <w:rFonts w:hint="eastAsia" w:ascii="仿宋" w:hAnsi="仿宋" w:eastAsia="仿宋" w:cs="仿宋"/>
          <w:color w:val="auto"/>
          <w:sz w:val="28"/>
          <w:szCs w:val="28"/>
          <w:highlight w:val="none"/>
          <w:lang w:val="en-US" w:eastAsia="zh-CN"/>
        </w:rPr>
        <w:t>本合同权利义务全部或部分转让给</w:t>
      </w:r>
      <w:r>
        <w:rPr>
          <w:rFonts w:hint="eastAsia" w:ascii="仿宋" w:hAnsi="仿宋" w:eastAsia="仿宋" w:cs="仿宋"/>
          <w:color w:val="auto"/>
          <w:sz w:val="28"/>
          <w:szCs w:val="28"/>
          <w:highlight w:val="none"/>
        </w:rPr>
        <w:t>第三方；</w:t>
      </w:r>
    </w:p>
    <w:p w14:paraId="322A06E8">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 xml:space="preserve"> 其他根本违约的情形。</w:t>
      </w:r>
    </w:p>
    <w:p w14:paraId="668818E1">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w:t>
      </w:r>
      <w:r>
        <w:rPr>
          <w:rFonts w:hint="eastAsia" w:ascii="仿宋" w:hAnsi="仿宋" w:eastAsia="仿宋" w:cs="仿宋"/>
          <w:b/>
          <w:bCs/>
          <w:color w:val="auto"/>
          <w:sz w:val="28"/>
          <w:szCs w:val="28"/>
          <w:highlight w:val="none"/>
          <w:lang w:eastAsia="zh-CN"/>
        </w:rPr>
        <w:t>十</w:t>
      </w:r>
      <w:r>
        <w:rPr>
          <w:rFonts w:hint="eastAsia" w:ascii="仿宋" w:hAnsi="仿宋" w:eastAsia="仿宋" w:cs="仿宋"/>
          <w:b/>
          <w:bCs/>
          <w:color w:val="auto"/>
          <w:sz w:val="28"/>
          <w:szCs w:val="28"/>
          <w:highlight w:val="none"/>
          <w:lang w:val="en-US" w:eastAsia="zh-CN"/>
        </w:rPr>
        <w:t>二</w:t>
      </w:r>
      <w:r>
        <w:rPr>
          <w:rFonts w:hint="eastAsia" w:ascii="仿宋" w:hAnsi="仿宋" w:eastAsia="仿宋" w:cs="仿宋"/>
          <w:b/>
          <w:bCs/>
          <w:color w:val="auto"/>
          <w:sz w:val="28"/>
          <w:szCs w:val="28"/>
          <w:highlight w:val="none"/>
        </w:rPr>
        <w:t>条 违约责任</w:t>
      </w:r>
    </w:p>
    <w:p w14:paraId="45A51EB7">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rPr>
        <w:t xml:space="preserve">.1 </w:t>
      </w:r>
      <w:r>
        <w:rPr>
          <w:rFonts w:hint="eastAsia" w:ascii="仿宋" w:hAnsi="仿宋" w:eastAsia="仿宋" w:cs="仿宋"/>
          <w:color w:val="auto"/>
          <w:sz w:val="28"/>
          <w:szCs w:val="28"/>
          <w:highlight w:val="none"/>
          <w:lang w:eastAsia="zh-CN"/>
        </w:rPr>
        <w:t>甲方因</w:t>
      </w:r>
      <w:r>
        <w:rPr>
          <w:rFonts w:hint="eastAsia" w:ascii="仿宋" w:hAnsi="仿宋" w:eastAsia="仿宋" w:cs="仿宋"/>
          <w:color w:val="auto"/>
          <w:sz w:val="28"/>
          <w:szCs w:val="28"/>
          <w:highlight w:val="none"/>
          <w:lang w:val="en-US" w:eastAsia="zh-CN"/>
        </w:rPr>
        <w:t>11.2情形提前终止本合同或剔除部分采购内容均无须承担违约责任，乙方不得因此要求甲方予以任何经济赔偿或补偿。</w:t>
      </w:r>
    </w:p>
    <w:p w14:paraId="729E25FB">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rPr>
        <w:t>.2 如乙方未在本合同约定时间内将验收合格的</w:t>
      </w:r>
      <w:r>
        <w:rPr>
          <w:rFonts w:hint="eastAsia" w:ascii="仿宋" w:hAnsi="仿宋" w:eastAsia="仿宋" w:cs="仿宋"/>
          <w:color w:val="auto"/>
          <w:sz w:val="28"/>
          <w:szCs w:val="28"/>
          <w:highlight w:val="none"/>
          <w:lang w:val="en-US" w:eastAsia="zh-CN"/>
        </w:rPr>
        <w:t>货物</w:t>
      </w:r>
      <w:r>
        <w:rPr>
          <w:rFonts w:hint="eastAsia" w:ascii="仿宋" w:hAnsi="仿宋" w:eastAsia="仿宋" w:cs="仿宋"/>
          <w:color w:val="auto"/>
          <w:sz w:val="28"/>
          <w:szCs w:val="28"/>
          <w:highlight w:val="none"/>
        </w:rPr>
        <w:t>交付给甲方使用，除应赔偿甲方因此造成的损失外，每逾期一日，按</w:t>
      </w:r>
      <w:r>
        <w:rPr>
          <w:rFonts w:hint="eastAsia" w:ascii="仿宋" w:hAnsi="仿宋" w:eastAsia="仿宋" w:cs="仿宋"/>
          <w:color w:val="auto"/>
          <w:sz w:val="28"/>
          <w:szCs w:val="28"/>
          <w:highlight w:val="none"/>
          <w:u w:val="none"/>
        </w:rPr>
        <w:t>本合同</w:t>
      </w:r>
      <w:r>
        <w:rPr>
          <w:rFonts w:hint="eastAsia" w:ascii="仿宋" w:hAnsi="仿宋" w:eastAsia="仿宋" w:cs="仿宋"/>
          <w:color w:val="auto"/>
          <w:sz w:val="28"/>
          <w:szCs w:val="28"/>
          <w:highlight w:val="none"/>
          <w:u w:val="none"/>
          <w:lang w:val="en-US" w:eastAsia="zh-CN"/>
        </w:rPr>
        <w:t>暂定</w:t>
      </w:r>
      <w:r>
        <w:rPr>
          <w:rFonts w:hint="eastAsia" w:ascii="仿宋" w:hAnsi="仿宋" w:eastAsia="仿宋" w:cs="仿宋"/>
          <w:color w:val="auto"/>
          <w:sz w:val="28"/>
          <w:szCs w:val="28"/>
          <w:highlight w:val="none"/>
          <w:u w:val="none"/>
        </w:rPr>
        <w:t>总价款的</w:t>
      </w:r>
      <w:r>
        <w:rPr>
          <w:rFonts w:hint="eastAsia" w:ascii="仿宋" w:hAnsi="仿宋" w:eastAsia="仿宋" w:cs="仿宋"/>
          <w:color w:val="auto"/>
          <w:sz w:val="28"/>
          <w:szCs w:val="28"/>
          <w:highlight w:val="none"/>
          <w:u w:val="none"/>
          <w:lang w:eastAsia="zh-CN"/>
        </w:rPr>
        <w:t>千分之一</w:t>
      </w:r>
      <w:r>
        <w:rPr>
          <w:rFonts w:hint="eastAsia" w:ascii="仿宋" w:hAnsi="仿宋" w:eastAsia="仿宋" w:cs="仿宋"/>
          <w:color w:val="auto"/>
          <w:sz w:val="28"/>
          <w:szCs w:val="28"/>
          <w:highlight w:val="none"/>
          <w:u w:val="none"/>
          <w:lang w:val="en-US" w:eastAsia="zh-CN"/>
        </w:rPr>
        <w:t>的</w:t>
      </w:r>
      <w:r>
        <w:rPr>
          <w:rFonts w:hint="eastAsia" w:ascii="仿宋" w:hAnsi="仿宋" w:eastAsia="仿宋" w:cs="仿宋"/>
          <w:color w:val="auto"/>
          <w:sz w:val="28"/>
          <w:szCs w:val="28"/>
          <w:highlight w:val="none"/>
          <w:lang w:eastAsia="zh-CN"/>
        </w:rPr>
        <w:t>标准</w:t>
      </w:r>
      <w:r>
        <w:rPr>
          <w:rFonts w:hint="eastAsia" w:ascii="仿宋" w:hAnsi="仿宋" w:eastAsia="仿宋" w:cs="仿宋"/>
          <w:color w:val="auto"/>
          <w:sz w:val="28"/>
          <w:szCs w:val="28"/>
          <w:highlight w:val="none"/>
        </w:rPr>
        <w:t>向甲方支付违约金。</w:t>
      </w:r>
    </w:p>
    <w:p w14:paraId="4ECBCE7D">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rPr>
        <w:t>.3 如乙方单方解除合同或甲方因</w:t>
      </w:r>
      <w:r>
        <w:rPr>
          <w:rFonts w:hint="eastAsia" w:ascii="仿宋" w:hAnsi="仿宋" w:eastAsia="仿宋" w:cs="仿宋"/>
          <w:color w:val="auto"/>
          <w:sz w:val="28"/>
          <w:szCs w:val="28"/>
          <w:highlight w:val="none"/>
          <w:lang w:val="en-US" w:eastAsia="zh-CN"/>
        </w:rPr>
        <w:t>11.3情形</w:t>
      </w:r>
      <w:r>
        <w:rPr>
          <w:rFonts w:hint="eastAsia" w:ascii="仿宋" w:hAnsi="仿宋" w:eastAsia="仿宋" w:cs="仿宋"/>
          <w:color w:val="auto"/>
          <w:sz w:val="28"/>
          <w:szCs w:val="28"/>
          <w:highlight w:val="none"/>
        </w:rPr>
        <w:t>解除合同，乙方应赔偿给甲方造成的全部经济损失，并按</w:t>
      </w:r>
      <w:r>
        <w:rPr>
          <w:rFonts w:hint="eastAsia" w:ascii="仿宋" w:hAnsi="仿宋" w:eastAsia="仿宋" w:cs="仿宋"/>
          <w:color w:val="auto"/>
          <w:sz w:val="28"/>
          <w:szCs w:val="28"/>
          <w:highlight w:val="none"/>
          <w:u w:val="none"/>
        </w:rPr>
        <w:t>本合同</w:t>
      </w:r>
      <w:r>
        <w:rPr>
          <w:rFonts w:hint="eastAsia" w:ascii="仿宋" w:hAnsi="仿宋" w:eastAsia="仿宋" w:cs="仿宋"/>
          <w:color w:val="auto"/>
          <w:sz w:val="28"/>
          <w:szCs w:val="28"/>
          <w:highlight w:val="none"/>
          <w:u w:val="none"/>
          <w:lang w:val="en-US" w:eastAsia="zh-CN"/>
        </w:rPr>
        <w:t>暂定</w:t>
      </w:r>
      <w:r>
        <w:rPr>
          <w:rFonts w:hint="eastAsia" w:ascii="仿宋" w:hAnsi="仿宋" w:eastAsia="仿宋" w:cs="仿宋"/>
          <w:color w:val="auto"/>
          <w:sz w:val="28"/>
          <w:szCs w:val="28"/>
          <w:highlight w:val="none"/>
          <w:u w:val="none"/>
        </w:rPr>
        <w:t>总价款30%</w:t>
      </w:r>
      <w:r>
        <w:rPr>
          <w:rFonts w:hint="eastAsia" w:ascii="仿宋" w:hAnsi="仿宋" w:eastAsia="仿宋" w:cs="仿宋"/>
          <w:color w:val="auto"/>
          <w:sz w:val="28"/>
          <w:szCs w:val="28"/>
          <w:highlight w:val="none"/>
          <w:u w:val="none"/>
          <w:lang w:val="en-US" w:eastAsia="zh-CN"/>
        </w:rPr>
        <w:t>的</w:t>
      </w:r>
      <w:r>
        <w:rPr>
          <w:rFonts w:hint="eastAsia" w:ascii="仿宋" w:hAnsi="仿宋" w:eastAsia="仿宋" w:cs="仿宋"/>
          <w:color w:val="auto"/>
          <w:sz w:val="28"/>
          <w:szCs w:val="28"/>
          <w:highlight w:val="none"/>
        </w:rPr>
        <w:t>标准</w:t>
      </w:r>
      <w:r>
        <w:rPr>
          <w:rFonts w:hint="eastAsia" w:ascii="仿宋" w:hAnsi="仿宋" w:eastAsia="仿宋" w:cs="仿宋"/>
          <w:color w:val="auto"/>
          <w:sz w:val="28"/>
          <w:szCs w:val="28"/>
          <w:highlight w:val="none"/>
          <w:lang w:val="en-US" w:eastAsia="zh-CN"/>
        </w:rPr>
        <w:t>向</w:t>
      </w:r>
      <w:r>
        <w:rPr>
          <w:rFonts w:hint="eastAsia" w:ascii="仿宋" w:hAnsi="仿宋" w:eastAsia="仿宋" w:cs="仿宋"/>
          <w:color w:val="auto"/>
          <w:sz w:val="28"/>
          <w:szCs w:val="28"/>
          <w:highlight w:val="none"/>
        </w:rPr>
        <w:t>甲方支付违约金。</w:t>
      </w:r>
    </w:p>
    <w:p w14:paraId="766541D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auto"/>
          <w:sz w:val="28"/>
          <w:szCs w:val="28"/>
          <w:highlight w:val="none"/>
          <w:u w:val="single"/>
          <w:lang w:val="en-US" w:eastAsia="zh-CN"/>
        </w:rPr>
      </w:pPr>
      <w:r>
        <w:rPr>
          <w:rFonts w:hint="eastAsia" w:ascii="仿宋" w:hAnsi="仿宋" w:eastAsia="仿宋" w:cs="仿宋"/>
          <w:b/>
          <w:bCs/>
          <w:color w:val="auto"/>
          <w:sz w:val="28"/>
          <w:szCs w:val="28"/>
          <w:highlight w:val="none"/>
          <w:u w:val="single"/>
          <w:lang w:val="en-US" w:eastAsia="zh-CN"/>
        </w:rPr>
        <w:t>12.4 无论甲方在任意时候（不限于本合同履行期间）发现存在违反本合同廉洁条款的行为，乙方均须向甲方一次性支付惩罚性违约金</w:t>
      </w:r>
      <w:r>
        <w:rPr>
          <w:rFonts w:hint="eastAsia" w:ascii="仿宋" w:hAnsi="仿宋" w:eastAsia="仿宋" w:cs="仿宋"/>
          <w:b/>
          <w:bCs/>
          <w:color w:val="0000FF"/>
          <w:sz w:val="28"/>
          <w:szCs w:val="28"/>
          <w:highlight w:val="none"/>
          <w:u w:val="single"/>
          <w:lang w:val="en-US" w:eastAsia="zh-CN"/>
        </w:rPr>
        <w:t>40000</w:t>
      </w:r>
      <w:r>
        <w:rPr>
          <w:rFonts w:hint="eastAsia" w:ascii="仿宋" w:hAnsi="仿宋" w:eastAsia="仿宋" w:cs="仿宋"/>
          <w:b/>
          <w:bCs/>
          <w:color w:val="auto"/>
          <w:sz w:val="28"/>
          <w:szCs w:val="28"/>
          <w:highlight w:val="none"/>
          <w:u w:val="single"/>
          <w:lang w:val="en-US" w:eastAsia="zh-CN"/>
        </w:rPr>
        <w:t>.00元。如乙方除需承担违反廉洁条款的违约责任外，同时存在其他违约行为，乙方仍须就其他违约行为承担相应违约责任。</w:t>
      </w:r>
    </w:p>
    <w:p w14:paraId="01407C2B">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u w:val="single"/>
          <w:lang w:val="en-US" w:eastAsia="zh-CN"/>
        </w:rPr>
      </w:pPr>
      <w:r>
        <w:rPr>
          <w:rFonts w:hint="eastAsia" w:ascii="仿宋" w:hAnsi="仿宋" w:eastAsia="仿宋" w:cs="仿宋"/>
          <w:b/>
          <w:bCs/>
          <w:color w:val="auto"/>
          <w:sz w:val="28"/>
          <w:szCs w:val="28"/>
          <w:highlight w:val="none"/>
          <w:u w:val="single"/>
          <w:lang w:val="en-US" w:eastAsia="zh-CN"/>
        </w:rPr>
        <w:t>12.5 依据本合同约定乙方应支付给甲方的违约金，甲方有权在应支付给乙方的任意价款中直接予以扣除，如扣除部分不足，乙方应在接到甲方通知后3日内补足。</w:t>
      </w:r>
    </w:p>
    <w:p w14:paraId="5AA24E9D">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w:t>
      </w:r>
      <w:r>
        <w:rPr>
          <w:rFonts w:hint="eastAsia" w:ascii="仿宋" w:hAnsi="仿宋" w:eastAsia="仿宋" w:cs="仿宋"/>
          <w:b/>
          <w:bCs/>
          <w:color w:val="auto"/>
          <w:sz w:val="28"/>
          <w:szCs w:val="28"/>
          <w:highlight w:val="none"/>
          <w:lang w:val="en-US" w:eastAsia="zh-CN"/>
        </w:rPr>
        <w:t>十三</w:t>
      </w:r>
      <w:r>
        <w:rPr>
          <w:rFonts w:hint="eastAsia" w:ascii="仿宋" w:hAnsi="仿宋" w:eastAsia="仿宋" w:cs="仿宋"/>
          <w:b/>
          <w:bCs/>
          <w:color w:val="auto"/>
          <w:sz w:val="28"/>
          <w:szCs w:val="28"/>
          <w:highlight w:val="none"/>
        </w:rPr>
        <w:t>条 争议解决</w:t>
      </w:r>
    </w:p>
    <w:p w14:paraId="717F5735">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13.1 本合同适用中华人民共和国法律，并按其解释。</w:t>
      </w:r>
    </w:p>
    <w:p w14:paraId="228742E5">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13.2 </w:t>
      </w:r>
      <w:r>
        <w:rPr>
          <w:rFonts w:hint="eastAsia" w:ascii="仿宋" w:hAnsi="仿宋" w:eastAsia="仿宋" w:cs="仿宋"/>
          <w:color w:val="auto"/>
          <w:sz w:val="28"/>
          <w:szCs w:val="28"/>
          <w:highlight w:val="none"/>
        </w:rPr>
        <w:t>如双方在履行本合同过程中发生争议，双方应先协商解决，协商解决不成的，任一方均可向甲方所在地有管辖权的人民法院提起诉讼解决。</w:t>
      </w:r>
    </w:p>
    <w:p w14:paraId="7DFC81FA">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第十</w:t>
      </w:r>
      <w:r>
        <w:rPr>
          <w:rFonts w:hint="eastAsia" w:ascii="仿宋" w:hAnsi="仿宋" w:eastAsia="仿宋" w:cs="仿宋"/>
          <w:b/>
          <w:bCs/>
          <w:color w:val="auto"/>
          <w:sz w:val="28"/>
          <w:szCs w:val="28"/>
          <w:highlight w:val="none"/>
          <w:lang w:val="en-US" w:eastAsia="zh-CN"/>
        </w:rPr>
        <w:t>四</w:t>
      </w:r>
      <w:r>
        <w:rPr>
          <w:rFonts w:hint="eastAsia" w:ascii="仿宋" w:hAnsi="仿宋" w:eastAsia="仿宋" w:cs="仿宋"/>
          <w:b/>
          <w:bCs/>
          <w:color w:val="auto"/>
          <w:sz w:val="28"/>
          <w:szCs w:val="28"/>
          <w:highlight w:val="none"/>
        </w:rPr>
        <w:t>条 附则</w:t>
      </w:r>
    </w:p>
    <w:p w14:paraId="0FA95C82">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 xml:space="preserve"> 乙方营业执照、</w:t>
      </w:r>
      <w:r>
        <w:rPr>
          <w:rFonts w:hint="eastAsia" w:ascii="仿宋" w:hAnsi="仿宋" w:eastAsia="仿宋" w:cs="仿宋"/>
          <w:color w:val="auto"/>
          <w:sz w:val="28"/>
          <w:szCs w:val="28"/>
          <w:highlight w:val="none"/>
          <w:lang w:val="en-US" w:eastAsia="zh-CN"/>
        </w:rPr>
        <w:t>法定代表人身份证明书、</w:t>
      </w:r>
      <w:r>
        <w:rPr>
          <w:rFonts w:hint="eastAsia" w:ascii="仿宋" w:hAnsi="仿宋" w:eastAsia="仿宋" w:cs="仿宋"/>
          <w:color w:val="auto"/>
          <w:sz w:val="28"/>
          <w:szCs w:val="28"/>
          <w:highlight w:val="none"/>
        </w:rPr>
        <w:t>授权委托文书、委托代理人身份证复印件等相关资质证明、乙方委派结算人员的授权委托书、受托人的身份证复印件、</w:t>
      </w:r>
      <w:r>
        <w:rPr>
          <w:rFonts w:hint="eastAsia" w:ascii="仿宋" w:hAnsi="仿宋" w:eastAsia="仿宋" w:cs="仿宋"/>
          <w:color w:val="auto"/>
          <w:sz w:val="28"/>
          <w:szCs w:val="28"/>
          <w:highlight w:val="none"/>
          <w:lang w:val="en-US" w:eastAsia="zh-CN"/>
        </w:rPr>
        <w:t>验收报告</w:t>
      </w:r>
      <w:r>
        <w:rPr>
          <w:rFonts w:hint="eastAsia" w:ascii="仿宋" w:hAnsi="仿宋" w:eastAsia="仿宋" w:cs="仿宋"/>
          <w:color w:val="auto"/>
          <w:sz w:val="28"/>
          <w:szCs w:val="28"/>
          <w:highlight w:val="none"/>
        </w:rPr>
        <w:t>单等作为本合同的附件。</w:t>
      </w:r>
    </w:p>
    <w:p w14:paraId="599AEFCB">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14.2 </w:t>
      </w:r>
      <w:r>
        <w:rPr>
          <w:rFonts w:hint="eastAsia" w:ascii="仿宋" w:hAnsi="仿宋" w:eastAsia="仿宋" w:cs="仿宋"/>
          <w:color w:val="auto"/>
          <w:sz w:val="28"/>
          <w:szCs w:val="28"/>
          <w:highlight w:val="none"/>
        </w:rPr>
        <w:t>本合同组成文件和优先解释顺序：</w:t>
      </w:r>
      <w:r>
        <w:rPr>
          <w:rFonts w:hint="eastAsia" w:ascii="仿宋" w:hAnsi="仿宋" w:eastAsia="仿宋" w:cs="仿宋"/>
          <w:color w:val="auto"/>
          <w:sz w:val="28"/>
          <w:szCs w:val="28"/>
          <w:highlight w:val="none"/>
          <w:lang w:eastAsia="zh-CN"/>
        </w:rPr>
        <w:t>乙方在履行本合同中作出的书面承诺；</w:t>
      </w:r>
      <w:r>
        <w:rPr>
          <w:rFonts w:hint="eastAsia" w:ascii="仿宋" w:hAnsi="仿宋" w:eastAsia="仿宋" w:cs="仿宋"/>
          <w:color w:val="auto"/>
          <w:sz w:val="28"/>
          <w:szCs w:val="28"/>
          <w:highlight w:val="none"/>
        </w:rPr>
        <w:t>本合同补充协议；本合同及附件；</w:t>
      </w:r>
      <w:r>
        <w:rPr>
          <w:rFonts w:hint="eastAsia" w:ascii="仿宋" w:hAnsi="仿宋" w:eastAsia="仿宋" w:cs="仿宋"/>
          <w:color w:val="auto"/>
          <w:sz w:val="28"/>
          <w:szCs w:val="28"/>
          <w:highlight w:val="none"/>
          <w:lang w:eastAsia="zh-CN"/>
        </w:rPr>
        <w:t>中标通知书</w:t>
      </w:r>
      <w:r>
        <w:rPr>
          <w:rFonts w:hint="eastAsia" w:ascii="仿宋" w:hAnsi="仿宋" w:eastAsia="仿宋" w:cs="仿宋"/>
          <w:color w:val="auto"/>
          <w:sz w:val="28"/>
          <w:szCs w:val="28"/>
          <w:highlight w:val="none"/>
          <w:lang w:val="en-US" w:eastAsia="zh-CN"/>
        </w:rPr>
        <w:t>/成交通知书/</w:t>
      </w:r>
      <w:r>
        <w:rPr>
          <w:rFonts w:hint="eastAsia" w:ascii="仿宋" w:hAnsi="仿宋" w:eastAsia="仿宋" w:cs="仿宋"/>
          <w:color w:val="auto"/>
          <w:sz w:val="28"/>
          <w:szCs w:val="28"/>
          <w:highlight w:val="none"/>
        </w:rPr>
        <w:t>议价结果公示</w:t>
      </w:r>
      <w:r>
        <w:rPr>
          <w:rFonts w:hint="eastAsia" w:ascii="仿宋" w:hAnsi="仿宋" w:eastAsia="仿宋" w:cs="仿宋"/>
          <w:color w:val="auto"/>
          <w:sz w:val="28"/>
          <w:szCs w:val="28"/>
          <w:highlight w:val="none"/>
          <w:lang w:val="en-US" w:eastAsia="zh-CN"/>
        </w:rPr>
        <w:t>/成交公告</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投标文件</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响应文件；</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采购文件</w:t>
      </w:r>
      <w:r>
        <w:rPr>
          <w:rFonts w:hint="eastAsia" w:ascii="仿宋" w:hAnsi="仿宋" w:eastAsia="仿宋" w:cs="仿宋"/>
          <w:color w:val="auto"/>
          <w:sz w:val="28"/>
          <w:szCs w:val="28"/>
          <w:highlight w:val="none"/>
          <w:lang w:val="en-US" w:eastAsia="zh-CN"/>
        </w:rPr>
        <w:t>/采购需求</w:t>
      </w:r>
      <w:r>
        <w:rPr>
          <w:rFonts w:hint="eastAsia" w:ascii="仿宋" w:hAnsi="仿宋" w:eastAsia="仿宋" w:cs="仿宋"/>
          <w:color w:val="auto"/>
          <w:sz w:val="28"/>
          <w:szCs w:val="28"/>
          <w:highlight w:val="none"/>
        </w:rPr>
        <w:t>；其他与本合同有关的资料。</w:t>
      </w:r>
    </w:p>
    <w:p w14:paraId="32124533">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 xml:space="preserve"> 本合同一式伍份，甲方执肆份、乙方执壹份，自双方签字并盖章</w:t>
      </w:r>
      <w:r>
        <w:rPr>
          <w:rFonts w:hint="eastAsia" w:ascii="仿宋" w:hAnsi="仿宋" w:eastAsia="仿宋" w:cs="仿宋"/>
          <w:color w:val="auto"/>
          <w:sz w:val="28"/>
          <w:szCs w:val="28"/>
          <w:highlight w:val="none"/>
          <w:lang w:eastAsia="zh-CN"/>
        </w:rPr>
        <w:t>后</w:t>
      </w:r>
      <w:r>
        <w:rPr>
          <w:rFonts w:hint="eastAsia" w:ascii="仿宋" w:hAnsi="仿宋" w:eastAsia="仿宋" w:cs="仿宋"/>
          <w:color w:val="auto"/>
          <w:sz w:val="28"/>
          <w:szCs w:val="28"/>
          <w:highlight w:val="none"/>
        </w:rPr>
        <w:t>生效。</w:t>
      </w:r>
    </w:p>
    <w:p w14:paraId="4538B5D5">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p>
    <w:p w14:paraId="2770AA02">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甲方（盖章）：娄底市中心医院        乙方（盖章）：</w:t>
      </w:r>
    </w:p>
    <w:p w14:paraId="5A543B05">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p>
    <w:p w14:paraId="7287AD61">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法定代表人（签字）：                法定代表人（签字）：  </w:t>
      </w:r>
    </w:p>
    <w:p w14:paraId="56550C74">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p>
    <w:p w14:paraId="23CA98EC">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或委托代理人（签字）：              或委托代理人（签字）：</w:t>
      </w:r>
    </w:p>
    <w:p w14:paraId="42056A05">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p>
    <w:p w14:paraId="7CB9B3EB">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合同签订地履行地：娄底市娄星区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签订时间：    年   月   日</w:t>
      </w:r>
    </w:p>
    <w:p w14:paraId="531EE22B">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rPr>
      </w:pPr>
      <w:r>
        <w:rPr>
          <w:rFonts w:hint="eastAsia" w:ascii="仿宋" w:hAnsi="仿宋" w:eastAsia="仿宋" w:cs="仿宋"/>
          <w:b w:val="0"/>
          <w:bCs w:val="0"/>
          <w:color w:val="auto"/>
          <w:sz w:val="28"/>
          <w:szCs w:val="28"/>
          <w:lang w:val="en-US" w:eastAsia="zh-CN"/>
        </w:rPr>
        <w:t xml:space="preserve">                  </w:t>
      </w:r>
      <w:bookmarkEnd w:id="4"/>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w:t>
      </w:r>
    </w:p>
    <w:p w14:paraId="5FDA02AB">
      <w:pPr>
        <w:pStyle w:val="2"/>
        <w:jc w:val="center"/>
        <w:rPr>
          <w:rFonts w:hint="eastAsia" w:ascii="宋体" w:hAnsi="宋体" w:cs="宋体"/>
          <w:color w:val="auto"/>
          <w:sz w:val="44"/>
          <w:szCs w:val="44"/>
          <w:lang w:val="en-US" w:eastAsia="zh-CN"/>
        </w:rPr>
      </w:pPr>
      <w:bookmarkStart w:id="5"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5"/>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6"/>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7"/>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6" w:name="_Toc476514128"/>
      <w:bookmarkStart w:id="7" w:name="_Toc486424819"/>
    </w:p>
    <w:p w14:paraId="126ABE8D">
      <w:pPr>
        <w:pStyle w:val="17"/>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6"/>
    <w:bookmarkEnd w:id="7"/>
    <w:p w14:paraId="71254EC6">
      <w:pPr>
        <w:pStyle w:val="16"/>
        <w:rPr>
          <w:color w:val="auto"/>
        </w:rPr>
      </w:pPr>
    </w:p>
    <w:p w14:paraId="0F8FD442">
      <w:pPr>
        <w:pStyle w:val="18"/>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6"/>
        <w:rPr>
          <w:color w:val="auto"/>
        </w:rPr>
      </w:pPr>
    </w:p>
    <w:p w14:paraId="1AA19DFA">
      <w:pPr>
        <w:pStyle w:val="16"/>
        <w:rPr>
          <w:color w:val="auto"/>
        </w:rPr>
      </w:pPr>
    </w:p>
    <w:p w14:paraId="4461DEBA">
      <w:pPr>
        <w:pStyle w:val="16"/>
        <w:rPr>
          <w:color w:val="auto"/>
        </w:rPr>
      </w:pPr>
    </w:p>
    <w:p w14:paraId="4F259EF0">
      <w:pPr>
        <w:pStyle w:val="18"/>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28B8DAB4"/>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AEE06"/>
    <w:multiLevelType w:val="singleLevel"/>
    <w:tmpl w:val="AE3AEE06"/>
    <w:lvl w:ilvl="0" w:tentative="0">
      <w:start w:val="1"/>
      <w:numFmt w:val="decimal"/>
      <w:suff w:val="nothing"/>
      <w:lvlText w:val="%1、"/>
      <w:lvlJc w:val="left"/>
    </w:lvl>
  </w:abstractNum>
  <w:abstractNum w:abstractNumId="1">
    <w:nsid w:val="B820A895"/>
    <w:multiLevelType w:val="singleLevel"/>
    <w:tmpl w:val="B820A895"/>
    <w:lvl w:ilvl="0" w:tentative="0">
      <w:start w:val="2"/>
      <w:numFmt w:val="chineseCounting"/>
      <w:suff w:val="nothing"/>
      <w:lvlText w:val="%1、"/>
      <w:lvlJc w:val="left"/>
      <w:rPr>
        <w:rFonts w:hint="eastAsia"/>
      </w:rPr>
    </w:lvl>
  </w:abstractNum>
  <w:abstractNum w:abstractNumId="2">
    <w:nsid w:val="E5EEFDF4"/>
    <w:multiLevelType w:val="singleLevel"/>
    <w:tmpl w:val="E5EEFDF4"/>
    <w:lvl w:ilvl="0" w:tentative="0">
      <w:start w:val="3"/>
      <w:numFmt w:val="chineseCounting"/>
      <w:suff w:val="nothing"/>
      <w:lvlText w:val="%1、"/>
      <w:lvlJc w:val="left"/>
      <w:rPr>
        <w:rFonts w:hint="eastAsia"/>
      </w:rPr>
    </w:lvl>
  </w:abstractNum>
  <w:abstractNum w:abstractNumId="3">
    <w:nsid w:val="FF6F6ACF"/>
    <w:multiLevelType w:val="singleLevel"/>
    <w:tmpl w:val="FF6F6ACF"/>
    <w:lvl w:ilvl="0" w:tentative="0">
      <w:start w:val="2"/>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FF6DB5"/>
    <w:rsid w:val="085474AC"/>
    <w:rsid w:val="2A8B560A"/>
    <w:rsid w:val="3C5B1863"/>
    <w:rsid w:val="45FF6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link w:val="15"/>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paragraph" w:styleId="11">
    <w:name w:val="Normal (Web)"/>
    <w:basedOn w:val="1"/>
    <w:qFormat/>
    <w:uiPriority w:val="0"/>
    <w:rPr>
      <w:sz w:val="24"/>
    </w:rPr>
  </w:style>
  <w:style w:type="paragraph" w:styleId="12">
    <w:name w:val="Body Text First Indent 2"/>
    <w:basedOn w:val="7"/>
    <w:next w:val="5"/>
    <w:qFormat/>
    <w:uiPriority w:val="0"/>
    <w:pPr>
      <w:ind w:firstLine="420" w:firstLineChars="200"/>
    </w:pPr>
  </w:style>
  <w:style w:type="character" w:customStyle="1" w:styleId="15">
    <w:name w:val="标题 2 Char"/>
    <w:link w:val="3"/>
    <w:qFormat/>
    <w:uiPriority w:val="0"/>
    <w:rPr>
      <w:rFonts w:ascii="Arial" w:hAnsi="Arial"/>
      <w:b/>
      <w:bCs/>
      <w:sz w:val="24"/>
      <w:szCs w:val="32"/>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列出段落1"/>
    <w:basedOn w:val="1"/>
    <w:qFormat/>
    <w:uiPriority w:val="99"/>
    <w:pPr>
      <w:ind w:firstLine="420" w:firstLineChars="200"/>
    </w:pPr>
  </w:style>
  <w:style w:type="paragraph" w:styleId="18">
    <w:name w:val="List Paragraph"/>
    <w:basedOn w:val="1"/>
    <w:qFormat/>
    <w:uiPriority w:val="34"/>
    <w:pPr>
      <w:ind w:firstLine="420" w:firstLineChars="200"/>
    </w:pPr>
    <w:rPr>
      <w:rFonts w:ascii="Calibri" w:hAnsi="Calibri"/>
      <w:szCs w:val="22"/>
    </w:rPr>
  </w:style>
  <w:style w:type="paragraph" w:customStyle="1" w:styleId="19">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20">
    <w:name w:val="标题 21"/>
    <w:basedOn w:val="1"/>
    <w:qFormat/>
    <w:uiPriority w:val="0"/>
    <w:pPr>
      <w:keepNext/>
      <w:keepLines/>
      <w:spacing w:line="500" w:lineRule="exact"/>
      <w:outlineLvl w:val="1"/>
    </w:pPr>
    <w:rPr>
      <w:rFonts w:ascii="Arial" w:hAnsi="Arial" w:eastAsia="黑体"/>
      <w:b/>
      <w:sz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8406</Words>
  <Characters>9093</Characters>
  <Lines>0</Lines>
  <Paragraphs>0</Paragraphs>
  <TotalTime>12</TotalTime>
  <ScaleCrop>false</ScaleCrop>
  <LinksUpToDate>false</LinksUpToDate>
  <CharactersWithSpaces>10104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2025-11-17T02:39:00Z</dcterms:created>
  <dc:creator>请叫我sir</dc:creator>
  <cp:lastModifiedBy>是小豹子</cp:lastModifiedBy>
  <dcterms:modified xsi:type="dcterms:W3CDTF">2025-11-24T06:33:29Z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7E5E6F7A7E67414D804B96B8235B14CF_11</vt:lpwstr>
  </property>
  <property fmtid="{D5CDD505-2E9C-101B-9397-08002B2CF9AE}" pid="4" name="KSOTemplateDocerSaveRecord">
    <vt:lpwstr>eyJoZGlkIjoiMjI0YzkyZjA4NDE5ZWViZGEyZTVjOTNhYTg4ZmYzYTciLCJ1c2VySWQiOiIzMDQ3NTQ4MDUifQ==</vt:lpwstr>
  </property>
</Properties>
</file>