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AA82C">
      <w:pPr>
        <w:pStyle w:val="11"/>
        <w:snapToGrid w:val="0"/>
        <w:jc w:val="center"/>
        <w:rPr>
          <w:rFonts w:hint="eastAsia" w:ascii="Arial" w:hAnsi="Arial" w:eastAsia="方正小标宋简体" w:cs="Arial"/>
          <w:color w:val="auto"/>
          <w:sz w:val="72"/>
          <w:szCs w:val="72"/>
          <w:lang w:eastAsia="zh-CN"/>
        </w:rPr>
      </w:pPr>
      <w:bookmarkStart w:id="0" w:name="_Toc16523570"/>
    </w:p>
    <w:p w14:paraId="0668E363">
      <w:pPr>
        <w:pStyle w:val="11"/>
        <w:tabs>
          <w:tab w:val="left" w:pos="312"/>
        </w:tabs>
        <w:snapToGrid w:val="0"/>
        <w:spacing w:line="288" w:lineRule="auto"/>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娄底市中心医院院内</w:t>
      </w:r>
    </w:p>
    <w:p w14:paraId="75293AE3">
      <w:pPr>
        <w:pStyle w:val="11"/>
        <w:snapToGrid w:val="0"/>
        <w:jc w:val="center"/>
        <w:rPr>
          <w:rFonts w:ascii="Arial" w:hAnsi="Arial" w:eastAsia="方正小标宋简体" w:cs="Arial"/>
          <w:color w:val="auto"/>
          <w:sz w:val="72"/>
          <w:szCs w:val="72"/>
        </w:rPr>
      </w:pPr>
    </w:p>
    <w:p w14:paraId="7A4A9D78">
      <w:pPr>
        <w:pStyle w:val="11"/>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招</w:t>
      </w:r>
    </w:p>
    <w:p w14:paraId="68ADF1C6">
      <w:pPr>
        <w:pStyle w:val="11"/>
        <w:snapToGrid w:val="0"/>
        <w:jc w:val="center"/>
        <w:rPr>
          <w:rFonts w:ascii="Arial" w:hAnsi="Arial" w:eastAsia="方正小标宋简体" w:cs="Arial"/>
          <w:color w:val="auto"/>
          <w:sz w:val="72"/>
          <w:szCs w:val="72"/>
        </w:rPr>
      </w:pPr>
    </w:p>
    <w:p w14:paraId="6B19A57A">
      <w:pPr>
        <w:pStyle w:val="11"/>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标</w:t>
      </w:r>
    </w:p>
    <w:p w14:paraId="574591F7">
      <w:pPr>
        <w:pStyle w:val="11"/>
        <w:snapToGrid w:val="0"/>
        <w:jc w:val="center"/>
        <w:rPr>
          <w:rFonts w:ascii="Arial" w:hAnsi="Arial" w:eastAsia="方正小标宋简体" w:cs="Arial"/>
          <w:color w:val="auto"/>
          <w:sz w:val="72"/>
          <w:szCs w:val="72"/>
        </w:rPr>
      </w:pPr>
    </w:p>
    <w:p w14:paraId="71C742D0">
      <w:pPr>
        <w:pStyle w:val="11"/>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18BE369B">
      <w:pPr>
        <w:pStyle w:val="11"/>
        <w:snapToGrid w:val="0"/>
        <w:jc w:val="center"/>
        <w:rPr>
          <w:rFonts w:ascii="Arial" w:hAnsi="Arial" w:eastAsia="方正小标宋简体" w:cs="Arial"/>
          <w:color w:val="auto"/>
          <w:sz w:val="72"/>
          <w:szCs w:val="72"/>
        </w:rPr>
      </w:pPr>
    </w:p>
    <w:p w14:paraId="175D2234">
      <w:pPr>
        <w:pStyle w:val="11"/>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7714E9FC">
      <w:pPr>
        <w:pStyle w:val="11"/>
        <w:snapToGrid w:val="0"/>
        <w:jc w:val="center"/>
        <w:rPr>
          <w:rFonts w:ascii="Arial" w:hAnsi="Arial" w:cs="Arial"/>
          <w:color w:val="auto"/>
          <w:sz w:val="32"/>
          <w:szCs w:val="32"/>
        </w:rPr>
      </w:pPr>
    </w:p>
    <w:p w14:paraId="6BDB84BC">
      <w:pPr>
        <w:pStyle w:val="11"/>
        <w:snapToGrid w:val="0"/>
        <w:jc w:val="center"/>
        <w:rPr>
          <w:rFonts w:ascii="Arial" w:hAnsi="Arial" w:cs="Arial"/>
          <w:color w:val="auto"/>
          <w:sz w:val="32"/>
          <w:szCs w:val="32"/>
        </w:rPr>
      </w:pPr>
    </w:p>
    <w:p w14:paraId="45537E0A">
      <w:pPr>
        <w:pStyle w:val="11"/>
        <w:snapToGrid w:val="0"/>
        <w:jc w:val="center"/>
        <w:rPr>
          <w:rFonts w:ascii="Arial" w:hAnsi="Arial" w:cs="Arial"/>
          <w:color w:val="auto"/>
          <w:sz w:val="32"/>
          <w:szCs w:val="32"/>
        </w:rPr>
      </w:pPr>
    </w:p>
    <w:p w14:paraId="7D14067D">
      <w:pPr>
        <w:spacing w:line="360" w:lineRule="auto"/>
        <w:rPr>
          <w:rFonts w:hint="eastAsia"/>
          <w:bCs/>
          <w:color w:val="auto"/>
          <w:sz w:val="32"/>
          <w:szCs w:val="32"/>
        </w:rPr>
      </w:pPr>
    </w:p>
    <w:p w14:paraId="552F5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娄底市中心医院多维终端安全管理平台（第二次）项目招标文件</w:t>
      </w:r>
    </w:p>
    <w:p w14:paraId="67D89F09">
      <w:pPr>
        <w:spacing w:line="320" w:lineRule="exact"/>
        <w:jc w:val="left"/>
        <w:rPr>
          <w:color w:val="auto"/>
          <w:sz w:val="24"/>
        </w:rPr>
      </w:pPr>
    </w:p>
    <w:p w14:paraId="3115AF61">
      <w:pPr>
        <w:spacing w:line="320" w:lineRule="exact"/>
        <w:jc w:val="center"/>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十二</w:t>
      </w:r>
      <w:r>
        <w:rPr>
          <w:rFonts w:hint="eastAsia" w:ascii="宋体" w:hAnsi="宋体" w:cs="宋体"/>
          <w:bCs/>
          <w:color w:val="auto"/>
          <w:sz w:val="32"/>
          <w:szCs w:val="32"/>
        </w:rPr>
        <w:t>月</w:t>
      </w:r>
    </w:p>
    <w:p w14:paraId="199D2F58">
      <w:pPr>
        <w:rPr>
          <w:rFonts w:hint="eastAsia" w:ascii="宋体" w:hAnsi="宋体" w:cs="宋体"/>
          <w:bCs/>
          <w:color w:val="auto"/>
          <w:sz w:val="32"/>
          <w:szCs w:val="32"/>
        </w:rPr>
      </w:pPr>
      <w:r>
        <w:rPr>
          <w:rFonts w:hint="eastAsia" w:ascii="宋体" w:hAnsi="宋体" w:cs="宋体"/>
          <w:bCs/>
          <w:color w:val="auto"/>
          <w:sz w:val="32"/>
          <w:szCs w:val="32"/>
        </w:rPr>
        <w:br w:type="page"/>
      </w:r>
    </w:p>
    <w:p w14:paraId="24633C77">
      <w:pPr>
        <w:spacing w:line="320" w:lineRule="exact"/>
        <w:jc w:val="center"/>
        <w:rPr>
          <w:rFonts w:hint="eastAsia" w:ascii="宋体" w:hAnsi="宋体" w:cs="宋体"/>
          <w:bCs/>
          <w:color w:val="auto"/>
          <w:sz w:val="32"/>
          <w:szCs w:val="32"/>
        </w:rPr>
      </w:pPr>
    </w:p>
    <w:p w14:paraId="78D7FB35">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6ED546D8">
      <w:pPr>
        <w:pStyle w:val="11"/>
        <w:numPr>
          <w:ilvl w:val="0"/>
          <w:numId w:val="0"/>
        </w:numPr>
        <w:tabs>
          <w:tab w:val="left" w:pos="312"/>
        </w:tabs>
        <w:snapToGrid w:val="0"/>
        <w:spacing w:line="480" w:lineRule="auto"/>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u w:val="single"/>
          <w:lang w:val="en-US" w:eastAsia="zh-CN"/>
        </w:rPr>
        <w:t>多维终端安全管理平台（第二次）</w:t>
      </w:r>
      <w:r>
        <w:rPr>
          <w:rFonts w:hint="eastAsia" w:ascii="仿宋" w:hAnsi="仿宋" w:eastAsia="仿宋" w:cs="仿宋"/>
          <w:bCs/>
          <w:color w:val="auto"/>
          <w:sz w:val="24"/>
          <w:szCs w:val="24"/>
          <w:lang w:val="en-US" w:eastAsia="zh-CN"/>
        </w:rPr>
        <w:t>项目进行院内挂网招标，将招标事项公告如下：</w:t>
      </w:r>
    </w:p>
    <w:p w14:paraId="3697D011">
      <w:pPr>
        <w:pStyle w:val="11"/>
        <w:numPr>
          <w:ilvl w:val="0"/>
          <w:numId w:val="0"/>
        </w:numPr>
        <w:tabs>
          <w:tab w:val="left" w:pos="312"/>
        </w:tabs>
        <w:snapToGrid w:val="0"/>
        <w:spacing w:line="480" w:lineRule="auto"/>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一、项目信息</w:t>
      </w:r>
    </w:p>
    <w:p w14:paraId="4CC3A9FB">
      <w:pPr>
        <w:pStyle w:val="11"/>
        <w:numPr>
          <w:ilvl w:val="0"/>
          <w:numId w:val="0"/>
        </w:numPr>
        <w:tabs>
          <w:tab w:val="left" w:pos="312"/>
        </w:tabs>
        <w:snapToGrid w:val="0"/>
        <w:spacing w:line="48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项目名称：</w:t>
      </w:r>
      <w:r>
        <w:rPr>
          <w:rFonts w:hint="eastAsia" w:ascii="仿宋" w:hAnsi="仿宋" w:eastAsia="仿宋" w:cs="仿宋"/>
          <w:bCs/>
          <w:color w:val="auto"/>
          <w:sz w:val="24"/>
          <w:szCs w:val="24"/>
          <w:u w:val="single"/>
          <w:lang w:val="en-US" w:eastAsia="zh-CN"/>
        </w:rPr>
        <w:t>多维终端安全管理平台（第二次）</w:t>
      </w:r>
      <w:r>
        <w:rPr>
          <w:rFonts w:hint="eastAsia" w:ascii="仿宋" w:hAnsi="仿宋" w:eastAsia="仿宋" w:cs="仿宋"/>
          <w:b w:val="0"/>
          <w:bCs/>
          <w:color w:val="auto"/>
          <w:sz w:val="24"/>
          <w:szCs w:val="24"/>
          <w:lang w:val="en-US" w:eastAsia="zh-CN"/>
        </w:rPr>
        <w:t>项目</w:t>
      </w:r>
    </w:p>
    <w:p w14:paraId="008C2037">
      <w:pPr>
        <w:pStyle w:val="11"/>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采购方式</w:t>
      </w:r>
    </w:p>
    <w:p w14:paraId="01DA3E7E">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bidi="ar-SA"/>
        </w:rPr>
        <w:t>1、医院</w:t>
      </w:r>
      <w:r>
        <w:rPr>
          <w:rFonts w:hint="eastAsia" w:ascii="仿宋" w:hAnsi="仿宋" w:eastAsia="仿宋" w:cs="仿宋"/>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BAFC7C0">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三、投标人资格要求</w:t>
      </w:r>
    </w:p>
    <w:p w14:paraId="28799B12">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1、投标人的基本资格条件：投标人必须是在中华人民共和国境内注册登记的法人、其他组织或者自然人，且应当符合《政府采购法》第二十二条第一款的规定即：</w:t>
      </w:r>
    </w:p>
    <w:p w14:paraId="109724B4">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（1）具有独立承担民事责任的能力；</w:t>
      </w:r>
    </w:p>
    <w:p w14:paraId="6178AEC2">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（2）具有良好的商业信誉和健全的财务会计制度；</w:t>
      </w:r>
    </w:p>
    <w:p w14:paraId="14CE2F27">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（3）具有履行合同所必需的设备和专业技术能力；</w:t>
      </w:r>
    </w:p>
    <w:p w14:paraId="7B053FD4">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（4）有依法缴纳税收的良好记录；</w:t>
      </w:r>
    </w:p>
    <w:p w14:paraId="06BB8C59">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（5）参加政府采购活动前三年内，在经营活动中没有重大违法记录；</w:t>
      </w:r>
    </w:p>
    <w:p w14:paraId="7EF08A6C">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 xml:space="preserve">（6）法律、行政法规规定的其他条件。 </w:t>
      </w:r>
    </w:p>
    <w:p w14:paraId="0332D184">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2、参加政府采购活动近3年内，在经营活动中没有重大违法记录；</w:t>
      </w:r>
    </w:p>
    <w:p w14:paraId="2D54D14E">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3、投标人未列入经营异常名录和未列入严重违法失信企业名单（黑名单），投标人企业法人代表未被列入失信被执行人名单；</w:t>
      </w:r>
    </w:p>
    <w:p w14:paraId="54AE8C12">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D2CD872">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4、本项目不接受联合体投标，不得分包、转包；</w:t>
      </w:r>
    </w:p>
    <w:p w14:paraId="68173486">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5、单位负责人为同一人或者存在直接控股、管理关系的不同投标人，不得参加本次采购活动。</w:t>
      </w:r>
    </w:p>
    <w:p w14:paraId="6BD7B6BD">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四、投标截止时间、开标时间及地点：</w:t>
      </w:r>
    </w:p>
    <w:p w14:paraId="226F4BE4">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1、开标时间：</w:t>
      </w:r>
      <w:bookmarkStart w:id="5" w:name="_GoBack"/>
      <w:r>
        <w:rPr>
          <w:rFonts w:hint="eastAsia" w:ascii="仿宋" w:hAnsi="仿宋" w:eastAsia="仿宋" w:cs="仿宋"/>
          <w:bCs/>
          <w:color w:val="auto"/>
          <w:sz w:val="24"/>
          <w:szCs w:val="24"/>
          <w:lang w:val="en-US" w:eastAsia="zh-CN"/>
        </w:rPr>
        <w:t>2025年12月10日10：00；</w:t>
      </w:r>
      <w:bookmarkEnd w:id="5"/>
    </w:p>
    <w:p w14:paraId="521D3901">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2、开标地点;娄底市中心医院综合楼420室</w:t>
      </w:r>
    </w:p>
    <w:p w14:paraId="104F4386">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五、招标人地址和联系方法及报名方式：</w:t>
      </w:r>
    </w:p>
    <w:p w14:paraId="4DFE7EEA">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1、招标人名称：娄底市中心医院</w:t>
      </w:r>
    </w:p>
    <w:p w14:paraId="4705E256">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2、联系人及联系方式：廖海星 15873871616</w:t>
      </w:r>
    </w:p>
    <w:p w14:paraId="06EA57CB">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3、招标人地址：娄底市长青中街51号</w:t>
      </w:r>
    </w:p>
    <w:p w14:paraId="69F4E78D">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4、报名方式：请将报名信息以电子邮件形式发送至28693680@QQ.COM，报名信息包含但不限于以下内容：参与项目名称、报名公司名称、联系人、联系电话，公司营业执照等。</w:t>
      </w:r>
    </w:p>
    <w:p w14:paraId="376A01D2">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六、投标须知</w:t>
      </w:r>
    </w:p>
    <w:p w14:paraId="2256C154">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1、否决投标的情形：</w:t>
      </w:r>
    </w:p>
    <w:p w14:paraId="00C887C9">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1.1、投标人以他人名义投标、串通投标、以行贿手段谋取中标的；</w:t>
      </w:r>
    </w:p>
    <w:p w14:paraId="32666238">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02DB57C6">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1.3、评标委员会认定投标人以低于成本报价竞标的；</w:t>
      </w:r>
    </w:p>
    <w:p w14:paraId="12A7472B">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1.4、投标人未按照要求出席开标会的；</w:t>
      </w:r>
    </w:p>
    <w:p w14:paraId="43B3A0F6">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1.5、投标报价有错误的，评标委员会将要求投标人作出书面澄清说明和确认，投标人拒不作出澄清说明和确认的；</w:t>
      </w:r>
    </w:p>
    <w:p w14:paraId="322FAE91">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2、有下列情形之一的，招标人将重新招标：</w:t>
      </w:r>
    </w:p>
    <w:p w14:paraId="58B98DEA">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2.1、投标截止时间止，投标人少于3家的；</w:t>
      </w:r>
    </w:p>
    <w:p w14:paraId="71BCFD3A">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2.2、经评标委员会评审后，符合资格审查的投标人少于3家的。</w:t>
      </w:r>
    </w:p>
    <w:p w14:paraId="3FB7FD44">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3、投标单位必须提供纸质投标文件及电子版投标文件（PDF格式签字盖章版本）</w:t>
      </w:r>
    </w:p>
    <w:p w14:paraId="08255FA8">
      <w:pPr>
        <w:rPr>
          <w:rFonts w:hint="eastAsia" w:ascii="仿宋" w:hAnsi="仿宋" w:eastAsia="仿宋" w:cs="仿宋"/>
          <w:color w:val="auto"/>
          <w:sz w:val="24"/>
          <w:szCs w:val="24"/>
          <w:lang w:val="en-US" w:eastAsia="zh-CN"/>
        </w:rPr>
      </w:pPr>
    </w:p>
    <w:p w14:paraId="535D4EEE">
      <w:pPr>
        <w:pStyle w:val="11"/>
        <w:numPr>
          <w:ilvl w:val="0"/>
          <w:numId w:val="0"/>
        </w:numPr>
        <w:tabs>
          <w:tab w:val="left" w:pos="312"/>
        </w:tabs>
        <w:snapToGrid w:val="0"/>
        <w:spacing w:line="48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第二章采购需求</w:t>
      </w:r>
    </w:p>
    <w:p w14:paraId="0F5F3519">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一、采购清单、采购项目交付或者实施的时间和地点</w:t>
      </w:r>
    </w:p>
    <w:p w14:paraId="72EE0D2D">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1.采购项目</w:t>
      </w:r>
    </w:p>
    <w:tbl>
      <w:tblPr>
        <w:tblStyle w:val="9"/>
        <w:tblW w:w="818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3956"/>
        <w:gridCol w:w="2775"/>
        <w:gridCol w:w="1456"/>
      </w:tblGrid>
      <w:tr w14:paraId="4B3046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39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541254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项目名称</w:t>
            </w:r>
          </w:p>
        </w:tc>
        <w:tc>
          <w:tcPr>
            <w:tcW w:w="277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FF8D7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预算</w:t>
            </w:r>
            <w:r>
              <w:rPr>
                <w:rFonts w:hint="eastAsia" w:ascii="仿宋" w:hAnsi="仿宋" w:eastAsia="仿宋" w:cs="仿宋"/>
                <w:color w:val="auto"/>
                <w:kern w:val="2"/>
                <w:sz w:val="24"/>
                <w:szCs w:val="24"/>
                <w:lang w:eastAsia="zh-CN"/>
              </w:rPr>
              <w:t>总</w:t>
            </w:r>
            <w:r>
              <w:rPr>
                <w:rFonts w:hint="eastAsia" w:ascii="仿宋" w:hAnsi="仿宋" w:eastAsia="仿宋" w:cs="仿宋"/>
                <w:color w:val="auto"/>
                <w:kern w:val="2"/>
                <w:sz w:val="24"/>
                <w:szCs w:val="24"/>
              </w:rPr>
              <w:t>价（元）</w:t>
            </w:r>
          </w:p>
        </w:tc>
        <w:tc>
          <w:tcPr>
            <w:tcW w:w="14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CC84C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w:t>
            </w:r>
          </w:p>
        </w:tc>
      </w:tr>
      <w:tr w14:paraId="3CA3BD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9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F13EF2">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多维终端安全管理平台（第二次）</w:t>
            </w:r>
          </w:p>
        </w:tc>
        <w:tc>
          <w:tcPr>
            <w:tcW w:w="277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0A9C7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28.5</w:t>
            </w:r>
          </w:p>
        </w:tc>
        <w:tc>
          <w:tcPr>
            <w:tcW w:w="14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57F5C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kern w:val="2"/>
                <w:sz w:val="24"/>
                <w:szCs w:val="24"/>
                <w:lang w:val="en-US" w:eastAsia="zh-CN" w:bidi="ar-SA"/>
              </w:rPr>
            </w:pPr>
          </w:p>
        </w:tc>
      </w:tr>
    </w:tbl>
    <w:p w14:paraId="0CA7683B">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2、服务时间：双方签订合同时具体约定。</w:t>
      </w:r>
    </w:p>
    <w:p w14:paraId="20193AC1">
      <w:pPr>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3、服务地点：娄底市中心医院。</w:t>
      </w:r>
    </w:p>
    <w:p w14:paraId="3D057826">
      <w:pPr>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二、项目内容及要求，（以下内容必须全部响应，否则视为无效投标）</w:t>
      </w:r>
    </w:p>
    <w:p w14:paraId="385350B3">
      <w:pPr>
        <w:numPr>
          <w:ilvl w:val="0"/>
          <w:numId w:val="0"/>
        </w:numPr>
        <w:spacing w:line="360" w:lineRule="auto"/>
        <w:jc w:val="both"/>
        <w:rPr>
          <w:rFonts w:hint="default" w:ascii="宋体" w:hAnsi="宋体" w:cs="宋体"/>
          <w:b/>
          <w:bCs w:val="0"/>
          <w:sz w:val="24"/>
          <w:szCs w:val="24"/>
          <w:lang w:val="en-US" w:eastAsia="zh-CN"/>
        </w:rPr>
      </w:pPr>
      <w:r>
        <w:rPr>
          <w:rFonts w:hint="eastAsia" w:ascii="宋体" w:hAnsi="宋体" w:cs="宋体"/>
          <w:b/>
          <w:bCs w:val="0"/>
          <w:sz w:val="24"/>
          <w:szCs w:val="24"/>
          <w:lang w:val="en-US" w:eastAsia="zh-CN"/>
        </w:rPr>
        <w:t>1、技术参数</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68"/>
        <w:gridCol w:w="6835"/>
      </w:tblGrid>
      <w:tr w14:paraId="5996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44E9161D">
            <w:pPr>
              <w:spacing w:line="360" w:lineRule="auto"/>
              <w:jc w:val="center"/>
              <w:rPr>
                <w:rFonts w:hint="eastAsia" w:ascii="宋体" w:hAnsi="宋体" w:cs="宋体"/>
                <w:szCs w:val="21"/>
              </w:rPr>
            </w:pPr>
          </w:p>
        </w:tc>
        <w:tc>
          <w:tcPr>
            <w:tcW w:w="1023" w:type="pct"/>
            <w:vAlign w:val="center"/>
          </w:tcPr>
          <w:p w14:paraId="39D0B10A">
            <w:pPr>
              <w:spacing w:line="360" w:lineRule="auto"/>
              <w:jc w:val="center"/>
              <w:rPr>
                <w:rFonts w:ascii="宋体" w:hAnsi="宋体" w:cs="宋体"/>
                <w:szCs w:val="21"/>
              </w:rPr>
            </w:pPr>
            <w:r>
              <w:rPr>
                <w:rFonts w:hint="eastAsia" w:ascii="宋体" w:hAnsi="宋体" w:cs="宋体"/>
                <w:szCs w:val="21"/>
              </w:rPr>
              <w:t>指标项</w:t>
            </w:r>
          </w:p>
        </w:tc>
        <w:tc>
          <w:tcPr>
            <w:tcW w:w="3553" w:type="pct"/>
            <w:vAlign w:val="center"/>
          </w:tcPr>
          <w:p w14:paraId="5F42E2F1">
            <w:pPr>
              <w:spacing w:line="360" w:lineRule="auto"/>
              <w:jc w:val="center"/>
              <w:rPr>
                <w:rFonts w:ascii="宋体" w:hAnsi="宋体" w:cs="宋体"/>
                <w:szCs w:val="21"/>
              </w:rPr>
            </w:pPr>
            <w:r>
              <w:rPr>
                <w:rFonts w:hint="eastAsia" w:ascii="宋体" w:hAnsi="宋体" w:cs="宋体"/>
                <w:szCs w:val="21"/>
              </w:rPr>
              <w:t>技术规格要求</w:t>
            </w:r>
          </w:p>
        </w:tc>
      </w:tr>
      <w:tr w14:paraId="0B66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3" w:type="pct"/>
            <w:vAlign w:val="center"/>
          </w:tcPr>
          <w:p w14:paraId="7976876B">
            <w:pPr>
              <w:pStyle w:val="13"/>
              <w:numPr>
                <w:ilvl w:val="0"/>
                <w:numId w:val="2"/>
              </w:numPr>
              <w:spacing w:line="360" w:lineRule="auto"/>
              <w:ind w:firstLineChars="0"/>
              <w:jc w:val="center"/>
              <w:rPr>
                <w:rFonts w:ascii="宋体" w:hAnsi="宋体" w:eastAsia="宋体" w:cs="宋体"/>
                <w:szCs w:val="21"/>
              </w:rPr>
            </w:pPr>
          </w:p>
        </w:tc>
        <w:tc>
          <w:tcPr>
            <w:tcW w:w="1023" w:type="pct"/>
            <w:vAlign w:val="center"/>
          </w:tcPr>
          <w:p w14:paraId="2E703348">
            <w:pPr>
              <w:spacing w:line="360" w:lineRule="auto"/>
              <w:jc w:val="center"/>
              <w:rPr>
                <w:rFonts w:ascii="宋体" w:hAnsi="宋体" w:cs="宋体"/>
                <w:szCs w:val="21"/>
              </w:rPr>
            </w:pPr>
            <w:r>
              <w:rPr>
                <w:rFonts w:hint="eastAsia" w:ascii="宋体" w:hAnsi="宋体" w:cs="宋体"/>
                <w:szCs w:val="21"/>
              </w:rPr>
              <w:t>基础要求</w:t>
            </w:r>
          </w:p>
        </w:tc>
        <w:tc>
          <w:tcPr>
            <w:tcW w:w="3553" w:type="pct"/>
            <w:vAlign w:val="center"/>
          </w:tcPr>
          <w:p w14:paraId="51C34E2B">
            <w:pPr>
              <w:spacing w:line="360" w:lineRule="auto"/>
              <w:rPr>
                <w:rFonts w:ascii="宋体" w:hAnsi="宋体" w:cs="宋体"/>
                <w:szCs w:val="21"/>
              </w:rPr>
            </w:pPr>
            <w:r>
              <w:rPr>
                <w:rFonts w:hint="eastAsia" w:ascii="宋体" w:hAnsi="宋体" w:cs="宋体"/>
                <w:szCs w:val="21"/>
              </w:rPr>
              <w:t>基于linux开发的嵌入式专用系统，支持软硬件一体或虚拟化部署。</w:t>
            </w:r>
          </w:p>
        </w:tc>
      </w:tr>
      <w:tr w14:paraId="3EAE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5758DC9C">
            <w:pPr>
              <w:pStyle w:val="13"/>
              <w:numPr>
                <w:ilvl w:val="0"/>
                <w:numId w:val="2"/>
              </w:numPr>
              <w:spacing w:line="360" w:lineRule="auto"/>
              <w:ind w:firstLineChars="0"/>
              <w:jc w:val="center"/>
              <w:rPr>
                <w:rFonts w:ascii="宋体" w:hAnsi="宋体" w:eastAsia="宋体" w:cs="宋体"/>
                <w:szCs w:val="21"/>
              </w:rPr>
            </w:pPr>
          </w:p>
        </w:tc>
        <w:tc>
          <w:tcPr>
            <w:tcW w:w="1023" w:type="pct"/>
            <w:vAlign w:val="center"/>
          </w:tcPr>
          <w:p w14:paraId="16C96A36">
            <w:pPr>
              <w:spacing w:line="360" w:lineRule="auto"/>
              <w:jc w:val="center"/>
              <w:rPr>
                <w:rFonts w:ascii="宋体" w:hAnsi="宋体" w:cs="宋体"/>
                <w:szCs w:val="21"/>
              </w:rPr>
            </w:pPr>
            <w:r>
              <w:rPr>
                <w:rFonts w:hint="eastAsia" w:ascii="宋体" w:hAnsi="宋体" w:cs="宋体"/>
                <w:szCs w:val="21"/>
              </w:rPr>
              <w:t>硬件指标</w:t>
            </w:r>
          </w:p>
        </w:tc>
        <w:tc>
          <w:tcPr>
            <w:tcW w:w="3553" w:type="pct"/>
            <w:vAlign w:val="center"/>
          </w:tcPr>
          <w:p w14:paraId="03298537">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1U 机架结构;</w:t>
            </w:r>
            <w:r>
              <w:rPr>
                <w:rFonts w:hint="eastAsia" w:ascii="宋体" w:hAnsi="宋体" w:cs="宋体"/>
                <w:color w:val="333333"/>
                <w:szCs w:val="21"/>
                <w:shd w:val="clear" w:color="auto" w:fill="FFFFFF"/>
                <w:lang w:val="en-US" w:eastAsia="zh-CN"/>
              </w:rPr>
              <w:t>双</w:t>
            </w:r>
            <w:r>
              <w:rPr>
                <w:rFonts w:hint="eastAsia" w:ascii="宋体" w:hAnsi="宋体" w:cs="宋体"/>
                <w:color w:val="333333"/>
                <w:szCs w:val="21"/>
                <w:shd w:val="clear" w:color="auto" w:fill="FFFFFF"/>
              </w:rPr>
              <w:t>电源;标准配置6个1000MBASE-T接口,可配置1个接口卡;每秒事务数(TPS)：≥5000(次/秒)，最大吞吐量:≥2Gbps，最大并发连接数:4000(条)；本次项目提供</w:t>
            </w:r>
            <w:r>
              <w:rPr>
                <w:rFonts w:hint="eastAsia" w:ascii="宋体" w:hAnsi="宋体" w:cs="宋体"/>
                <w:color w:val="333333"/>
                <w:szCs w:val="21"/>
                <w:shd w:val="clear" w:color="auto" w:fill="FFFFFF"/>
                <w:lang w:val="en-US" w:eastAsia="zh-CN"/>
              </w:rPr>
              <w:t>20</w:t>
            </w:r>
            <w:r>
              <w:rPr>
                <w:rFonts w:hint="eastAsia" w:ascii="宋体" w:hAnsi="宋体" w:cs="宋体"/>
                <w:color w:val="333333"/>
                <w:szCs w:val="21"/>
                <w:shd w:val="clear" w:color="auto" w:fill="FFFFFF"/>
              </w:rPr>
              <w:t>00点终端接入授权</w:t>
            </w:r>
          </w:p>
        </w:tc>
      </w:tr>
      <w:tr w14:paraId="5215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2F2D553C">
            <w:pPr>
              <w:pStyle w:val="13"/>
              <w:numPr>
                <w:ilvl w:val="0"/>
                <w:numId w:val="2"/>
              </w:numPr>
              <w:spacing w:line="360" w:lineRule="auto"/>
              <w:ind w:firstLineChars="0"/>
              <w:jc w:val="center"/>
              <w:rPr>
                <w:rFonts w:ascii="宋体" w:hAnsi="宋体" w:eastAsia="宋体" w:cs="宋体"/>
                <w:szCs w:val="21"/>
              </w:rPr>
            </w:pPr>
          </w:p>
        </w:tc>
        <w:tc>
          <w:tcPr>
            <w:tcW w:w="1023" w:type="pct"/>
            <w:vAlign w:val="center"/>
          </w:tcPr>
          <w:p w14:paraId="28F79A10">
            <w:pPr>
              <w:spacing w:line="360" w:lineRule="auto"/>
              <w:jc w:val="center"/>
              <w:rPr>
                <w:rFonts w:ascii="宋体" w:hAnsi="宋体" w:cs="宋体"/>
                <w:szCs w:val="21"/>
              </w:rPr>
            </w:pPr>
            <w:r>
              <w:rPr>
                <w:rFonts w:hint="eastAsia" w:ascii="宋体" w:hAnsi="宋体" w:cs="宋体"/>
                <w:szCs w:val="21"/>
              </w:rPr>
              <w:t>安全登录</w:t>
            </w:r>
          </w:p>
        </w:tc>
        <w:tc>
          <w:tcPr>
            <w:tcW w:w="3553" w:type="pct"/>
            <w:vAlign w:val="center"/>
          </w:tcPr>
          <w:p w14:paraId="5495B03F">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使用安全登录组建替代域控账户控制，安全登录功能扩展了Windows系统原有的帐号+口令的登录方式，使之支持Ukey、智能卡、平台自建帐号、邮箱帐号、LDAP、Radius、动态验证码等各种方式认证并登录Windows系统</w:t>
            </w:r>
            <w:r>
              <w:rPr>
                <w:rFonts w:hint="eastAsia" w:ascii="宋体" w:hAnsi="宋体" w:cs="宋体"/>
                <w:color w:val="333333"/>
                <w:szCs w:val="21"/>
                <w:shd w:val="clear" w:color="auto" w:fill="FFFFFF"/>
                <w:lang w:eastAsia="zh-CN"/>
              </w:rPr>
              <w:t>，</w:t>
            </w:r>
            <w:r>
              <w:rPr>
                <w:rFonts w:hint="eastAsia" w:ascii="宋体" w:hAnsi="宋体" w:cs="宋体"/>
                <w:color w:val="333333"/>
                <w:szCs w:val="21"/>
                <w:shd w:val="clear" w:color="auto" w:fill="FFFFFF"/>
                <w:lang w:val="en-US" w:eastAsia="zh-CN"/>
              </w:rPr>
              <w:t>同时支持linux系统</w:t>
            </w:r>
            <w:r>
              <w:rPr>
                <w:rFonts w:hint="eastAsia" w:ascii="宋体" w:hAnsi="宋体" w:cs="宋体"/>
                <w:color w:val="333333"/>
                <w:szCs w:val="21"/>
                <w:shd w:val="clear" w:color="auto" w:fill="FFFFFF"/>
              </w:rPr>
              <w:t>。</w:t>
            </w:r>
            <w:r>
              <w:rPr>
                <w:rFonts w:hint="eastAsia"/>
                <w:szCs w:val="21"/>
              </w:rPr>
              <w:t>提供产品功能截图并加盖原厂商公章）</w:t>
            </w:r>
          </w:p>
        </w:tc>
      </w:tr>
      <w:tr w14:paraId="5C6C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7C1F997A">
            <w:pPr>
              <w:pStyle w:val="13"/>
              <w:numPr>
                <w:ilvl w:val="0"/>
                <w:numId w:val="2"/>
              </w:numPr>
              <w:spacing w:line="360" w:lineRule="auto"/>
              <w:ind w:firstLineChars="0"/>
              <w:jc w:val="center"/>
              <w:rPr>
                <w:rFonts w:ascii="宋体" w:hAnsi="宋体" w:eastAsia="宋体" w:cs="宋体"/>
                <w:szCs w:val="21"/>
              </w:rPr>
            </w:pPr>
          </w:p>
        </w:tc>
        <w:tc>
          <w:tcPr>
            <w:tcW w:w="1023" w:type="pct"/>
            <w:vMerge w:val="restart"/>
            <w:vAlign w:val="center"/>
          </w:tcPr>
          <w:p w14:paraId="5B12655F">
            <w:pPr>
              <w:spacing w:line="360" w:lineRule="auto"/>
              <w:jc w:val="center"/>
              <w:rPr>
                <w:rFonts w:ascii="宋体" w:hAnsi="宋体" w:cs="宋体"/>
                <w:szCs w:val="21"/>
              </w:rPr>
            </w:pPr>
            <w:r>
              <w:rPr>
                <w:rFonts w:hint="eastAsia" w:ascii="宋体" w:hAnsi="宋体" w:cs="宋体"/>
                <w:szCs w:val="21"/>
              </w:rPr>
              <w:t>终端故障检测</w:t>
            </w:r>
          </w:p>
        </w:tc>
        <w:tc>
          <w:tcPr>
            <w:tcW w:w="3553" w:type="pct"/>
            <w:vAlign w:val="center"/>
          </w:tcPr>
          <w:p w14:paraId="5C11C681">
            <w:pPr>
              <w:spacing w:line="360" w:lineRule="auto"/>
              <w:rPr>
                <w:rFonts w:ascii="宋体" w:hAnsi="宋体" w:cs="宋体"/>
                <w:color w:val="333333"/>
                <w:szCs w:val="21"/>
                <w:shd w:val="clear" w:color="auto" w:fill="FFFFFF"/>
              </w:rPr>
            </w:pPr>
            <w:r>
              <w:rPr>
                <w:rFonts w:hint="eastAsia" w:ascii="宋体" w:hAnsi="宋体" w:cs="宋体"/>
                <w:szCs w:val="21"/>
              </w:rPr>
              <w:t>支持对终端cpu使用率过高、内存使用率过高、磁盘占用率过高等硬件性能故障进行智能监测，并提供自动修复方式；</w:t>
            </w:r>
          </w:p>
        </w:tc>
      </w:tr>
      <w:tr w14:paraId="4051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4D3808FA">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548C9AA7">
            <w:pPr>
              <w:spacing w:line="360" w:lineRule="auto"/>
              <w:jc w:val="center"/>
              <w:rPr>
                <w:rFonts w:ascii="宋体" w:hAnsi="宋体" w:cs="宋体"/>
                <w:szCs w:val="21"/>
              </w:rPr>
            </w:pPr>
          </w:p>
        </w:tc>
        <w:tc>
          <w:tcPr>
            <w:tcW w:w="3553" w:type="pct"/>
            <w:vAlign w:val="center"/>
          </w:tcPr>
          <w:p w14:paraId="3A906E66">
            <w:pPr>
              <w:spacing w:line="360" w:lineRule="auto"/>
              <w:rPr>
                <w:rFonts w:ascii="宋体" w:hAnsi="宋体" w:cs="宋体"/>
                <w:color w:val="333333"/>
                <w:szCs w:val="21"/>
                <w:shd w:val="clear" w:color="auto" w:fill="FFFFFF"/>
              </w:rPr>
            </w:pPr>
            <w:r>
              <w:rPr>
                <w:rFonts w:hint="eastAsia" w:ascii="宋体" w:hAnsi="宋体" w:cs="宋体"/>
                <w:szCs w:val="21"/>
              </w:rPr>
              <w:t>支持对终端网络连接异常、IP地址配置错误、网络连接质量差等网络故障进行智能监测，并提供自动修复的方式；</w:t>
            </w:r>
            <w:r>
              <w:rPr>
                <w:rFonts w:hint="eastAsia" w:ascii="宋体" w:hAnsi="宋体" w:cs="宋体"/>
                <w:color w:val="333333"/>
                <w:szCs w:val="21"/>
                <w:shd w:val="clear" w:color="auto" w:fill="FFFFFF"/>
              </w:rPr>
              <w:t>（</w:t>
            </w:r>
            <w:r>
              <w:rPr>
                <w:rFonts w:hint="eastAsia"/>
                <w:szCs w:val="21"/>
              </w:rPr>
              <w:t>提供产品功能截图并加盖原厂商公章）</w:t>
            </w:r>
          </w:p>
        </w:tc>
      </w:tr>
      <w:tr w14:paraId="5534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461825FD">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02192E24">
            <w:pPr>
              <w:spacing w:line="360" w:lineRule="auto"/>
              <w:jc w:val="center"/>
              <w:rPr>
                <w:rFonts w:ascii="宋体" w:hAnsi="宋体" w:cs="宋体"/>
                <w:szCs w:val="21"/>
              </w:rPr>
            </w:pPr>
          </w:p>
        </w:tc>
        <w:tc>
          <w:tcPr>
            <w:tcW w:w="3553" w:type="pct"/>
            <w:vAlign w:val="center"/>
          </w:tcPr>
          <w:p w14:paraId="0CDEA54A">
            <w:pPr>
              <w:spacing w:line="360" w:lineRule="auto"/>
              <w:rPr>
                <w:rFonts w:ascii="宋体" w:hAnsi="宋体" w:cs="宋体"/>
                <w:color w:val="333333"/>
                <w:szCs w:val="21"/>
                <w:shd w:val="clear" w:color="auto" w:fill="FFFFFF"/>
              </w:rPr>
            </w:pPr>
            <w:r>
              <w:rPr>
                <w:rFonts w:hint="eastAsia" w:ascii="宋体" w:hAnsi="宋体" w:cs="宋体"/>
                <w:szCs w:val="21"/>
              </w:rPr>
              <w:t>支持对终端超时长运行、异常进程、杀毒软件冲突等操作系统故障进行智能监测，并提供自动修复的方式；</w:t>
            </w:r>
            <w:r>
              <w:rPr>
                <w:rFonts w:hint="eastAsia" w:ascii="宋体" w:hAnsi="宋体" w:cs="宋体"/>
                <w:color w:val="333333"/>
                <w:szCs w:val="21"/>
                <w:shd w:val="clear" w:color="auto" w:fill="FFFFFF"/>
              </w:rPr>
              <w:t>（</w:t>
            </w:r>
            <w:r>
              <w:rPr>
                <w:rFonts w:hint="eastAsia"/>
                <w:szCs w:val="21"/>
              </w:rPr>
              <w:t>提供产品功能截图并加盖原厂商公章）</w:t>
            </w:r>
          </w:p>
        </w:tc>
      </w:tr>
      <w:tr w14:paraId="156C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0DF49531">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5FFF1C2E">
            <w:pPr>
              <w:spacing w:line="360" w:lineRule="auto"/>
              <w:jc w:val="center"/>
              <w:rPr>
                <w:rFonts w:ascii="宋体" w:hAnsi="宋体" w:cs="宋体"/>
                <w:szCs w:val="21"/>
              </w:rPr>
            </w:pPr>
          </w:p>
        </w:tc>
        <w:tc>
          <w:tcPr>
            <w:tcW w:w="3553" w:type="pct"/>
            <w:vAlign w:val="center"/>
          </w:tcPr>
          <w:p w14:paraId="611F0536">
            <w:pPr>
              <w:spacing w:line="360" w:lineRule="auto"/>
              <w:rPr>
                <w:rFonts w:ascii="宋体" w:hAnsi="宋体" w:cs="宋体"/>
                <w:color w:val="333333"/>
                <w:szCs w:val="21"/>
                <w:shd w:val="clear" w:color="auto" w:fill="FFFFFF"/>
              </w:rPr>
            </w:pPr>
            <w:r>
              <w:rPr>
                <w:rFonts w:hint="eastAsia" w:ascii="宋体" w:hAnsi="宋体" w:cs="宋体"/>
                <w:szCs w:val="21"/>
              </w:rPr>
              <w:t>支持对终端打印机连接异常、打印服务未启用、打印队列阻塞等打印故障进行智能监测，并提供自动修复的方式；</w:t>
            </w:r>
            <w:r>
              <w:rPr>
                <w:rFonts w:hint="eastAsia" w:ascii="宋体" w:hAnsi="宋体" w:cs="宋体"/>
                <w:color w:val="333333"/>
                <w:szCs w:val="21"/>
                <w:shd w:val="clear" w:color="auto" w:fill="FFFFFF"/>
              </w:rPr>
              <w:t>（</w:t>
            </w:r>
            <w:r>
              <w:rPr>
                <w:rFonts w:hint="eastAsia"/>
                <w:szCs w:val="21"/>
              </w:rPr>
              <w:t>提供产品功能截图并加盖原厂商公章）</w:t>
            </w:r>
          </w:p>
        </w:tc>
      </w:tr>
      <w:tr w14:paraId="13A5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769EEA32">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2451A1EF">
            <w:pPr>
              <w:spacing w:line="360" w:lineRule="auto"/>
              <w:jc w:val="center"/>
              <w:rPr>
                <w:rFonts w:ascii="宋体" w:hAnsi="宋体" w:cs="宋体"/>
                <w:szCs w:val="21"/>
              </w:rPr>
            </w:pPr>
          </w:p>
        </w:tc>
        <w:tc>
          <w:tcPr>
            <w:tcW w:w="3553" w:type="pct"/>
            <w:vAlign w:val="center"/>
          </w:tcPr>
          <w:p w14:paraId="1C2DC7B6">
            <w:pPr>
              <w:spacing w:line="360" w:lineRule="auto"/>
              <w:rPr>
                <w:rFonts w:ascii="宋体" w:hAnsi="宋体" w:cs="宋体"/>
                <w:color w:val="333333"/>
                <w:szCs w:val="21"/>
                <w:shd w:val="clear" w:color="auto" w:fill="FFFFFF"/>
              </w:rPr>
            </w:pPr>
            <w:r>
              <w:rPr>
                <w:rFonts w:hint="eastAsia" w:ascii="宋体" w:hAnsi="宋体" w:cs="宋体"/>
                <w:szCs w:val="21"/>
              </w:rPr>
              <w:t>支持一键故障诊断，在客户端侧支持对本机进行一键故障诊断；在管理后台，管理员可对指定终端进行远程一键故障诊断。</w:t>
            </w:r>
          </w:p>
        </w:tc>
      </w:tr>
      <w:tr w14:paraId="2F1B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423" w:type="pct"/>
            <w:vAlign w:val="center"/>
          </w:tcPr>
          <w:p w14:paraId="41BE063B">
            <w:pPr>
              <w:pStyle w:val="13"/>
              <w:numPr>
                <w:ilvl w:val="0"/>
                <w:numId w:val="2"/>
              </w:numPr>
              <w:spacing w:line="360" w:lineRule="auto"/>
              <w:ind w:firstLineChars="0"/>
              <w:jc w:val="center"/>
              <w:rPr>
                <w:rFonts w:ascii="宋体" w:hAnsi="宋体" w:eastAsia="宋体" w:cs="宋体"/>
                <w:szCs w:val="21"/>
              </w:rPr>
            </w:pPr>
          </w:p>
        </w:tc>
        <w:tc>
          <w:tcPr>
            <w:tcW w:w="1023" w:type="pct"/>
            <w:vMerge w:val="restart"/>
            <w:vAlign w:val="center"/>
          </w:tcPr>
          <w:p w14:paraId="512610EA">
            <w:pPr>
              <w:spacing w:line="360" w:lineRule="auto"/>
              <w:jc w:val="center"/>
              <w:rPr>
                <w:rFonts w:ascii="宋体" w:hAnsi="宋体" w:cs="宋体"/>
                <w:szCs w:val="21"/>
              </w:rPr>
            </w:pPr>
            <w:r>
              <w:rPr>
                <w:rFonts w:hint="eastAsia" w:ascii="宋体" w:hAnsi="宋体" w:cs="宋体"/>
                <w:szCs w:val="21"/>
              </w:rPr>
              <w:t>运维工作台</w:t>
            </w:r>
          </w:p>
        </w:tc>
        <w:tc>
          <w:tcPr>
            <w:tcW w:w="3553" w:type="pct"/>
            <w:vAlign w:val="center"/>
          </w:tcPr>
          <w:p w14:paraId="2763C0E2">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支持以卡片形式对终端进行远程控制、IP地址更改、计算机名更改等操作；同时支持重启、关机、卸载客户端等批量操作（</w:t>
            </w:r>
            <w:r>
              <w:rPr>
                <w:rFonts w:hint="eastAsia"/>
                <w:szCs w:val="21"/>
              </w:rPr>
              <w:t>提供产品功能截图并加盖原厂商公章）</w:t>
            </w:r>
          </w:p>
        </w:tc>
      </w:tr>
      <w:tr w14:paraId="491A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26AFD0E0">
            <w:pPr>
              <w:pStyle w:val="13"/>
              <w:numPr>
                <w:ilvl w:val="0"/>
                <w:numId w:val="2"/>
              </w:numPr>
              <w:spacing w:line="360" w:lineRule="auto"/>
              <w:ind w:firstLineChars="0"/>
              <w:jc w:val="center"/>
              <w:rPr>
                <w:rFonts w:ascii="宋体" w:hAnsi="宋体" w:eastAsia="宋体" w:cs="宋体"/>
                <w:szCs w:val="21"/>
              </w:rPr>
            </w:pPr>
          </w:p>
        </w:tc>
        <w:tc>
          <w:tcPr>
            <w:tcW w:w="1023" w:type="pct"/>
            <w:vAlign w:val="center"/>
          </w:tcPr>
          <w:p w14:paraId="455A532C">
            <w:pPr>
              <w:spacing w:line="360" w:lineRule="auto"/>
              <w:jc w:val="center"/>
              <w:rPr>
                <w:rFonts w:ascii="宋体" w:hAnsi="宋体" w:cs="宋体"/>
                <w:color w:val="333333"/>
                <w:szCs w:val="21"/>
                <w:shd w:val="clear" w:color="auto" w:fill="FFFFFF"/>
              </w:rPr>
            </w:pPr>
            <w:r>
              <w:rPr>
                <w:rFonts w:hint="eastAsia" w:ascii="宋体" w:hAnsi="宋体" w:cs="宋体"/>
                <w:color w:val="333333"/>
                <w:szCs w:val="21"/>
                <w:shd w:val="clear" w:color="auto" w:fill="FFFFFF"/>
              </w:rPr>
              <w:t>水印管理</w:t>
            </w:r>
          </w:p>
        </w:tc>
        <w:tc>
          <w:tcPr>
            <w:tcW w:w="3553" w:type="pct"/>
            <w:vAlign w:val="center"/>
          </w:tcPr>
          <w:p w14:paraId="33B1548D">
            <w:pPr>
              <w:spacing w:line="360" w:lineRule="auto"/>
              <w:rPr>
                <w:rFonts w:ascii="宋体" w:hAnsi="宋体" w:cs="宋体"/>
                <w:szCs w:val="21"/>
              </w:rPr>
            </w:pPr>
            <w:r>
              <w:rPr>
                <w:rFonts w:hint="eastAsia" w:ascii="宋体" w:hAnsi="宋体" w:cs="宋体"/>
                <w:szCs w:val="21"/>
              </w:rPr>
              <w:t xml:space="preserve">支持自定义配置水印类型、水印信息内容、大小、位置及应用范围等； </w:t>
            </w:r>
          </w:p>
          <w:p w14:paraId="46457ACA">
            <w:pPr>
              <w:spacing w:line="360" w:lineRule="auto"/>
              <w:rPr>
                <w:rFonts w:ascii="宋体" w:hAnsi="宋体" w:cs="宋体"/>
                <w:szCs w:val="21"/>
              </w:rPr>
            </w:pPr>
            <w:r>
              <w:rPr>
                <w:rFonts w:hint="eastAsia" w:ascii="宋体" w:hAnsi="宋体" w:cs="宋体"/>
                <w:szCs w:val="21"/>
              </w:rPr>
              <w:t>水印内容支持标签管理，可以自定义IP、MAC、计算机账户等内容，不同的用户终端可以看到不同的水印信息；</w:t>
            </w:r>
          </w:p>
          <w:p w14:paraId="0B1D7ED6">
            <w:pPr>
              <w:spacing w:line="360" w:lineRule="auto"/>
              <w:rPr>
                <w:rFonts w:ascii="宋体" w:hAnsi="宋体" w:cs="宋体"/>
                <w:szCs w:val="21"/>
              </w:rPr>
            </w:pPr>
            <w:r>
              <w:rPr>
                <w:rFonts w:hint="eastAsia" w:ascii="宋体" w:hAnsi="宋体" w:cs="宋体"/>
                <w:szCs w:val="21"/>
              </w:rPr>
              <w:t>支持基于进程、窗口等方式触发水印</w:t>
            </w:r>
          </w:p>
          <w:p w14:paraId="7C489EA5">
            <w:pPr>
              <w:spacing w:line="360" w:lineRule="auto"/>
              <w:rPr>
                <w:rFonts w:ascii="宋体" w:hAnsi="宋体" w:cs="宋体"/>
                <w:color w:val="333333"/>
                <w:szCs w:val="21"/>
                <w:shd w:val="clear" w:color="auto" w:fill="FFFFFF"/>
              </w:rPr>
            </w:pPr>
            <w:r>
              <w:rPr>
                <w:rFonts w:hint="eastAsia" w:ascii="宋体" w:hAnsi="宋体" w:cs="宋体"/>
                <w:szCs w:val="21"/>
              </w:rPr>
              <w:t>支持矢量水印技术，可以将水印信息编码为矢量点阵水印；</w:t>
            </w:r>
          </w:p>
        </w:tc>
      </w:tr>
      <w:tr w14:paraId="5498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025B36E9">
            <w:pPr>
              <w:pStyle w:val="13"/>
              <w:numPr>
                <w:ilvl w:val="0"/>
                <w:numId w:val="2"/>
              </w:numPr>
              <w:spacing w:line="360" w:lineRule="auto"/>
              <w:ind w:firstLineChars="0"/>
              <w:jc w:val="center"/>
              <w:rPr>
                <w:rFonts w:ascii="宋体" w:hAnsi="宋体" w:eastAsia="宋体" w:cs="宋体"/>
                <w:szCs w:val="21"/>
              </w:rPr>
            </w:pPr>
          </w:p>
        </w:tc>
        <w:tc>
          <w:tcPr>
            <w:tcW w:w="1023" w:type="pct"/>
            <w:vMerge w:val="restart"/>
            <w:vAlign w:val="center"/>
          </w:tcPr>
          <w:p w14:paraId="24235DFB">
            <w:pPr>
              <w:spacing w:line="360" w:lineRule="auto"/>
              <w:jc w:val="center"/>
              <w:rPr>
                <w:rFonts w:ascii="宋体" w:hAnsi="宋体" w:cs="宋体"/>
                <w:color w:val="333333"/>
                <w:szCs w:val="21"/>
                <w:shd w:val="clear" w:color="auto" w:fill="FFFFFF"/>
              </w:rPr>
            </w:pPr>
            <w:r>
              <w:rPr>
                <w:rFonts w:hint="eastAsia" w:ascii="宋体" w:hAnsi="宋体" w:cs="宋体"/>
                <w:color w:val="333333"/>
                <w:szCs w:val="21"/>
                <w:shd w:val="clear" w:color="auto" w:fill="FFFFFF"/>
              </w:rPr>
              <w:t>远程协助方式</w:t>
            </w:r>
          </w:p>
        </w:tc>
        <w:tc>
          <w:tcPr>
            <w:tcW w:w="3553" w:type="pct"/>
            <w:vAlign w:val="center"/>
          </w:tcPr>
          <w:p w14:paraId="69EF974D">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管理员可通过web后台和客户端方式进行一键远程控制；</w:t>
            </w:r>
          </w:p>
          <w:p w14:paraId="59F29237">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客户端侧支持使用系统管理员账号登录后才能远程控制，便于事后远程操作记录和审计；</w:t>
            </w:r>
          </w:p>
        </w:tc>
      </w:tr>
      <w:tr w14:paraId="27EB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7C51A4B8">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1E9EFCE0">
            <w:pPr>
              <w:spacing w:line="360" w:lineRule="auto"/>
              <w:jc w:val="center"/>
              <w:rPr>
                <w:rFonts w:ascii="宋体" w:hAnsi="宋体" w:cs="宋体"/>
                <w:color w:val="333333"/>
                <w:szCs w:val="21"/>
                <w:shd w:val="clear" w:color="auto" w:fill="FFFFFF"/>
              </w:rPr>
            </w:pPr>
          </w:p>
        </w:tc>
        <w:tc>
          <w:tcPr>
            <w:tcW w:w="3553" w:type="pct"/>
            <w:vAlign w:val="center"/>
          </w:tcPr>
          <w:p w14:paraId="5C08AB4C">
            <w:pPr>
              <w:spacing w:line="360" w:lineRule="auto"/>
              <w:rPr>
                <w:rFonts w:ascii="宋体" w:hAnsi="宋体" w:cs="宋体"/>
                <w:color w:val="333333"/>
                <w:szCs w:val="21"/>
                <w:shd w:val="clear" w:color="auto" w:fill="FFFFFF"/>
              </w:rPr>
            </w:pPr>
            <w:r>
              <w:rPr>
                <w:rFonts w:hint="eastAsia" w:ascii="宋体" w:hAnsi="宋体" w:cs="宋体"/>
                <w:szCs w:val="21"/>
              </w:rPr>
              <w:t>管理员计算机与被管理计算机采用专用tcp端口进行直接连接，远程协助时不占用服务器端口资源。远程协助支持双向穿透NAT或VPN的远程屏幕控制。</w:t>
            </w:r>
          </w:p>
        </w:tc>
      </w:tr>
      <w:tr w14:paraId="0D8C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23" w:type="pct"/>
            <w:vAlign w:val="center"/>
          </w:tcPr>
          <w:p w14:paraId="2EAAF993">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746F6E83">
            <w:pPr>
              <w:spacing w:line="360" w:lineRule="auto"/>
              <w:jc w:val="center"/>
              <w:rPr>
                <w:rFonts w:ascii="宋体" w:hAnsi="宋体" w:cs="宋体"/>
                <w:szCs w:val="21"/>
              </w:rPr>
            </w:pPr>
          </w:p>
        </w:tc>
        <w:tc>
          <w:tcPr>
            <w:tcW w:w="3553" w:type="pct"/>
            <w:vAlign w:val="center"/>
          </w:tcPr>
          <w:p w14:paraId="48D42CBF">
            <w:pPr>
              <w:spacing w:line="360" w:lineRule="auto"/>
              <w:rPr>
                <w:rFonts w:ascii="宋体" w:hAnsi="宋体" w:cs="宋体"/>
                <w:color w:val="333333"/>
                <w:szCs w:val="21"/>
                <w:shd w:val="clear" w:color="auto" w:fill="FFFFFF"/>
              </w:rPr>
            </w:pPr>
            <w:r>
              <w:rPr>
                <w:rFonts w:hint="eastAsia" w:ascii="宋体" w:hAnsi="宋体" w:cs="宋体"/>
                <w:szCs w:val="21"/>
              </w:rPr>
              <w:t>远程查看、远程控制可以根据管理需要和网络状况，选择、配置适合管理员的窗口分辨率、显示比例、色彩、鼠标按键、光标等。</w:t>
            </w:r>
          </w:p>
        </w:tc>
      </w:tr>
      <w:tr w14:paraId="62EA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3397EEA0">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7A173F98">
            <w:pPr>
              <w:spacing w:line="360" w:lineRule="auto"/>
              <w:jc w:val="center"/>
              <w:rPr>
                <w:rFonts w:ascii="宋体" w:hAnsi="宋体" w:cs="宋体"/>
                <w:szCs w:val="21"/>
              </w:rPr>
            </w:pPr>
          </w:p>
        </w:tc>
        <w:tc>
          <w:tcPr>
            <w:tcW w:w="3553" w:type="pct"/>
            <w:vAlign w:val="center"/>
          </w:tcPr>
          <w:p w14:paraId="0F4484A8">
            <w:pPr>
              <w:spacing w:line="360" w:lineRule="auto"/>
              <w:rPr>
                <w:rFonts w:ascii="宋体" w:hAnsi="宋体" w:cs="宋体"/>
                <w:color w:val="333333"/>
                <w:szCs w:val="21"/>
                <w:shd w:val="clear" w:color="auto" w:fill="FFFFFF"/>
              </w:rPr>
            </w:pPr>
            <w:r>
              <w:rPr>
                <w:rFonts w:hint="eastAsia" w:ascii="宋体" w:hAnsi="宋体" w:cs="宋体"/>
                <w:szCs w:val="21"/>
              </w:rPr>
              <w:t>权限管理员支持限制操作管理员远程控制的权限，是否允许强制查看、控制和文件传输，允许指定必须申请管理的终端列表。</w:t>
            </w:r>
          </w:p>
        </w:tc>
      </w:tr>
      <w:tr w14:paraId="052B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739671BF">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3E51FD05">
            <w:pPr>
              <w:spacing w:line="360" w:lineRule="auto"/>
              <w:jc w:val="center"/>
              <w:rPr>
                <w:rFonts w:ascii="宋体" w:hAnsi="宋体" w:cs="宋体"/>
                <w:szCs w:val="21"/>
              </w:rPr>
            </w:pPr>
          </w:p>
        </w:tc>
        <w:tc>
          <w:tcPr>
            <w:tcW w:w="3553" w:type="pct"/>
            <w:vAlign w:val="center"/>
          </w:tcPr>
          <w:p w14:paraId="3365C351">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支持远程操作审计，可审计远程时间、主控端IP、被控端IP、远程时长、远程管理员等详细信息</w:t>
            </w:r>
          </w:p>
        </w:tc>
      </w:tr>
      <w:tr w14:paraId="3F58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Align w:val="center"/>
          </w:tcPr>
          <w:p w14:paraId="4B32BD91">
            <w:pPr>
              <w:pStyle w:val="13"/>
              <w:numPr>
                <w:ilvl w:val="0"/>
                <w:numId w:val="2"/>
              </w:numPr>
              <w:spacing w:line="360" w:lineRule="auto"/>
              <w:ind w:firstLineChars="0"/>
              <w:jc w:val="center"/>
              <w:rPr>
                <w:rFonts w:ascii="宋体" w:hAnsi="宋体" w:eastAsia="宋体" w:cs="宋体"/>
                <w:szCs w:val="21"/>
              </w:rPr>
            </w:pPr>
          </w:p>
        </w:tc>
        <w:tc>
          <w:tcPr>
            <w:tcW w:w="1023" w:type="pct"/>
            <w:vMerge w:val="restart"/>
            <w:vAlign w:val="center"/>
          </w:tcPr>
          <w:p w14:paraId="662D6518">
            <w:pPr>
              <w:spacing w:line="360" w:lineRule="auto"/>
              <w:jc w:val="center"/>
              <w:rPr>
                <w:rFonts w:ascii="宋体" w:hAnsi="宋体" w:cs="宋体"/>
                <w:szCs w:val="21"/>
              </w:rPr>
            </w:pPr>
            <w:r>
              <w:rPr>
                <w:rFonts w:hint="eastAsia" w:ascii="宋体" w:hAnsi="宋体" w:cs="宋体"/>
                <w:szCs w:val="21"/>
              </w:rPr>
              <w:t>USB接入管理</w:t>
            </w:r>
          </w:p>
        </w:tc>
        <w:tc>
          <w:tcPr>
            <w:tcW w:w="3553" w:type="pct"/>
            <w:vAlign w:val="center"/>
          </w:tcPr>
          <w:p w14:paraId="0617A234">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支持usb口禁止接入、仅准许接入非存储介质策略，实现外盘外用；</w:t>
            </w:r>
          </w:p>
        </w:tc>
      </w:tr>
      <w:tr w14:paraId="4A91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041839D4">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23A8E360">
            <w:pPr>
              <w:spacing w:line="360" w:lineRule="auto"/>
              <w:jc w:val="center"/>
              <w:rPr>
                <w:rFonts w:ascii="宋体" w:hAnsi="宋体" w:cs="宋体"/>
                <w:szCs w:val="21"/>
              </w:rPr>
            </w:pPr>
          </w:p>
        </w:tc>
        <w:tc>
          <w:tcPr>
            <w:tcW w:w="3553" w:type="pct"/>
            <w:vAlign w:val="center"/>
          </w:tcPr>
          <w:p w14:paraId="56726C23">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支持存储介质使用在线审批，终端用户在线发起申请，管理员在线审批、下发策略。策略包括但不限于强制分区、加密、读写权限限制、禁止可执行文件自运行；实现内部U盘只能在院内使用</w:t>
            </w:r>
          </w:p>
        </w:tc>
      </w:tr>
      <w:tr w14:paraId="45C6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1C82FD3A">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4352E9D7">
            <w:pPr>
              <w:spacing w:line="360" w:lineRule="auto"/>
              <w:jc w:val="center"/>
              <w:rPr>
                <w:rFonts w:ascii="宋体" w:hAnsi="宋体" w:cs="宋体"/>
                <w:szCs w:val="21"/>
              </w:rPr>
            </w:pPr>
          </w:p>
        </w:tc>
        <w:tc>
          <w:tcPr>
            <w:tcW w:w="3553" w:type="pct"/>
            <w:vAlign w:val="center"/>
          </w:tcPr>
          <w:p w14:paraId="7B1BACBC">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支持指定USB使用范围，实现专盘专用；（</w:t>
            </w:r>
            <w:r>
              <w:rPr>
                <w:rFonts w:hint="eastAsia"/>
                <w:szCs w:val="21"/>
              </w:rPr>
              <w:t>提供产品功能截图并加盖原厂商公章）</w:t>
            </w:r>
          </w:p>
        </w:tc>
      </w:tr>
      <w:tr w14:paraId="5948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0D8AB1D5">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1FB02BAE">
            <w:pPr>
              <w:spacing w:line="360" w:lineRule="auto"/>
              <w:jc w:val="center"/>
              <w:rPr>
                <w:rFonts w:ascii="宋体" w:hAnsi="宋体" w:cs="宋体"/>
                <w:szCs w:val="21"/>
              </w:rPr>
            </w:pPr>
          </w:p>
        </w:tc>
        <w:tc>
          <w:tcPr>
            <w:tcW w:w="3553" w:type="pct"/>
            <w:vAlign w:val="center"/>
          </w:tcPr>
          <w:p w14:paraId="76AC7DD5">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支持对移动存储设备的读、写操作进行审计，包括文件创建、复制、删除、修改、改名等操作。移动存储介质的插入和拔出动作的详细记录，包括事件类型，移动存储介质的名称、用户、计算机IP地址和事件时间。</w:t>
            </w:r>
          </w:p>
        </w:tc>
      </w:tr>
      <w:tr w14:paraId="3A46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Merge w:val="restart"/>
            <w:vAlign w:val="center"/>
          </w:tcPr>
          <w:p w14:paraId="53EFB2E6">
            <w:pPr>
              <w:pStyle w:val="13"/>
              <w:numPr>
                <w:ilvl w:val="0"/>
                <w:numId w:val="2"/>
              </w:numPr>
              <w:spacing w:line="360" w:lineRule="auto"/>
              <w:ind w:firstLineChars="0"/>
              <w:jc w:val="center"/>
              <w:rPr>
                <w:rFonts w:ascii="宋体" w:hAnsi="宋体" w:eastAsia="宋体" w:cs="宋体"/>
                <w:szCs w:val="21"/>
              </w:rPr>
            </w:pPr>
          </w:p>
        </w:tc>
        <w:tc>
          <w:tcPr>
            <w:tcW w:w="1023" w:type="pct"/>
            <w:vMerge w:val="restart"/>
            <w:vAlign w:val="center"/>
          </w:tcPr>
          <w:p w14:paraId="02EEC4FF">
            <w:pPr>
              <w:spacing w:line="360" w:lineRule="auto"/>
              <w:jc w:val="center"/>
              <w:rPr>
                <w:rFonts w:ascii="宋体" w:hAnsi="宋体" w:cs="宋体"/>
                <w:szCs w:val="21"/>
              </w:rPr>
            </w:pPr>
            <w:r>
              <w:rPr>
                <w:rFonts w:hint="eastAsia" w:ascii="宋体" w:hAnsi="宋体" w:cs="宋体"/>
                <w:szCs w:val="21"/>
              </w:rPr>
              <w:t>网卡绑定配置</w:t>
            </w:r>
          </w:p>
        </w:tc>
        <w:tc>
          <w:tcPr>
            <w:tcW w:w="3553" w:type="pct"/>
            <w:vAlign w:val="center"/>
          </w:tcPr>
          <w:p w14:paraId="08EF38E4">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能够实时监测终端IP地址、MAC地址、DNS配置等相关网络信息，支持对应信息的实时绑定，当IP或MAC发生改变时能够强制恢复至修改前。</w:t>
            </w:r>
          </w:p>
        </w:tc>
      </w:tr>
      <w:tr w14:paraId="6E39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Merge w:val="continue"/>
            <w:vAlign w:val="center"/>
          </w:tcPr>
          <w:p w14:paraId="3B868804">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2D2C3521">
            <w:pPr>
              <w:spacing w:line="360" w:lineRule="auto"/>
              <w:jc w:val="center"/>
              <w:rPr>
                <w:rFonts w:ascii="宋体" w:hAnsi="宋体" w:cs="宋体"/>
                <w:szCs w:val="21"/>
              </w:rPr>
            </w:pPr>
          </w:p>
        </w:tc>
        <w:tc>
          <w:tcPr>
            <w:tcW w:w="3553" w:type="pct"/>
            <w:vAlign w:val="center"/>
          </w:tcPr>
          <w:p w14:paraId="5C0E735A">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管理员可以授权部分用户修改IP地址</w:t>
            </w:r>
          </w:p>
        </w:tc>
      </w:tr>
      <w:tr w14:paraId="68BB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040F273E">
            <w:pPr>
              <w:pStyle w:val="13"/>
              <w:numPr>
                <w:ilvl w:val="0"/>
                <w:numId w:val="2"/>
              </w:numPr>
              <w:spacing w:line="360" w:lineRule="auto"/>
              <w:ind w:firstLineChars="0"/>
              <w:jc w:val="center"/>
              <w:rPr>
                <w:rFonts w:ascii="宋体" w:hAnsi="宋体" w:eastAsia="宋体" w:cs="宋体"/>
                <w:szCs w:val="21"/>
              </w:rPr>
            </w:pPr>
          </w:p>
        </w:tc>
        <w:tc>
          <w:tcPr>
            <w:tcW w:w="1023" w:type="pct"/>
            <w:vAlign w:val="center"/>
          </w:tcPr>
          <w:p w14:paraId="5557783A">
            <w:pPr>
              <w:spacing w:line="360" w:lineRule="auto"/>
              <w:jc w:val="center"/>
              <w:rPr>
                <w:rFonts w:ascii="宋体" w:hAnsi="宋体" w:cs="宋体"/>
                <w:szCs w:val="21"/>
              </w:rPr>
            </w:pPr>
            <w:r>
              <w:rPr>
                <w:rFonts w:hint="eastAsia" w:ascii="宋体" w:hAnsi="宋体" w:cs="宋体"/>
                <w:szCs w:val="21"/>
              </w:rPr>
              <w:t>行为控制</w:t>
            </w:r>
          </w:p>
        </w:tc>
        <w:tc>
          <w:tcPr>
            <w:tcW w:w="3553" w:type="pct"/>
            <w:vAlign w:val="center"/>
          </w:tcPr>
          <w:p w14:paraId="62B95E9D">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支持对终端防火墙、外设、网站访问 、组策略、打印、文件访问等进行控制</w:t>
            </w:r>
          </w:p>
        </w:tc>
      </w:tr>
      <w:tr w14:paraId="4FA6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24C41FC2">
            <w:pPr>
              <w:pStyle w:val="13"/>
              <w:numPr>
                <w:ilvl w:val="0"/>
                <w:numId w:val="2"/>
              </w:numPr>
              <w:spacing w:line="360" w:lineRule="auto"/>
              <w:ind w:firstLineChars="0"/>
              <w:jc w:val="center"/>
              <w:rPr>
                <w:rFonts w:ascii="宋体" w:hAnsi="宋体" w:eastAsia="宋体" w:cs="宋体"/>
                <w:szCs w:val="21"/>
              </w:rPr>
            </w:pPr>
          </w:p>
        </w:tc>
        <w:tc>
          <w:tcPr>
            <w:tcW w:w="1023" w:type="pct"/>
            <w:vAlign w:val="center"/>
          </w:tcPr>
          <w:p w14:paraId="3C534D46">
            <w:pPr>
              <w:spacing w:line="360" w:lineRule="auto"/>
              <w:jc w:val="center"/>
              <w:rPr>
                <w:rFonts w:ascii="宋体" w:hAnsi="宋体" w:cs="宋体"/>
                <w:szCs w:val="21"/>
              </w:rPr>
            </w:pPr>
            <w:r>
              <w:rPr>
                <w:rFonts w:hint="eastAsia" w:ascii="宋体" w:hAnsi="宋体" w:cs="宋体"/>
                <w:szCs w:val="21"/>
              </w:rPr>
              <w:t>资产管理</w:t>
            </w:r>
          </w:p>
        </w:tc>
        <w:tc>
          <w:tcPr>
            <w:tcW w:w="3553" w:type="pct"/>
            <w:vAlign w:val="center"/>
          </w:tcPr>
          <w:p w14:paraId="6DC330C1">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支持软硬件资产管理，可对软硬件资产变动提供报警</w:t>
            </w:r>
          </w:p>
        </w:tc>
      </w:tr>
      <w:tr w14:paraId="096F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7F68C919">
            <w:pPr>
              <w:pStyle w:val="13"/>
              <w:numPr>
                <w:ilvl w:val="0"/>
                <w:numId w:val="2"/>
              </w:numPr>
              <w:spacing w:line="360" w:lineRule="auto"/>
              <w:ind w:firstLineChars="0"/>
              <w:jc w:val="center"/>
              <w:rPr>
                <w:rFonts w:ascii="宋体" w:hAnsi="宋体" w:eastAsia="宋体" w:cs="宋体"/>
                <w:szCs w:val="21"/>
              </w:rPr>
            </w:pPr>
          </w:p>
        </w:tc>
        <w:tc>
          <w:tcPr>
            <w:tcW w:w="1023" w:type="pct"/>
            <w:vAlign w:val="center"/>
          </w:tcPr>
          <w:p w14:paraId="69541E62">
            <w:pPr>
              <w:spacing w:line="360" w:lineRule="auto"/>
              <w:jc w:val="center"/>
              <w:rPr>
                <w:rFonts w:ascii="宋体" w:hAnsi="宋体" w:cs="宋体"/>
                <w:szCs w:val="21"/>
              </w:rPr>
            </w:pPr>
            <w:r>
              <w:rPr>
                <w:rFonts w:hint="eastAsia" w:ascii="宋体" w:hAnsi="宋体" w:cs="宋体"/>
                <w:color w:val="333333"/>
                <w:szCs w:val="21"/>
                <w:shd w:val="clear" w:color="auto" w:fill="FFFFFF"/>
              </w:rPr>
              <w:t>终端外设管控</w:t>
            </w:r>
          </w:p>
        </w:tc>
        <w:tc>
          <w:tcPr>
            <w:tcW w:w="3553" w:type="pct"/>
            <w:vAlign w:val="center"/>
          </w:tcPr>
          <w:p w14:paraId="3ADA8E92">
            <w:pPr>
              <w:spacing w:line="360" w:lineRule="auto"/>
              <w:rPr>
                <w:rFonts w:ascii="宋体" w:hAnsi="宋体" w:cs="宋体"/>
                <w:color w:val="333333"/>
                <w:szCs w:val="21"/>
                <w:shd w:val="clear" w:color="auto" w:fill="FFFFFF"/>
              </w:rPr>
            </w:pPr>
            <w:r>
              <w:rPr>
                <w:rFonts w:hint="eastAsia" w:ascii="宋体" w:hAnsi="宋体" w:cs="宋体"/>
                <w:szCs w:val="21"/>
              </w:rPr>
              <w:t>支持对终端上正在使用的外设设备进行识别和报表展示，包括不限于名称、型号、插入时间、插入终端信息等，并支持对该外设进行一键禁用</w:t>
            </w:r>
          </w:p>
        </w:tc>
      </w:tr>
      <w:tr w14:paraId="07D2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6E830E76">
            <w:pPr>
              <w:pStyle w:val="13"/>
              <w:numPr>
                <w:ilvl w:val="0"/>
                <w:numId w:val="2"/>
              </w:numPr>
              <w:spacing w:line="360" w:lineRule="auto"/>
              <w:ind w:firstLineChars="0"/>
              <w:jc w:val="center"/>
              <w:rPr>
                <w:rFonts w:ascii="宋体" w:hAnsi="宋体" w:eastAsia="宋体" w:cs="宋体"/>
                <w:szCs w:val="21"/>
              </w:rPr>
            </w:pPr>
          </w:p>
        </w:tc>
        <w:tc>
          <w:tcPr>
            <w:tcW w:w="1023" w:type="pct"/>
            <w:vAlign w:val="center"/>
          </w:tcPr>
          <w:p w14:paraId="71C9DCDF">
            <w:pPr>
              <w:spacing w:line="360" w:lineRule="auto"/>
              <w:jc w:val="center"/>
              <w:rPr>
                <w:rFonts w:ascii="宋体" w:hAnsi="宋体" w:cs="宋体"/>
                <w:szCs w:val="21"/>
              </w:rPr>
            </w:pPr>
            <w:r>
              <w:rPr>
                <w:rFonts w:hint="eastAsia" w:ascii="宋体" w:hAnsi="宋体" w:cs="宋体"/>
                <w:szCs w:val="21"/>
              </w:rPr>
              <w:t>策略应用</w:t>
            </w:r>
          </w:p>
        </w:tc>
        <w:tc>
          <w:tcPr>
            <w:tcW w:w="3553" w:type="pct"/>
            <w:vAlign w:val="center"/>
          </w:tcPr>
          <w:p w14:paraId="35C927F8">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违规预警、安全审计、安全基线、usb接入管理、行为控制、资产管理等均支持灵活的策略应用，包括但不限于根据角色、部门、指定终端、用户、ip段、等应用。</w:t>
            </w:r>
          </w:p>
        </w:tc>
      </w:tr>
      <w:tr w14:paraId="02CF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356630E4">
            <w:pPr>
              <w:pStyle w:val="13"/>
              <w:numPr>
                <w:ilvl w:val="0"/>
                <w:numId w:val="2"/>
              </w:numPr>
              <w:spacing w:line="360" w:lineRule="auto"/>
              <w:ind w:firstLineChars="0"/>
              <w:jc w:val="center"/>
              <w:rPr>
                <w:rFonts w:ascii="宋体" w:hAnsi="宋体" w:eastAsia="宋体" w:cs="宋体"/>
                <w:szCs w:val="21"/>
              </w:rPr>
            </w:pPr>
          </w:p>
        </w:tc>
        <w:tc>
          <w:tcPr>
            <w:tcW w:w="1023" w:type="pct"/>
            <w:vAlign w:val="center"/>
          </w:tcPr>
          <w:p w14:paraId="4241990A">
            <w:pPr>
              <w:spacing w:line="360" w:lineRule="auto"/>
              <w:jc w:val="center"/>
              <w:rPr>
                <w:rFonts w:ascii="宋体" w:hAnsi="宋体" w:cs="宋体"/>
                <w:szCs w:val="21"/>
              </w:rPr>
            </w:pPr>
            <w:r>
              <w:rPr>
                <w:rFonts w:hint="eastAsia" w:ascii="宋体" w:hAnsi="宋体" w:cs="宋体"/>
                <w:szCs w:val="21"/>
              </w:rPr>
              <w:t>终端智能分组</w:t>
            </w:r>
          </w:p>
        </w:tc>
        <w:tc>
          <w:tcPr>
            <w:tcW w:w="3553" w:type="pct"/>
            <w:vAlign w:val="center"/>
          </w:tcPr>
          <w:p w14:paraId="71BC7D3F">
            <w:pPr>
              <w:spacing w:line="360" w:lineRule="auto"/>
              <w:rPr>
                <w:rFonts w:ascii="宋体" w:hAnsi="宋体" w:cs="宋体"/>
                <w:color w:val="333333"/>
                <w:szCs w:val="21"/>
                <w:shd w:val="clear" w:color="auto" w:fill="FFFFFF"/>
              </w:rPr>
            </w:pPr>
            <w:r>
              <w:rPr>
                <w:rFonts w:hint="eastAsia" w:ascii="宋体" w:hAnsi="宋体" w:cs="Segoe UI Symbol"/>
                <w:color w:val="333333"/>
                <w:szCs w:val="21"/>
                <w:shd w:val="clear" w:color="auto" w:fill="FFFFFF"/>
              </w:rPr>
              <w:t>支持基于终端行为对终端进行智能分组，实现基于终端业务属性进行分类，比如医护电脑、自助机、移动查房车、云桌面主机、老旧电脑、低配电脑等。</w:t>
            </w:r>
            <w:r>
              <w:rPr>
                <w:rFonts w:hint="eastAsia" w:ascii="宋体" w:hAnsi="宋体" w:cs="宋体"/>
                <w:color w:val="333333"/>
                <w:szCs w:val="21"/>
                <w:shd w:val="clear" w:color="auto" w:fill="FFFFFF"/>
              </w:rPr>
              <w:t>（</w:t>
            </w:r>
            <w:r>
              <w:rPr>
                <w:rFonts w:hint="eastAsia"/>
                <w:szCs w:val="21"/>
              </w:rPr>
              <w:t>提供产品功能截图并加盖原厂商公章）</w:t>
            </w:r>
          </w:p>
        </w:tc>
      </w:tr>
      <w:tr w14:paraId="5549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5519D7B2">
            <w:pPr>
              <w:pStyle w:val="13"/>
              <w:numPr>
                <w:ilvl w:val="0"/>
                <w:numId w:val="2"/>
              </w:numPr>
              <w:spacing w:line="360" w:lineRule="auto"/>
              <w:ind w:firstLineChars="0"/>
              <w:jc w:val="center"/>
              <w:rPr>
                <w:rFonts w:ascii="宋体" w:hAnsi="宋体" w:eastAsia="宋体" w:cs="宋体"/>
                <w:szCs w:val="21"/>
              </w:rPr>
            </w:pPr>
          </w:p>
        </w:tc>
        <w:tc>
          <w:tcPr>
            <w:tcW w:w="1023" w:type="pct"/>
            <w:vMerge w:val="restart"/>
            <w:vAlign w:val="center"/>
          </w:tcPr>
          <w:p w14:paraId="03B80BA2">
            <w:pPr>
              <w:spacing w:line="360" w:lineRule="auto"/>
              <w:jc w:val="center"/>
              <w:rPr>
                <w:rFonts w:ascii="宋体" w:hAnsi="宋体" w:cs="宋体"/>
                <w:szCs w:val="21"/>
              </w:rPr>
            </w:pPr>
            <w:r>
              <w:rPr>
                <w:rFonts w:hint="eastAsia" w:ascii="宋体" w:hAnsi="宋体" w:cs="宋体"/>
                <w:szCs w:val="21"/>
              </w:rPr>
              <w:t>软件分发</w:t>
            </w:r>
          </w:p>
        </w:tc>
        <w:tc>
          <w:tcPr>
            <w:tcW w:w="3553" w:type="pct"/>
            <w:vAlign w:val="center"/>
          </w:tcPr>
          <w:p w14:paraId="35FC7959">
            <w:pPr>
              <w:spacing w:line="360" w:lineRule="auto"/>
              <w:rPr>
                <w:rFonts w:ascii="宋体" w:hAnsi="宋体" w:cs="宋体"/>
                <w:szCs w:val="21"/>
              </w:rPr>
            </w:pPr>
            <w:r>
              <w:rPr>
                <w:rFonts w:hint="eastAsia" w:ascii="宋体" w:hAnsi="宋体" w:cs="宋体"/>
                <w:szCs w:val="21"/>
              </w:rPr>
              <w:t>能够支持可执行程序、MSI安装包或者文档数据文件自动下发与安装</w:t>
            </w:r>
          </w:p>
        </w:tc>
      </w:tr>
      <w:tr w14:paraId="6F86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253444EB">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243093AE">
            <w:pPr>
              <w:spacing w:line="360" w:lineRule="auto"/>
              <w:jc w:val="center"/>
              <w:rPr>
                <w:rFonts w:ascii="宋体" w:hAnsi="宋体" w:cs="宋体"/>
                <w:szCs w:val="21"/>
              </w:rPr>
            </w:pPr>
          </w:p>
        </w:tc>
        <w:tc>
          <w:tcPr>
            <w:tcW w:w="3553" w:type="pct"/>
            <w:vAlign w:val="center"/>
          </w:tcPr>
          <w:p w14:paraId="2A563F2E">
            <w:pPr>
              <w:spacing w:line="360" w:lineRule="auto"/>
              <w:rPr>
                <w:rFonts w:ascii="宋体" w:hAnsi="宋体" w:cs="宋体"/>
                <w:szCs w:val="21"/>
              </w:rPr>
            </w:pPr>
            <w:r>
              <w:rPr>
                <w:rFonts w:hint="eastAsia" w:ascii="宋体" w:hAnsi="宋体" w:cs="宋体"/>
                <w:szCs w:val="21"/>
              </w:rPr>
              <w:t>能够自动统计分发成功率及软件安装成功率，支持进程、注册表、安装路径等多种参数判断方式</w:t>
            </w:r>
          </w:p>
        </w:tc>
      </w:tr>
      <w:tr w14:paraId="37C8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130AD8F0">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4526C2E9">
            <w:pPr>
              <w:spacing w:line="360" w:lineRule="auto"/>
              <w:jc w:val="center"/>
              <w:rPr>
                <w:rFonts w:ascii="宋体" w:hAnsi="宋体" w:cs="宋体"/>
                <w:szCs w:val="21"/>
              </w:rPr>
            </w:pPr>
          </w:p>
        </w:tc>
        <w:tc>
          <w:tcPr>
            <w:tcW w:w="3553" w:type="pct"/>
            <w:vAlign w:val="center"/>
          </w:tcPr>
          <w:p w14:paraId="5F82170F">
            <w:pPr>
              <w:spacing w:line="360" w:lineRule="auto"/>
              <w:rPr>
                <w:rFonts w:ascii="宋体" w:hAnsi="宋体" w:cs="宋体"/>
                <w:szCs w:val="21"/>
              </w:rPr>
            </w:pPr>
            <w:r>
              <w:rPr>
                <w:rFonts w:hint="eastAsia" w:ascii="宋体" w:hAnsi="宋体" w:cs="宋体"/>
                <w:szCs w:val="21"/>
              </w:rPr>
              <w:t>支持根据操作系统不同分发不同升级包，提高软件分发功能对操作系统系统的适应性</w:t>
            </w:r>
          </w:p>
        </w:tc>
      </w:tr>
      <w:tr w14:paraId="60B4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754E8414">
            <w:pPr>
              <w:pStyle w:val="13"/>
              <w:numPr>
                <w:ilvl w:val="0"/>
                <w:numId w:val="2"/>
              </w:numPr>
              <w:spacing w:line="360" w:lineRule="auto"/>
              <w:ind w:firstLineChars="0"/>
              <w:jc w:val="center"/>
              <w:rPr>
                <w:rFonts w:ascii="宋体" w:hAnsi="宋体" w:eastAsia="宋体" w:cs="宋体"/>
                <w:szCs w:val="21"/>
              </w:rPr>
            </w:pPr>
          </w:p>
        </w:tc>
        <w:tc>
          <w:tcPr>
            <w:tcW w:w="1023" w:type="pct"/>
            <w:vMerge w:val="restart"/>
            <w:vAlign w:val="center"/>
          </w:tcPr>
          <w:p w14:paraId="4707E379">
            <w:pPr>
              <w:spacing w:line="360" w:lineRule="auto"/>
              <w:jc w:val="center"/>
              <w:rPr>
                <w:rFonts w:ascii="宋体" w:hAnsi="宋体" w:cs="宋体"/>
                <w:szCs w:val="21"/>
              </w:rPr>
            </w:pPr>
            <w:r>
              <w:rPr>
                <w:rFonts w:hint="eastAsia" w:ascii="宋体" w:hAnsi="宋体" w:cs="宋体"/>
                <w:szCs w:val="21"/>
              </w:rPr>
              <w:t>客户端</w:t>
            </w:r>
          </w:p>
        </w:tc>
        <w:tc>
          <w:tcPr>
            <w:tcW w:w="3553" w:type="pct"/>
            <w:vAlign w:val="center"/>
          </w:tcPr>
          <w:p w14:paraId="519F3836">
            <w:pPr>
              <w:spacing w:line="360" w:lineRule="auto"/>
              <w:rPr>
                <w:rFonts w:ascii="宋体" w:hAnsi="宋体" w:cs="宋体"/>
                <w:color w:val="333333"/>
                <w:szCs w:val="21"/>
                <w:shd w:val="clear" w:color="auto" w:fill="FFFFFF"/>
              </w:rPr>
            </w:pPr>
            <w:r>
              <w:rPr>
                <w:rFonts w:hint="eastAsia" w:ascii="宋体" w:hAnsi="宋体" w:cs="宋体"/>
                <w:szCs w:val="21"/>
              </w:rPr>
              <w:t>客户端支持自定义，包括但不限于是否显示客户端图标、自定义客户端名称、客户端安装包名称是否加密、是否启用万能卸载码等</w:t>
            </w:r>
          </w:p>
        </w:tc>
      </w:tr>
      <w:tr w14:paraId="4A66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 w:type="pct"/>
            <w:vAlign w:val="center"/>
          </w:tcPr>
          <w:p w14:paraId="64DEC829">
            <w:pPr>
              <w:pStyle w:val="13"/>
              <w:numPr>
                <w:ilvl w:val="0"/>
                <w:numId w:val="2"/>
              </w:numPr>
              <w:spacing w:line="360" w:lineRule="auto"/>
              <w:ind w:firstLineChars="0"/>
              <w:jc w:val="center"/>
              <w:rPr>
                <w:rFonts w:ascii="宋体" w:hAnsi="宋体" w:eastAsia="宋体" w:cs="宋体"/>
                <w:szCs w:val="21"/>
              </w:rPr>
            </w:pPr>
          </w:p>
        </w:tc>
        <w:tc>
          <w:tcPr>
            <w:tcW w:w="1023" w:type="pct"/>
            <w:vMerge w:val="continue"/>
            <w:vAlign w:val="center"/>
          </w:tcPr>
          <w:p w14:paraId="4924E59E">
            <w:pPr>
              <w:spacing w:line="360" w:lineRule="auto"/>
              <w:jc w:val="center"/>
              <w:rPr>
                <w:rFonts w:ascii="宋体" w:hAnsi="宋体" w:cs="宋体"/>
                <w:szCs w:val="21"/>
              </w:rPr>
            </w:pPr>
          </w:p>
        </w:tc>
        <w:tc>
          <w:tcPr>
            <w:tcW w:w="3553" w:type="pct"/>
            <w:vAlign w:val="center"/>
          </w:tcPr>
          <w:p w14:paraId="3777233E">
            <w:pPr>
              <w:spacing w:line="360" w:lineRule="auto"/>
              <w:rPr>
                <w:rFonts w:ascii="宋体" w:hAnsi="宋体" w:cs="宋体"/>
                <w:color w:val="333333"/>
                <w:szCs w:val="21"/>
                <w:shd w:val="clear" w:color="auto" w:fill="FFFFFF"/>
              </w:rPr>
            </w:pPr>
            <w:r>
              <w:rPr>
                <w:rFonts w:hint="eastAsia" w:ascii="宋体" w:hAnsi="宋体" w:cs="宋体"/>
                <w:szCs w:val="21"/>
              </w:rPr>
              <w:t>客户端版本支持逐步升级，管理员可自定义全部、部分网段更新或禁止指定网段更新的策略；支持与网内入网管理系统客户端进行客户端融合，实现客户端快速部署；</w:t>
            </w:r>
            <w:r>
              <w:rPr>
                <w:rFonts w:hint="eastAsia" w:ascii="宋体" w:hAnsi="宋体" w:cs="宋体"/>
                <w:color w:val="333333"/>
                <w:szCs w:val="21"/>
                <w:shd w:val="clear" w:color="auto" w:fill="FFFFFF"/>
              </w:rPr>
              <w:t>（</w:t>
            </w:r>
            <w:r>
              <w:rPr>
                <w:rFonts w:hint="eastAsia"/>
                <w:szCs w:val="21"/>
              </w:rPr>
              <w:t>提供产品功能截图并加盖原厂商公章）</w:t>
            </w:r>
          </w:p>
        </w:tc>
      </w:tr>
    </w:tbl>
    <w:p w14:paraId="6440A2A9">
      <w:pPr>
        <w:numPr>
          <w:ilvl w:val="0"/>
          <w:numId w:val="0"/>
        </w:numPr>
        <w:spacing w:line="360" w:lineRule="auto"/>
        <w:ind w:left="0" w:leftChars="0" w:firstLine="0" w:firstLineChars="0"/>
        <w:jc w:val="both"/>
        <w:rPr>
          <w:rFonts w:hint="eastAsia" w:ascii="宋体" w:hAnsi="宋体" w:cs="宋体"/>
          <w:b/>
          <w:bCs/>
          <w:sz w:val="36"/>
          <w:szCs w:val="36"/>
          <w:lang w:val="en-US" w:eastAsia="zh-CN"/>
        </w:rPr>
      </w:pPr>
      <w:r>
        <w:rPr>
          <w:rFonts w:hint="eastAsia" w:ascii="宋体" w:hAnsi="宋体" w:eastAsia="宋体" w:cs="宋体"/>
          <w:b/>
          <w:bCs/>
          <w:kern w:val="2"/>
          <w:sz w:val="36"/>
          <w:szCs w:val="36"/>
          <w:lang w:val="en-US" w:eastAsia="zh-CN" w:bidi="ar-SA"/>
        </w:rPr>
        <w:t>2、</w:t>
      </w:r>
      <w:r>
        <w:rPr>
          <w:rFonts w:hint="eastAsia" w:ascii="宋体" w:hAnsi="宋体" w:cs="宋体"/>
          <w:b/>
          <w:bCs/>
          <w:sz w:val="36"/>
          <w:szCs w:val="36"/>
          <w:lang w:val="en-US" w:eastAsia="zh-CN"/>
        </w:rPr>
        <w:t>商务参数</w:t>
      </w:r>
    </w:p>
    <w:p w14:paraId="0514C6B2">
      <w:pPr>
        <w:pStyle w:val="2"/>
        <w:numPr>
          <w:ilvl w:val="0"/>
          <w:numId w:val="0"/>
        </w:numPr>
        <w:ind w:leftChars="0" w:firstLine="480" w:firstLineChars="200"/>
        <w:rPr>
          <w:rFonts w:hint="eastAsia"/>
          <w:highlight w:val="none"/>
          <w:lang w:val="en-US" w:eastAsia="zh-CN"/>
        </w:rPr>
      </w:pPr>
      <w:r>
        <w:rPr>
          <w:rFonts w:hint="eastAsia" w:ascii="仿宋_GB2312" w:eastAsia="仿宋_GB2312" w:cs="仿宋_GB2312"/>
          <w:bCs/>
          <w:color w:val="000000" w:themeColor="text1"/>
          <w:kern w:val="0"/>
          <w:sz w:val="24"/>
          <w:szCs w:val="24"/>
          <w:highlight w:val="none"/>
          <w:u w:val="none"/>
          <w:lang w:val="en-US" w:eastAsia="zh-CN" w:bidi="ar-SA"/>
          <w14:textFill>
            <w14:solidFill>
              <w14:schemeClr w14:val="tx1"/>
            </w14:solidFill>
          </w14:textFill>
        </w:rPr>
        <w:t>2</w:t>
      </w:r>
      <w:r>
        <w:rPr>
          <w:rFonts w:hint="eastAsia" w:ascii="仿宋_GB2312" w:hAnsi="Times New Roman" w:eastAsia="仿宋_GB2312" w:cs="仿宋_GB2312"/>
          <w:bCs/>
          <w:color w:val="000000" w:themeColor="text1"/>
          <w:kern w:val="0"/>
          <w:sz w:val="24"/>
          <w:szCs w:val="24"/>
          <w:highlight w:val="none"/>
          <w:u w:val="none"/>
          <w:lang w:val="en-US" w:eastAsia="zh-CN" w:bidi="ar-SA"/>
          <w14:textFill>
            <w14:solidFill>
              <w14:schemeClr w14:val="tx1"/>
            </w14:solidFill>
          </w14:textFill>
        </w:rPr>
        <w:t>.1“提供产品功能截图并加盖原厂商公章”的参数为本次项目所涉及采购系统平台的关键参数，</w:t>
      </w:r>
      <w:r>
        <w:rPr>
          <w:rFonts w:hint="eastAsia" w:ascii="仿宋_GB2312" w:eastAsia="仿宋_GB2312" w:cs="仿宋_GB2312"/>
          <w:bCs/>
          <w:color w:val="000000" w:themeColor="text1"/>
          <w:kern w:val="0"/>
          <w:sz w:val="24"/>
          <w:szCs w:val="24"/>
          <w:highlight w:val="none"/>
          <w:u w:val="none"/>
          <w:lang w:val="en-US" w:eastAsia="zh-CN" w:bidi="ar-SA"/>
          <w14:textFill>
            <w14:solidFill>
              <w14:schemeClr w14:val="tx1"/>
            </w14:solidFill>
          </w14:textFill>
        </w:rPr>
        <w:t>中标后三日内对</w:t>
      </w:r>
      <w:r>
        <w:rPr>
          <w:rFonts w:hint="eastAsia" w:ascii="仿宋_GB2312" w:hAnsi="Times New Roman" w:eastAsia="仿宋_GB2312" w:cs="仿宋_GB2312"/>
          <w:bCs/>
          <w:color w:val="000000" w:themeColor="text1"/>
          <w:kern w:val="0"/>
          <w:sz w:val="24"/>
          <w:szCs w:val="24"/>
          <w:highlight w:val="none"/>
          <w:u w:val="none"/>
          <w:lang w:val="en-US" w:eastAsia="zh-CN" w:bidi="ar-SA"/>
          <w14:textFill>
            <w14:solidFill>
              <w14:schemeClr w14:val="tx1"/>
            </w14:solidFill>
          </w14:textFill>
        </w:rPr>
        <w:t>参数进行测试验证，恶意应答将被拒绝</w:t>
      </w:r>
      <w:r>
        <w:rPr>
          <w:rFonts w:hint="eastAsia" w:ascii="仿宋_GB2312" w:eastAsia="仿宋_GB2312" w:cs="仿宋_GB2312"/>
          <w:bCs/>
          <w:color w:val="000000" w:themeColor="text1"/>
          <w:kern w:val="0"/>
          <w:sz w:val="24"/>
          <w:szCs w:val="24"/>
          <w:highlight w:val="none"/>
          <w:u w:val="none"/>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highlight w:val="none"/>
          <w:u w:val="none"/>
          <w:lang w:val="en-US" w:eastAsia="zh-CN" w:bidi="ar-SA"/>
          <w14:textFill>
            <w14:solidFill>
              <w14:schemeClr w14:val="tx1"/>
            </w14:solidFill>
          </w14:textFill>
        </w:rPr>
        <w:t>同时投标人将被拉进医院供应商黑名单</w:t>
      </w:r>
      <w:r>
        <w:rPr>
          <w:rFonts w:hint="eastAsia" w:ascii="仿宋_GB2312" w:eastAsia="仿宋_GB2312" w:cs="仿宋_GB2312"/>
          <w:bCs/>
          <w:color w:val="000000" w:themeColor="text1"/>
          <w:kern w:val="0"/>
          <w:sz w:val="24"/>
          <w:szCs w:val="24"/>
          <w:highlight w:val="none"/>
          <w:u w:val="none"/>
          <w:lang w:val="en-US" w:eastAsia="zh-CN" w:bidi="ar-SA"/>
          <w14:textFill>
            <w14:solidFill>
              <w14:schemeClr w14:val="tx1"/>
            </w14:solidFill>
          </w14:textFill>
        </w:rPr>
        <w:t>，三年内不得参与医院招投标项目</w:t>
      </w:r>
      <w:r>
        <w:rPr>
          <w:rFonts w:hint="eastAsia" w:ascii="仿宋_GB2312" w:hAnsi="Times New Roman" w:eastAsia="仿宋_GB2312" w:cs="仿宋_GB2312"/>
          <w:bCs/>
          <w:color w:val="000000" w:themeColor="text1"/>
          <w:kern w:val="0"/>
          <w:sz w:val="24"/>
          <w:szCs w:val="24"/>
          <w:highlight w:val="none"/>
          <w:u w:val="none"/>
          <w:lang w:val="en-US" w:eastAsia="zh-CN" w:bidi="ar-SA"/>
          <w14:textFill>
            <w14:solidFill>
              <w14:schemeClr w14:val="tx1"/>
            </w14:solidFill>
          </w14:textFill>
        </w:rPr>
        <w:t>；</w:t>
      </w:r>
    </w:p>
    <w:p w14:paraId="65F4D0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2.2本合同硬件质保期为叁年</w:t>
      </w:r>
      <w:r>
        <w:rPr>
          <w:rFonts w:hint="eastAsia" w:ascii="仿宋_GB2312" w:eastAsia="仿宋_GB2312" w:cs="仿宋_GB2312"/>
          <w:bCs/>
          <w:color w:val="000000" w:themeColor="text1"/>
          <w:kern w:val="0"/>
          <w:sz w:val="24"/>
          <w:szCs w:val="24"/>
          <w:highlight w:val="none"/>
          <w:u w:val="none"/>
          <w:lang w:val="en-US" w:eastAsia="zh-CN" w:bidi="ar-SA"/>
          <w14:textFill>
            <w14:solidFill>
              <w14:schemeClr w14:val="tx1"/>
            </w14:solidFill>
          </w14:textFill>
        </w:rPr>
        <w:t>，需提供原厂售后服务函</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自甲方在总体验收报告单上签字确认合格之日起算。乙方在质保期内免费提供硬件维修、更换、保养、咨询等服务。如硬件在质保期内出现质量问题，乙方应在接到甲方通知（包括电话通知）后24小时内赶到现场，到场后4小时内完成维修或更换，相关费用由乙方承担。如乙方不及时履行保修义务，甲方有权委托第三方进行维修，由此产生的相关费用，在支付价款中予以扣除或要求乙方支付对应货物价款。</w:t>
      </w:r>
    </w:p>
    <w:p w14:paraId="5C3484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2.3 本合同软件系统维保服务期限为叁年，自甲方总体验收合格之日起算。</w:t>
      </w:r>
    </w:p>
    <w:p w14:paraId="4F3F7179">
      <w:pPr>
        <w:pStyle w:val="2"/>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服务方式：</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乙方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为</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甲方提供</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本合同约定平台</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技术服务，及软件咨询、培训、升级、维护、改造等技术服务</w:t>
      </w:r>
    </w:p>
    <w:p w14:paraId="7179BA38">
      <w:pPr>
        <w:pStyle w:val="2"/>
        <w:rPr>
          <w:rFonts w:hint="eastAsia" w:ascii="仿宋_GB2312" w:eastAsia="仿宋_GB2312" w:cs="仿宋_GB2312"/>
          <w:b w:val="0"/>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2</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4验</w:t>
      </w:r>
      <w:r>
        <w:rPr>
          <w:rFonts w:hint="eastAsia" w:ascii="仿宋_GB2312" w:eastAsia="仿宋_GB2312" w:cs="仿宋_GB2312"/>
          <w:b w:val="0"/>
          <w:bCs/>
          <w:color w:val="000000" w:themeColor="text1"/>
          <w:kern w:val="0"/>
          <w:sz w:val="24"/>
          <w:szCs w:val="24"/>
          <w:u w:val="none"/>
          <w:lang w:val="en-US" w:eastAsia="zh-CN" w:bidi="ar-SA"/>
          <w14:textFill>
            <w14:solidFill>
              <w14:schemeClr w14:val="tx1"/>
            </w14:solidFill>
          </w14:textFill>
        </w:rPr>
        <w:t>收标准：乙方提供软件及硬件的质量、安装应符合或优于国家标准；如乙方响应文件中的技术参数和质量标准高于国家标准，则软件及硬件的技术参数和质量标准以乙方响应文件为准，在本项目正式验收环节，投标人所提供的全部硬件设施，其出厂日期须满足 “距本项目验收日期不少于 180 天” 的要求；若任一硬件出厂日期超出此期限，视为不符合验收标准。</w:t>
      </w:r>
    </w:p>
    <w:p w14:paraId="6B1EE6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val="0"/>
          <w:bCs/>
          <w:color w:val="000000" w:themeColor="text1"/>
          <w:kern w:val="0"/>
          <w:sz w:val="24"/>
          <w:szCs w:val="24"/>
          <w:u w:val="none"/>
          <w:lang w:val="en-US" w:eastAsia="zh-CN" w:bidi="ar-SA"/>
          <w14:textFill>
            <w14:solidFill>
              <w14:schemeClr w14:val="tx1"/>
            </w14:solidFill>
          </w14:textFill>
        </w:rPr>
        <w:t>2.5</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自项目验收通过之日起30日内，向乙方支付价款总额</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9</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0%）；项目验收通过之日起满</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3</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年后的30日内，向乙方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免息</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支付价款剩余10%。 </w:t>
      </w:r>
    </w:p>
    <w:p w14:paraId="01EAEF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三、标书要求</w:t>
      </w:r>
    </w:p>
    <w:p w14:paraId="49AD9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1、封面：需注明标的名称、投标文件、单位、时间；</w:t>
      </w:r>
    </w:p>
    <w:p w14:paraId="40106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2、“三证合一”或“五证合一”营业执照、组织机构代码证复印件、税务登记证复印件、法人授权委托文书、委托人身份证原件及复印件、投标单位依法缴纳税收和社保的证明材料（复印件）等相关资质证明（所有证件需加盖竞标单位公章）；</w:t>
      </w:r>
    </w:p>
    <w:p w14:paraId="32DC3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3、投标人身份证复印件；</w:t>
      </w:r>
    </w:p>
    <w:p w14:paraId="46113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8A65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5、履行本项目所必需的资质证明；</w:t>
      </w:r>
    </w:p>
    <w:p w14:paraId="0E78A9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6、投标文件的每一页都必须加盖投标单位的公章；</w:t>
      </w:r>
    </w:p>
    <w:p w14:paraId="76A70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7、投标人认为需提供的其他和评审有关的资料；</w:t>
      </w:r>
    </w:p>
    <w:p w14:paraId="23E96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8、所有资料均应编入投标文件，胶装并用纸质文件袋封好（一正一副）及必须提供与纸质投标文件一致的电子版本（PDF版），标书必须“A4规格纸张胶制（非打孔或夹装）装订成册，并编制总目录”,要求密封，否则视为符合性审查不合格，作无效投标处理，在开标现场验证时打开，采用现场开标的方式。</w:t>
      </w:r>
    </w:p>
    <w:p w14:paraId="505B011A">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四、合同</w:t>
      </w:r>
    </w:p>
    <w:p w14:paraId="18A99E26">
      <w:pPr>
        <w:keepNext w:val="0"/>
        <w:keepLines w:val="0"/>
        <w:pageBreakBefore w:val="0"/>
        <w:widowControl w:val="0"/>
        <w:kinsoku/>
        <w:wordWrap/>
        <w:overflowPunct/>
        <w:topLinePunct w:val="0"/>
        <w:autoSpaceDE/>
        <w:autoSpaceDN/>
        <w:bidi w:val="0"/>
        <w:adjustRightInd/>
        <w:snapToGrid/>
        <w:spacing w:line="360" w:lineRule="auto"/>
        <w:ind w:left="0" w:leftChars="0" w:firstLine="6240" w:firstLineChars="2600"/>
        <w:textAlignment w:val="auto"/>
        <w:rPr>
          <w:rFonts w:hint="default" w:ascii="仿宋_GB2312" w:hAnsi="Times New Roman" w:eastAsia="仿宋_GB2312" w:cs="仿宋_GB2312"/>
          <w:bCs/>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合同编号：</w:t>
      </w:r>
    </w:p>
    <w:p w14:paraId="5E76E577">
      <w:pPr>
        <w:spacing w:line="360" w:lineRule="auto"/>
        <w:jc w:val="center"/>
        <w:rPr>
          <w:rFonts w:hint="eastAsia" w:ascii="仿宋_GB2312" w:eastAsia="仿宋_GB2312" w:cs="仿宋_GB2312"/>
          <w:bCs/>
          <w:color w:val="0000FF"/>
          <w:kern w:val="0"/>
          <w:sz w:val="32"/>
          <w:szCs w:val="32"/>
          <w:lang w:val="en-US" w:eastAsia="zh-CN" w:bidi="ar-SA"/>
        </w:rPr>
      </w:pPr>
      <w:r>
        <w:rPr>
          <w:rFonts w:hint="eastAsia" w:ascii="仿宋_GB2312" w:eastAsia="仿宋_GB2312" w:cs="仿宋_GB2312"/>
          <w:b/>
          <w:bCs w:val="0"/>
          <w:color w:val="000000" w:themeColor="text1"/>
          <w:kern w:val="0"/>
          <w:sz w:val="32"/>
          <w:szCs w:val="32"/>
          <w:lang w:val="en-US" w:eastAsia="zh-CN" w:bidi="ar-SA"/>
          <w14:textFill>
            <w14:solidFill>
              <w14:schemeClr w14:val="tx1"/>
            </w14:solidFill>
          </w14:textFill>
        </w:rPr>
        <w:t>娄底市中心医院多维终端安全管理平台（第二次）采购合同</w:t>
      </w:r>
    </w:p>
    <w:p w14:paraId="1DD82697">
      <w:pPr>
        <w:pStyle w:val="2"/>
        <w:rPr>
          <w:rFonts w:hint="default"/>
          <w:lang w:val="en-US" w:eastAsia="zh-CN"/>
        </w:rPr>
      </w:pPr>
    </w:p>
    <w:p w14:paraId="6A8E2A7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甲</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方：</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娄底市中心医院</w:t>
      </w:r>
    </w:p>
    <w:p w14:paraId="2CF1394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法定代表人：</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杨吉军</w:t>
      </w:r>
    </w:p>
    <w:p w14:paraId="0510EC2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统一社会信用代码：12431300447162073W</w:t>
      </w:r>
    </w:p>
    <w:p w14:paraId="1ED4034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地    址：湖南省娄底市娄星区长青中街51号</w:t>
      </w:r>
    </w:p>
    <w:p w14:paraId="02FF3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p>
    <w:p w14:paraId="0EF90E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乙</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方：</w:t>
      </w:r>
    </w:p>
    <w:p w14:paraId="1B11A7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法定代表人：</w:t>
      </w:r>
    </w:p>
    <w:p w14:paraId="5B769FF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统一社会信用代码：</w:t>
      </w:r>
    </w:p>
    <w:p w14:paraId="12E6E1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地    址</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p>
    <w:p w14:paraId="7BC2E36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p>
    <w:p w14:paraId="415D9BC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甲方通过</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医院公开挂网</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采购</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多维终端安全管理平台（第二次）</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多维终端安全管理平台（第二次）</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相关事宜平等、自愿、公平、诚信协商，达成一致，特订立本合同，以资共同遵守。</w:t>
      </w:r>
    </w:p>
    <w:p w14:paraId="0C3F9F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pPr>
      <w:bookmarkStart w:id="1" w:name="_Hlk39763631"/>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第一条</w:t>
      </w: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 采购</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内容</w:t>
      </w:r>
      <w:bookmarkEnd w:id="1"/>
    </w:p>
    <w:p w14:paraId="79DE322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default" w:ascii="仿宋_GB2312" w:hAnsi="Times New Roman" w:eastAsia="仿宋_GB2312" w:cs="仿宋_GB2312"/>
          <w:bCs/>
          <w:color w:val="000000" w:themeColor="text1"/>
          <w:kern w:val="0"/>
          <w:sz w:val="24"/>
          <w:szCs w:val="24"/>
          <w:lang w:val="en-US" w:eastAsia="zh-CN" w:bidi="ar-SA"/>
          <w14:textFill>
            <w14:solidFill>
              <w14:schemeClr w14:val="tx1"/>
            </w14:solidFill>
          </w14:textFill>
        </w:rPr>
        <w:t>1.1</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 乙方为甲方提供多维终端安全管理平台（第二次）（包含硬件和软件，具体技术参数详见附件一），</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完成该平台软件的安装、调试和硬件的交付，并确保软件及硬件经甲方验收合格且能正常使用</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p>
    <w:p w14:paraId="222D2F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1.2 自本合同约定平台通过甲方验收之日起甲方拥有该</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平台软件的永久使用权，乙方在软件维保期内免费提供技术服务及软件咨询、培训、升级、维护、改造等服务。</w:t>
      </w:r>
    </w:p>
    <w:p w14:paraId="4105C6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1.3 自</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本合同约定平台通过甲方验收之日起</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甲方拥有该平台硬件的所有权，乙方在硬件质保期内为甲方提供硬件维修、更换、保养、咨询等服务。</w:t>
      </w:r>
    </w:p>
    <w:p w14:paraId="1238E1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1.4 如本合同软件、硬件需要与甲方正在使用的信息系统对接，所产生的全部接口费用均由乙方承担。</w:t>
      </w:r>
    </w:p>
    <w:p w14:paraId="43FC6E0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仿宋_GB2312" w:eastAsia="仿宋_GB2312" w:cs="仿宋_GB2312"/>
          <w:b/>
          <w:bCs w:val="0"/>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u w:val="none"/>
          <w:lang w:val="en-US" w:eastAsia="zh-CN" w:bidi="ar-SA"/>
          <w14:textFill>
            <w14:solidFill>
              <w14:schemeClr w14:val="tx1"/>
            </w14:solidFill>
          </w14:textFill>
        </w:rPr>
        <w:t>第二条 验收标准、时间、方式和硬件包装要求</w:t>
      </w:r>
    </w:p>
    <w:p w14:paraId="703F04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 w:val="0"/>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 w:val="0"/>
          <w:bCs/>
          <w:color w:val="000000" w:themeColor="text1"/>
          <w:kern w:val="0"/>
          <w:sz w:val="24"/>
          <w:szCs w:val="24"/>
          <w:u w:val="none"/>
          <w:lang w:val="en-US" w:eastAsia="zh-CN" w:bidi="ar-SA"/>
          <w14:textFill>
            <w14:solidFill>
              <w14:schemeClr w14:val="tx1"/>
            </w14:solidFill>
          </w14:textFill>
        </w:rPr>
        <w:t>2.1 验收标准：乙方提供软件及硬件的质量、安装应符合或优于国家标准；如乙方响应文件中的技术参数和质量标准高于国家标准，则软件及硬件的技术参数和质量标准以乙方响应文件为准。</w:t>
      </w:r>
    </w:p>
    <w:p w14:paraId="01ABC3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2.2 硬件到货验收：</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自本合同签订之日起</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15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个工作日内</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，乙方选择合适的运输方式将本合同硬件送达甲方指定地点并负责装卸、搬运，由此产生的费用由乙方承担；自乙方将硬件送达后应</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通知甲方验收并向甲方提供厂家标准资料文件（进口设备需提供真实有效的海关报关单，其他设备需提供产品合格证）和原厂授权证明及售后服务承诺函，甲方在接到乙方通知后</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15  </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天内组织人员对硬件按合同约定及厂家出厂装箱单进行到货验收，经甲方验收合格后签署验收报告单，乙方方可进行现场拆包、安装、调试、培训。如经甲方验收不合格，乙方应无条件予以更换。</w:t>
      </w:r>
    </w:p>
    <w:p w14:paraId="1257F6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2.3 软件交付验收：</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自本合同签订之日起</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15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个工作日内，乙方通过书面形式，将甲方所需全部点位的软件授权序列号和</w:t>
      </w:r>
      <w:r>
        <w:rPr>
          <w:rFonts w:hint="eastAsia" w:ascii="仿宋_GB2312" w:hAnsi="Times New Roman" w:eastAsia="仿宋_GB2312" w:cs="仿宋_GB2312"/>
          <w:bCs/>
          <w:color w:val="000000" w:themeColor="text1"/>
          <w:kern w:val="0"/>
          <w:sz w:val="24"/>
          <w:szCs w:val="24"/>
          <w:highlight w:val="none"/>
          <w:lang w:val="en-US" w:eastAsia="zh-CN" w:bidi="ar-SA"/>
          <w14:textFill>
            <w14:solidFill>
              <w14:schemeClr w14:val="tx1"/>
            </w14:solidFill>
          </w14:textFill>
        </w:rPr>
        <w:t>密钥key</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交付甲方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，甲方对乙方交付的序列号和</w:t>
      </w:r>
      <w:r>
        <w:rPr>
          <w:rFonts w:hint="eastAsia" w:ascii="仿宋_GB2312" w:hAnsi="Times New Roman" w:eastAsia="仿宋_GB2312" w:cs="仿宋_GB2312"/>
          <w:bCs/>
          <w:color w:val="000000" w:themeColor="text1"/>
          <w:kern w:val="0"/>
          <w:sz w:val="24"/>
          <w:szCs w:val="24"/>
          <w:highlight w:val="none"/>
          <w:lang w:val="en-US" w:eastAsia="zh-CN" w:bidi="ar-SA"/>
          <w14:textFill>
            <w14:solidFill>
              <w14:schemeClr w14:val="tx1"/>
            </w14:solidFill>
          </w14:textFill>
        </w:rPr>
        <w:t>密钥key</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无异议，向乙方出具软件交付确认书。</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如甲方对收到的软件授权序列号</w:t>
      </w:r>
      <w:r>
        <w:rPr>
          <w:rFonts w:hint="eastAsia" w:ascii="仿宋_GB2312" w:hAnsi="Times New Roman" w:eastAsia="仿宋_GB2312" w:cs="仿宋_GB2312"/>
          <w:bCs/>
          <w:color w:val="000000" w:themeColor="text1"/>
          <w:kern w:val="0"/>
          <w:sz w:val="24"/>
          <w:szCs w:val="24"/>
          <w:highlight w:val="none"/>
          <w:lang w:val="en-US" w:eastAsia="zh-CN" w:bidi="ar-SA"/>
          <w14:textFill>
            <w14:solidFill>
              <w14:schemeClr w14:val="tx1"/>
            </w14:solidFill>
          </w14:textFill>
        </w:rPr>
        <w:t>密钥key</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有异议，应在自接收到该书面文件之日起</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15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个工作日内，以书面形式向乙方提出异议，乙方应立即配合解决相关问题。</w:t>
      </w:r>
    </w:p>
    <w:p w14:paraId="62878F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2.4 软硬件交付地点</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娄底市中心医院计算机信息管理科 </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；收货人：</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胡晟娅 </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联系方式：</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13973818325 </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p>
    <w:p w14:paraId="68DCE0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
          <w:bCs w:val="0"/>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2.5 总体验收：自</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甲方收到授权序列号和</w:t>
      </w:r>
      <w:r>
        <w:rPr>
          <w:rFonts w:hint="eastAsia" w:ascii="仿宋_GB2312" w:hAnsi="Times New Roman" w:eastAsia="仿宋_GB2312" w:cs="仿宋_GB2312"/>
          <w:bCs/>
          <w:color w:val="000000" w:themeColor="text1"/>
          <w:kern w:val="0"/>
          <w:sz w:val="24"/>
          <w:szCs w:val="24"/>
          <w:highlight w:val="none"/>
          <w:lang w:val="en-US" w:eastAsia="zh-CN" w:bidi="ar-SA"/>
          <w14:textFill>
            <w14:solidFill>
              <w14:schemeClr w14:val="tx1"/>
            </w14:solidFill>
          </w14:textFill>
        </w:rPr>
        <w:t>密钥key</w:t>
      </w:r>
      <w:r>
        <w:rPr>
          <w:rFonts w:hint="eastAsia" w:ascii="仿宋_GB2312" w:eastAsia="仿宋_GB2312" w:cs="仿宋_GB2312"/>
          <w:bCs/>
          <w:color w:val="000000" w:themeColor="text1"/>
          <w:kern w:val="0"/>
          <w:sz w:val="24"/>
          <w:szCs w:val="24"/>
          <w:highlight w:val="none"/>
          <w:lang w:val="en-US" w:eastAsia="zh-CN" w:bidi="ar-SA"/>
          <w14:textFill>
            <w14:solidFill>
              <w14:schemeClr w14:val="tx1"/>
            </w14:solidFill>
          </w14:textFill>
        </w:rPr>
        <w:t>且乙方完成硬件安装调试</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30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个工作日后，乙方应填写《娄底市中心医院信息化项目验收清单》并向甲方提出验收要求。</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甲方自接到乙方验收通知之日起7日内按国家、行业规范标准、《娄底市中心医院信息化项目验收清单》及本合同约定进行验收。如验收通过，甲方签署总体验收报告单；如经甲方验收不合格，乙方应在</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3 </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日内无条件予以返工并承担所有费用。</w:t>
      </w:r>
    </w:p>
    <w:p w14:paraId="7DD139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2.6 甲方验收时如发现乙方所交付的软件系统（包括序列号和</w:t>
      </w:r>
      <w:r>
        <w:rPr>
          <w:rFonts w:hint="eastAsia" w:ascii="仿宋_GB2312" w:hAnsi="Times New Roman" w:eastAsia="仿宋_GB2312" w:cs="仿宋_GB2312"/>
          <w:bCs/>
          <w:color w:val="000000" w:themeColor="text1"/>
          <w:kern w:val="0"/>
          <w:sz w:val="24"/>
          <w:szCs w:val="24"/>
          <w:highlight w:val="none"/>
          <w:lang w:val="en-US" w:eastAsia="zh-CN" w:bidi="ar-SA"/>
          <w14:textFill>
            <w14:solidFill>
              <w14:schemeClr w14:val="tx1"/>
            </w14:solidFill>
          </w14:textFill>
        </w:rPr>
        <w:t>密钥key</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及硬件不符合国家、行业规范标准、《娄底市中心医院信息化项目验收清单》及本合同约定的，甲方应做出详尽的现场记录，由甲乙双方签署备忘录，该现场记录和备忘录作为乙方重新返工的有效依据，由此产生的一切经济损失由乙方承担。</w:t>
      </w:r>
    </w:p>
    <w:p w14:paraId="271B020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 xml:space="preserve">2.7 包装要求：乙方提供的硬件必须为原厂包装，外包装到货时应保证完好无损，否则甲方有权拒绝收货，由此造成的延期交货违约责任和一切经济损失全部由乙方承担。 </w:t>
      </w:r>
    </w:p>
    <w:p w14:paraId="20A4C66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u w:val="none"/>
          <w:lang w:val="en-US" w:eastAsia="zh-CN" w:bidi="ar-SA"/>
          <w14:textFill>
            <w14:solidFill>
              <w14:schemeClr w14:val="tx1"/>
            </w14:solidFill>
          </w14:textFill>
        </w:rPr>
        <w:t>第三条 硬件售后服务和软件维保服务</w:t>
      </w:r>
    </w:p>
    <w:p w14:paraId="262BE9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3.1 硬件售后服务</w:t>
      </w:r>
    </w:p>
    <w:p w14:paraId="5A6397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3.1.1 本合同硬件质保期为叁年，自甲方在总体验收报告单上签字确认合格之日起算。</w:t>
      </w:r>
    </w:p>
    <w:p w14:paraId="0248FD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3.1.2 乙方在质保期内免费提供硬件维修、更换、保养、咨询等服务。如硬件在质保期内出现质量问题，乙方应在接到甲方通知（包括电话通知）后24小时内赶到现场，到场后4小时内完成维修或更换，相关费用由乙方承担。如乙方不及时履行保修义务，甲方有权委托第三方进行维修，由此产生的相关费用，在支付价款中予以扣除或要求乙方支付对应货物价款。</w:t>
      </w:r>
    </w:p>
    <w:p w14:paraId="4ACA11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3.1.3 质保期内，乙方每年至少对硬件进行</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1 </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次巡检并提供巡检报告。</w:t>
      </w:r>
    </w:p>
    <w:p w14:paraId="2FB9B7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3.1.4 质保期届满后，如硬件出现问题，乙方应在接到甲方通知（包括电话通知）后24小时内到场，到场后4小时内完成维修或更换，相关费用由甲方承担，但费用不得超出当时市场价格。</w:t>
      </w:r>
    </w:p>
    <w:p w14:paraId="71EF9A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3.2 软件系统维保服务</w:t>
      </w:r>
    </w:p>
    <w:p w14:paraId="6AD1FA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3.2.1 本合同软件系统维保服务期限为叁年，自甲方总体验收合格之日起算。</w:t>
      </w:r>
    </w:p>
    <w:p w14:paraId="2E221A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eastAsia="仿宋_GB2312" w:cs="仿宋_GB2312"/>
          <w:bCs/>
          <w:color w:val="000000" w:themeColor="text1"/>
          <w:kern w:val="0"/>
          <w:sz w:val="24"/>
          <w:szCs w:val="24"/>
          <w:u w:val="none"/>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3.2.2 服务方式：</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乙方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为</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甲方提供</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本合同约定平台</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技术服务，及软件咨询、培训、升级、维护、改造等技术服务</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（详见附件二）</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w:t>
      </w:r>
    </w:p>
    <w:p w14:paraId="480FB9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3.2.3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若甲方对乙方工作人员的服务不满意，可进行投诉</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及要求更换乙方工作人员</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，乙方将认真对待，严肃处理，</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在接到甲方投诉后</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3 </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天内</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将处理结果书面通报甲方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并更换工作人员到位</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。若此次服务为本合同</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约定</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范围外的单次收费项目，则该次现场支持服务免费。</w:t>
      </w:r>
    </w:p>
    <w:p w14:paraId="588540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3.3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乙方指</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派项目</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联系人</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、联系电话：</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、电子邮箱</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、微信号</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专门负责与甲方联络</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如人员发生变动，应及时通知甲方，如因未通知造成甲方损失的，乙方应承担全部经济赔偿责任。</w:t>
      </w:r>
    </w:p>
    <w:p w14:paraId="0C91571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第四条 甲方的权利和义务</w:t>
      </w:r>
    </w:p>
    <w:p w14:paraId="03C8BA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4</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在乙方协助下</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定期做好系统数据备份并妥善保管。</w:t>
      </w:r>
    </w:p>
    <w:p w14:paraId="65C89B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4.2</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 在使用过程中发现异常时应记录故障现象，并及时与乙方取得联系，便于乙方诊断。</w:t>
      </w:r>
    </w:p>
    <w:p w14:paraId="5240B8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4.3</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 在乙方提供支持服务时进行配合。乙方每次服务过程及结束后检查软件系统运行是否正常，对乙方提供的服务内容及结果进行确认。</w:t>
      </w:r>
    </w:p>
    <w:p w14:paraId="17A70D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4.4</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 保证仅将本合同的软件序列号和密钥key应用于娄底市中心医院。</w:t>
      </w:r>
    </w:p>
    <w:p w14:paraId="4DE080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4.5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甲方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指派</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项目联系人</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胡晟娅</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联系电话：</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13973818325</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电子邮箱</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、微信号</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  </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，专门负责与乙方联络。</w:t>
      </w:r>
    </w:p>
    <w:p w14:paraId="7D0D618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第五条 乙方的其他权利和义务</w:t>
      </w:r>
    </w:p>
    <w:p w14:paraId="29F8E2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5.1</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如果</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乙方提供的平台</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在</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维保</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期内出现不符合合同</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约定</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或产品说明书所述软件功能标准的问题，乙方应免费修复软件缺陷。对于缺陷软件，甲方有权要求乙方采用补丁软件进行修复或提供升级软件予以更换</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，甲方不承担任何违约责任，由乙方承担因缺陷问题所产生的全部法律责任和经济赔偿</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w:t>
      </w:r>
    </w:p>
    <w:p w14:paraId="0B4E00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5.2</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 乙方应确保软件安装、调试、升级、维护等需遵守《中华人民共和国个人信息保护法》《中华人民共和国数据安全法》《中华人民共和国网络安全法》等相关法律制度。不存在任何安全隐患，在提供软件技术服务中不得设置任何恶意内容，不得植入任何病毒、非法脚本或进行其他损害网络安全的行为，否则乙方须赔偿给甲方造成的全部经济损失，并承担法律责任。如乙方在现场服务过程中要使用自带电脑或其他移动存储设备，必须在甲方现场作防病毒处理。甲方负责对此过程进行监督确认。</w:t>
      </w:r>
    </w:p>
    <w:p w14:paraId="6FBB86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5.3</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 乙方保证已拥有合同软件自主知识产权，不会引发任何知识产权纠纷，如甲方因使用软件引发知识产权纠纷、诉讼，乙方承担全部法律责任和经济赔偿</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（包括甲方因此而支付的赔偿款、补偿款、诉讼费、差旅费、律师费等相关所有费用）</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w:t>
      </w:r>
    </w:p>
    <w:p w14:paraId="485488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5.4</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 乙方工作人员</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须</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遵守甲方管理制度，确保网络系统安全，信息数据安全。</w:t>
      </w:r>
    </w:p>
    <w:p w14:paraId="325DF8B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第</w:t>
      </w: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六</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条 廉政条款</w:t>
      </w:r>
    </w:p>
    <w:p w14:paraId="057CAF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6</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 乙方应严格遵守国家相关法律法规，涉及合同的有关业务活动必须坚持公开、公平、公正、诚信原则，不得为获取不正当利益，损害国家、集体和甲方利益。</w:t>
      </w:r>
    </w:p>
    <w:p w14:paraId="0CD6FE8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hAnsi="Times New Roman" w:eastAsia="仿宋_GB2312" w:cs="仿宋_GB2312"/>
          <w:b/>
          <w:bCs w:val="0"/>
          <w:color w:val="000000" w:themeColor="text1"/>
          <w:kern w:val="0"/>
          <w:sz w:val="24"/>
          <w:szCs w:val="24"/>
          <w:u w:val="single"/>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u w:val="single"/>
          <w:lang w:val="en-US" w:eastAsia="zh-CN" w:bidi="ar-SA"/>
          <w14:textFill>
            <w14:solidFill>
              <w14:schemeClr w14:val="tx1"/>
            </w14:solidFill>
          </w14:textFill>
        </w:rPr>
        <w:t>6</w:t>
      </w:r>
      <w:r>
        <w:rPr>
          <w:rFonts w:hint="eastAsia" w:ascii="仿宋_GB2312" w:hAnsi="Times New Roman" w:eastAsia="仿宋_GB2312" w:cs="仿宋_GB2312"/>
          <w:b/>
          <w:bCs w:val="0"/>
          <w:color w:val="000000" w:themeColor="text1"/>
          <w:kern w:val="0"/>
          <w:sz w:val="24"/>
          <w:szCs w:val="24"/>
          <w:u w:val="single"/>
          <w:lang w:val="en-US" w:eastAsia="zh-CN" w:bidi="ar-SA"/>
          <w14:textFill>
            <w14:solidFill>
              <w14:schemeClr w14:val="tx1"/>
            </w14:solidFill>
          </w14:textFill>
        </w:rPr>
        <w:t>.2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r>
        <w:rPr>
          <w:rFonts w:hint="eastAsia" w:ascii="仿宋_GB2312" w:hAnsi="Times New Roman" w:eastAsia="仿宋_GB2312" w:cs="仿宋_GB2312"/>
          <w:b/>
          <w:bCs w:val="0"/>
          <w:color w:val="000000" w:themeColor="text1"/>
          <w:kern w:val="0"/>
          <w:sz w:val="24"/>
          <w:szCs w:val="24"/>
          <w:u w:val="none"/>
          <w:lang w:val="en-US" w:eastAsia="zh-CN" w:bidi="ar-SA"/>
          <w14:textFill>
            <w14:solidFill>
              <w14:schemeClr w14:val="tx1"/>
            </w14:solidFill>
          </w14:textFill>
        </w:rPr>
        <w:t>。</w:t>
      </w:r>
    </w:p>
    <w:p w14:paraId="00774EF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第七条 合同金额及支付方式</w:t>
      </w:r>
    </w:p>
    <w:p w14:paraId="6ED777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7</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 本合同价格为固定价格，费用总计人民币</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元整（小写：</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元），已包含软件许可使用费、接口费、服务费、运输费、包装费、保险费、装卸费、搬运费、安装调试费、安装材料费、培训费、售后服务费、软件升级费用、税费等全部费用，甲方不再就本合同约定范围内的内容向乙方额外支付任何其他费用。</w:t>
      </w:r>
    </w:p>
    <w:p w14:paraId="47195C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7</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甲方通过银行转账</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方式分次</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支付至乙方银行指定收款账</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户：</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自项目验收通过之日起30日内，向乙方支付价款总额</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9</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0%即人民币</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元整（小写：</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元）；项目验收通过之日起满</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3</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年后的30日内，向乙方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免息</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支付价款剩余10%即人民币</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元整（小写：</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元）。 </w:t>
      </w:r>
    </w:p>
    <w:p w14:paraId="0BCA39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7</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.3 乙方应在甲方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首次</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支付前提供以自己名义开具的全额增值税普通发票</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。如乙方未提供发票，甲方有权顺延付款，由此产生的全部责任均由乙方承担。</w:t>
      </w:r>
    </w:p>
    <w:p w14:paraId="18A91C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7</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.4 乙方指定收款账户为：</w:t>
      </w:r>
    </w:p>
    <w:p w14:paraId="5F4F21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开户名：</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p>
    <w:p w14:paraId="31F1E5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开户行：</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p>
    <w:p w14:paraId="419519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账  号：</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p>
    <w:p w14:paraId="362F6B4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第八条 保密义务</w:t>
      </w:r>
    </w:p>
    <w:p w14:paraId="09A5EF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双方在磋商、签订、履行本合同过程中知晓的任何形式的信息、资料、数据（以下合称“保密信息”），双方约定如下：</w:t>
      </w:r>
    </w:p>
    <w:p w14:paraId="21E783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.1.1 未经任意一方书面同意，不得将保密信息用于任何非本合同之目的用途。</w:t>
      </w:r>
    </w:p>
    <w:p w14:paraId="01C29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.1.2 未经任意一方书面同意，不得将保密信息透露给任何第三方。不得允许（出借、赠予、出租、转让等处理保密信息的行为皆属于“允许”）或协助未经授权的第三方使用保密信息。</w:t>
      </w:r>
    </w:p>
    <w:p w14:paraId="00B909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.1.3 乙方保证对甲方提供的保密信息予以妥善保存，并至少采取适用于对自己的保密信息同样的保护措施和审慎程度进行保密。</w:t>
      </w:r>
    </w:p>
    <w:p w14:paraId="1C0BA5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.1.4 乙方不得刺探与本身业务无关的甲方保密信息。</w:t>
      </w:r>
    </w:p>
    <w:p w14:paraId="354278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.1.5 乙方向甲方提供从甲方获取的保密信息的保密密级及知悉保密信息的范围，在乙方上述人员知悉该保密信息前，应向其提示保密信息的保密性和应承担的义务，并保证上述人员以书面形式同意接受保密条款的约束，确保上述人员承担保密责任的程度不低于本合同规定的程度。</w:t>
      </w:r>
    </w:p>
    <w:p w14:paraId="0220A9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.1.6 项目终止后，乙方应立即将甲方的保密信息全部载体归还甲方，或根据甲方的要求予以销毁，不得以任何形式保留原件或备份。</w:t>
      </w:r>
    </w:p>
    <w:p w14:paraId="37DAA7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.1.7 若乙方与第三方合并、被第三方兼并或被第三方直接或间接控制，不得向该第三方披露任何甲方的保密信息。乙方应立即将甲方的保密信息全部载体归还甲方，或根据甲方的要求予以销毁，不得以任何形式保留原件或备份。但如事先获得甲方的书面同意，乙方可继续使用该保密信息。</w:t>
      </w:r>
    </w:p>
    <w:p w14:paraId="7C1299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.1.8 如果乙方被要求向政府部门、法院或其他有权部门提供保密信息，乙方在可能的情况下，应立即向甲方予以通报。</w:t>
      </w:r>
    </w:p>
    <w:p w14:paraId="5FBF22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.1.9 任何保密信息的获取并不意味着授予乙方任何有关甲方所有的专利权或版权，也不意味着授予乙方有关甲方保密信息的任何权利，除了乙方有权为履行其在合同项目下的义务合理使用甲方提供的保密信息。</w:t>
      </w:r>
    </w:p>
    <w:p w14:paraId="4AD711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.1.10 保密义务同样适用于有关未经注册或未被授予专利权的发明的文件和信息。因对本协议所指保密信息的使用而直接或间接产生的知识产权方面的权利由双方当事人协商决定其归属。</w:t>
      </w:r>
    </w:p>
    <w:p w14:paraId="2C80A8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 w:val="0"/>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val="0"/>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 w:val="0"/>
          <w:bCs/>
          <w:color w:val="000000" w:themeColor="text1"/>
          <w:kern w:val="0"/>
          <w:sz w:val="24"/>
          <w:szCs w:val="24"/>
          <w:lang w:val="en-US" w:eastAsia="zh-CN" w:bidi="ar-SA"/>
          <w14:textFill>
            <w14:solidFill>
              <w14:schemeClr w14:val="tx1"/>
            </w14:solidFill>
          </w14:textFill>
        </w:rPr>
        <w:t>.2 本合同中所说“保密信息”指如下信息：</w:t>
      </w:r>
    </w:p>
    <w:p w14:paraId="1A67F0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.2.1 双方就合同订立、履行、变更等产生的研究、商讨、交流等信息。</w:t>
      </w:r>
    </w:p>
    <w:p w14:paraId="74FD16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.2.2 与甲方有关为乙方知晓、保存或可能上传、交换的信息，包括但不限于如下：</w:t>
      </w:r>
    </w:p>
    <w:p w14:paraId="51BE21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.2.2.1 技术信息：包括涉及甲方信息化建设中的技术信息，包括软件技术、数据、管理文件等；</w:t>
      </w:r>
    </w:p>
    <w:p w14:paraId="51DBEB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.2.2.2 人事信息：包括涉及甲方的人事档案、薪酬及考核等人力资源管理信息；</w:t>
      </w:r>
    </w:p>
    <w:p w14:paraId="7D6D61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.2.2.3 医院运行信息：包括涉及甲方业务运行的各种信息，医院经营方向、经营决策、定价政策以及内部掌握的合同、协议、项目方案等；</w:t>
      </w:r>
    </w:p>
    <w:p w14:paraId="5675CB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.2.2.4 财务信息：包括涉及甲方的各项财务报表、成本及预算报告、员工工资等；</w:t>
      </w:r>
    </w:p>
    <w:p w14:paraId="00DE23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.2.2.5 患者信息：包括涉及甲方门诊、住院患者的相关诊疗信息，如患者基本信息、诊疗计划、病历信息、费用信息、处方等；</w:t>
      </w:r>
    </w:p>
    <w:p w14:paraId="6027E9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.2.2.6 应当予以保密的商业秘密、个人隐私等信息。</w:t>
      </w:r>
    </w:p>
    <w:p w14:paraId="0334797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8</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.3 本合同约定的保密信息为永久绝对保密，保密条款在本合同终止后仍然有效。</w:t>
      </w:r>
    </w:p>
    <w:p w14:paraId="3D2DBA4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第</w:t>
      </w: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九</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条 风险承担</w:t>
      </w:r>
    </w:p>
    <w:p w14:paraId="7E4C35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9</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 乙方履行本合同过程中发生事故，包括但不限于在运输、装卸、安装及调试过程中发生事故，给甲方、乙方或第三方人身、财产造成的所有损失，均由乙方负责处理和承担全部法律责任、经济赔偿。</w:t>
      </w:r>
    </w:p>
    <w:p w14:paraId="029046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9</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 硬件毁损、丢失的风险自甲方在总体验收报告单上签字确认合格后转移给甲方，此前的一切风险均由乙方承担。</w:t>
      </w:r>
    </w:p>
    <w:p w14:paraId="348C489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第十条 </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通知与送达</w:t>
      </w:r>
    </w:p>
    <w:p w14:paraId="171C47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10</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 甲乙双方同意，与本合同有关的任何文书，应以书面方式送达本合同约定的联系方式。书面形式包括手机短信、微信、书面函件、电子邮件等形式。</w:t>
      </w:r>
    </w:p>
    <w:p w14:paraId="4D01CB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10</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 双方确认的文书（包括未来可能发生的诉讼或仲裁活动中法院或仲裁机构的送达法律文书）送达地址：</w:t>
      </w:r>
    </w:p>
    <w:p w14:paraId="1DE10D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10</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.2.1 甲方的文书送达地址：</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湖南省娄底市娄星区长青街51号</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，收件人：</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胡晟娅</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，联系电话：</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13973818325</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，电子邮箱：</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7591521@qq.com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w:t>
      </w:r>
    </w:p>
    <w:p w14:paraId="7A6A48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10</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.2.2 乙方的文书送达地址：</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，收件人：</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，联系电话：</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，电子邮箱：</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w:t>
      </w:r>
    </w:p>
    <w:p w14:paraId="17B1A6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10</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.3 上述通知应被视为在下列时间送达：以快递或专人发送的，在收件人签收之日或拒收之日；以挂号邮件发出的，在发出之日起7个工作日；以电子邮件发出的，在电子邮件进入收件方电子邮箱服务器之日。</w:t>
      </w:r>
    </w:p>
    <w:p w14:paraId="4A0D7C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10</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.4 以上地址和联系方式，任何一方发生变更应在变更之日起3个日历日内通知对方。如未通知，一方按原地址送达的书面资料被退回的，退回之日视为送达之日。任何一方按照确认地址送到另一方的书面资料被拒绝签收导致邮件被退回的，退回之日视为送达之日。</w:t>
      </w:r>
    </w:p>
    <w:p w14:paraId="0205FE9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仿宋_GB2312"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第十一条 合同的变更和解除</w:t>
      </w:r>
    </w:p>
    <w:p w14:paraId="21B9B9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11.1</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 如本合同约定事宜发生重大变更，经双方协商一致后另行签订补充协议。</w:t>
      </w:r>
    </w:p>
    <w:p w14:paraId="04CFBE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11.2 出现以下情形之一的，甲方有权单方面解除合同：</w:t>
      </w:r>
    </w:p>
    <w:p w14:paraId="494A5C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11.2.1 乙方逾期</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7 </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日仍未完成本合同软件及硬件的安装、调试、实施、运行的；</w:t>
      </w:r>
    </w:p>
    <w:p w14:paraId="14025B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11.2.2 乙方提供软件及硬件的安装、调试、实施、运行未通过甲方验收，经返工后仍不能通过验收的；</w:t>
      </w:r>
    </w:p>
    <w:p w14:paraId="66CD8C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11.2.3 乙方逾期</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10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日仍未完成本合同约定的硬件售后服务和软件维保服务的；</w:t>
      </w:r>
    </w:p>
    <w:p w14:paraId="3FA65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11.2.4 因乙方原因导致本合同软件及硬件不能按本合同约定正常使用达到</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10 </w:t>
      </w:r>
      <w:r>
        <w:rPr>
          <w:rFonts w:hint="eastAsia" w:ascii="仿宋_GB2312" w:eastAsia="仿宋_GB2312" w:cs="仿宋_GB2312"/>
          <w:bCs/>
          <w:color w:val="000000" w:themeColor="text1"/>
          <w:kern w:val="0"/>
          <w:sz w:val="24"/>
          <w:szCs w:val="24"/>
          <w:u w:val="none"/>
          <w:lang w:val="en-US" w:eastAsia="zh-CN" w:bidi="ar-SA"/>
          <w14:textFill>
            <w14:solidFill>
              <w14:schemeClr w14:val="tx1"/>
            </w14:solidFill>
          </w14:textFill>
        </w:rPr>
        <w:t>日的；</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                                                                                                                                                                                                                                                                                                                                                                                                                                                                                                                                                                                                                                                                                                                                                                                                                                                                                                                                                                                                                                                                                                                                                                                                                                                                                                                                                                                                                                                                                                                                                                                                                                                                                                                                                                                                                                                                                                                                                                                                                                                                                          </w:t>
      </w:r>
    </w:p>
    <w:p w14:paraId="2AACCA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11.2.5 乙方将本合同权利义务全部或部分转让给第三方；</w:t>
      </w:r>
    </w:p>
    <w:p w14:paraId="5A7978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11.2.6 乙方违反保密条款或侵犯第三人的知识产权及其他合法权利，给甲方造成损失或不良影响的；</w:t>
      </w:r>
    </w:p>
    <w:p w14:paraId="41001D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11.2.7 其他根本违约的情形。</w:t>
      </w:r>
    </w:p>
    <w:p w14:paraId="087AF67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第十二条 </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违约责任</w:t>
      </w:r>
    </w:p>
    <w:p w14:paraId="6EFB90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12.1 如因乙方原因导致本合同软件及硬件不能按本合同约定正常使用，</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每无法正常使用一日，乙方应按合同总金额的</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千</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分之三向甲方支付违约金。</w:t>
      </w:r>
    </w:p>
    <w:p w14:paraId="0B6719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12.2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如乙方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未按本合同约定及时向甲方提供硬件售后服务和软件维保服务的</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，每逾期一日，乙方应按合同总金额的</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千</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分之三向甲方支付违约金</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p>
    <w:p w14:paraId="1C36D0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12.3</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 如乙方单方解除合同或甲方因11.</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2</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情形解除合同，乙方应赔偿由此造成甲方的全部经济损失（包括但不限于甲方实际经济损失、可期待利益损失、由此产生的律师费、诉讼费、差旅费等），并按本合同总价款15%标准</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向</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甲方支付违约金。</w:t>
      </w:r>
    </w:p>
    <w:p w14:paraId="184F3D0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eastAsia="仿宋_GB2312" w:cs="仿宋_GB2312"/>
          <w:b/>
          <w:bCs w:val="0"/>
          <w:color w:val="000000" w:themeColor="text1"/>
          <w:kern w:val="0"/>
          <w:sz w:val="24"/>
          <w:szCs w:val="24"/>
          <w:u w:val="single"/>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u w:val="single"/>
          <w:lang w:val="en-US" w:eastAsia="zh-CN" w:bidi="ar-SA"/>
          <w14:textFill>
            <w14:solidFill>
              <w14:schemeClr w14:val="tx1"/>
            </w14:solidFill>
          </w14:textFill>
        </w:rPr>
        <w:t>12.4 无论甲方在任意时候（不限于本合同履行期间）发现存在违反本合同廉洁条款的行为，乙方均须向甲方一次性支付惩罚性违约金35000.00元。如乙方除需承担违反廉洁条款外，同时存在其他违约行为，乙方仍须就其他违约行为承担相应违约责任。</w:t>
      </w:r>
    </w:p>
    <w:p w14:paraId="104A238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u w:val="single"/>
          <w:lang w:val="en-US" w:eastAsia="zh-CN" w:bidi="ar-SA"/>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79B61B6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第十三条</w:t>
      </w: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 不可抗力</w:t>
      </w:r>
    </w:p>
    <w:p w14:paraId="5BB8C0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因不可抗力导致迟延履行的，不承担违约责任，但不可抗力因素消除后应立即继续履行；因不可抗力导致本合同无法继续履行的，</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按本合同约定</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经书面通知对方后可以解除合同且不承担违约责任。本款所称“不可抗力”是指不能预见、不能避免或不能克服的客观事件，包括自然灾害如疫情、洪水、火灾、爆炸、雷电、地震和风暴等以及社会事件如战争、动乱、罢工等。</w:t>
      </w:r>
    </w:p>
    <w:p w14:paraId="42C1869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第十四条 </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争议解决</w:t>
      </w:r>
    </w:p>
    <w:p w14:paraId="630C43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如双方在履行本合同过程中发生争议，双方应先协商解决，协商解决不成的，任一方均可向甲方所在地有管辖权的人民法院提起诉讼解决。</w:t>
      </w:r>
    </w:p>
    <w:p w14:paraId="53C6422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第十五条 其他</w:t>
      </w:r>
    </w:p>
    <w:p w14:paraId="3F00AA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15.1</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 本合同组成文件及解释顺序如下：乙方在履行本合同中的承诺；本合同补充协议；本合同及附件；成交通知书；响应文件；采购文件；与本合同相关的文件资料。</w:t>
      </w:r>
    </w:p>
    <w:p w14:paraId="49F177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15.2</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 xml:space="preserve"> 本合同一式</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陆</w:t>
      </w:r>
      <w:r>
        <w:rPr>
          <w:rFonts w:hint="eastAsia" w:ascii="仿宋_GB2312" w:hAnsi="Times New Roman"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份，甲方执</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肆</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份、乙方执贰份，自双方签字并盖章之日起生效。</w:t>
      </w:r>
    </w:p>
    <w:p w14:paraId="78BB9E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p>
    <w:p w14:paraId="6357F9A5">
      <w:pPr>
        <w:keepNext w:val="0"/>
        <w:keepLines w:val="0"/>
        <w:pageBreakBefore w:val="0"/>
        <w:widowControl w:val="0"/>
        <w:kinsoku/>
        <w:wordWrap/>
        <w:overflowPunct/>
        <w:topLinePunct w:val="0"/>
        <w:autoSpaceDE/>
        <w:autoSpaceDN/>
        <w:bidi w:val="0"/>
        <w:adjustRightInd/>
        <w:snapToGrid/>
        <w:spacing w:line="460" w:lineRule="exact"/>
        <w:ind w:firstLine="436" w:firstLineChars="200"/>
        <w:textAlignment w:val="auto"/>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 xml:space="preserve">甲方（盖章）：娄底市中心医院       </w:t>
      </w:r>
      <w:r>
        <w:rPr>
          <w:rFonts w:hint="eastAsia" w:ascii="仿宋_GB2312" w:eastAsia="仿宋_GB2312" w:cs="仿宋_GB2312"/>
          <w:bCs/>
          <w:color w:val="000000" w:themeColor="text1"/>
          <w:spacing w:val="-1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乙方（盖章）：</w:t>
      </w:r>
    </w:p>
    <w:p w14:paraId="3A01731A">
      <w:pPr>
        <w:keepNext w:val="0"/>
        <w:keepLines w:val="0"/>
        <w:pageBreakBefore w:val="0"/>
        <w:widowControl w:val="0"/>
        <w:kinsoku/>
        <w:wordWrap/>
        <w:overflowPunct/>
        <w:topLinePunct w:val="0"/>
        <w:autoSpaceDE/>
        <w:autoSpaceDN/>
        <w:bidi w:val="0"/>
        <w:adjustRightInd/>
        <w:snapToGrid/>
        <w:spacing w:line="460" w:lineRule="exact"/>
        <w:ind w:firstLine="436" w:firstLineChars="200"/>
        <w:textAlignment w:val="auto"/>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pPr>
    </w:p>
    <w:p w14:paraId="13602C12">
      <w:pPr>
        <w:keepNext w:val="0"/>
        <w:keepLines w:val="0"/>
        <w:pageBreakBefore w:val="0"/>
        <w:widowControl w:val="0"/>
        <w:kinsoku/>
        <w:wordWrap/>
        <w:overflowPunct/>
        <w:topLinePunct w:val="0"/>
        <w:autoSpaceDE/>
        <w:autoSpaceDN/>
        <w:bidi w:val="0"/>
        <w:adjustRightInd/>
        <w:snapToGrid/>
        <w:spacing w:line="460" w:lineRule="exact"/>
        <w:ind w:firstLine="436" w:firstLineChars="200"/>
        <w:textAlignment w:val="auto"/>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 xml:space="preserve">法定代表人（签字）：               </w:t>
      </w:r>
      <w:r>
        <w:rPr>
          <w:rFonts w:hint="eastAsia" w:ascii="仿宋_GB2312" w:eastAsia="仿宋_GB2312" w:cs="仿宋_GB2312"/>
          <w:bCs/>
          <w:color w:val="000000" w:themeColor="text1"/>
          <w:spacing w:val="-1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法定代表人（签字）：</w:t>
      </w:r>
    </w:p>
    <w:p w14:paraId="7B767294">
      <w:pPr>
        <w:keepNext w:val="0"/>
        <w:keepLines w:val="0"/>
        <w:pageBreakBefore w:val="0"/>
        <w:widowControl w:val="0"/>
        <w:kinsoku/>
        <w:wordWrap/>
        <w:overflowPunct/>
        <w:topLinePunct w:val="0"/>
        <w:autoSpaceDE/>
        <w:autoSpaceDN/>
        <w:bidi w:val="0"/>
        <w:adjustRightInd/>
        <w:snapToGrid/>
        <w:spacing w:line="460" w:lineRule="exact"/>
        <w:ind w:firstLine="436" w:firstLineChars="200"/>
        <w:textAlignment w:val="auto"/>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pPr>
    </w:p>
    <w:p w14:paraId="44CEE6C3">
      <w:pPr>
        <w:keepNext w:val="0"/>
        <w:keepLines w:val="0"/>
        <w:pageBreakBefore w:val="0"/>
        <w:widowControl w:val="0"/>
        <w:kinsoku/>
        <w:wordWrap/>
        <w:overflowPunct/>
        <w:topLinePunct w:val="0"/>
        <w:autoSpaceDE/>
        <w:autoSpaceDN/>
        <w:bidi w:val="0"/>
        <w:adjustRightInd/>
        <w:snapToGrid/>
        <w:spacing w:line="460" w:lineRule="exact"/>
        <w:ind w:firstLine="436" w:firstLineChars="200"/>
        <w:textAlignment w:val="auto"/>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 xml:space="preserve">或委托代理人（签字）：             </w:t>
      </w:r>
      <w:r>
        <w:rPr>
          <w:rFonts w:hint="eastAsia" w:ascii="仿宋_GB2312" w:eastAsia="仿宋_GB2312" w:cs="仿宋_GB2312"/>
          <w:bCs/>
          <w:color w:val="000000" w:themeColor="text1"/>
          <w:spacing w:val="-1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或委托代理人（签字）：</w:t>
      </w:r>
    </w:p>
    <w:p w14:paraId="0AEDD9CF">
      <w:pPr>
        <w:keepNext w:val="0"/>
        <w:keepLines w:val="0"/>
        <w:pageBreakBefore w:val="0"/>
        <w:widowControl w:val="0"/>
        <w:kinsoku/>
        <w:wordWrap/>
        <w:overflowPunct/>
        <w:topLinePunct w:val="0"/>
        <w:autoSpaceDE/>
        <w:autoSpaceDN/>
        <w:bidi w:val="0"/>
        <w:adjustRightInd/>
        <w:snapToGrid/>
        <w:spacing w:line="460" w:lineRule="exact"/>
        <w:ind w:firstLine="436" w:firstLineChars="200"/>
        <w:textAlignment w:val="auto"/>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pPr>
    </w:p>
    <w:p w14:paraId="2F6E6983">
      <w:pPr>
        <w:keepNext w:val="0"/>
        <w:keepLines w:val="0"/>
        <w:pageBreakBefore w:val="0"/>
        <w:widowControl w:val="0"/>
        <w:kinsoku/>
        <w:wordWrap/>
        <w:overflowPunct/>
        <w:topLinePunct w:val="0"/>
        <w:autoSpaceDE/>
        <w:autoSpaceDN/>
        <w:bidi w:val="0"/>
        <w:adjustRightInd/>
        <w:snapToGrid/>
        <w:spacing w:line="460" w:lineRule="exact"/>
        <w:ind w:firstLine="436" w:firstLineChars="200"/>
        <w:textAlignment w:val="auto"/>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pP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 xml:space="preserve">合同签订地履行地：娄底市娄星区    </w:t>
      </w:r>
      <w:r>
        <w:rPr>
          <w:rFonts w:hint="eastAsia" w:ascii="仿宋_GB2312" w:eastAsia="仿宋_GB2312" w:cs="仿宋_GB2312"/>
          <w:bCs/>
          <w:color w:val="000000" w:themeColor="text1"/>
          <w:spacing w:val="-1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 xml:space="preserve">签订日期：  </w:t>
      </w:r>
      <w:r>
        <w:rPr>
          <w:rFonts w:hint="eastAsia" w:ascii="仿宋_GB2312" w:eastAsia="仿宋_GB2312" w:cs="仿宋_GB2312"/>
          <w:bCs/>
          <w:color w:val="000000" w:themeColor="text1"/>
          <w:spacing w:val="-1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 xml:space="preserve">年  </w:t>
      </w:r>
      <w:r>
        <w:rPr>
          <w:rFonts w:hint="eastAsia" w:ascii="仿宋_GB2312" w:eastAsia="仿宋_GB2312" w:cs="仿宋_GB2312"/>
          <w:bCs/>
          <w:color w:val="000000" w:themeColor="text1"/>
          <w:spacing w:val="-1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 xml:space="preserve">月  </w:t>
      </w:r>
      <w:r>
        <w:rPr>
          <w:rFonts w:hint="eastAsia" w:ascii="仿宋_GB2312" w:eastAsia="仿宋_GB2312" w:cs="仿宋_GB2312"/>
          <w:bCs/>
          <w:color w:val="000000" w:themeColor="text1"/>
          <w:spacing w:val="-11"/>
          <w:kern w:val="0"/>
          <w:sz w:val="24"/>
          <w:szCs w:val="24"/>
          <w:lang w:val="en-US" w:eastAsia="zh-CN" w:bidi="ar-SA"/>
          <w14:textFill>
            <w14:solidFill>
              <w14:schemeClr w14:val="tx1"/>
            </w14:solidFill>
          </w14:textFill>
        </w:rPr>
        <w:t xml:space="preserve"> </w:t>
      </w:r>
      <w:r>
        <w:rPr>
          <w:rFonts w:hint="eastAsia" w:ascii="仿宋_GB2312" w:hAnsi="Times New Roman" w:eastAsia="仿宋_GB2312" w:cs="仿宋_GB2312"/>
          <w:bCs/>
          <w:color w:val="000000" w:themeColor="text1"/>
          <w:spacing w:val="-11"/>
          <w:kern w:val="0"/>
          <w:sz w:val="24"/>
          <w:szCs w:val="24"/>
          <w:lang w:val="en-US" w:eastAsia="zh-CN" w:bidi="ar-SA"/>
          <w14:textFill>
            <w14:solidFill>
              <w14:schemeClr w14:val="tx1"/>
            </w14:solidFill>
          </w14:textFill>
        </w:rPr>
        <w:t>日</w:t>
      </w:r>
    </w:p>
    <w:p w14:paraId="43CDE728">
      <w:pPr>
        <w:pStyle w:val="5"/>
        <w:ind w:left="0" w:leftChars="0" w:firstLine="0" w:firstLineChars="0"/>
        <w:rPr>
          <w:rFonts w:hint="eastAsia" w:ascii="黑体" w:hAnsi="黑体" w:eastAsia="黑体" w:cs="黑体"/>
          <w:bCs/>
          <w:color w:val="000000" w:themeColor="text1"/>
          <w:kern w:val="0"/>
          <w:sz w:val="28"/>
          <w:szCs w:val="28"/>
          <w:lang w:val="en-US" w:eastAsia="zh-CN" w:bidi="ar-SA"/>
          <w14:textFill>
            <w14:solidFill>
              <w14:schemeClr w14:val="tx1"/>
            </w14:solidFill>
          </w14:textFill>
        </w:rPr>
      </w:pPr>
      <w:r>
        <w:rPr>
          <w:rFonts w:hint="eastAsia" w:ascii="黑体" w:hAnsi="黑体" w:eastAsia="黑体" w:cs="黑体"/>
          <w:bCs/>
          <w:color w:val="000000" w:themeColor="text1"/>
          <w:kern w:val="0"/>
          <w:sz w:val="28"/>
          <w:szCs w:val="28"/>
          <w:lang w:val="en-US" w:eastAsia="zh-CN" w:bidi="ar-SA"/>
          <w14:textFill>
            <w14:solidFill>
              <w14:schemeClr w14:val="tx1"/>
            </w14:solidFill>
          </w14:textFill>
        </w:rPr>
        <w:t>附件一</w:t>
      </w:r>
    </w:p>
    <w:p w14:paraId="5D3C7FC3">
      <w:pPr>
        <w:pStyle w:val="5"/>
        <w:ind w:left="0" w:leftChars="0" w:firstLine="0" w:firstLineChars="0"/>
        <w:rPr>
          <w:rFonts w:hint="default" w:ascii="仿宋_GB2312" w:eastAsia="仿宋_GB2312" w:cs="仿宋_GB2312"/>
          <w:bCs/>
          <w:color w:val="000000" w:themeColor="text1"/>
          <w:kern w:val="0"/>
          <w:sz w:val="28"/>
          <w:szCs w:val="28"/>
          <w:lang w:val="en-US" w:eastAsia="zh-CN" w:bidi="ar-SA"/>
          <w14:textFill>
            <w14:solidFill>
              <w14:schemeClr w14:val="tx1"/>
            </w14:solidFill>
          </w14:textFill>
        </w:rPr>
      </w:pPr>
      <w:r>
        <w:rPr>
          <w:rFonts w:hint="eastAsia" w:ascii="仿宋_GB2312" w:eastAsia="仿宋_GB2312" w:cs="仿宋_GB2312"/>
          <w:bCs/>
          <w:color w:val="000000" w:themeColor="text1"/>
          <w:kern w:val="0"/>
          <w:sz w:val="28"/>
          <w:szCs w:val="28"/>
          <w:lang w:val="en-US" w:eastAsia="zh-CN" w:bidi="ar-SA"/>
          <w14:textFill>
            <w14:solidFill>
              <w14:schemeClr w14:val="tx1"/>
            </w14:solidFill>
          </w14:textFill>
        </w:rPr>
        <w:t xml:space="preserve">                       </w:t>
      </w:r>
      <w:r>
        <w:rPr>
          <w:rFonts w:hint="eastAsia" w:ascii="仿宋_GB2312" w:eastAsia="仿宋_GB2312" w:cs="仿宋_GB2312"/>
          <w:b/>
          <w:bCs w:val="0"/>
          <w:color w:val="000000" w:themeColor="text1"/>
          <w:kern w:val="0"/>
          <w:sz w:val="30"/>
          <w:szCs w:val="30"/>
          <w:lang w:val="en-US" w:eastAsia="zh-CN" w:bidi="ar-SA"/>
          <w14:textFill>
            <w14:solidFill>
              <w14:schemeClr w14:val="tx1"/>
            </w14:solidFill>
          </w14:textFill>
        </w:rPr>
        <w:t>技术参数要求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968"/>
        <w:gridCol w:w="6836"/>
      </w:tblGrid>
      <w:tr w14:paraId="31DA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7D9E01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023" w:type="pct"/>
            <w:vAlign w:val="center"/>
          </w:tcPr>
          <w:p w14:paraId="20B1BC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指标项</w:t>
            </w:r>
          </w:p>
        </w:tc>
        <w:tc>
          <w:tcPr>
            <w:tcW w:w="3554" w:type="pct"/>
            <w:vAlign w:val="center"/>
          </w:tcPr>
          <w:p w14:paraId="1510EE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技术规格要求</w:t>
            </w:r>
          </w:p>
        </w:tc>
      </w:tr>
      <w:tr w14:paraId="514C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2" w:type="pct"/>
            <w:vAlign w:val="center"/>
          </w:tcPr>
          <w:p w14:paraId="48A6365D">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Align w:val="center"/>
          </w:tcPr>
          <w:p w14:paraId="3BB7AE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基础要求</w:t>
            </w:r>
          </w:p>
        </w:tc>
        <w:tc>
          <w:tcPr>
            <w:tcW w:w="3554" w:type="pct"/>
            <w:vAlign w:val="center"/>
          </w:tcPr>
          <w:p w14:paraId="12DE9C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基于linux开发的嵌入式专用系统，支持软硬件一体或虚拟化部署。</w:t>
            </w:r>
          </w:p>
        </w:tc>
      </w:tr>
      <w:tr w14:paraId="3846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5D852814">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023" w:type="pct"/>
            <w:vAlign w:val="center"/>
          </w:tcPr>
          <w:p w14:paraId="5FD39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硬件指标</w:t>
            </w:r>
          </w:p>
        </w:tc>
        <w:tc>
          <w:tcPr>
            <w:tcW w:w="3554" w:type="pct"/>
            <w:vAlign w:val="center"/>
          </w:tcPr>
          <w:p w14:paraId="7806B3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1"/>
                <w:szCs w:val="2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z w:val="21"/>
                <w:szCs w:val="21"/>
                <w:shd w:val="clear" w:color="auto" w:fill="FFFFFF"/>
                <w14:textFill>
                  <w14:solidFill>
                    <w14:schemeClr w14:val="tx1"/>
                  </w14:solidFill>
                </w14:textFill>
              </w:rPr>
              <w:t>1U 机架结构;</w:t>
            </w:r>
            <w:r>
              <w:rPr>
                <w:rFonts w:hint="eastAsia" w:ascii="宋体" w:hAnsi="宋体" w:cs="宋体"/>
                <w:b w:val="0"/>
                <w:bCs w:val="0"/>
                <w:color w:val="000000" w:themeColor="text1"/>
                <w:sz w:val="21"/>
                <w:szCs w:val="21"/>
                <w:shd w:val="clear" w:color="auto" w:fill="FFFFFF"/>
                <w:lang w:val="en-US" w:eastAsia="zh-CN"/>
                <w14:textFill>
                  <w14:solidFill>
                    <w14:schemeClr w14:val="tx1"/>
                  </w14:solidFill>
                </w14:textFill>
              </w:rPr>
              <w:t>双</w:t>
            </w:r>
            <w:r>
              <w:rPr>
                <w:rFonts w:hint="eastAsia" w:ascii="宋体" w:hAnsi="宋体" w:eastAsia="宋体" w:cs="宋体"/>
                <w:b w:val="0"/>
                <w:bCs w:val="0"/>
                <w:color w:val="000000" w:themeColor="text1"/>
                <w:sz w:val="21"/>
                <w:szCs w:val="21"/>
                <w:shd w:val="clear" w:color="auto" w:fill="FFFFFF"/>
                <w14:textFill>
                  <w14:solidFill>
                    <w14:schemeClr w14:val="tx1"/>
                  </w14:solidFill>
                </w14:textFill>
              </w:rPr>
              <w:t>电源;标准配置6个1000MBASE-T接口,可配置1个接口卡;每秒事务数(TPS)</w:t>
            </w:r>
            <w:r>
              <w:rPr>
                <w:rFonts w:hint="eastAsia" w:ascii="宋体" w:hAnsi="宋体" w:eastAsia="宋体" w:cs="宋体"/>
                <w:b w:val="0"/>
                <w:bCs w:val="0"/>
                <w:color w:val="000000" w:themeColor="text1"/>
                <w:sz w:val="21"/>
                <w:szCs w:val="21"/>
                <w:shd w:val="clear" w:color="auto" w:fill="FFFFFF"/>
                <w:lang w:eastAsia="zh-CN"/>
                <w14:textFill>
                  <w14:solidFill>
                    <w14:schemeClr w14:val="tx1"/>
                  </w14:solidFill>
                </w14:textFill>
              </w:rPr>
              <w:t>：≥</w:t>
            </w:r>
            <w:r>
              <w:rPr>
                <w:rFonts w:hint="eastAsia" w:ascii="宋体" w:hAnsi="宋体" w:cs="宋体"/>
                <w:b w:val="0"/>
                <w:bCs w:val="0"/>
                <w:color w:val="000000" w:themeColor="text1"/>
                <w:sz w:val="21"/>
                <w:szCs w:val="21"/>
                <w:shd w:val="clear" w:color="auto" w:fill="FFFFFF"/>
                <w:lang w:val="en-US" w:eastAsia="zh-CN"/>
                <w14:textFill>
                  <w14:solidFill>
                    <w14:schemeClr w14:val="tx1"/>
                  </w14:solidFill>
                </w14:textFill>
              </w:rPr>
              <w:t>5</w:t>
            </w:r>
            <w:r>
              <w:rPr>
                <w:rFonts w:hint="eastAsia" w:ascii="宋体" w:hAnsi="宋体" w:eastAsia="宋体" w:cs="宋体"/>
                <w:b w:val="0"/>
                <w:bCs w:val="0"/>
                <w:color w:val="000000" w:themeColor="text1"/>
                <w:sz w:val="21"/>
                <w:szCs w:val="21"/>
                <w:shd w:val="clear" w:color="auto" w:fill="FFFFFF"/>
                <w14:textFill>
                  <w14:solidFill>
                    <w14:schemeClr w14:val="tx1"/>
                  </w14:solidFill>
                </w14:textFill>
              </w:rPr>
              <w:t>000(次/秒)，最大吞吐量:</w:t>
            </w:r>
            <w:r>
              <w:rPr>
                <w:rFonts w:hint="eastAsia" w:ascii="宋体" w:hAnsi="宋体" w:eastAsia="宋体" w:cs="宋体"/>
                <w:b w:val="0"/>
                <w:bCs w:val="0"/>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val="0"/>
                <w:bCs w:val="0"/>
                <w:color w:val="000000" w:themeColor="text1"/>
                <w:sz w:val="21"/>
                <w:szCs w:val="21"/>
                <w:shd w:val="clear" w:color="auto" w:fill="FFFFFF"/>
                <w14:textFill>
                  <w14:solidFill>
                    <w14:schemeClr w14:val="tx1"/>
                  </w14:solidFill>
                </w14:textFill>
              </w:rPr>
              <w:t>2Gbps，最大并发连接数:</w:t>
            </w:r>
            <w:r>
              <w:rPr>
                <w:rFonts w:hint="eastAsia" w:ascii="宋体" w:hAnsi="宋体" w:cs="宋体"/>
                <w:b w:val="0"/>
                <w:bCs w:val="0"/>
                <w:color w:val="000000" w:themeColor="text1"/>
                <w:sz w:val="21"/>
                <w:szCs w:val="21"/>
                <w:shd w:val="clear" w:color="auto" w:fill="FFFFFF"/>
                <w:lang w:val="en-US" w:eastAsia="zh-CN"/>
                <w14:textFill>
                  <w14:solidFill>
                    <w14:schemeClr w14:val="tx1"/>
                  </w14:solidFill>
                </w14:textFill>
              </w:rPr>
              <w:t>4</w:t>
            </w:r>
            <w:r>
              <w:rPr>
                <w:rFonts w:hint="eastAsia" w:ascii="宋体" w:hAnsi="宋体" w:eastAsia="宋体" w:cs="宋体"/>
                <w:b w:val="0"/>
                <w:bCs w:val="0"/>
                <w:color w:val="000000" w:themeColor="text1"/>
                <w:sz w:val="21"/>
                <w:szCs w:val="21"/>
                <w:shd w:val="clear" w:color="auto" w:fill="FFFFFF"/>
                <w14:textFill>
                  <w14:solidFill>
                    <w14:schemeClr w14:val="tx1"/>
                  </w14:solidFill>
                </w14:textFill>
              </w:rPr>
              <w:t>000(条)</w:t>
            </w:r>
            <w:r>
              <w:rPr>
                <w:rFonts w:hint="eastAsia" w:ascii="宋体" w:hAnsi="宋体" w:eastAsia="宋体" w:cs="宋体"/>
                <w:b w:val="0"/>
                <w:bCs w:val="0"/>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val="0"/>
                <w:bCs w:val="0"/>
                <w:color w:val="000000" w:themeColor="text1"/>
                <w:sz w:val="21"/>
                <w:szCs w:val="21"/>
                <w:shd w:val="clear" w:color="auto" w:fill="FFFFFF"/>
                <w:lang w:val="en-US" w:eastAsia="zh-CN"/>
                <w14:textFill>
                  <w14:solidFill>
                    <w14:schemeClr w14:val="tx1"/>
                  </w14:solidFill>
                </w14:textFill>
              </w:rPr>
              <w:t>本次项目提供</w:t>
            </w:r>
            <w:r>
              <w:rPr>
                <w:rFonts w:hint="eastAsia" w:ascii="宋体" w:hAnsi="宋体" w:cs="宋体"/>
                <w:b w:val="0"/>
                <w:bCs w:val="0"/>
                <w:color w:val="000000" w:themeColor="text1"/>
                <w:sz w:val="21"/>
                <w:szCs w:val="21"/>
                <w:shd w:val="clear" w:color="auto" w:fill="FFFFFF"/>
                <w:lang w:val="en-US" w:eastAsia="zh-CN"/>
                <w14:textFill>
                  <w14:solidFill>
                    <w14:schemeClr w14:val="tx1"/>
                  </w14:solidFill>
                </w14:textFill>
              </w:rPr>
              <w:t>2000</w:t>
            </w:r>
            <w:r>
              <w:rPr>
                <w:rFonts w:hint="eastAsia" w:ascii="宋体" w:hAnsi="宋体" w:eastAsia="宋体" w:cs="宋体"/>
                <w:b w:val="0"/>
                <w:bCs w:val="0"/>
                <w:color w:val="000000" w:themeColor="text1"/>
                <w:sz w:val="21"/>
                <w:szCs w:val="21"/>
                <w:shd w:val="clear" w:color="auto" w:fill="FFFFFF"/>
                <w:lang w:val="en-US" w:eastAsia="zh-CN"/>
                <w14:textFill>
                  <w14:solidFill>
                    <w14:schemeClr w14:val="tx1"/>
                  </w14:solidFill>
                </w14:textFill>
              </w:rPr>
              <w:t>点终端接入授权</w:t>
            </w:r>
          </w:p>
        </w:tc>
      </w:tr>
      <w:tr w14:paraId="4D75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7281BB17">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Align w:val="center"/>
          </w:tcPr>
          <w:p w14:paraId="7276CD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安全登录</w:t>
            </w:r>
          </w:p>
        </w:tc>
        <w:tc>
          <w:tcPr>
            <w:tcW w:w="3554" w:type="pct"/>
            <w:vAlign w:val="center"/>
          </w:tcPr>
          <w:p w14:paraId="1FAC06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使用安全登录组建替代域控账户控制，安全登录功能扩展了Windows系统原有</w:t>
            </w:r>
            <w:r>
              <w:rPr>
                <w:rFonts w:hint="eastAsia" w:ascii="宋体" w:hAnsi="宋体" w:cs="宋体"/>
                <w:color w:val="000000" w:themeColor="text1"/>
                <w:sz w:val="21"/>
                <w:szCs w:val="21"/>
                <w:shd w:val="clear" w:color="auto" w:fill="FFFFFF"/>
                <w:lang w:eastAsia="zh-CN"/>
                <w14:textFill>
                  <w14:solidFill>
                    <w14:schemeClr w14:val="tx1"/>
                  </w14:solidFill>
                </w14:textFill>
              </w:rPr>
              <w:t>的账号</w:t>
            </w:r>
            <w:r>
              <w:rPr>
                <w:rFonts w:hint="eastAsia" w:ascii="宋体" w:hAnsi="宋体" w:eastAsia="宋体" w:cs="宋体"/>
                <w:color w:val="000000" w:themeColor="text1"/>
                <w:sz w:val="21"/>
                <w:szCs w:val="21"/>
                <w:shd w:val="clear" w:color="auto" w:fill="FFFFFF"/>
                <w14:textFill>
                  <w14:solidFill>
                    <w14:schemeClr w14:val="tx1"/>
                  </w14:solidFill>
                </w14:textFill>
              </w:rPr>
              <w:t>+口令的登录方式，使之支持Ukey、智能卡、平台自</w:t>
            </w:r>
            <w:r>
              <w:rPr>
                <w:rFonts w:hint="eastAsia" w:ascii="宋体" w:hAnsi="宋体" w:cs="宋体"/>
                <w:color w:val="000000" w:themeColor="text1"/>
                <w:sz w:val="21"/>
                <w:szCs w:val="21"/>
                <w:shd w:val="clear" w:color="auto" w:fill="FFFFFF"/>
                <w:lang w:eastAsia="zh-CN"/>
                <w14:textFill>
                  <w14:solidFill>
                    <w14:schemeClr w14:val="tx1"/>
                  </w14:solidFill>
                </w14:textFill>
              </w:rPr>
              <w:t>建账号</w:t>
            </w:r>
            <w:r>
              <w:rPr>
                <w:rFonts w:hint="eastAsia" w:ascii="宋体" w:hAnsi="宋体" w:eastAsia="宋体" w:cs="宋体"/>
                <w:color w:val="000000" w:themeColor="text1"/>
                <w:sz w:val="21"/>
                <w:szCs w:val="21"/>
                <w:shd w:val="clear" w:color="auto" w:fill="FFFFFF"/>
                <w14:textFill>
                  <w14:solidFill>
                    <w14:schemeClr w14:val="tx1"/>
                  </w14:solidFill>
                </w14:textFill>
              </w:rPr>
              <w:t>、</w:t>
            </w:r>
            <w:r>
              <w:rPr>
                <w:rFonts w:hint="eastAsia" w:ascii="宋体" w:hAnsi="宋体" w:cs="宋体"/>
                <w:color w:val="000000" w:themeColor="text1"/>
                <w:sz w:val="21"/>
                <w:szCs w:val="21"/>
                <w:shd w:val="clear" w:color="auto" w:fill="FFFFFF"/>
                <w:lang w:eastAsia="zh-CN"/>
                <w14:textFill>
                  <w14:solidFill>
                    <w14:schemeClr w14:val="tx1"/>
                  </w14:solidFill>
                </w14:textFill>
              </w:rPr>
              <w:t>邮箱账号</w:t>
            </w:r>
            <w:r>
              <w:rPr>
                <w:rFonts w:hint="eastAsia" w:ascii="宋体" w:hAnsi="宋体" w:eastAsia="宋体" w:cs="宋体"/>
                <w:color w:val="000000" w:themeColor="text1"/>
                <w:sz w:val="21"/>
                <w:szCs w:val="21"/>
                <w:shd w:val="clear" w:color="auto" w:fill="FFFFFF"/>
                <w14:textFill>
                  <w14:solidFill>
                    <w14:schemeClr w14:val="tx1"/>
                  </w14:solidFill>
                </w14:textFill>
              </w:rPr>
              <w:t>、LDAP、Radius、动态验证码等各种方式认证并登录Windows系统</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ascii="宋体" w:hAnsi="宋体" w:cs="宋体"/>
                <w:color w:val="000000" w:themeColor="text1"/>
                <w:sz w:val="21"/>
                <w:szCs w:val="21"/>
                <w:shd w:val="clear" w:color="auto" w:fill="FFFFFF"/>
                <w:lang w:val="en-US" w:eastAsia="zh-CN"/>
                <w14:textFill>
                  <w14:solidFill>
                    <w14:schemeClr w14:val="tx1"/>
                  </w14:solidFill>
                </w14:textFill>
              </w:rPr>
              <w:t>同时支持linux系统</w:t>
            </w:r>
            <w:r>
              <w:rPr>
                <w:rFonts w:hint="eastAsia" w:ascii="宋体" w:hAnsi="宋体" w:eastAsia="宋体" w:cs="宋体"/>
                <w:color w:val="000000" w:themeColor="text1"/>
                <w:sz w:val="21"/>
                <w:szCs w:val="21"/>
                <w:shd w:val="clear" w:color="auto" w:fill="FFFFFF"/>
                <w14:textFill>
                  <w14:solidFill>
                    <w14:schemeClr w14:val="tx1"/>
                  </w14:solidFill>
                </w14:textFill>
              </w:rPr>
              <w:t>。</w:t>
            </w:r>
            <w:r>
              <w:rPr>
                <w:rFonts w:hint="eastAsia"/>
                <w:color w:val="000000" w:themeColor="text1"/>
                <w:sz w:val="21"/>
                <w:szCs w:val="21"/>
                <w14:textFill>
                  <w14:solidFill>
                    <w14:schemeClr w14:val="tx1"/>
                  </w14:solidFill>
                </w14:textFill>
              </w:rPr>
              <w:t>提供产品功能截图并加盖原厂商公章</w:t>
            </w:r>
            <w:r>
              <w:rPr>
                <w:rFonts w:hint="eastAsia"/>
                <w:color w:val="000000" w:themeColor="text1"/>
                <w:sz w:val="21"/>
                <w:szCs w:val="21"/>
                <w:lang w:eastAsia="zh-CN"/>
                <w14:textFill>
                  <w14:solidFill>
                    <w14:schemeClr w14:val="tx1"/>
                  </w14:solidFill>
                </w14:textFill>
              </w:rPr>
              <w:t>）</w:t>
            </w:r>
          </w:p>
        </w:tc>
      </w:tr>
      <w:tr w14:paraId="5166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2B499D3F">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restart"/>
            <w:vAlign w:val="center"/>
          </w:tcPr>
          <w:p w14:paraId="28E39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终端故障检测</w:t>
            </w:r>
          </w:p>
        </w:tc>
        <w:tc>
          <w:tcPr>
            <w:tcW w:w="3554" w:type="pct"/>
            <w:vAlign w:val="center"/>
          </w:tcPr>
          <w:p w14:paraId="492B79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支持对终端cpu使用率过高、内存使用率过高、磁盘占用率过高等硬件性能故障进行智能监测，并提供自动修复方式；</w:t>
            </w:r>
          </w:p>
        </w:tc>
      </w:tr>
      <w:tr w14:paraId="70AF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2195C94B">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59D058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lang w:val="en-US" w:eastAsia="zh-CN"/>
                <w14:textFill>
                  <w14:solidFill>
                    <w14:schemeClr w14:val="tx1"/>
                  </w14:solidFill>
                </w14:textFill>
              </w:rPr>
            </w:pPr>
          </w:p>
        </w:tc>
        <w:tc>
          <w:tcPr>
            <w:tcW w:w="3554" w:type="pct"/>
            <w:vAlign w:val="center"/>
          </w:tcPr>
          <w:p w14:paraId="27FC57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支持对终端网络连接异常、IP地址配置错误、网络连接质量差等网络故障进行智能监测，并提供自动修复的方式；</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color w:val="000000" w:themeColor="text1"/>
                <w:sz w:val="21"/>
                <w:szCs w:val="21"/>
                <w14:textFill>
                  <w14:solidFill>
                    <w14:schemeClr w14:val="tx1"/>
                  </w14:solidFill>
                </w14:textFill>
              </w:rPr>
              <w:t>提供产品功能截图并加盖原厂商公章</w:t>
            </w:r>
            <w:r>
              <w:rPr>
                <w:rFonts w:hint="eastAsia"/>
                <w:color w:val="000000" w:themeColor="text1"/>
                <w:sz w:val="21"/>
                <w:szCs w:val="21"/>
                <w:lang w:eastAsia="zh-CN"/>
                <w14:textFill>
                  <w14:solidFill>
                    <w14:schemeClr w14:val="tx1"/>
                  </w14:solidFill>
                </w14:textFill>
              </w:rPr>
              <w:t>）</w:t>
            </w:r>
          </w:p>
        </w:tc>
      </w:tr>
      <w:tr w14:paraId="7110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4845B799">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22395B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lang w:val="en-US" w:eastAsia="zh-CN"/>
                <w14:textFill>
                  <w14:solidFill>
                    <w14:schemeClr w14:val="tx1"/>
                  </w14:solidFill>
                </w14:textFill>
              </w:rPr>
            </w:pPr>
          </w:p>
        </w:tc>
        <w:tc>
          <w:tcPr>
            <w:tcW w:w="3554" w:type="pct"/>
            <w:vAlign w:val="center"/>
          </w:tcPr>
          <w:p w14:paraId="5B3052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支持对终端超时长运行、异常进程、杀毒软件冲突等操作系统故障进行智能监测，并提供自动修复的方式</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color w:val="000000" w:themeColor="text1"/>
                <w:sz w:val="21"/>
                <w:szCs w:val="21"/>
                <w14:textFill>
                  <w14:solidFill>
                    <w14:schemeClr w14:val="tx1"/>
                  </w14:solidFill>
                </w14:textFill>
              </w:rPr>
              <w:t>提供产品功能截图并加盖原厂商公章</w:t>
            </w:r>
            <w:r>
              <w:rPr>
                <w:rFonts w:hint="eastAsia"/>
                <w:color w:val="000000" w:themeColor="text1"/>
                <w:sz w:val="21"/>
                <w:szCs w:val="21"/>
                <w:lang w:eastAsia="zh-CN"/>
                <w14:textFill>
                  <w14:solidFill>
                    <w14:schemeClr w14:val="tx1"/>
                  </w14:solidFill>
                </w14:textFill>
              </w:rPr>
              <w:t>）</w:t>
            </w:r>
          </w:p>
        </w:tc>
      </w:tr>
      <w:tr w14:paraId="4050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60EF1557">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0630A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lang w:val="en-US" w:eastAsia="zh-CN"/>
                <w14:textFill>
                  <w14:solidFill>
                    <w14:schemeClr w14:val="tx1"/>
                  </w14:solidFill>
                </w14:textFill>
              </w:rPr>
            </w:pPr>
          </w:p>
        </w:tc>
        <w:tc>
          <w:tcPr>
            <w:tcW w:w="3554" w:type="pct"/>
            <w:vAlign w:val="center"/>
          </w:tcPr>
          <w:p w14:paraId="353001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支持对终端打印机连接异常、打印服务未启用、打印队列阻塞等打印故障进行智能监测，并提供自动修复的方式</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color w:val="000000" w:themeColor="text1"/>
                <w:sz w:val="21"/>
                <w:szCs w:val="21"/>
                <w14:textFill>
                  <w14:solidFill>
                    <w14:schemeClr w14:val="tx1"/>
                  </w14:solidFill>
                </w14:textFill>
              </w:rPr>
              <w:t>提供产品功能截图并加盖原厂商公章</w:t>
            </w:r>
            <w:r>
              <w:rPr>
                <w:rFonts w:hint="eastAsia"/>
                <w:color w:val="000000" w:themeColor="text1"/>
                <w:sz w:val="21"/>
                <w:szCs w:val="21"/>
                <w:lang w:eastAsia="zh-CN"/>
                <w14:textFill>
                  <w14:solidFill>
                    <w14:schemeClr w14:val="tx1"/>
                  </w14:solidFill>
                </w14:textFill>
              </w:rPr>
              <w:t>）</w:t>
            </w:r>
          </w:p>
        </w:tc>
      </w:tr>
      <w:tr w14:paraId="13CA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3E1236EC">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06D7E3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1"/>
                <w:szCs w:val="21"/>
                <w:lang w:val="en-US" w:eastAsia="zh-CN"/>
                <w14:textFill>
                  <w14:solidFill>
                    <w14:schemeClr w14:val="tx1"/>
                  </w14:solidFill>
                </w14:textFill>
              </w:rPr>
            </w:pPr>
          </w:p>
        </w:tc>
        <w:tc>
          <w:tcPr>
            <w:tcW w:w="3554" w:type="pct"/>
            <w:vAlign w:val="center"/>
          </w:tcPr>
          <w:p w14:paraId="0BAB4F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支持一键故障诊断，在客户端侧支持对本机进行一键故障诊断；在管理后台，管理员可对指定终端进行远程一键故障诊断。</w:t>
            </w:r>
          </w:p>
        </w:tc>
      </w:tr>
      <w:tr w14:paraId="5337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422" w:type="pct"/>
            <w:vAlign w:val="center"/>
          </w:tcPr>
          <w:p w14:paraId="45E2600B">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restart"/>
            <w:vAlign w:val="center"/>
          </w:tcPr>
          <w:p w14:paraId="53C4AD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运维工作台</w:t>
            </w:r>
          </w:p>
        </w:tc>
        <w:tc>
          <w:tcPr>
            <w:tcW w:w="3554" w:type="pct"/>
            <w:vAlign w:val="center"/>
          </w:tcPr>
          <w:p w14:paraId="61681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支持以卡片形式对终端进行远程控制、IP地址更改、计算机名更改等操作；同时支持重启、关机、卸载客户端等批量操作</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color w:val="000000" w:themeColor="text1"/>
                <w:sz w:val="21"/>
                <w:szCs w:val="21"/>
                <w14:textFill>
                  <w14:solidFill>
                    <w14:schemeClr w14:val="tx1"/>
                  </w14:solidFill>
                </w14:textFill>
              </w:rPr>
              <w:t>提供产品功能截图并加盖原厂商公章</w:t>
            </w:r>
            <w:r>
              <w:rPr>
                <w:rFonts w:hint="eastAsia"/>
                <w:color w:val="000000" w:themeColor="text1"/>
                <w:sz w:val="21"/>
                <w:szCs w:val="21"/>
                <w:lang w:eastAsia="zh-CN"/>
                <w14:textFill>
                  <w14:solidFill>
                    <w14:schemeClr w14:val="tx1"/>
                  </w14:solidFill>
                </w14:textFill>
              </w:rPr>
              <w:t>）</w:t>
            </w:r>
          </w:p>
        </w:tc>
      </w:tr>
      <w:tr w14:paraId="277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7B877097">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Align w:val="center"/>
          </w:tcPr>
          <w:p w14:paraId="51A53E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sz w:val="21"/>
                <w:szCs w:val="21"/>
                <w:shd w:val="clear" w:color="auto" w:fill="FFFFFF"/>
                <w:lang w:val="en-US" w:eastAsia="zh-CN"/>
                <w14:textFill>
                  <w14:solidFill>
                    <w14:schemeClr w14:val="tx1"/>
                  </w14:solidFill>
                </w14:textFill>
              </w:rPr>
            </w:pPr>
            <w:r>
              <w:rPr>
                <w:rFonts w:hint="eastAsia" w:ascii="宋体" w:hAnsi="宋体" w:cs="宋体"/>
                <w:color w:val="000000" w:themeColor="text1"/>
                <w:sz w:val="21"/>
                <w:szCs w:val="21"/>
                <w:shd w:val="clear" w:color="auto" w:fill="FFFFFF"/>
                <w:lang w:val="en-US" w:eastAsia="zh-CN"/>
                <w14:textFill>
                  <w14:solidFill>
                    <w14:schemeClr w14:val="tx1"/>
                  </w14:solidFill>
                </w14:textFill>
              </w:rPr>
              <w:t>水印管理</w:t>
            </w:r>
          </w:p>
        </w:tc>
        <w:tc>
          <w:tcPr>
            <w:tcW w:w="3554" w:type="pct"/>
            <w:vAlign w:val="center"/>
          </w:tcPr>
          <w:p w14:paraId="5EA562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支持自定义配置水印类型、水印信息内容、大小、位置及应用范围等； </w:t>
            </w:r>
          </w:p>
          <w:p w14:paraId="111F0C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水印内容支持标签管理，可以自定义IP、MAC、计算机账户等内容，不同的用户终端可以看到不同的水印信息；</w:t>
            </w:r>
          </w:p>
          <w:p w14:paraId="000562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支持基于进程、窗口等方式触发水印</w:t>
            </w:r>
          </w:p>
          <w:p w14:paraId="688DD0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支持矢量水印技术，可以将水印信息编码为矢量点阵水印；</w:t>
            </w:r>
          </w:p>
        </w:tc>
      </w:tr>
      <w:tr w14:paraId="3FAF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2354654E">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restart"/>
            <w:vAlign w:val="center"/>
          </w:tcPr>
          <w:p w14:paraId="6C91FF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远程协助方式</w:t>
            </w:r>
          </w:p>
        </w:tc>
        <w:tc>
          <w:tcPr>
            <w:tcW w:w="3554" w:type="pct"/>
            <w:vAlign w:val="center"/>
          </w:tcPr>
          <w:p w14:paraId="7B6F17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管理员可通过web后台和客户端方式进行一键远程控制；</w:t>
            </w:r>
          </w:p>
          <w:p w14:paraId="7F8B0A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客户端侧支持使用系统管理员账号登录后才能远程控制，便于事后远程操作记录和审计；</w:t>
            </w:r>
          </w:p>
        </w:tc>
      </w:tr>
      <w:tr w14:paraId="6479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48F7CE87">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3CD23D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p>
        </w:tc>
        <w:tc>
          <w:tcPr>
            <w:tcW w:w="3554" w:type="pct"/>
            <w:vAlign w:val="center"/>
          </w:tcPr>
          <w:p w14:paraId="490725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管理员计算机与被管理计算机采用专用tcp端口进行直接连接，远程协助时不占用服务器端口资源。远程协助支持双向穿透NAT或VPN的远程屏幕控制。</w:t>
            </w:r>
          </w:p>
        </w:tc>
      </w:tr>
      <w:tr w14:paraId="3C8A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22" w:type="pct"/>
            <w:vAlign w:val="center"/>
          </w:tcPr>
          <w:p w14:paraId="3B7C47B0">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0ABECE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554" w:type="pct"/>
            <w:vAlign w:val="center"/>
          </w:tcPr>
          <w:p w14:paraId="3E3BAD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远程查看、远程控制可以根据管理需要和网络状况，选择、配置适合管理员的窗口分辨率、显示比例、色彩、鼠标按键、光标等。</w:t>
            </w:r>
          </w:p>
        </w:tc>
      </w:tr>
      <w:tr w14:paraId="070F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56B63916">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659CFD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554" w:type="pct"/>
            <w:vAlign w:val="center"/>
          </w:tcPr>
          <w:p w14:paraId="2A72F5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权限管理员支持限制操作管理员远程控制的权限，是否允许强制查看、控制和文件传输，允许指定必须申请管理的终端列表。</w:t>
            </w:r>
          </w:p>
        </w:tc>
      </w:tr>
      <w:tr w14:paraId="6A86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136CE5D9">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7DE49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554" w:type="pct"/>
            <w:vAlign w:val="center"/>
          </w:tcPr>
          <w:p w14:paraId="3708E5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支持远程操作审计，可审计远程时间、主控端IP、被控端IP、远程时长、远程管理员等详细信息</w:t>
            </w:r>
          </w:p>
        </w:tc>
      </w:tr>
      <w:tr w14:paraId="4096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pct"/>
            <w:vAlign w:val="center"/>
          </w:tcPr>
          <w:p w14:paraId="4D6D8312">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restart"/>
            <w:vAlign w:val="center"/>
          </w:tcPr>
          <w:p w14:paraId="2ABFFC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USB接入管理</w:t>
            </w:r>
          </w:p>
        </w:tc>
        <w:tc>
          <w:tcPr>
            <w:tcW w:w="3554" w:type="pct"/>
            <w:vAlign w:val="center"/>
          </w:tcPr>
          <w:p w14:paraId="2E3785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支持usb口禁止接入、仅准许接入非存储介质策略，实现外盘外用；</w:t>
            </w:r>
          </w:p>
        </w:tc>
      </w:tr>
      <w:tr w14:paraId="0DFB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08288118">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59E641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554" w:type="pct"/>
            <w:vAlign w:val="center"/>
          </w:tcPr>
          <w:p w14:paraId="577CD5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支持存储介质使用在线审批，终端用户在线发起申请，管理员在线审批、下发策略。策略包括但不限于强制分区、加密、读写权限限制、禁止可执行文件自运行；实现内部U盘只能在院内使用</w:t>
            </w:r>
          </w:p>
        </w:tc>
      </w:tr>
      <w:tr w14:paraId="3655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0BA50D82">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39F22B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554" w:type="pct"/>
            <w:vAlign w:val="center"/>
          </w:tcPr>
          <w:p w14:paraId="4E8372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支持指定USB使用范围，实现专盘专用；</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color w:val="000000" w:themeColor="text1"/>
                <w:sz w:val="21"/>
                <w:szCs w:val="21"/>
                <w14:textFill>
                  <w14:solidFill>
                    <w14:schemeClr w14:val="tx1"/>
                  </w14:solidFill>
                </w14:textFill>
              </w:rPr>
              <w:t>提供产品功能截图并加盖原厂商公章</w:t>
            </w:r>
            <w:r>
              <w:rPr>
                <w:rFonts w:hint="eastAsia"/>
                <w:color w:val="000000" w:themeColor="text1"/>
                <w:sz w:val="21"/>
                <w:szCs w:val="21"/>
                <w:lang w:eastAsia="zh-CN"/>
                <w14:textFill>
                  <w14:solidFill>
                    <w14:schemeClr w14:val="tx1"/>
                  </w14:solidFill>
                </w14:textFill>
              </w:rPr>
              <w:t>）</w:t>
            </w:r>
          </w:p>
        </w:tc>
      </w:tr>
      <w:tr w14:paraId="7E48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47ABD5DB">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3872F7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554" w:type="pct"/>
            <w:vAlign w:val="center"/>
          </w:tcPr>
          <w:p w14:paraId="778A72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支持对移动存储设备的读、写操作进行审计，包括文件创建、复制、删除、修改、改名等操作。移动存储介质的插入和拔出动作的详细记录，包括事件类型，移动存储介质的名称、用户、计算机IP地址和事件时间。</w:t>
            </w:r>
          </w:p>
        </w:tc>
      </w:tr>
      <w:tr w14:paraId="7745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Merge w:val="restart"/>
            <w:vAlign w:val="center"/>
          </w:tcPr>
          <w:p w14:paraId="35AA8B7F">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restart"/>
            <w:vAlign w:val="center"/>
          </w:tcPr>
          <w:p w14:paraId="2F2263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网卡绑定配置</w:t>
            </w:r>
          </w:p>
        </w:tc>
        <w:tc>
          <w:tcPr>
            <w:tcW w:w="3554" w:type="pct"/>
            <w:vAlign w:val="center"/>
          </w:tcPr>
          <w:p w14:paraId="0999F7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能够实时监测终端IP地址、MAC地址、DNS配置等相关网络信息，支持对应信息的实时绑定，当IP或MAC发生改变时能够强制恢复至修改前。</w:t>
            </w:r>
          </w:p>
        </w:tc>
      </w:tr>
      <w:tr w14:paraId="2315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Merge w:val="continue"/>
            <w:vAlign w:val="center"/>
          </w:tcPr>
          <w:p w14:paraId="1441E8C4">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7B0F6A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554" w:type="pct"/>
            <w:vAlign w:val="center"/>
          </w:tcPr>
          <w:p w14:paraId="09BEC4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管理员可以授权部分用户修改IP地址</w:t>
            </w:r>
          </w:p>
        </w:tc>
      </w:tr>
      <w:tr w14:paraId="2514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1660188F">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Align w:val="center"/>
          </w:tcPr>
          <w:p w14:paraId="688478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行为控制</w:t>
            </w:r>
          </w:p>
        </w:tc>
        <w:tc>
          <w:tcPr>
            <w:tcW w:w="3554" w:type="pct"/>
            <w:vAlign w:val="center"/>
          </w:tcPr>
          <w:p w14:paraId="657F4E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支持对终端防火墙、外设、网站访问 、组策略、打印、文件访问等进行控制</w:t>
            </w:r>
          </w:p>
        </w:tc>
      </w:tr>
      <w:tr w14:paraId="6C88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58A46982">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Align w:val="center"/>
          </w:tcPr>
          <w:p w14:paraId="59CF21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资产管理</w:t>
            </w:r>
          </w:p>
        </w:tc>
        <w:tc>
          <w:tcPr>
            <w:tcW w:w="3554" w:type="pct"/>
            <w:vAlign w:val="center"/>
          </w:tcPr>
          <w:p w14:paraId="25A4D8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支持软硬件资产管理，可对软硬件资产变动提供报警</w:t>
            </w:r>
          </w:p>
        </w:tc>
      </w:tr>
      <w:tr w14:paraId="7751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55B60120">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Align w:val="center"/>
          </w:tcPr>
          <w:p w14:paraId="4BEB1D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终端外设管控</w:t>
            </w:r>
          </w:p>
        </w:tc>
        <w:tc>
          <w:tcPr>
            <w:tcW w:w="3554" w:type="pct"/>
            <w:vAlign w:val="center"/>
          </w:tcPr>
          <w:p w14:paraId="5A0048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支持对终端上正在使用的外设设备进行识别和报表展示，包括不限于名称、型号、插入时间、插入终端信息等，并支持对该外设进行一键禁用</w:t>
            </w:r>
          </w:p>
        </w:tc>
      </w:tr>
      <w:tr w14:paraId="322A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421E8D94">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Align w:val="center"/>
          </w:tcPr>
          <w:p w14:paraId="301A9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策略应用</w:t>
            </w:r>
          </w:p>
        </w:tc>
        <w:tc>
          <w:tcPr>
            <w:tcW w:w="3554" w:type="pct"/>
            <w:vAlign w:val="center"/>
          </w:tcPr>
          <w:p w14:paraId="7C0B21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违规预警、安全审计、安全基线、usb接入管理、行为控制、资产管理等均支持灵活的策略应用，包括但不限于根据角色、部门、指定终端、用户、ip段、等应用。</w:t>
            </w:r>
          </w:p>
        </w:tc>
      </w:tr>
      <w:tr w14:paraId="3AA0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3CAFF1FF">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Align w:val="center"/>
          </w:tcPr>
          <w:p w14:paraId="725AB1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终端智能分组</w:t>
            </w:r>
          </w:p>
        </w:tc>
        <w:tc>
          <w:tcPr>
            <w:tcW w:w="3554" w:type="pct"/>
            <w:vAlign w:val="center"/>
          </w:tcPr>
          <w:p w14:paraId="04A6C9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cs="Segoe UI Symbol"/>
                <w:color w:val="000000" w:themeColor="text1"/>
                <w:szCs w:val="21"/>
                <w:shd w:val="clear" w:color="auto" w:fill="FFFFFF"/>
                <w14:textFill>
                  <w14:solidFill>
                    <w14:schemeClr w14:val="tx1"/>
                  </w14:solidFill>
                </w14:textFill>
              </w:rPr>
              <w:t>支持基于终端行为对终端进行智能分组，实现基于终端业务属性进行分类，比如医护电脑、自助机、移动查房车、云桌面主机、老旧电脑、低配电脑等。</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color w:val="000000" w:themeColor="text1"/>
                <w:sz w:val="21"/>
                <w:szCs w:val="21"/>
                <w14:textFill>
                  <w14:solidFill>
                    <w14:schemeClr w14:val="tx1"/>
                  </w14:solidFill>
                </w14:textFill>
              </w:rPr>
              <w:t>提供产品功能截图并加盖原厂商公章</w:t>
            </w:r>
            <w:r>
              <w:rPr>
                <w:rFonts w:hint="eastAsia"/>
                <w:color w:val="000000" w:themeColor="text1"/>
                <w:sz w:val="21"/>
                <w:szCs w:val="21"/>
                <w:lang w:eastAsia="zh-CN"/>
                <w14:textFill>
                  <w14:solidFill>
                    <w14:schemeClr w14:val="tx1"/>
                  </w14:solidFill>
                </w14:textFill>
              </w:rPr>
              <w:t>）</w:t>
            </w:r>
          </w:p>
        </w:tc>
      </w:tr>
      <w:tr w14:paraId="5F41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06FEFBDB">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restart"/>
            <w:vAlign w:val="center"/>
          </w:tcPr>
          <w:p w14:paraId="36BD4F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软件分发</w:t>
            </w:r>
          </w:p>
        </w:tc>
        <w:tc>
          <w:tcPr>
            <w:tcW w:w="3554" w:type="pct"/>
            <w:vAlign w:val="center"/>
          </w:tcPr>
          <w:p w14:paraId="7C7739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能够支持可执行程序、MSI安装包或者文档数据文件自动下发与安装</w:t>
            </w:r>
          </w:p>
        </w:tc>
      </w:tr>
      <w:tr w14:paraId="6321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2AB4AF5A">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44EAA5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554" w:type="pct"/>
            <w:vAlign w:val="center"/>
          </w:tcPr>
          <w:p w14:paraId="745452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能够自动统计分发成功率及软件安装成功率，支持进程、注册表、安装路径等多种参数判断方式</w:t>
            </w:r>
          </w:p>
        </w:tc>
      </w:tr>
      <w:tr w14:paraId="4AD4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5310F90A">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5445A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554" w:type="pct"/>
            <w:vAlign w:val="center"/>
          </w:tcPr>
          <w:p w14:paraId="033132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支持根据操作系统不同分发不同升级包，提高软件分发功能对操作系统的适应性</w:t>
            </w:r>
          </w:p>
        </w:tc>
      </w:tr>
      <w:tr w14:paraId="2339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3BED0BF9">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restart"/>
            <w:vAlign w:val="center"/>
          </w:tcPr>
          <w:p w14:paraId="4FE577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客户端</w:t>
            </w:r>
          </w:p>
        </w:tc>
        <w:tc>
          <w:tcPr>
            <w:tcW w:w="3554" w:type="pct"/>
            <w:vAlign w:val="center"/>
          </w:tcPr>
          <w:p w14:paraId="0080A0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客户端支持自定义，包括但不限于是否显示客户端图标、自定义客户端名称、客户端安装包名称是否加密、是否启用万能卸载码等</w:t>
            </w:r>
          </w:p>
        </w:tc>
      </w:tr>
      <w:tr w14:paraId="662F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2" w:type="pct"/>
            <w:vAlign w:val="center"/>
          </w:tcPr>
          <w:p w14:paraId="7BB174E0">
            <w:pPr>
              <w:pStyle w:val="1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23" w:type="pct"/>
            <w:vMerge w:val="continue"/>
            <w:vAlign w:val="center"/>
          </w:tcPr>
          <w:p w14:paraId="428C79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554" w:type="pct"/>
            <w:vAlign w:val="center"/>
          </w:tcPr>
          <w:p w14:paraId="331888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themeColor="text1"/>
                <w:sz w:val="21"/>
                <w:szCs w:val="21"/>
                <w:shd w:val="clear" w:color="auto" w:fill="FFFFFF"/>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客户端版本支持逐步升级，管理员可自定义全部、部分网段更新或禁止指定网段更新的策略</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支持与网内入网管理系统客户端进行客户端融合，实现客户端快速部署；</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color w:val="000000" w:themeColor="text1"/>
                <w:sz w:val="21"/>
                <w:szCs w:val="21"/>
                <w14:textFill>
                  <w14:solidFill>
                    <w14:schemeClr w14:val="tx1"/>
                  </w14:solidFill>
                </w14:textFill>
              </w:rPr>
              <w:t>提供产品功能截图并加盖原厂商公章</w:t>
            </w:r>
            <w:r>
              <w:rPr>
                <w:rFonts w:hint="eastAsia"/>
                <w:color w:val="000000" w:themeColor="text1"/>
                <w:sz w:val="21"/>
                <w:szCs w:val="21"/>
                <w:lang w:eastAsia="zh-CN"/>
                <w14:textFill>
                  <w14:solidFill>
                    <w14:schemeClr w14:val="tx1"/>
                  </w14:solidFill>
                </w14:textFill>
              </w:rPr>
              <w:t>）</w:t>
            </w:r>
          </w:p>
        </w:tc>
      </w:tr>
    </w:tbl>
    <w:p w14:paraId="18F787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000000" w:themeColor="text1"/>
          <w:kern w:val="0"/>
          <w:sz w:val="28"/>
          <w:szCs w:val="28"/>
          <w:lang w:val="en-US" w:eastAsia="zh-CN" w:bidi="ar-SA"/>
          <w14:textFill>
            <w14:solidFill>
              <w14:schemeClr w14:val="tx1"/>
            </w14:solidFill>
          </w14:textFill>
        </w:rPr>
      </w:pPr>
    </w:p>
    <w:p w14:paraId="7A3600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000000" w:themeColor="text1"/>
          <w:kern w:val="0"/>
          <w:sz w:val="28"/>
          <w:szCs w:val="28"/>
          <w:lang w:val="en-US" w:eastAsia="zh-CN" w:bidi="ar-SA"/>
          <w14:textFill>
            <w14:solidFill>
              <w14:schemeClr w14:val="tx1"/>
            </w14:solidFill>
          </w14:textFill>
        </w:rPr>
      </w:pPr>
    </w:p>
    <w:p w14:paraId="69D45F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000000" w:themeColor="text1"/>
          <w:kern w:val="0"/>
          <w:sz w:val="28"/>
          <w:szCs w:val="28"/>
          <w:lang w:val="en-US" w:eastAsia="zh-CN" w:bidi="ar-SA"/>
          <w14:textFill>
            <w14:solidFill>
              <w14:schemeClr w14:val="tx1"/>
            </w14:solidFill>
          </w14:textFill>
        </w:rPr>
      </w:pPr>
    </w:p>
    <w:p w14:paraId="7435D6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000000" w:themeColor="text1"/>
          <w:kern w:val="0"/>
          <w:sz w:val="28"/>
          <w:szCs w:val="28"/>
          <w:lang w:val="en-US" w:eastAsia="zh-CN" w:bidi="ar-SA"/>
          <w14:textFill>
            <w14:solidFill>
              <w14:schemeClr w14:val="tx1"/>
            </w14:solidFill>
          </w14:textFill>
        </w:rPr>
      </w:pPr>
    </w:p>
    <w:p w14:paraId="5C8339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000000" w:themeColor="text1"/>
          <w:kern w:val="0"/>
          <w:sz w:val="28"/>
          <w:szCs w:val="28"/>
          <w:lang w:val="en-US" w:eastAsia="zh-CN" w:bidi="ar-SA"/>
          <w14:textFill>
            <w14:solidFill>
              <w14:schemeClr w14:val="tx1"/>
            </w14:solidFill>
          </w14:textFill>
        </w:rPr>
      </w:pPr>
    </w:p>
    <w:p w14:paraId="75F686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000000" w:themeColor="text1"/>
          <w:kern w:val="0"/>
          <w:sz w:val="28"/>
          <w:szCs w:val="28"/>
          <w:lang w:val="en-US" w:eastAsia="zh-CN" w:bidi="ar-SA"/>
          <w14:textFill>
            <w14:solidFill>
              <w14:schemeClr w14:val="tx1"/>
            </w14:solidFill>
          </w14:textFill>
        </w:rPr>
      </w:pPr>
    </w:p>
    <w:p w14:paraId="6B3688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000000" w:themeColor="text1"/>
          <w:kern w:val="0"/>
          <w:sz w:val="28"/>
          <w:szCs w:val="28"/>
          <w:lang w:val="en-US" w:eastAsia="zh-CN" w:bidi="ar-SA"/>
          <w14:textFill>
            <w14:solidFill>
              <w14:schemeClr w14:val="tx1"/>
            </w14:solidFill>
          </w14:textFill>
        </w:rPr>
      </w:pPr>
    </w:p>
    <w:p w14:paraId="11BDDD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黑体" w:hAnsi="黑体" w:eastAsia="黑体" w:cs="黑体"/>
          <w:bCs/>
          <w:color w:val="000000" w:themeColor="text1"/>
          <w:kern w:val="0"/>
          <w:sz w:val="28"/>
          <w:szCs w:val="28"/>
          <w:lang w:val="en-US" w:eastAsia="zh-CN" w:bidi="ar-SA"/>
          <w14:textFill>
            <w14:solidFill>
              <w14:schemeClr w14:val="tx1"/>
            </w14:solidFill>
          </w14:textFill>
        </w:rPr>
      </w:pPr>
      <w:r>
        <w:rPr>
          <w:rFonts w:hint="eastAsia" w:ascii="黑体" w:hAnsi="黑体" w:eastAsia="黑体" w:cs="黑体"/>
          <w:bCs/>
          <w:color w:val="000000" w:themeColor="text1"/>
          <w:kern w:val="0"/>
          <w:sz w:val="28"/>
          <w:szCs w:val="28"/>
          <w:lang w:val="en-US" w:eastAsia="zh-CN" w:bidi="ar-SA"/>
          <w14:textFill>
            <w14:solidFill>
              <w14:schemeClr w14:val="tx1"/>
            </w14:solidFill>
          </w14:textFill>
        </w:rPr>
        <w:t>附件二</w:t>
      </w:r>
    </w:p>
    <w:p w14:paraId="1B6E84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简体" w:hAnsi="方正小标宋简体" w:eastAsia="方正小标宋简体" w:cs="方正小标宋简体"/>
          <w:bCs/>
          <w:color w:val="000000" w:themeColor="text1"/>
          <w:kern w:val="0"/>
          <w:sz w:val="36"/>
          <w:szCs w:val="36"/>
          <w:lang w:val="en-US" w:eastAsia="zh-CN" w:bidi="ar-SA"/>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36"/>
          <w:szCs w:val="36"/>
          <w:lang w:val="en-US" w:eastAsia="zh-CN" w:bidi="ar-SA"/>
          <w14:textFill>
            <w14:solidFill>
              <w14:schemeClr w14:val="tx1"/>
            </w14:solidFill>
          </w14:textFill>
        </w:rPr>
        <w:t>多维终端安全管理平台（第二次）软件维保要求</w:t>
      </w:r>
    </w:p>
    <w:p w14:paraId="2E8BDA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简体" w:hAnsi="方正小标宋简体" w:eastAsia="方正小标宋简体" w:cs="方正小标宋简体"/>
          <w:bCs/>
          <w:color w:val="000000" w:themeColor="text1"/>
          <w:kern w:val="0"/>
          <w:sz w:val="36"/>
          <w:szCs w:val="36"/>
          <w:lang w:val="en-US" w:eastAsia="zh-CN" w:bidi="ar-SA"/>
          <w14:textFill>
            <w14:solidFill>
              <w14:schemeClr w14:val="tx1"/>
            </w14:solidFill>
          </w14:textFill>
        </w:rPr>
      </w:pPr>
    </w:p>
    <w:p w14:paraId="48F0EC4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1. </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支持服务：</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乙方通过线下支持、电话或者邮件、微信、VPN远程、网站信息服务等形式提供如下技术支持：</w:t>
      </w:r>
    </w:p>
    <w:p w14:paraId="050817B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1.1 在维保期内，</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甲方使用平台</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出现的问题</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提供7天×24小时</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电话</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技术</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支持</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（电话号码：</w:t>
      </w:r>
      <w:r>
        <w:rPr>
          <w:rFonts w:hint="eastAsia" w:ascii="仿宋_GB2312" w:eastAsia="仿宋_GB2312" w:cs="仿宋_GB2312"/>
          <w:bCs/>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并</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出具</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解决方案，按需派遣工程师来</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现场解决</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p>
    <w:p w14:paraId="2EAE5F1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1.2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早期没有确认解决的问题进行跟踪回访；</w:t>
      </w:r>
    </w:p>
    <w:p w14:paraId="1BBA259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 xml:space="preserve">1.3 </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不定期电话回访</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，了解</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使用情况和需求</w:t>
      </w:r>
    </w:p>
    <w:p w14:paraId="1DF531E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1.4 为甲方提供</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技术资料下载</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p>
    <w:p w14:paraId="7535216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2. </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用户培训：</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乙方负责软件更改后造成软件操作变化的使用培训，培训对象为甲方的医生、护士、技术工程师、业务科室的关键用户。乙方同时向甲方提供新功能使用说明和电子版操作手册。</w:t>
      </w:r>
    </w:p>
    <w:p w14:paraId="080C0D5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3. </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需求的更新：</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乙方保证提供的软件</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（包括</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病毒库和产品功能</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在</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维保</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期内均为最新版本，且提供最新版本的升级服务，确保该软件能够正常、顺畅、安全</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地</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使用；并确保与甲方其他系统的数据传输，全程配合</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数据的采集、传输、分析、治理需求。</w:t>
      </w:r>
    </w:p>
    <w:p w14:paraId="150F26C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4. </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系统建设建议：</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系统在运行过程中，乙方不定期地向甲方提供科室软件建设建议方案。</w:t>
      </w:r>
    </w:p>
    <w:p w14:paraId="1096E9C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5. </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客户回应承诺：</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在维护期内，如软件系统故障，乙方</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须</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在接到</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甲方</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通知后30分钟内予以响应，共同协商解决方案。若需要工程师前往现场，除约定到达时间外，一般要求在</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接到甲方通知后</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4小时到达甲方指定现场。</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乙方</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工程师在到达现场后，经现场调查后，除约定时间外，一般要求</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在到达现场后</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6小时内排除故障。</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对于有数据丢失风险的故障，乙方承诺在到达现场后6小时内解决。</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如甲方因需求修改要求工程师现场维护的，乙方应在</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接到甲方要求后</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24小时内予以回应，给出具体解决方案和时间表，经甲方批准后，遵照方案、时间表及本合同约定执行。</w:t>
      </w:r>
    </w:p>
    <w:p w14:paraId="419258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2"/>
        <w:textAlignment w:val="auto"/>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 xml:space="preserve">6. </w:t>
      </w:r>
      <w:r>
        <w:rPr>
          <w:rFonts w:hint="eastAsia" w:ascii="仿宋_GB2312" w:hAnsi="Times New Roman" w:eastAsia="仿宋_GB2312" w:cs="仿宋_GB2312"/>
          <w:b/>
          <w:bCs w:val="0"/>
          <w:color w:val="000000" w:themeColor="text1"/>
          <w:kern w:val="0"/>
          <w:sz w:val="24"/>
          <w:szCs w:val="24"/>
          <w:lang w:val="en-US" w:eastAsia="zh-CN" w:bidi="ar-SA"/>
          <w14:textFill>
            <w14:solidFill>
              <w14:schemeClr w14:val="tx1"/>
            </w14:solidFill>
          </w14:textFill>
        </w:rPr>
        <w:t>文档管理：</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为甲方</w:t>
      </w:r>
      <w:r>
        <w:rPr>
          <w:rFonts w:hint="eastAsia" w:ascii="仿宋_GB2312" w:hAnsi="Times New Roman" w:eastAsia="仿宋_GB2312" w:cs="仿宋_GB2312"/>
          <w:bCs/>
          <w:color w:val="000000" w:themeColor="text1"/>
          <w:kern w:val="0"/>
          <w:sz w:val="24"/>
          <w:szCs w:val="24"/>
          <w:lang w:val="en-US" w:eastAsia="zh-CN" w:bidi="ar-SA"/>
          <w14:textFill>
            <w14:solidFill>
              <w14:schemeClr w14:val="tx1"/>
            </w14:solidFill>
          </w14:textFill>
        </w:rPr>
        <w:t>提供和完善相关服务工作文档（软件更新的内容说明和常见问题的解决方法说明）。</w:t>
      </w:r>
    </w:p>
    <w:p w14:paraId="27B5A6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2"/>
        <w:textAlignment w:val="auto"/>
        <w:rPr>
          <w:rFonts w:hint="default" w:ascii="仿宋_GB2312" w:eastAsia="仿宋_GB2312" w:cs="仿宋_GB2312"/>
          <w:bCs/>
          <w:color w:val="000000" w:themeColor="text1"/>
          <w:kern w:val="0"/>
          <w:sz w:val="24"/>
          <w:szCs w:val="24"/>
          <w:lang w:val="en-US" w:eastAsia="zh-CN" w:bidi="ar-SA"/>
          <w14:textFill>
            <w14:solidFill>
              <w14:schemeClr w14:val="tx1"/>
            </w14:solidFill>
          </w14:textFill>
        </w:rPr>
      </w:pPr>
      <w:r>
        <w:rPr>
          <w:rFonts w:hint="eastAsia" w:ascii="仿宋_GB2312" w:eastAsia="仿宋_GB2312" w:cs="仿宋_GB2312"/>
          <w:b/>
          <w:bCs w:val="0"/>
          <w:color w:val="000000" w:themeColor="text1"/>
          <w:kern w:val="0"/>
          <w:sz w:val="24"/>
          <w:szCs w:val="24"/>
          <w:lang w:val="en-US" w:eastAsia="zh-CN" w:bidi="ar-SA"/>
          <w14:textFill>
            <w14:solidFill>
              <w14:schemeClr w14:val="tx1"/>
            </w14:solidFill>
          </w14:textFill>
        </w:rPr>
        <w:t>7.数据存储、备份、恢复：</w:t>
      </w:r>
      <w:r>
        <w:rPr>
          <w:rFonts w:hint="eastAsia" w:ascii="仿宋_GB2312" w:eastAsia="仿宋_GB2312" w:cs="仿宋_GB2312"/>
          <w:bCs/>
          <w:color w:val="000000" w:themeColor="text1"/>
          <w:kern w:val="0"/>
          <w:sz w:val="24"/>
          <w:szCs w:val="24"/>
          <w:lang w:val="en-US" w:eastAsia="zh-CN" w:bidi="ar-SA"/>
          <w14:textFill>
            <w14:solidFill>
              <w14:schemeClr w14:val="tx1"/>
            </w14:solidFill>
          </w14:textFill>
        </w:rPr>
        <w:t>协助甲方定期对系统数据存储、备份、恢复。如本合同服务期满或中途解除，乙方应在本合同终止后协助甲方对服务期间所有数据进行备份。</w:t>
      </w:r>
    </w:p>
    <w:p w14:paraId="6126853D">
      <w:pPr>
        <w:spacing w:line="440" w:lineRule="exact"/>
        <w:ind w:firstLine="480" w:firstLineChars="200"/>
      </w:pPr>
      <w:r>
        <w:rPr>
          <w:rFonts w:hint="eastAsia" w:ascii="宋体" w:hAnsi="宋体" w:eastAsia="宋体" w:cs="宋体"/>
          <w:sz w:val="24"/>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 xml:space="preserve">                                                </w:t>
      </w:r>
    </w:p>
    <w:p w14:paraId="6B5713C1"/>
    <w:p w14:paraId="691820E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color w:val="000000" w:themeColor="text1"/>
          <w:highlight w:val="none"/>
          <w14:textFill>
            <w14:solidFill>
              <w14:schemeClr w14:val="tx1"/>
            </w14:solidFill>
          </w14:textFill>
        </w:rPr>
      </w:pPr>
    </w:p>
    <w:p w14:paraId="1CE1F898">
      <w:pPr>
        <w:spacing w:line="360" w:lineRule="auto"/>
        <w:ind w:firstLine="480" w:firstLineChars="200"/>
        <w:rPr>
          <w:rFonts w:hint="eastAsia" w:ascii="仿宋" w:hAnsi="仿宋" w:eastAsia="仿宋" w:cs="仿宋"/>
          <w:bCs/>
          <w:color w:val="auto"/>
          <w:kern w:val="0"/>
          <w:sz w:val="24"/>
          <w:szCs w:val="24"/>
          <w:lang w:val="en-US" w:eastAsia="zh-CN" w:bidi="ar-SA"/>
        </w:rPr>
      </w:pPr>
    </w:p>
    <w:p w14:paraId="1DD251CA">
      <w:pPr>
        <w:pStyle w:val="3"/>
        <w:numPr>
          <w:ilvl w:val="0"/>
          <w:numId w:val="0"/>
        </w:numPr>
        <w:spacing w:line="240" w:lineRule="auto"/>
        <w:jc w:val="center"/>
        <w:rPr>
          <w:rFonts w:hint="eastAsia" w:ascii="仿宋" w:hAnsi="仿宋" w:eastAsia="仿宋" w:cs="仿宋"/>
          <w:color w:val="auto"/>
          <w:sz w:val="24"/>
          <w:szCs w:val="24"/>
          <w:lang w:val="en-US" w:eastAsia="zh-CN"/>
        </w:rPr>
      </w:pPr>
      <w:bookmarkStart w:id="2" w:name="_Toc16523574"/>
    </w:p>
    <w:p w14:paraId="76D2BE39">
      <w:pPr>
        <w:pStyle w:val="3"/>
        <w:numPr>
          <w:ilvl w:val="0"/>
          <w:numId w:val="0"/>
        </w:numPr>
        <w:spacing w:line="240" w:lineRule="auto"/>
        <w:jc w:val="center"/>
        <w:rPr>
          <w:rFonts w:hint="eastAsia" w:ascii="仿宋" w:hAnsi="仿宋" w:eastAsia="仿宋" w:cs="仿宋"/>
          <w:color w:val="auto"/>
          <w:sz w:val="24"/>
          <w:szCs w:val="24"/>
          <w:lang w:val="en-US" w:eastAsia="zh-CN"/>
        </w:rPr>
      </w:pPr>
    </w:p>
    <w:p w14:paraId="1B24DBFF">
      <w:pPr>
        <w:pStyle w:val="3"/>
        <w:numPr>
          <w:ilvl w:val="0"/>
          <w:numId w:val="0"/>
        </w:num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第三章   </w:t>
      </w:r>
      <w:r>
        <w:rPr>
          <w:rFonts w:hint="eastAsia" w:ascii="仿宋" w:hAnsi="仿宋" w:eastAsia="仿宋" w:cs="仿宋"/>
          <w:color w:val="auto"/>
          <w:sz w:val="24"/>
          <w:szCs w:val="24"/>
        </w:rPr>
        <w:t>投标文件的格式</w:t>
      </w:r>
    </w:p>
    <w:p w14:paraId="10AEC8F2">
      <w:pPr>
        <w:pStyle w:val="3"/>
        <w:numPr>
          <w:ilvl w:val="0"/>
          <w:numId w:val="0"/>
        </w:num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（必须按以下标题和顺序进行编制）</w:t>
      </w:r>
    </w:p>
    <w:p w14:paraId="2122998B">
      <w:pPr>
        <w:rPr>
          <w:rFonts w:hint="eastAsia" w:ascii="仿宋" w:hAnsi="仿宋" w:eastAsia="仿宋" w:cs="仿宋"/>
          <w:color w:val="auto"/>
          <w:sz w:val="24"/>
          <w:szCs w:val="24"/>
        </w:rPr>
      </w:pPr>
    </w:p>
    <w:bookmarkEnd w:id="2"/>
    <w:p w14:paraId="4112E651">
      <w:pPr>
        <w:rPr>
          <w:rFonts w:hint="eastAsia" w:ascii="仿宋" w:hAnsi="仿宋" w:eastAsia="仿宋" w:cs="仿宋"/>
          <w:color w:val="auto"/>
          <w:sz w:val="24"/>
          <w:szCs w:val="24"/>
        </w:rPr>
      </w:pPr>
    </w:p>
    <w:p w14:paraId="7BED1D8A">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第一部分、开标一览表</w:t>
      </w:r>
    </w:p>
    <w:p w14:paraId="6154215B">
      <w:pPr>
        <w:jc w:val="center"/>
        <w:rPr>
          <w:rFonts w:hint="eastAsia" w:ascii="仿宋" w:hAnsi="仿宋" w:eastAsia="仿宋" w:cs="仿宋"/>
          <w:b/>
          <w:color w:val="auto"/>
          <w:sz w:val="24"/>
          <w:szCs w:val="24"/>
        </w:rPr>
      </w:pPr>
    </w:p>
    <w:p w14:paraId="1347C8BB">
      <w:pPr>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注：此项内容需包含投标</w:t>
      </w:r>
      <w:r>
        <w:rPr>
          <w:rFonts w:hint="eastAsia" w:ascii="仿宋" w:hAnsi="仿宋" w:eastAsia="仿宋" w:cs="仿宋"/>
          <w:b/>
          <w:color w:val="auto"/>
          <w:sz w:val="24"/>
          <w:szCs w:val="24"/>
          <w:lang w:val="en-US" w:eastAsia="zh-CN"/>
        </w:rPr>
        <w:t>项目</w:t>
      </w:r>
      <w:r>
        <w:rPr>
          <w:rFonts w:hint="eastAsia" w:ascii="仿宋" w:hAnsi="仿宋" w:eastAsia="仿宋" w:cs="仿宋"/>
          <w:b/>
          <w:color w:val="auto"/>
          <w:sz w:val="24"/>
          <w:szCs w:val="24"/>
          <w:lang w:eastAsia="zh-CN"/>
        </w:rPr>
        <w:t>名称、数量、品牌、型号、单价、总价、等信息</w:t>
      </w:r>
    </w:p>
    <w:p w14:paraId="7FA6607A">
      <w:pPr>
        <w:pStyle w:val="14"/>
        <w:rPr>
          <w:rFonts w:hint="eastAsia" w:ascii="仿宋" w:hAnsi="仿宋" w:eastAsia="仿宋" w:cs="仿宋"/>
          <w:color w:val="auto"/>
          <w:sz w:val="24"/>
          <w:szCs w:val="24"/>
        </w:rPr>
      </w:pPr>
    </w:p>
    <w:p w14:paraId="28874686">
      <w:pPr>
        <w:adjustRightInd w:val="0"/>
        <w:snapToGrid w:val="0"/>
        <w:spacing w:line="360" w:lineRule="auto"/>
        <w:jc w:val="center"/>
        <w:rPr>
          <w:rFonts w:hint="eastAsia" w:ascii="仿宋" w:hAnsi="仿宋" w:eastAsia="仿宋" w:cs="仿宋"/>
          <w:b/>
          <w:color w:val="auto"/>
          <w:sz w:val="24"/>
          <w:szCs w:val="24"/>
        </w:rPr>
      </w:pPr>
    </w:p>
    <w:p w14:paraId="096C96EF">
      <w:pPr>
        <w:adjustRightInd w:val="0"/>
        <w:snapToGrid w:val="0"/>
        <w:spacing w:line="360" w:lineRule="auto"/>
        <w:jc w:val="center"/>
        <w:rPr>
          <w:rFonts w:hint="eastAsia" w:ascii="仿宋" w:hAnsi="仿宋" w:eastAsia="仿宋" w:cs="仿宋"/>
          <w:b/>
          <w:color w:val="auto"/>
          <w:sz w:val="24"/>
          <w:szCs w:val="24"/>
        </w:rPr>
      </w:pPr>
    </w:p>
    <w:p w14:paraId="7584A0E9">
      <w:pPr>
        <w:adjustRightInd w:val="0"/>
        <w:snapToGrid w:val="0"/>
        <w:spacing w:line="360" w:lineRule="auto"/>
        <w:jc w:val="center"/>
        <w:rPr>
          <w:rFonts w:hint="eastAsia" w:ascii="仿宋" w:hAnsi="仿宋" w:eastAsia="仿宋" w:cs="仿宋"/>
          <w:b/>
          <w:color w:val="auto"/>
          <w:sz w:val="24"/>
          <w:szCs w:val="24"/>
        </w:rPr>
      </w:pPr>
    </w:p>
    <w:p w14:paraId="3E2E7999">
      <w:pPr>
        <w:adjustRightInd w:val="0"/>
        <w:snapToGrid w:val="0"/>
        <w:spacing w:line="360" w:lineRule="auto"/>
        <w:jc w:val="center"/>
        <w:rPr>
          <w:rFonts w:hint="eastAsia" w:ascii="仿宋" w:hAnsi="仿宋" w:eastAsia="仿宋" w:cs="仿宋"/>
          <w:b/>
          <w:color w:val="auto"/>
          <w:sz w:val="24"/>
          <w:szCs w:val="24"/>
        </w:rPr>
      </w:pPr>
    </w:p>
    <w:p w14:paraId="27418B53">
      <w:pPr>
        <w:adjustRightInd w:val="0"/>
        <w:snapToGrid w:val="0"/>
        <w:spacing w:line="360"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第二部分、资格证明文件</w:t>
      </w:r>
    </w:p>
    <w:p w14:paraId="20051BAF">
      <w:pPr>
        <w:pStyle w:val="12"/>
        <w:rPr>
          <w:rFonts w:hint="eastAsia" w:ascii="仿宋" w:hAnsi="仿宋" w:eastAsia="仿宋" w:cs="仿宋"/>
          <w:color w:val="auto"/>
          <w:sz w:val="24"/>
          <w:szCs w:val="24"/>
          <w:lang w:eastAsia="zh-CN"/>
        </w:rPr>
      </w:pPr>
    </w:p>
    <w:p w14:paraId="76383466">
      <w:pPr>
        <w:adjustRightInd w:val="0"/>
        <w:snapToGrid w:val="0"/>
        <w:spacing w:line="360" w:lineRule="auto"/>
        <w:jc w:val="center"/>
        <w:rPr>
          <w:rFonts w:hint="eastAsia" w:ascii="仿宋" w:hAnsi="仿宋" w:eastAsia="仿宋" w:cs="仿宋"/>
          <w:b/>
          <w:color w:val="auto"/>
          <w:sz w:val="24"/>
          <w:szCs w:val="24"/>
        </w:rPr>
      </w:pPr>
    </w:p>
    <w:p w14:paraId="177F9770">
      <w:pPr>
        <w:adjustRightInd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一、法定代表人授权委托书</w:t>
      </w:r>
    </w:p>
    <w:p w14:paraId="502CF71A">
      <w:pPr>
        <w:adjustRightInd w:val="0"/>
        <w:snapToGrid w:val="0"/>
        <w:spacing w:line="360" w:lineRule="auto"/>
        <w:rPr>
          <w:rFonts w:hint="eastAsia" w:ascii="仿宋" w:hAnsi="仿宋" w:eastAsia="仿宋" w:cs="仿宋"/>
          <w:b/>
          <w:color w:val="auto"/>
          <w:sz w:val="24"/>
          <w:szCs w:val="24"/>
        </w:rPr>
      </w:pPr>
    </w:p>
    <w:p w14:paraId="33AFB1D1">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系</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投标人</w:t>
      </w:r>
      <w:r>
        <w:rPr>
          <w:rFonts w:hint="eastAsia" w:ascii="仿宋" w:hAnsi="仿宋" w:eastAsia="仿宋" w:cs="仿宋"/>
          <w:color w:val="auto"/>
          <w:kern w:val="0"/>
          <w:sz w:val="24"/>
          <w:szCs w:val="24"/>
          <w:u w:val="single"/>
        </w:rPr>
        <w:t>名称）</w:t>
      </w:r>
      <w:r>
        <w:rPr>
          <w:rFonts w:hint="eastAsia" w:ascii="仿宋" w:hAnsi="仿宋" w:eastAsia="仿宋" w:cs="仿宋"/>
          <w:color w:val="auto"/>
          <w:kern w:val="0"/>
          <w:sz w:val="24"/>
          <w:szCs w:val="24"/>
        </w:rPr>
        <w:t>的法定代表人，现授权</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为我方代理人。代理人根据授权，以我方名义签署、澄清、说明、补正、递交、撤回、修改</w:t>
      </w:r>
      <w:r>
        <w:rPr>
          <w:rFonts w:hint="eastAsia" w:ascii="仿宋" w:hAnsi="仿宋" w:eastAsia="仿宋" w:cs="仿宋"/>
          <w:color w:val="auto"/>
          <w:kern w:val="0"/>
          <w:sz w:val="24"/>
          <w:szCs w:val="24"/>
          <w:u w:val="single"/>
        </w:rPr>
        <w:t>（项目名称）</w:t>
      </w:r>
      <w:r>
        <w:rPr>
          <w:rFonts w:hint="eastAsia" w:ascii="仿宋" w:hAnsi="仿宋" w:eastAsia="仿宋" w:cs="仿宋"/>
          <w:color w:val="auto"/>
          <w:kern w:val="0"/>
          <w:sz w:val="24"/>
          <w:szCs w:val="24"/>
        </w:rPr>
        <w:t>（采购编号：</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）投标文件、签订合同和处理有关事宜，其法律后果由我方承担。</w:t>
      </w:r>
    </w:p>
    <w:p w14:paraId="68C81D2C">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委托期限：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304A8B05">
      <w:pPr>
        <w:adjustRightInd w:val="0"/>
        <w:snapToGrid w:val="0"/>
        <w:spacing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代理人无转委托权。</w:t>
      </w:r>
    </w:p>
    <w:p w14:paraId="592C6A13">
      <w:pPr>
        <w:adjustRightInd w:val="0"/>
        <w:snapToGrid w:val="0"/>
        <w:spacing w:line="360" w:lineRule="auto"/>
        <w:ind w:firstLine="435"/>
        <w:rPr>
          <w:rFonts w:hint="eastAsia" w:ascii="仿宋" w:hAnsi="仿宋" w:eastAsia="仿宋" w:cs="仿宋"/>
          <w:color w:val="auto"/>
          <w:sz w:val="24"/>
          <w:szCs w:val="24"/>
        </w:rPr>
      </w:pPr>
      <w:r>
        <w:rPr>
          <w:rFonts w:hint="eastAsia" w:ascii="仿宋" w:hAnsi="仿宋" w:eastAsia="仿宋" w:cs="仿宋"/>
          <w:color w:val="auto"/>
          <w:sz w:val="24"/>
          <w:szCs w:val="24"/>
        </w:rPr>
        <w:t>本授权书于日期：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p w14:paraId="0CCE82F9">
      <w:pPr>
        <w:adjustRightInd w:val="0"/>
        <w:snapToGrid w:val="0"/>
        <w:spacing w:line="360" w:lineRule="auto"/>
        <w:ind w:firstLine="480" w:firstLineChars="200"/>
        <w:rPr>
          <w:rFonts w:hint="eastAsia" w:ascii="仿宋" w:hAnsi="仿宋" w:eastAsia="仿宋" w:cs="仿宋"/>
          <w:color w:val="auto"/>
          <w:sz w:val="24"/>
          <w:szCs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9E6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54B25471">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委托代理人身份证（正面、反面）复印件</w:t>
            </w:r>
          </w:p>
        </w:tc>
      </w:tr>
    </w:tbl>
    <w:p w14:paraId="5C033F20">
      <w:pPr>
        <w:adjustRightInd w:val="0"/>
        <w:snapToGrid w:val="0"/>
        <w:spacing w:line="360" w:lineRule="auto"/>
        <w:rPr>
          <w:rFonts w:hint="eastAsia" w:ascii="仿宋" w:hAnsi="仿宋" w:eastAsia="仿宋" w:cs="仿宋"/>
          <w:color w:val="auto"/>
          <w:sz w:val="24"/>
          <w:szCs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793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C248A0A">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法定代表人身份证（正面、反面）复印件</w:t>
            </w:r>
          </w:p>
        </w:tc>
      </w:tr>
    </w:tbl>
    <w:p w14:paraId="74AA6451">
      <w:pPr>
        <w:adjustRightInd w:val="0"/>
        <w:snapToGrid w:val="0"/>
        <w:spacing w:line="360" w:lineRule="auto"/>
        <w:rPr>
          <w:rFonts w:hint="eastAsia" w:ascii="仿宋" w:hAnsi="仿宋" w:eastAsia="仿宋" w:cs="仿宋"/>
          <w:color w:val="auto"/>
          <w:sz w:val="24"/>
          <w:szCs w:val="24"/>
        </w:rPr>
      </w:pPr>
    </w:p>
    <w:p w14:paraId="45197FBA">
      <w:pPr>
        <w:adjustRightInd w:val="0"/>
        <w:snapToGrid w:val="0"/>
        <w:spacing w:line="360" w:lineRule="auto"/>
        <w:rPr>
          <w:rFonts w:hint="eastAsia" w:ascii="仿宋" w:hAnsi="仿宋" w:eastAsia="仿宋" w:cs="仿宋"/>
          <w:color w:val="auto"/>
          <w:sz w:val="24"/>
          <w:szCs w:val="24"/>
        </w:rPr>
      </w:pPr>
    </w:p>
    <w:p w14:paraId="6082DAC1">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投标人名称（盖单位章）：</w:t>
      </w:r>
    </w:p>
    <w:p w14:paraId="7835EE63">
      <w:pPr>
        <w:adjustRightInd w:val="0"/>
        <w:snapToGrid w:val="0"/>
        <w:spacing w:line="360" w:lineRule="auto"/>
        <w:ind w:right="42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w:t>
      </w:r>
    </w:p>
    <w:p w14:paraId="73C72B23">
      <w:pPr>
        <w:adjustRightInd w:val="0"/>
        <w:snapToGrid w:val="0"/>
        <w:spacing w:line="360" w:lineRule="auto"/>
        <w:ind w:right="420"/>
        <w:rPr>
          <w:rFonts w:hint="eastAsia" w:ascii="仿宋" w:hAnsi="仿宋" w:eastAsia="仿宋" w:cs="仿宋"/>
          <w:color w:val="auto"/>
          <w:sz w:val="24"/>
          <w:szCs w:val="24"/>
        </w:rPr>
      </w:pPr>
      <w:r>
        <w:rPr>
          <w:rFonts w:hint="eastAsia" w:ascii="仿宋" w:hAnsi="仿宋" w:eastAsia="仿宋" w:cs="仿宋"/>
          <w:color w:val="auto"/>
          <w:sz w:val="24"/>
          <w:szCs w:val="24"/>
        </w:rPr>
        <w:t>委托代理人（签字）：</w:t>
      </w:r>
    </w:p>
    <w:p w14:paraId="43042B74">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46972FD2">
      <w:pPr>
        <w:adjustRightInd w:val="0"/>
        <w:snapToGrid w:val="0"/>
        <w:spacing w:line="360" w:lineRule="auto"/>
        <w:rPr>
          <w:rFonts w:hint="eastAsia" w:ascii="仿宋" w:hAnsi="仿宋" w:eastAsia="仿宋" w:cs="仿宋"/>
          <w:b/>
          <w:color w:val="auto"/>
          <w:sz w:val="24"/>
          <w:szCs w:val="24"/>
        </w:rPr>
      </w:pPr>
    </w:p>
    <w:p w14:paraId="1FF3CAA1">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二、投标人资格声明</w:t>
      </w:r>
    </w:p>
    <w:p w14:paraId="46599C6D">
      <w:pPr>
        <w:widowControl/>
        <w:adjustRightInd w:val="0"/>
        <w:snapToGrid w:val="0"/>
        <w:spacing w:before="120" w:beforeLines="50"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14:paraId="089DEC85">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按照招标文件的规定，我单位郑重声明如下：</w:t>
      </w:r>
    </w:p>
    <w:p w14:paraId="7425A4C3">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一、我单位是按照中华人民共和国法律规定登记注册的，注册地点为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，全称为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，统一社会信用代码为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，具有独立承担民事责任的能力。</w:t>
      </w:r>
    </w:p>
    <w:p w14:paraId="31E15CF3">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二、我单位具有良好的商业信誉和健全的财务会计制度。</w:t>
      </w:r>
    </w:p>
    <w:p w14:paraId="46BA265F">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我单位具有履行本项目采购合同所必需的设备和专业技术能力。</w:t>
      </w:r>
    </w:p>
    <w:p w14:paraId="77B8C973">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F3C91A7">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五、我单位具备法律、行政法规规定的其他条件。</w:t>
      </w:r>
    </w:p>
    <w:p w14:paraId="7BCEBBAF">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六、</w:t>
      </w:r>
      <w:r>
        <w:rPr>
          <w:rFonts w:hint="eastAsia" w:ascii="仿宋" w:hAnsi="仿宋" w:eastAsia="仿宋" w:cs="仿宋"/>
          <w:color w:val="auto"/>
          <w:sz w:val="24"/>
          <w:szCs w:val="24"/>
        </w:rPr>
        <w:t>与我单位存在“单位负责人为同一人或者存在直接控股、管理关系”的其他法人单位信息如下（如无，填写“无”）：</w:t>
      </w:r>
    </w:p>
    <w:p w14:paraId="191BEECA">
      <w:pPr>
        <w:adjustRightInd w:val="0"/>
        <w:snapToGrid w:val="0"/>
        <w:spacing w:before="120" w:beforeLines="50"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1、与我单位的法定代表人（单位负责人）为同一人的其他法人单位如下：</w:t>
      </w:r>
      <w:r>
        <w:rPr>
          <w:rFonts w:hint="eastAsia" w:ascii="仿宋" w:hAnsi="仿宋" w:eastAsia="仿宋" w:cs="仿宋"/>
          <w:color w:val="auto"/>
          <w:sz w:val="24"/>
          <w:szCs w:val="24"/>
          <w:u w:val="single"/>
        </w:rPr>
        <w:t xml:space="preserve">               </w:t>
      </w:r>
    </w:p>
    <w:p w14:paraId="34BBC33E">
      <w:pPr>
        <w:adjustRightInd w:val="0"/>
        <w:snapToGrid w:val="0"/>
        <w:spacing w:before="120"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2、我单位直接控股的其他法人单位如下：</w:t>
      </w:r>
      <w:r>
        <w:rPr>
          <w:rFonts w:hint="eastAsia" w:ascii="仿宋" w:hAnsi="仿宋" w:eastAsia="仿宋" w:cs="仿宋"/>
          <w:color w:val="auto"/>
          <w:sz w:val="24"/>
          <w:szCs w:val="24"/>
          <w:u w:val="single"/>
        </w:rPr>
        <w:t xml:space="preserve">                                            </w:t>
      </w:r>
    </w:p>
    <w:p w14:paraId="6808D36D">
      <w:pPr>
        <w:adjustRightInd w:val="0"/>
        <w:snapToGrid w:val="0"/>
        <w:spacing w:before="120"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3、与我单位存在管理关系的其他法人单位如下：</w:t>
      </w:r>
      <w:r>
        <w:rPr>
          <w:rFonts w:hint="eastAsia" w:ascii="仿宋" w:hAnsi="仿宋" w:eastAsia="仿宋" w:cs="仿宋"/>
          <w:color w:val="auto"/>
          <w:sz w:val="24"/>
          <w:szCs w:val="24"/>
          <w:u w:val="single"/>
        </w:rPr>
        <w:t xml:space="preserve">                                      </w:t>
      </w:r>
    </w:p>
    <w:p w14:paraId="14D3CF47">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我单位保证上述声明的事项都是真实的，如有虚假，我单位愿意承担相应的法律责任，并承担因此所造成的一切损失。</w:t>
      </w:r>
    </w:p>
    <w:p w14:paraId="2524CA35">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我单位保证随时按照要求提供能够证明上述声明事项真实性的任何有效文件。</w:t>
      </w:r>
    </w:p>
    <w:p w14:paraId="1F67F9C2">
      <w:pPr>
        <w:widowControl/>
        <w:adjustRightInd w:val="0"/>
        <w:snapToGrid w:val="0"/>
        <w:spacing w:before="120" w:beforeLines="50"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投标人名称（盖单位公章）：</w:t>
      </w:r>
    </w:p>
    <w:p w14:paraId="58DD5F02">
      <w:pPr>
        <w:widowControl/>
        <w:adjustRightInd w:val="0"/>
        <w:snapToGrid w:val="0"/>
        <w:spacing w:before="120" w:beforeLines="50" w:line="360" w:lineRule="auto"/>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法定代表人或委托代理人（签字）：</w:t>
      </w:r>
    </w:p>
    <w:p w14:paraId="5BB486C5">
      <w:pPr>
        <w:widowControl/>
        <w:adjustRightInd w:val="0"/>
        <w:snapToGrid w:val="0"/>
        <w:spacing w:before="120" w:beforeLines="5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29762F83">
      <w:pPr>
        <w:adjustRightInd w:val="0"/>
        <w:snapToGrid w:val="0"/>
        <w:spacing w:line="360" w:lineRule="auto"/>
        <w:rPr>
          <w:rFonts w:hint="eastAsia" w:ascii="仿宋" w:hAnsi="仿宋" w:eastAsia="仿宋" w:cs="仿宋"/>
          <w:b/>
          <w:color w:val="auto"/>
          <w:sz w:val="24"/>
          <w:szCs w:val="24"/>
        </w:rPr>
      </w:pPr>
    </w:p>
    <w:p w14:paraId="78229773">
      <w:pPr>
        <w:adjustRightInd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三、符合基本资格条件证明材料复印件或者情况说明</w:t>
      </w:r>
    </w:p>
    <w:p w14:paraId="54735C03">
      <w:pPr>
        <w:adjustRightInd w:val="0"/>
        <w:snapToGrid w:val="0"/>
        <w:spacing w:line="360" w:lineRule="auto"/>
        <w:jc w:val="center"/>
        <w:rPr>
          <w:rFonts w:hint="eastAsia" w:ascii="仿宋" w:hAnsi="仿宋" w:eastAsia="仿宋" w:cs="仿宋"/>
          <w:b/>
          <w:color w:val="auto"/>
          <w:sz w:val="24"/>
          <w:szCs w:val="24"/>
        </w:rPr>
      </w:pPr>
    </w:p>
    <w:p w14:paraId="0FED4E0A">
      <w:pPr>
        <w:pStyle w:val="4"/>
        <w:keepLines w:val="0"/>
        <w:snapToGrid w:val="0"/>
        <w:spacing w:before="0" w:after="0" w:line="520" w:lineRule="exact"/>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color w:val="auto"/>
          <w:sz w:val="24"/>
          <w:szCs w:val="24"/>
        </w:rPr>
        <w:t>注：</w:t>
      </w:r>
      <w:r>
        <w:rPr>
          <w:rFonts w:hint="eastAsia" w:ascii="仿宋" w:hAnsi="仿宋" w:eastAsia="仿宋" w:cs="仿宋"/>
          <w:b w:val="0"/>
          <w:color w:val="auto"/>
          <w:sz w:val="24"/>
          <w:szCs w:val="24"/>
          <w:lang w:bidi="zh-CN"/>
        </w:rPr>
        <w:t>投标公司的营业执照</w:t>
      </w:r>
      <w:r>
        <w:rPr>
          <w:rFonts w:hint="eastAsia" w:ascii="仿宋" w:hAnsi="仿宋" w:eastAsia="仿宋" w:cs="仿宋"/>
          <w:b w:val="0"/>
          <w:color w:val="auto"/>
          <w:sz w:val="24"/>
          <w:szCs w:val="24"/>
          <w:lang w:val="en-US" w:bidi="zh-CN"/>
        </w:rPr>
        <w:t>及资格要求的证明材料，提供信用中国网页查询截图，</w:t>
      </w:r>
      <w:r>
        <w:rPr>
          <w:rFonts w:hint="eastAsia" w:ascii="仿宋" w:hAnsi="仿宋" w:eastAsia="仿宋" w:cs="仿宋"/>
          <w:b w:val="0"/>
          <w:color w:val="auto"/>
          <w:sz w:val="24"/>
          <w:szCs w:val="24"/>
          <w:lang w:bidi="zh-CN"/>
        </w:rPr>
        <w:t>并加盖单位公章（按顺序装订）。</w:t>
      </w:r>
      <w:r>
        <w:rPr>
          <w:rFonts w:hint="eastAsia" w:ascii="仿宋" w:hAnsi="仿宋" w:eastAsia="仿宋" w:cs="仿宋"/>
          <w:b w:val="0"/>
          <w:bCs w:val="0"/>
          <w:color w:val="auto"/>
          <w:kern w:val="2"/>
          <w:sz w:val="24"/>
          <w:szCs w:val="24"/>
          <w:lang w:val="en-US" w:eastAsia="zh-CN" w:bidi="ar-SA"/>
        </w:rPr>
        <w:t>附件    湖南省政府采购供应商资格承诺函</w:t>
      </w:r>
    </w:p>
    <w:p w14:paraId="4E5CCDEF">
      <w:pPr>
        <w:widowControl/>
        <w:spacing w:after="100" w:afterAutospacing="1" w:line="360" w:lineRule="auto"/>
        <w:ind w:right="113"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C2F2CEF">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统一社会信用代码：                        、注册登记机构：                 、 注册日期：                 、有效期：               、注册资本：                、地址：               、经济行业：                 、经济性质：              </w:t>
      </w:r>
    </w:p>
    <w:p w14:paraId="7506E915">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法定代表人姓名 (签字)：             、身份证号：                           、</w:t>
      </w:r>
    </w:p>
    <w:p w14:paraId="4444F748">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手机号：             ；</w:t>
      </w:r>
    </w:p>
    <w:p w14:paraId="57E1888B">
      <w:pPr>
        <w:widowControl/>
        <w:spacing w:after="100" w:afterAutospacing="1" w:line="360" w:lineRule="auto"/>
        <w:ind w:left="246" w:hanging="1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授权代表人姓名 (签字)：                、身份证号：                     </w:t>
      </w:r>
    </w:p>
    <w:p w14:paraId="36828CDF">
      <w:pPr>
        <w:widowControl/>
        <w:spacing w:after="100" w:afterAutospacing="1" w:line="360" w:lineRule="auto"/>
        <w:ind w:left="246" w:hanging="1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手机号：             。  </w:t>
      </w:r>
    </w:p>
    <w:p w14:paraId="269D08E1">
      <w:pPr>
        <w:adjustRightInd w:val="0"/>
        <w:snapToGrid w:val="0"/>
        <w:spacing w:line="360" w:lineRule="auto"/>
        <w:ind w:left="4406" w:leftChars="-302" w:hanging="5040" w:hangingChars="21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                           供应商名称（盖公章）：                                    </w:t>
      </w:r>
    </w:p>
    <w:p w14:paraId="0A6C8559">
      <w:pPr>
        <w:adjustRightInd w:val="0"/>
        <w:snapToGrid w:val="0"/>
        <w:spacing w:line="360" w:lineRule="auto"/>
        <w:ind w:left="4406" w:leftChars="-302" w:hanging="5040" w:hangingChars="2100"/>
        <w:jc w:val="righ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2023年     月     日</w:t>
      </w:r>
    </w:p>
    <w:p w14:paraId="5C0889F1">
      <w:pPr>
        <w:jc w:val="center"/>
        <w:rPr>
          <w:rFonts w:hint="eastAsia" w:ascii="仿宋" w:hAnsi="仿宋" w:eastAsia="仿宋" w:cs="仿宋"/>
          <w:b/>
          <w:color w:val="auto"/>
          <w:sz w:val="24"/>
          <w:szCs w:val="24"/>
        </w:rPr>
        <w:sectPr>
          <w:headerReference r:id="rId3" w:type="default"/>
          <w:footerReference r:id="rId4" w:type="default"/>
          <w:pgSz w:w="11906" w:h="16838"/>
          <w:pgMar w:top="1440" w:right="1253" w:bottom="1440" w:left="1253" w:header="567" w:footer="283" w:gutter="0"/>
          <w:pgNumType w:fmt="decimal" w:start="1"/>
          <w:cols w:space="720" w:num="1"/>
          <w:docGrid w:linePitch="312" w:charSpace="0"/>
        </w:sectPr>
      </w:pPr>
    </w:p>
    <w:p w14:paraId="278B230C">
      <w:pPr>
        <w:spacing w:before="120" w:beforeLines="50" w:after="120" w:afterLines="50" w:line="276"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第三部分、采购需求响应程度</w:t>
      </w:r>
      <w:bookmarkStart w:id="3" w:name="_Toc476514128"/>
      <w:bookmarkStart w:id="4" w:name="_Toc486424819"/>
    </w:p>
    <w:p w14:paraId="54FE56EB">
      <w:pPr>
        <w:pStyle w:val="12"/>
        <w:rPr>
          <w:rFonts w:hint="eastAsia" w:ascii="仿宋" w:hAnsi="仿宋" w:eastAsia="仿宋" w:cs="仿宋"/>
          <w:color w:val="auto"/>
          <w:sz w:val="24"/>
          <w:szCs w:val="24"/>
          <w:lang w:eastAsia="zh-CN"/>
        </w:rPr>
      </w:pPr>
    </w:p>
    <w:p w14:paraId="183F5001">
      <w:pPr>
        <w:spacing w:before="120" w:beforeLines="50" w:after="120" w:afterLines="50" w:line="276"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采购需求响应/偏离表</w:t>
      </w:r>
    </w:p>
    <w:p w14:paraId="62A95FFC">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AFE9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855A64">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bCs/>
                <w:color w:val="auto"/>
                <w:sz w:val="24"/>
                <w:szCs w:val="24"/>
              </w:rPr>
              <w:t>序</w:t>
            </w:r>
            <w:r>
              <w:rPr>
                <w:rFonts w:hint="eastAsia" w:ascii="仿宋" w:hAnsi="仿宋" w:eastAsia="仿宋" w:cs="仿宋"/>
                <w:color w:val="auto"/>
                <w:sz w:val="24"/>
                <w:szCs w:val="24"/>
              </w:rPr>
              <w:t>号</w:t>
            </w:r>
          </w:p>
        </w:tc>
        <w:tc>
          <w:tcPr>
            <w:tcW w:w="1123" w:type="pct"/>
            <w:noWrap w:val="0"/>
            <w:vAlign w:val="center"/>
          </w:tcPr>
          <w:p w14:paraId="4C398DFE">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招标文件章节</w:t>
            </w:r>
            <w:r>
              <w:rPr>
                <w:rFonts w:hint="eastAsia" w:ascii="仿宋" w:hAnsi="仿宋" w:eastAsia="仿宋" w:cs="仿宋"/>
                <w:bCs/>
                <w:color w:val="auto"/>
                <w:sz w:val="24"/>
                <w:szCs w:val="24"/>
              </w:rPr>
              <w:t>条</w:t>
            </w:r>
            <w:r>
              <w:rPr>
                <w:rFonts w:hint="eastAsia" w:ascii="仿宋" w:hAnsi="仿宋" w:eastAsia="仿宋" w:cs="仿宋"/>
                <w:color w:val="auto"/>
                <w:sz w:val="24"/>
                <w:szCs w:val="24"/>
              </w:rPr>
              <w:t>款号</w:t>
            </w:r>
          </w:p>
        </w:tc>
        <w:tc>
          <w:tcPr>
            <w:tcW w:w="1000" w:type="pct"/>
            <w:noWrap w:val="0"/>
            <w:vAlign w:val="top"/>
          </w:tcPr>
          <w:p w14:paraId="421C1418">
            <w:pPr>
              <w:adjustRightInd w:val="0"/>
              <w:snapToGrid w:val="0"/>
              <w:spacing w:before="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招标文件要求</w:t>
            </w:r>
          </w:p>
        </w:tc>
        <w:tc>
          <w:tcPr>
            <w:tcW w:w="962" w:type="pct"/>
            <w:noWrap w:val="0"/>
            <w:vAlign w:val="top"/>
          </w:tcPr>
          <w:p w14:paraId="2FC388AC">
            <w:pPr>
              <w:adjustRightInd w:val="0"/>
              <w:snapToGrid w:val="0"/>
              <w:spacing w:before="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投标文件应答</w:t>
            </w:r>
          </w:p>
        </w:tc>
        <w:tc>
          <w:tcPr>
            <w:tcW w:w="905" w:type="pct"/>
            <w:noWrap w:val="0"/>
            <w:vAlign w:val="center"/>
          </w:tcPr>
          <w:p w14:paraId="4D187CAD">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响应/偏离</w:t>
            </w:r>
          </w:p>
        </w:tc>
        <w:tc>
          <w:tcPr>
            <w:tcW w:w="634" w:type="pct"/>
            <w:noWrap w:val="0"/>
            <w:vAlign w:val="center"/>
          </w:tcPr>
          <w:p w14:paraId="4ECE675F">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r>
      <w:tr w14:paraId="7CBA2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57F8300">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28508073">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2362F44B">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4E2BD7EA">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7A14580B">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3023B53B">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3B5AD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DA484A">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58821473">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74C10640">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362F2D3E">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605FAEB6">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42226E6E">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60AFC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375" w:type="pct"/>
            <w:noWrap w:val="0"/>
            <w:vAlign w:val="center"/>
          </w:tcPr>
          <w:p w14:paraId="5DBD5707">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7E9A15CC">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5B4C296D">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11E3097E">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6390EB91">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04310183">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0CC0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16336191">
            <w:pPr>
              <w:rPr>
                <w:rFonts w:hint="eastAsia" w:ascii="仿宋" w:hAnsi="仿宋" w:eastAsia="仿宋" w:cs="仿宋"/>
                <w:b/>
                <w:color w:val="auto"/>
                <w:sz w:val="24"/>
                <w:szCs w:val="24"/>
              </w:rPr>
            </w:pPr>
          </w:p>
        </w:tc>
      </w:tr>
    </w:tbl>
    <w:p w14:paraId="5E2305B4">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b/>
          <w:color w:val="auto"/>
          <w:sz w:val="24"/>
          <w:szCs w:val="24"/>
        </w:rPr>
        <w:t>备注</w:t>
      </w:r>
      <w:r>
        <w:rPr>
          <w:rFonts w:hint="eastAsia" w:ascii="仿宋" w:hAnsi="仿宋" w:eastAsia="仿宋" w:cs="仿宋"/>
          <w:color w:val="auto"/>
          <w:sz w:val="24"/>
          <w:szCs w:val="24"/>
        </w:rPr>
        <w:t>：</w:t>
      </w:r>
    </w:p>
    <w:bookmarkEnd w:id="3"/>
    <w:bookmarkEnd w:id="4"/>
    <w:p w14:paraId="00B9F194">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color w:val="auto"/>
          <w:sz w:val="24"/>
          <w:szCs w:val="24"/>
        </w:rPr>
        <w:t>（1）投标人应根据招标文件第</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章中采购需求填写本表，逐条应答；</w:t>
      </w:r>
    </w:p>
    <w:p w14:paraId="7A02B97E">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color w:val="auto"/>
          <w:sz w:val="24"/>
          <w:szCs w:val="24"/>
        </w:rPr>
        <w:t>（2）如不提供此表，则视为投标人不满足招标文件第三章的所有条款要求，其投标无效；</w:t>
      </w:r>
    </w:p>
    <w:p w14:paraId="5B7AEB0F">
      <w:pPr>
        <w:adjustRightInd w:val="0"/>
        <w:snapToGrid w:val="0"/>
        <w:spacing w:before="50" w:line="360" w:lineRule="auto"/>
        <w:ind w:left="-88" w:leftChars="-42"/>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本项目为最低价评分法，所有参数必须全部响应，并在响应表中逐条应答，如有任何一条负偏离，则视为无效投标</w:t>
      </w:r>
    </w:p>
    <w:p w14:paraId="06724E5B">
      <w:pPr>
        <w:pStyle w:val="14"/>
        <w:rPr>
          <w:rFonts w:hint="eastAsia" w:ascii="仿宋" w:hAnsi="仿宋" w:eastAsia="仿宋" w:cs="仿宋"/>
          <w:color w:val="auto"/>
          <w:sz w:val="24"/>
          <w:szCs w:val="24"/>
        </w:rPr>
      </w:pPr>
    </w:p>
    <w:p w14:paraId="359A2A68">
      <w:pPr>
        <w:pStyle w:val="12"/>
        <w:rPr>
          <w:rFonts w:hint="eastAsia" w:ascii="仿宋" w:hAnsi="仿宋" w:eastAsia="仿宋" w:cs="仿宋"/>
          <w:color w:val="auto"/>
          <w:sz w:val="24"/>
          <w:szCs w:val="24"/>
          <w:lang w:eastAsia="zh-CN"/>
        </w:rPr>
      </w:pPr>
    </w:p>
    <w:p w14:paraId="1B0F2890">
      <w:pPr>
        <w:rPr>
          <w:rFonts w:hint="eastAsia" w:ascii="仿宋" w:hAnsi="仿宋" w:eastAsia="仿宋" w:cs="仿宋"/>
          <w:color w:val="auto"/>
          <w:sz w:val="24"/>
          <w:szCs w:val="24"/>
        </w:rPr>
      </w:pPr>
    </w:p>
    <w:p w14:paraId="1D82947A">
      <w:pPr>
        <w:rPr>
          <w:color w:val="auto"/>
        </w:rPr>
      </w:pPr>
    </w:p>
    <w:p w14:paraId="19A8E029">
      <w:pPr>
        <w:rPr>
          <w:color w:val="auto"/>
        </w:rPr>
      </w:pPr>
    </w:p>
    <w:p w14:paraId="3F97CD2E">
      <w:pPr>
        <w:rPr>
          <w:color w:val="auto"/>
        </w:rPr>
      </w:pPr>
    </w:p>
    <w:p w14:paraId="41EE2E82"/>
    <w:p w14:paraId="0D2C97ED"/>
    <w:p w14:paraId="5121895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125E">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14F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6814F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EA276C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4AB5">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9702">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CB9702">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DCECDE1">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846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0EEA4712"/>
    <w:multiLevelType w:val="multilevel"/>
    <w:tmpl w:val="0EEA4712"/>
    <w:lvl w:ilvl="0" w:tentative="0">
      <w:start w:val="1"/>
      <w:numFmt w:val="decimal"/>
      <w:lvlText w:val="%1"/>
      <w:lvlJc w:val="center"/>
      <w:pPr>
        <w:ind w:left="420" w:hanging="420"/>
      </w:pPr>
      <w:rPr>
        <w:rFonts w:hint="eastAsia"/>
      </w:rPr>
    </w:lvl>
    <w:lvl w:ilvl="1" w:tentative="0">
      <w:start w:val="1"/>
      <w:numFmt w:val="lowerLetter"/>
      <w:lvlText w:val="%2)"/>
      <w:lvlJc w:val="left"/>
      <w:pPr>
        <w:ind w:left="1092" w:hanging="420"/>
      </w:pPr>
    </w:lvl>
    <w:lvl w:ilvl="2" w:tentative="0">
      <w:start w:val="1"/>
      <w:numFmt w:val="lowerRoman"/>
      <w:lvlText w:val="%3."/>
      <w:lvlJc w:val="right"/>
      <w:pPr>
        <w:ind w:left="1512" w:hanging="420"/>
      </w:pPr>
    </w:lvl>
    <w:lvl w:ilvl="3" w:tentative="0">
      <w:start w:val="1"/>
      <w:numFmt w:val="decimal"/>
      <w:lvlText w:val="%4."/>
      <w:lvlJc w:val="left"/>
      <w:pPr>
        <w:ind w:left="1932" w:hanging="420"/>
      </w:pPr>
    </w:lvl>
    <w:lvl w:ilvl="4" w:tentative="0">
      <w:start w:val="1"/>
      <w:numFmt w:val="lowerLetter"/>
      <w:lvlText w:val="%5)"/>
      <w:lvlJc w:val="left"/>
      <w:pPr>
        <w:ind w:left="2352" w:hanging="420"/>
      </w:pPr>
    </w:lvl>
    <w:lvl w:ilvl="5" w:tentative="0">
      <w:start w:val="1"/>
      <w:numFmt w:val="lowerRoman"/>
      <w:lvlText w:val="%6."/>
      <w:lvlJc w:val="right"/>
      <w:pPr>
        <w:ind w:left="2772" w:hanging="420"/>
      </w:pPr>
    </w:lvl>
    <w:lvl w:ilvl="6" w:tentative="0">
      <w:start w:val="1"/>
      <w:numFmt w:val="decimal"/>
      <w:lvlText w:val="%7."/>
      <w:lvlJc w:val="left"/>
      <w:pPr>
        <w:ind w:left="3192" w:hanging="420"/>
      </w:pPr>
    </w:lvl>
    <w:lvl w:ilvl="7" w:tentative="0">
      <w:start w:val="1"/>
      <w:numFmt w:val="lowerLetter"/>
      <w:lvlText w:val="%8)"/>
      <w:lvlJc w:val="left"/>
      <w:pPr>
        <w:ind w:left="3612" w:hanging="420"/>
      </w:pPr>
    </w:lvl>
    <w:lvl w:ilvl="8" w:tentative="0">
      <w:start w:val="1"/>
      <w:numFmt w:val="lowerRoman"/>
      <w:lvlText w:val="%9."/>
      <w:lvlJc w:val="right"/>
      <w:pPr>
        <w:ind w:left="403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82CAD"/>
    <w:rsid w:val="08482CAD"/>
    <w:rsid w:val="0DF30D7E"/>
    <w:rsid w:val="1A3D5728"/>
    <w:rsid w:val="1A4C07A0"/>
    <w:rsid w:val="240A129F"/>
    <w:rsid w:val="462956E2"/>
    <w:rsid w:val="6A9E6936"/>
    <w:rsid w:val="6DF53E98"/>
    <w:rsid w:val="6E172B01"/>
    <w:rsid w:val="6F301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列出段落1"/>
    <w:basedOn w:val="1"/>
    <w:autoRedefine/>
    <w:qFormat/>
    <w:uiPriority w:val="99"/>
    <w:pPr>
      <w:ind w:firstLine="420" w:firstLineChars="200"/>
    </w:pPr>
  </w:style>
  <w:style w:type="paragraph" w:styleId="13">
    <w:name w:val="List Paragraph"/>
    <w:basedOn w:val="1"/>
    <w:unhideWhenUsed/>
    <w:qFormat/>
    <w:uiPriority w:val="99"/>
    <w:pPr>
      <w:ind w:firstLine="420" w:firstLineChars="200"/>
    </w:pPr>
  </w:style>
  <w:style w:type="paragraph" w:customStyle="1" w:styleId="14">
    <w:name w:val="无间隔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1400</Words>
  <Characters>1494</Characters>
  <Lines>0</Lines>
  <Paragraphs>0</Paragraphs>
  <TotalTime>0</TotalTime>
  <ScaleCrop>false</ScaleCrop>
  <LinksUpToDate>false</LinksUpToDate>
  <CharactersWithSpaces>1499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2025-10-21T01:58:00Z</dcterms:created>
  <dc:creator>Administrator</dc:creator>
  <cp:lastModifiedBy>是小豹子</cp:lastModifiedBy>
  <dcterms:modified xsi:type="dcterms:W3CDTF">2025-12-01T08:37:17Z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CA4F7004DA8842FF9F1F2305D7BB850E_11</vt:lpwstr>
  </property>
  <property fmtid="{D5CDD505-2E9C-101B-9397-08002B2CF9AE}" pid="4" name="KSOTemplateDocerSaveRecord">
    <vt:lpwstr>eyJoZGlkIjoiMjI0YzkyZjA4NDE5ZWViZGEyZTVjOTNhYTg4ZmYzYTciLCJ1c2VySWQiOiIzMDQ3NTQ4MDUifQ==</vt:lpwstr>
  </property>
</Properties>
</file>