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7"/>
        <w:snapToGrid w:val="0"/>
        <w:jc w:val="center"/>
        <w:rPr>
          <w:rFonts w:ascii="Arial" w:hAnsi="Arial" w:eastAsia="方正小标宋简体" w:cs="Arial"/>
          <w:color w:val="auto"/>
          <w:sz w:val="72"/>
          <w:szCs w:val="72"/>
        </w:rPr>
      </w:pPr>
    </w:p>
    <w:p w14:paraId="2E98DCBA">
      <w:pPr>
        <w:pStyle w:val="7"/>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7"/>
        <w:snapToGrid w:val="0"/>
        <w:jc w:val="center"/>
        <w:rPr>
          <w:rFonts w:ascii="Arial" w:hAnsi="Arial" w:eastAsia="方正小标宋简体" w:cs="Arial"/>
          <w:color w:val="auto"/>
          <w:sz w:val="72"/>
          <w:szCs w:val="72"/>
        </w:rPr>
      </w:pPr>
    </w:p>
    <w:p w14:paraId="692D2DB5">
      <w:pPr>
        <w:pStyle w:val="7"/>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7"/>
        <w:snapToGrid w:val="0"/>
        <w:jc w:val="center"/>
        <w:rPr>
          <w:rFonts w:hint="eastAsia" w:ascii="Arial" w:hAnsi="Arial" w:eastAsia="方正小标宋简体" w:cs="Arial"/>
          <w:color w:val="auto"/>
          <w:sz w:val="72"/>
          <w:szCs w:val="72"/>
          <w:lang w:eastAsia="zh-CN"/>
        </w:rPr>
      </w:pPr>
    </w:p>
    <w:p w14:paraId="788AF8A4">
      <w:pPr>
        <w:pStyle w:val="7"/>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7"/>
        <w:snapToGrid w:val="0"/>
        <w:jc w:val="center"/>
        <w:rPr>
          <w:rFonts w:ascii="Arial" w:hAnsi="Arial" w:eastAsia="方正小标宋简体" w:cs="Arial"/>
          <w:color w:val="auto"/>
          <w:sz w:val="72"/>
          <w:szCs w:val="72"/>
        </w:rPr>
      </w:pPr>
    </w:p>
    <w:p w14:paraId="5F69EBCF">
      <w:pPr>
        <w:pStyle w:val="7"/>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7"/>
        <w:snapToGrid w:val="0"/>
        <w:jc w:val="center"/>
        <w:rPr>
          <w:rFonts w:ascii="Arial" w:hAnsi="Arial" w:eastAsia="方正小标宋简体" w:cs="Arial"/>
          <w:color w:val="auto"/>
          <w:sz w:val="72"/>
          <w:szCs w:val="72"/>
        </w:rPr>
      </w:pPr>
    </w:p>
    <w:p w14:paraId="2B2937B0">
      <w:pPr>
        <w:pStyle w:val="7"/>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7"/>
        <w:snapToGrid w:val="0"/>
        <w:jc w:val="center"/>
        <w:rPr>
          <w:rFonts w:ascii="Arial" w:hAnsi="Arial" w:cs="Arial"/>
          <w:color w:val="auto"/>
          <w:sz w:val="32"/>
          <w:szCs w:val="32"/>
        </w:rPr>
      </w:pPr>
    </w:p>
    <w:p w14:paraId="2E067A04">
      <w:pPr>
        <w:pStyle w:val="7"/>
        <w:snapToGrid w:val="0"/>
        <w:jc w:val="center"/>
        <w:rPr>
          <w:rFonts w:ascii="Arial" w:hAnsi="Arial" w:cs="Arial"/>
          <w:color w:val="auto"/>
          <w:sz w:val="32"/>
          <w:szCs w:val="32"/>
        </w:rPr>
      </w:pPr>
    </w:p>
    <w:p w14:paraId="20A09B03">
      <w:pPr>
        <w:pStyle w:val="7"/>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办公用笔</w:t>
      </w:r>
      <w:r>
        <w:rPr>
          <w:rFonts w:hint="eastAsia" w:ascii="Times New Roman" w:hAnsi="Times New Roman" w:cs="Times New Roman"/>
          <w:bCs/>
          <w:color w:val="auto"/>
          <w:sz w:val="32"/>
          <w:szCs w:val="32"/>
          <w:lang w:eastAsia="zh-CN"/>
        </w:rPr>
        <w:t>项目</w:t>
      </w:r>
      <w:r>
        <w:rPr>
          <w:rFonts w:hint="eastAsia"/>
          <w:bCs/>
          <w:color w:val="auto"/>
          <w:sz w:val="32"/>
          <w:szCs w:val="32"/>
          <w:lang w:eastAsia="zh-CN"/>
        </w:rPr>
        <w:t>招标</w:t>
      </w:r>
      <w:r>
        <w:rPr>
          <w:rFonts w:hint="eastAsia"/>
          <w:bCs/>
          <w:color w:val="auto"/>
          <w:sz w:val="32"/>
          <w:szCs w:val="32"/>
        </w:rPr>
        <w:t>文件</w:t>
      </w:r>
      <w:r>
        <w:rPr>
          <w:rFonts w:hint="eastAsia"/>
          <w:bCs/>
          <w:color w:val="auto"/>
          <w:sz w:val="32"/>
          <w:szCs w:val="32"/>
          <w:lang w:eastAsia="zh-CN"/>
        </w:rPr>
        <w:t>（院内招标）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7"/>
        <w:numPr>
          <w:ilvl w:val="0"/>
          <w:numId w:val="0"/>
        </w:numPr>
        <w:tabs>
          <w:tab w:val="left" w:pos="312"/>
        </w:tabs>
        <w:snapToGrid w:val="0"/>
        <w:spacing w:line="480" w:lineRule="auto"/>
        <w:ind w:firstLine="560" w:firstLineChars="200"/>
        <w:rPr>
          <w:rFonts w:hint="eastAsia"/>
          <w:bCs/>
          <w:color w:val="auto"/>
          <w:sz w:val="28"/>
          <w:szCs w:val="28"/>
        </w:rPr>
      </w:pPr>
      <w:r>
        <w:rPr>
          <w:rFonts w:hint="eastAsia" w:ascii="仿宋" w:hAnsi="仿宋" w:eastAsia="仿宋" w:cs="仿宋"/>
          <w:i w:val="0"/>
          <w:iCs w:val="0"/>
          <w:caps w:val="0"/>
          <w:color w:val="auto"/>
          <w:spacing w:val="0"/>
          <w:sz w:val="28"/>
          <w:szCs w:val="28"/>
          <w:shd w:val="clear" w:fill="FFFFFF"/>
          <w:lang w:eastAsia="zh-CN"/>
        </w:rPr>
        <w:t>办公用笔</w:t>
      </w:r>
      <w:r>
        <w:rPr>
          <w:rFonts w:ascii="仿宋" w:hAnsi="仿宋" w:eastAsia="仿宋" w:cs="仿宋"/>
          <w:i w:val="0"/>
          <w:iCs w:val="0"/>
          <w:caps w:val="0"/>
          <w:color w:val="auto"/>
          <w:spacing w:val="0"/>
          <w:sz w:val="28"/>
          <w:szCs w:val="28"/>
          <w:shd w:val="clear" w:fill="FFFFFF"/>
        </w:rPr>
        <w:t>项目</w:t>
      </w:r>
      <w:r>
        <w:rPr>
          <w:rFonts w:hint="eastAsia"/>
          <w:bCs/>
          <w:color w:val="auto"/>
          <w:sz w:val="28"/>
          <w:szCs w:val="28"/>
          <w:lang w:val="en-US" w:eastAsia="zh-CN"/>
        </w:rPr>
        <w:t>进行挂网</w:t>
      </w:r>
      <w:r>
        <w:rPr>
          <w:rFonts w:hint="eastAsia"/>
          <w:bCs/>
          <w:color w:val="auto"/>
          <w:sz w:val="28"/>
          <w:szCs w:val="28"/>
        </w:rPr>
        <w:t>，公告如下：</w:t>
      </w:r>
    </w:p>
    <w:p w14:paraId="529A8506">
      <w:pPr>
        <w:pStyle w:val="7"/>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4CB04DB2">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ascii="仿宋" w:hAnsi="仿宋" w:eastAsia="仿宋" w:cs="仿宋"/>
          <w:i w:val="0"/>
          <w:iCs w:val="0"/>
          <w:caps w:val="0"/>
          <w:color w:val="auto"/>
          <w:spacing w:val="0"/>
          <w:sz w:val="28"/>
          <w:szCs w:val="28"/>
          <w:shd w:val="clear" w:fill="FFFFFF"/>
          <w:lang w:eastAsia="zh-CN"/>
        </w:rPr>
        <w:t>办公用笔</w:t>
      </w:r>
      <w:r>
        <w:rPr>
          <w:rFonts w:ascii="仿宋" w:hAnsi="仿宋" w:eastAsia="仿宋" w:cs="仿宋"/>
          <w:i w:val="0"/>
          <w:iCs w:val="0"/>
          <w:caps w:val="0"/>
          <w:color w:val="auto"/>
          <w:spacing w:val="0"/>
          <w:sz w:val="28"/>
          <w:szCs w:val="28"/>
          <w:shd w:val="clear" w:fill="FFFFFF"/>
        </w:rPr>
        <w:t>项目</w:t>
      </w:r>
    </w:p>
    <w:p w14:paraId="578DFB3B">
      <w:pPr>
        <w:pStyle w:val="7"/>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264727AD">
      <w:pPr>
        <w:pStyle w:val="7"/>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6274270B">
      <w:pPr>
        <w:pStyle w:val="7"/>
        <w:numPr>
          <w:ilvl w:val="0"/>
          <w:numId w:val="1"/>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投标人资格要求</w:t>
      </w:r>
    </w:p>
    <w:p w14:paraId="57AD354B">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具有合法的企业法人资格，具有招标代理机构或招标代理资</w:t>
      </w:r>
      <w:r>
        <w:rPr>
          <w:rFonts w:hint="eastAsia" w:ascii="仿宋" w:hAnsi="仿宋" w:eastAsia="仿宋" w:cs="仿宋"/>
          <w:sz w:val="28"/>
          <w:szCs w:val="28"/>
          <w:lang w:val="en-US" w:eastAsia="zh-CN"/>
        </w:rPr>
        <w:t>格</w:t>
      </w:r>
      <w:r>
        <w:rPr>
          <w:rFonts w:hint="eastAsia" w:ascii="仿宋" w:hAnsi="仿宋" w:eastAsia="仿宋" w:cs="仿宋"/>
          <w:sz w:val="28"/>
          <w:szCs w:val="28"/>
          <w:lang w:eastAsia="zh-CN"/>
        </w:rPr>
        <w:t>；</w:t>
      </w:r>
    </w:p>
    <w:p w14:paraId="1F702ECA">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具有完善的销售网络、售后服务能力，可提供质量和售后服</w:t>
      </w:r>
      <w:r>
        <w:rPr>
          <w:rFonts w:hint="eastAsia" w:ascii="仿宋" w:hAnsi="仿宋" w:eastAsia="仿宋" w:cs="仿宋"/>
          <w:sz w:val="28"/>
          <w:szCs w:val="28"/>
          <w:lang w:val="en-US" w:eastAsia="zh-CN"/>
        </w:rPr>
        <w:t>务保障。</w:t>
      </w:r>
    </w:p>
    <w:p w14:paraId="7BB90CEE">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满足《中华人民共和国政府采购法》第二十二条规定：</w:t>
      </w:r>
    </w:p>
    <w:p w14:paraId="268AE2C1">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 具有独立承担民事责任的能力</w:t>
      </w:r>
    </w:p>
    <w:p w14:paraId="700D3673">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 具有良好的商业信誉和健全的财务会计制度</w:t>
      </w:r>
    </w:p>
    <w:p w14:paraId="6D91B1AD">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3.3 具有履行合同所必需的设备和专业技术能力</w:t>
      </w:r>
    </w:p>
    <w:p w14:paraId="72CA76A4">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 有依法缴纳税收和社会保障资金的良好记录</w:t>
      </w:r>
    </w:p>
    <w:p w14:paraId="5BC95D8D">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3.5 参加政府采购活动前三年内，在经营活动中没有重大违法记录</w:t>
      </w:r>
    </w:p>
    <w:p w14:paraId="5781E3DF">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3.6 法律、行政法规规定的其他条件。</w:t>
      </w:r>
    </w:p>
    <w:p w14:paraId="4D779DB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w:t>
      </w:r>
      <w:r>
        <w:rPr>
          <w:rFonts w:hint="eastAsia" w:ascii="仿宋" w:hAnsi="仿宋" w:eastAsia="仿宋" w:cs="仿宋"/>
          <w:bCs/>
          <w:color w:val="auto"/>
          <w:sz w:val="24"/>
          <w:szCs w:val="24"/>
          <w:lang w:val="en-US" w:eastAsia="zh-CN"/>
        </w:rPr>
        <w:t>2025年12月10日10：20；</w:t>
      </w:r>
      <w:r>
        <w:rPr>
          <w:rFonts w:hint="eastAsia" w:ascii="仿宋_GB2312" w:hAnsi="Times New Roman" w:eastAsia="仿宋_GB2312" w:cs="仿宋_GB2312"/>
          <w:bCs/>
          <w:color w:val="auto"/>
          <w:kern w:val="0"/>
          <w:sz w:val="28"/>
          <w:szCs w:val="28"/>
          <w:lang w:val="en-US" w:eastAsia="zh-CN" w:bidi="ar-SA"/>
        </w:rPr>
        <w:t>；</w:t>
      </w:r>
    </w:p>
    <w:p w14:paraId="0F04DBBD">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bookmarkStart w:id="5" w:name="_GoBack"/>
      <w:bookmarkEnd w:id="5"/>
    </w:p>
    <w:p w14:paraId="22CFF10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7"/>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7"/>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5E514FC6">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一、采购项目交付</w:t>
      </w:r>
      <w:r>
        <w:rPr>
          <w:rFonts w:hint="eastAsia" w:ascii="仿宋_GB2312" w:eastAsia="仿宋_GB2312" w:cs="仿宋_GB2312"/>
          <w:bCs/>
          <w:color w:val="auto"/>
          <w:kern w:val="0"/>
          <w:sz w:val="28"/>
          <w:szCs w:val="28"/>
          <w:lang w:val="en-US" w:eastAsia="zh-CN" w:bidi="ar-SA"/>
        </w:rPr>
        <w:t>、</w:t>
      </w:r>
      <w:r>
        <w:rPr>
          <w:rFonts w:hint="eastAsia" w:ascii="仿宋_GB2312" w:hAnsi="Times New Roman" w:eastAsia="仿宋_GB2312" w:cs="仿宋_GB2312"/>
          <w:bCs/>
          <w:color w:val="auto"/>
          <w:kern w:val="0"/>
          <w:sz w:val="28"/>
          <w:szCs w:val="28"/>
          <w:lang w:val="en-US" w:eastAsia="zh-CN" w:bidi="ar-SA"/>
        </w:rPr>
        <w:t>实施的时间和地点</w:t>
      </w:r>
    </w:p>
    <w:p w14:paraId="2A5E429E">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4"/>
        <w:tblW w:w="7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1"/>
        <w:gridCol w:w="1960"/>
      </w:tblGrid>
      <w:tr w14:paraId="356C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5311" w:type="dxa"/>
            <w:tcBorders>
              <w:top w:val="single" w:color="auto" w:sz="4" w:space="0"/>
              <w:left w:val="single" w:color="auto" w:sz="4" w:space="0"/>
              <w:bottom w:val="single" w:color="auto" w:sz="4" w:space="0"/>
              <w:right w:val="single" w:color="auto" w:sz="4" w:space="0"/>
            </w:tcBorders>
            <w:vAlign w:val="center"/>
          </w:tcPr>
          <w:p w14:paraId="11A48352">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960" w:type="dxa"/>
            <w:tcBorders>
              <w:top w:val="single" w:color="auto" w:sz="4" w:space="0"/>
              <w:left w:val="single" w:color="auto" w:sz="4" w:space="0"/>
              <w:bottom w:val="single" w:color="auto" w:sz="4" w:space="0"/>
              <w:right w:val="single" w:color="auto" w:sz="4" w:space="0"/>
            </w:tcBorders>
            <w:vAlign w:val="center"/>
          </w:tcPr>
          <w:p w14:paraId="7CC14976">
            <w:pPr>
              <w:pageBreakBefore w:val="0"/>
              <w:kinsoku/>
              <w:wordWrap/>
              <w:overflowPunct/>
              <w:topLinePunct w:val="0"/>
              <w:bidi w:val="0"/>
              <w:spacing w:line="440" w:lineRule="exact"/>
              <w:jc w:val="center"/>
              <w:textAlignment w:val="auto"/>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总控制价(元)</w:t>
            </w:r>
          </w:p>
        </w:tc>
      </w:tr>
      <w:tr w14:paraId="61C2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5311" w:type="dxa"/>
            <w:tcBorders>
              <w:top w:val="single" w:color="auto" w:sz="4" w:space="0"/>
              <w:left w:val="single" w:color="auto" w:sz="4" w:space="0"/>
              <w:bottom w:val="single" w:color="auto" w:sz="4" w:space="0"/>
              <w:right w:val="single" w:color="auto" w:sz="4" w:space="0"/>
            </w:tcBorders>
            <w:vAlign w:val="center"/>
          </w:tcPr>
          <w:p w14:paraId="27AD3FAD">
            <w:pPr>
              <w:pageBreakBefore w:val="0"/>
              <w:kinsoku/>
              <w:wordWrap/>
              <w:overflowPunct/>
              <w:topLinePunct w:val="0"/>
              <w:bidi w:val="0"/>
              <w:spacing w:line="440" w:lineRule="exact"/>
              <w:jc w:val="center"/>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 w:hAnsi="仿宋" w:eastAsia="仿宋" w:cs="仿宋"/>
                <w:i w:val="0"/>
                <w:iCs w:val="0"/>
                <w:caps w:val="0"/>
                <w:color w:val="auto"/>
                <w:spacing w:val="0"/>
                <w:sz w:val="28"/>
                <w:szCs w:val="28"/>
                <w:shd w:val="clear" w:fill="FFFFFF"/>
                <w:lang w:eastAsia="zh-CN"/>
              </w:rPr>
              <w:t>办公用笔</w:t>
            </w:r>
            <w:r>
              <w:rPr>
                <w:rFonts w:ascii="仿宋" w:hAnsi="仿宋" w:eastAsia="仿宋" w:cs="仿宋"/>
                <w:i w:val="0"/>
                <w:iCs w:val="0"/>
                <w:caps w:val="0"/>
                <w:color w:val="auto"/>
                <w:spacing w:val="0"/>
                <w:sz w:val="28"/>
                <w:szCs w:val="28"/>
                <w:shd w:val="clear" w:fill="FFFFFF"/>
              </w:rPr>
              <w:t>项目</w:t>
            </w:r>
          </w:p>
        </w:tc>
        <w:tc>
          <w:tcPr>
            <w:tcW w:w="1960" w:type="dxa"/>
            <w:tcBorders>
              <w:top w:val="single" w:color="auto" w:sz="4" w:space="0"/>
              <w:left w:val="single" w:color="auto" w:sz="4" w:space="0"/>
              <w:bottom w:val="single" w:color="auto" w:sz="4" w:space="0"/>
              <w:right w:val="single" w:color="auto" w:sz="4" w:space="0"/>
            </w:tcBorders>
            <w:vAlign w:val="center"/>
          </w:tcPr>
          <w:p w14:paraId="1B20F30B">
            <w:pPr>
              <w:pStyle w:val="4"/>
              <w:pageBreakBefore w:val="0"/>
              <w:kinsoku/>
              <w:wordWrap/>
              <w:overflowPunct/>
              <w:topLinePunct w:val="0"/>
              <w:bidi w:val="0"/>
              <w:spacing w:line="440" w:lineRule="exact"/>
              <w:jc w:val="center"/>
              <w:textAlignment w:val="auto"/>
              <w:rPr>
                <w:rFonts w:hint="eastAsia" w:ascii="仿宋" w:hAnsi="仿宋" w:eastAsia="仿宋" w:cs="仿宋"/>
                <w:b w:val="0"/>
                <w:bCs w:val="0"/>
                <w:i w:val="0"/>
                <w:iCs w:val="0"/>
                <w:caps w:val="0"/>
                <w:color w:val="auto"/>
                <w:spacing w:val="0"/>
                <w:kern w:val="2"/>
                <w:sz w:val="28"/>
                <w:szCs w:val="28"/>
                <w:shd w:val="clear" w:fill="FFFFFF"/>
                <w:lang w:val="en-US" w:eastAsia="zh-CN" w:bidi="ar-SA"/>
              </w:rPr>
            </w:pPr>
            <w:r>
              <w:rPr>
                <w:rFonts w:hint="eastAsia" w:ascii="仿宋" w:hAnsi="仿宋" w:eastAsia="仿宋" w:cs="仿宋"/>
                <w:b w:val="0"/>
                <w:bCs w:val="0"/>
                <w:i w:val="0"/>
                <w:iCs w:val="0"/>
                <w:caps w:val="0"/>
                <w:color w:val="auto"/>
                <w:spacing w:val="0"/>
                <w:kern w:val="2"/>
                <w:sz w:val="28"/>
                <w:szCs w:val="28"/>
                <w:shd w:val="clear" w:fill="FFFFFF"/>
                <w:lang w:val="en-US" w:eastAsia="zh-CN" w:bidi="ar-SA"/>
              </w:rPr>
              <w:t>362540.00</w:t>
            </w:r>
          </w:p>
        </w:tc>
      </w:tr>
    </w:tbl>
    <w:p w14:paraId="77939CAB">
      <w:pPr>
        <w:pageBreakBefore w:val="0"/>
        <w:numPr>
          <w:ilvl w:val="0"/>
          <w:numId w:val="2"/>
        </w:numPr>
        <w:kinsoku/>
        <w:wordWrap/>
        <w:overflowPunct/>
        <w:topLinePunct w:val="0"/>
        <w:bidi w:val="0"/>
        <w:spacing w:line="440" w:lineRule="exact"/>
        <w:jc w:val="center"/>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项目内容及要求，（以下内容必须全部响应，否则视为无效投标）</w:t>
      </w:r>
    </w:p>
    <w:p w14:paraId="3816FA4C">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(一)采购范围：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白板笔、记号笔、铅笔、大水笔、大水笔芯、小水笔、小水笔芯、圆珠笔</w:t>
      </w:r>
      <w:r>
        <w:rPr>
          <w:rFonts w:hint="eastAsia" w:ascii="仿宋" w:hAnsi="仿宋" w:eastAsia="仿宋" w:cs="仿宋"/>
          <w:sz w:val="28"/>
          <w:szCs w:val="28"/>
        </w:rPr>
        <w:t>;</w:t>
      </w:r>
    </w:p>
    <w:tbl>
      <w:tblPr>
        <w:tblStyle w:val="14"/>
        <w:tblW w:w="95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239"/>
        <w:gridCol w:w="3125"/>
        <w:gridCol w:w="1307"/>
        <w:gridCol w:w="1232"/>
        <w:gridCol w:w="534"/>
        <w:gridCol w:w="1295"/>
      </w:tblGrid>
      <w:tr w14:paraId="399A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97" w:type="dxa"/>
            <w:tcBorders>
              <w:top w:val="single" w:color="000000" w:sz="4" w:space="0"/>
              <w:left w:val="single" w:color="000000" w:sz="4" w:space="0"/>
              <w:bottom w:val="single" w:color="000000" w:sz="4" w:space="0"/>
              <w:right w:val="single" w:color="000000" w:sz="4" w:space="0"/>
            </w:tcBorders>
            <w:noWrap/>
            <w:vAlign w:val="center"/>
          </w:tcPr>
          <w:p w14:paraId="6C0E37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39" w:type="dxa"/>
            <w:tcBorders>
              <w:top w:val="single" w:color="000000" w:sz="4" w:space="0"/>
              <w:left w:val="single" w:color="000000" w:sz="4" w:space="0"/>
              <w:bottom w:val="single" w:color="000000" w:sz="4" w:space="0"/>
              <w:right w:val="single" w:color="000000" w:sz="4" w:space="0"/>
            </w:tcBorders>
            <w:noWrap/>
            <w:vAlign w:val="center"/>
          </w:tcPr>
          <w:p w14:paraId="6D9C2D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项目内容</w:t>
            </w:r>
          </w:p>
        </w:tc>
        <w:tc>
          <w:tcPr>
            <w:tcW w:w="3125" w:type="dxa"/>
            <w:tcBorders>
              <w:top w:val="single" w:color="000000" w:sz="4" w:space="0"/>
              <w:left w:val="single" w:color="000000" w:sz="4" w:space="0"/>
              <w:bottom w:val="single" w:color="000000" w:sz="4" w:space="0"/>
              <w:right w:val="single" w:color="000000" w:sz="4" w:space="0"/>
            </w:tcBorders>
            <w:noWrap/>
            <w:vAlign w:val="center"/>
          </w:tcPr>
          <w:p w14:paraId="4B3FF3E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现用品牌型号</w:t>
            </w:r>
          </w:p>
        </w:tc>
        <w:tc>
          <w:tcPr>
            <w:tcW w:w="1307" w:type="dxa"/>
            <w:tcBorders>
              <w:top w:val="single" w:color="000000" w:sz="4" w:space="0"/>
              <w:left w:val="single" w:color="000000" w:sz="4" w:space="0"/>
              <w:bottom w:val="single" w:color="000000" w:sz="4" w:space="0"/>
              <w:right w:val="single" w:color="000000" w:sz="4" w:space="0"/>
            </w:tcBorders>
            <w:noWrap/>
            <w:vAlign w:val="center"/>
          </w:tcPr>
          <w:p w14:paraId="2C28F79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预算数量</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550D4A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c>
          <w:tcPr>
            <w:tcW w:w="534" w:type="dxa"/>
            <w:tcBorders>
              <w:top w:val="single" w:color="000000" w:sz="4" w:space="0"/>
              <w:left w:val="single" w:color="000000" w:sz="4" w:space="0"/>
              <w:bottom w:val="single" w:color="000000" w:sz="4" w:space="0"/>
              <w:right w:val="single" w:color="000000" w:sz="4" w:space="0"/>
            </w:tcBorders>
            <w:noWrap/>
            <w:vAlign w:val="center"/>
          </w:tcPr>
          <w:p w14:paraId="25AE682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87844D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报价（元）</w:t>
            </w:r>
          </w:p>
        </w:tc>
      </w:tr>
      <w:tr w14:paraId="0A43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1EC1E4B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794E1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大号水笔</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40419B8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晨光GP1530大容量中性笔</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3807F59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150000</w:t>
            </w:r>
          </w:p>
        </w:tc>
        <w:tc>
          <w:tcPr>
            <w:tcW w:w="1232" w:type="dxa"/>
            <w:vMerge w:val="restart"/>
            <w:tcBorders>
              <w:top w:val="single" w:color="000000" w:sz="4" w:space="0"/>
              <w:left w:val="single" w:color="000000" w:sz="4" w:space="0"/>
              <w:right w:val="single" w:color="000000" w:sz="4" w:space="0"/>
            </w:tcBorders>
            <w:noWrap/>
            <w:vAlign w:val="center"/>
          </w:tcPr>
          <w:p w14:paraId="6F231C9A">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1.37</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293F9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02037B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E4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41E2349F">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69392649">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6A31C4FD">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齐心GP317</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52F20CFF">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22F1122B">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40ED4603">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753AD78C">
            <w:pPr>
              <w:jc w:val="center"/>
              <w:rPr>
                <w:rFonts w:hint="eastAsia" w:ascii="仿宋" w:hAnsi="仿宋" w:eastAsia="仿宋" w:cs="仿宋"/>
                <w:i w:val="0"/>
                <w:iCs w:val="0"/>
                <w:color w:val="000000"/>
                <w:sz w:val="24"/>
                <w:szCs w:val="24"/>
                <w:u w:val="none"/>
              </w:rPr>
            </w:pPr>
          </w:p>
        </w:tc>
      </w:tr>
      <w:tr w14:paraId="441E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0383C89D">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1588A07C">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59251D5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得力S19</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3198180E">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10C4E44C">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557D2B73">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74B339CC">
            <w:pPr>
              <w:jc w:val="center"/>
              <w:rPr>
                <w:rFonts w:hint="eastAsia" w:ascii="仿宋" w:hAnsi="仿宋" w:eastAsia="仿宋" w:cs="仿宋"/>
                <w:i w:val="0"/>
                <w:iCs w:val="0"/>
                <w:color w:val="000000"/>
                <w:sz w:val="24"/>
                <w:szCs w:val="24"/>
                <w:u w:val="none"/>
              </w:rPr>
            </w:pPr>
          </w:p>
        </w:tc>
      </w:tr>
      <w:tr w14:paraId="42AA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2735F1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204F2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大号水笔芯</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09A35ED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晨光GP1530</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4412BA4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3000</w:t>
            </w:r>
          </w:p>
        </w:tc>
        <w:tc>
          <w:tcPr>
            <w:tcW w:w="1232" w:type="dxa"/>
            <w:vMerge w:val="restart"/>
            <w:tcBorders>
              <w:top w:val="single" w:color="000000" w:sz="4" w:space="0"/>
              <w:left w:val="single" w:color="000000" w:sz="4" w:space="0"/>
              <w:right w:val="single" w:color="000000" w:sz="4" w:space="0"/>
            </w:tcBorders>
            <w:noWrap/>
            <w:vAlign w:val="center"/>
          </w:tcPr>
          <w:p w14:paraId="0353DE90">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0.64</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1E56C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356C69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69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28E0151E">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4D9DE35D">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48E9BCF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齐心R912</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2E5F6F78">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0A1B2F07">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190A64E9">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5BDE7153">
            <w:pPr>
              <w:jc w:val="center"/>
              <w:rPr>
                <w:rFonts w:hint="eastAsia" w:ascii="仿宋" w:hAnsi="仿宋" w:eastAsia="仿宋" w:cs="仿宋"/>
                <w:i w:val="0"/>
                <w:iCs w:val="0"/>
                <w:color w:val="000000"/>
                <w:sz w:val="24"/>
                <w:szCs w:val="24"/>
                <w:u w:val="none"/>
              </w:rPr>
            </w:pPr>
          </w:p>
        </w:tc>
      </w:tr>
      <w:tr w14:paraId="522A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66F03A08">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07493A99">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75EB14D7">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得力S755</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2402ABDF">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5BD00EDA">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7C60FBF6">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099A98EA">
            <w:pPr>
              <w:jc w:val="center"/>
              <w:rPr>
                <w:rFonts w:hint="eastAsia" w:ascii="仿宋" w:hAnsi="仿宋" w:eastAsia="仿宋" w:cs="仿宋"/>
                <w:i w:val="0"/>
                <w:iCs w:val="0"/>
                <w:color w:val="000000"/>
                <w:sz w:val="24"/>
                <w:szCs w:val="24"/>
                <w:u w:val="none"/>
              </w:rPr>
            </w:pPr>
          </w:p>
        </w:tc>
      </w:tr>
      <w:tr w14:paraId="063A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7823B0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3F98EB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小号水笔</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226ACB0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晨光Q7中性笔</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0C531B5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100000</w:t>
            </w:r>
          </w:p>
        </w:tc>
        <w:tc>
          <w:tcPr>
            <w:tcW w:w="1232" w:type="dxa"/>
            <w:vMerge w:val="restart"/>
            <w:tcBorders>
              <w:top w:val="single" w:color="000000" w:sz="4" w:space="0"/>
              <w:left w:val="single" w:color="000000" w:sz="4" w:space="0"/>
              <w:right w:val="single" w:color="000000" w:sz="4" w:space="0"/>
            </w:tcBorders>
            <w:noWrap/>
            <w:vAlign w:val="center"/>
          </w:tcPr>
          <w:p w14:paraId="3B96BB7C">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0.56</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668D1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1BCBBF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BD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511DAFA4">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34BA3145">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71B9E0E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齐心GP306</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20EB4576">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21394531">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46E2C393">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18FE638C">
            <w:pPr>
              <w:jc w:val="center"/>
              <w:rPr>
                <w:rFonts w:hint="eastAsia" w:ascii="仿宋" w:hAnsi="仿宋" w:eastAsia="仿宋" w:cs="仿宋"/>
                <w:i w:val="0"/>
                <w:iCs w:val="0"/>
                <w:color w:val="000000"/>
                <w:sz w:val="24"/>
                <w:szCs w:val="24"/>
                <w:u w:val="none"/>
              </w:rPr>
            </w:pPr>
          </w:p>
        </w:tc>
      </w:tr>
      <w:tr w14:paraId="576B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11AFF7E8">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3B0152D6">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7C0D116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得力6600E</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4CE53B6C">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5A420062">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3E42E339">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33AFECD5">
            <w:pPr>
              <w:jc w:val="center"/>
              <w:rPr>
                <w:rFonts w:hint="eastAsia" w:ascii="仿宋" w:hAnsi="仿宋" w:eastAsia="仿宋" w:cs="仿宋"/>
                <w:i w:val="0"/>
                <w:iCs w:val="0"/>
                <w:color w:val="000000"/>
                <w:sz w:val="24"/>
                <w:szCs w:val="24"/>
                <w:u w:val="none"/>
              </w:rPr>
            </w:pPr>
          </w:p>
        </w:tc>
      </w:tr>
      <w:tr w14:paraId="0248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16605F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3767A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小号水笔芯</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55354C5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晨光64070</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09C5602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45000</w:t>
            </w:r>
          </w:p>
        </w:tc>
        <w:tc>
          <w:tcPr>
            <w:tcW w:w="1232" w:type="dxa"/>
            <w:vMerge w:val="restart"/>
            <w:tcBorders>
              <w:top w:val="single" w:color="000000" w:sz="4" w:space="0"/>
              <w:left w:val="single" w:color="000000" w:sz="4" w:space="0"/>
              <w:right w:val="single" w:color="000000" w:sz="4" w:space="0"/>
            </w:tcBorders>
            <w:noWrap/>
            <w:vAlign w:val="center"/>
          </w:tcPr>
          <w:p w14:paraId="5879FA8D">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0.32</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3079A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79301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269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1A3E41C1">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2E74DF5B">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77729A2E">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齐心R980</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3BD05BC2">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51BFB577">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6C7A00E7">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066AC71C">
            <w:pPr>
              <w:jc w:val="center"/>
              <w:rPr>
                <w:rFonts w:hint="eastAsia" w:ascii="仿宋" w:hAnsi="仿宋" w:eastAsia="仿宋" w:cs="仿宋"/>
                <w:i w:val="0"/>
                <w:iCs w:val="0"/>
                <w:color w:val="000000"/>
                <w:sz w:val="24"/>
                <w:szCs w:val="24"/>
                <w:u w:val="none"/>
              </w:rPr>
            </w:pPr>
          </w:p>
        </w:tc>
      </w:tr>
      <w:tr w14:paraId="780B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3FF8070B">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64A58EAF">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56D3B54F">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得力S222</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3C6945AB">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1008F0C3">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3316F398">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22A1D747">
            <w:pPr>
              <w:jc w:val="center"/>
              <w:rPr>
                <w:rFonts w:hint="eastAsia" w:ascii="仿宋" w:hAnsi="仿宋" w:eastAsia="仿宋" w:cs="仿宋"/>
                <w:i w:val="0"/>
                <w:iCs w:val="0"/>
                <w:color w:val="000000"/>
                <w:sz w:val="24"/>
                <w:szCs w:val="24"/>
                <w:u w:val="none"/>
              </w:rPr>
            </w:pPr>
          </w:p>
        </w:tc>
      </w:tr>
      <w:tr w14:paraId="234B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696FAAB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72DD4C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记号笔</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0C8BC07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齐心MR804记号笔</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01406CC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45000</w:t>
            </w:r>
          </w:p>
        </w:tc>
        <w:tc>
          <w:tcPr>
            <w:tcW w:w="1232" w:type="dxa"/>
            <w:vMerge w:val="restart"/>
            <w:tcBorders>
              <w:top w:val="single" w:color="000000" w:sz="4" w:space="0"/>
              <w:left w:val="single" w:color="000000" w:sz="4" w:space="0"/>
              <w:right w:val="single" w:color="000000" w:sz="4" w:space="0"/>
            </w:tcBorders>
            <w:noWrap/>
            <w:vAlign w:val="center"/>
          </w:tcPr>
          <w:p w14:paraId="59D14EF8">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0.88</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7B34F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4D9987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2A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340868F0">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6FBC0501">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42A0DB0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得力6824</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49134457">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229F5311">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0F480042">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22DCD2EB">
            <w:pPr>
              <w:jc w:val="center"/>
              <w:rPr>
                <w:rFonts w:hint="eastAsia" w:ascii="仿宋" w:hAnsi="仿宋" w:eastAsia="仿宋" w:cs="仿宋"/>
                <w:i w:val="0"/>
                <w:iCs w:val="0"/>
                <w:color w:val="000000"/>
                <w:sz w:val="24"/>
                <w:szCs w:val="24"/>
                <w:u w:val="none"/>
              </w:rPr>
            </w:pPr>
          </w:p>
        </w:tc>
      </w:tr>
      <w:tr w14:paraId="1F85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34B632A1">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243F1C65">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7DBB031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晨光2130记号笔</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44196047">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72621C5E">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4D85BF05">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74B29145">
            <w:pPr>
              <w:jc w:val="center"/>
              <w:rPr>
                <w:rFonts w:hint="eastAsia" w:ascii="仿宋" w:hAnsi="仿宋" w:eastAsia="仿宋" w:cs="仿宋"/>
                <w:i w:val="0"/>
                <w:iCs w:val="0"/>
                <w:color w:val="000000"/>
                <w:sz w:val="24"/>
                <w:szCs w:val="24"/>
                <w:u w:val="none"/>
              </w:rPr>
            </w:pPr>
          </w:p>
        </w:tc>
      </w:tr>
      <w:tr w14:paraId="466C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07C9261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6</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20A22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白板笔</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2800AFE4">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得力502</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1555D89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12000</w:t>
            </w:r>
          </w:p>
        </w:tc>
        <w:tc>
          <w:tcPr>
            <w:tcW w:w="1232" w:type="dxa"/>
            <w:vMerge w:val="restart"/>
            <w:tcBorders>
              <w:top w:val="single" w:color="000000" w:sz="4" w:space="0"/>
              <w:left w:val="single" w:color="000000" w:sz="4" w:space="0"/>
              <w:right w:val="single" w:color="000000" w:sz="4" w:space="0"/>
            </w:tcBorders>
            <w:noWrap/>
            <w:vAlign w:val="center"/>
          </w:tcPr>
          <w:p w14:paraId="251A49A0">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1.01</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470A5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698DFE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B2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1B56C17B">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4E98C919">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3523938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齐心WB701</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77AC4293">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7934A259">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2A307E94">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4FE97045">
            <w:pPr>
              <w:jc w:val="center"/>
              <w:rPr>
                <w:rFonts w:hint="eastAsia" w:ascii="仿宋" w:hAnsi="仿宋" w:eastAsia="仿宋" w:cs="仿宋"/>
                <w:i w:val="0"/>
                <w:iCs w:val="0"/>
                <w:color w:val="000000"/>
                <w:sz w:val="24"/>
                <w:szCs w:val="24"/>
                <w:u w:val="none"/>
              </w:rPr>
            </w:pPr>
          </w:p>
        </w:tc>
      </w:tr>
      <w:tr w14:paraId="3E9D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1BE9DEE0">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26237DEA">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42BAE10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晨光2201</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21E829A1">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10D432ED">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66697E8A">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008632F4">
            <w:pPr>
              <w:jc w:val="center"/>
              <w:rPr>
                <w:rFonts w:hint="eastAsia" w:ascii="仿宋" w:hAnsi="仿宋" w:eastAsia="仿宋" w:cs="仿宋"/>
                <w:i w:val="0"/>
                <w:iCs w:val="0"/>
                <w:color w:val="000000"/>
                <w:sz w:val="24"/>
                <w:szCs w:val="24"/>
                <w:u w:val="none"/>
              </w:rPr>
            </w:pPr>
          </w:p>
        </w:tc>
      </w:tr>
      <w:tr w14:paraId="2B0AF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5E55E0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395A0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铅笔</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2D7DB4B8">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晨光30910</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1FB255B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15000</w:t>
            </w:r>
          </w:p>
        </w:tc>
        <w:tc>
          <w:tcPr>
            <w:tcW w:w="1232" w:type="dxa"/>
            <w:vMerge w:val="restart"/>
            <w:tcBorders>
              <w:top w:val="single" w:color="000000" w:sz="4" w:space="0"/>
              <w:left w:val="single" w:color="000000" w:sz="4" w:space="0"/>
              <w:right w:val="single" w:color="000000" w:sz="4" w:space="0"/>
            </w:tcBorders>
            <w:noWrap/>
            <w:vAlign w:val="center"/>
          </w:tcPr>
          <w:p w14:paraId="6C1EE730">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0.58</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05CD2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20203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C0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5164D238">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14984FFD">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098AA47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齐心2010</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005E7B4D">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6BA11FB9">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450D9D3E">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5C877A72">
            <w:pPr>
              <w:jc w:val="center"/>
              <w:rPr>
                <w:rFonts w:hint="eastAsia" w:ascii="仿宋" w:hAnsi="仿宋" w:eastAsia="仿宋" w:cs="仿宋"/>
                <w:i w:val="0"/>
                <w:iCs w:val="0"/>
                <w:color w:val="000000"/>
                <w:sz w:val="24"/>
                <w:szCs w:val="24"/>
                <w:u w:val="none"/>
              </w:rPr>
            </w:pPr>
          </w:p>
        </w:tc>
      </w:tr>
      <w:tr w14:paraId="1C4A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02914A1D">
            <w:pPr>
              <w:jc w:val="center"/>
              <w:rPr>
                <w:rFonts w:hint="eastAsia" w:ascii="仿宋" w:hAnsi="仿宋" w:eastAsia="仿宋" w:cs="仿宋"/>
                <w:b/>
                <w:bCs/>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34452CAF">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0A508F6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得力S935</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4AC7B2E6">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2F7B7EAD">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738246F4">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5880E723">
            <w:pPr>
              <w:jc w:val="center"/>
              <w:rPr>
                <w:rFonts w:hint="eastAsia" w:ascii="仿宋" w:hAnsi="仿宋" w:eastAsia="仿宋" w:cs="仿宋"/>
                <w:i w:val="0"/>
                <w:iCs w:val="0"/>
                <w:color w:val="000000"/>
                <w:sz w:val="24"/>
                <w:szCs w:val="24"/>
                <w:u w:val="none"/>
              </w:rPr>
            </w:pPr>
          </w:p>
        </w:tc>
      </w:tr>
      <w:tr w14:paraId="35CB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restart"/>
            <w:tcBorders>
              <w:top w:val="single" w:color="000000" w:sz="4" w:space="0"/>
              <w:left w:val="single" w:color="000000" w:sz="4" w:space="0"/>
              <w:bottom w:val="single" w:color="000000" w:sz="4" w:space="0"/>
              <w:right w:val="single" w:color="000000" w:sz="4" w:space="0"/>
            </w:tcBorders>
            <w:noWrap/>
            <w:vAlign w:val="center"/>
          </w:tcPr>
          <w:p w14:paraId="6C78DA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1239" w:type="dxa"/>
            <w:vMerge w:val="restart"/>
            <w:tcBorders>
              <w:top w:val="single" w:color="000000" w:sz="4" w:space="0"/>
              <w:left w:val="single" w:color="000000" w:sz="4" w:space="0"/>
              <w:bottom w:val="single" w:color="000000" w:sz="4" w:space="0"/>
              <w:right w:val="single" w:color="000000" w:sz="4" w:space="0"/>
            </w:tcBorders>
            <w:noWrap/>
            <w:vAlign w:val="center"/>
          </w:tcPr>
          <w:p w14:paraId="5B998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圆珠笔</w:t>
            </w: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57A1343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齐心BP102R</w:t>
            </w:r>
          </w:p>
        </w:tc>
        <w:tc>
          <w:tcPr>
            <w:tcW w:w="1307" w:type="dxa"/>
            <w:vMerge w:val="restart"/>
            <w:tcBorders>
              <w:top w:val="single" w:color="000000" w:sz="4" w:space="0"/>
              <w:left w:val="single" w:color="000000" w:sz="4" w:space="0"/>
              <w:bottom w:val="single" w:color="000000" w:sz="4" w:space="0"/>
              <w:right w:val="single" w:color="000000" w:sz="4" w:space="0"/>
            </w:tcBorders>
            <w:noWrap/>
            <w:vAlign w:val="center"/>
          </w:tcPr>
          <w:p w14:paraId="2EB7E17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2"/>
                <w:szCs w:val="22"/>
                <w:u w:val="none"/>
                <w:lang w:val="en-US" w:eastAsia="zh-CN" w:bidi="ar"/>
              </w:rPr>
              <w:t>54000</w:t>
            </w:r>
          </w:p>
        </w:tc>
        <w:tc>
          <w:tcPr>
            <w:tcW w:w="1232" w:type="dxa"/>
            <w:vMerge w:val="restart"/>
            <w:tcBorders>
              <w:top w:val="single" w:color="000000" w:sz="4" w:space="0"/>
              <w:left w:val="single" w:color="000000" w:sz="4" w:space="0"/>
              <w:right w:val="single" w:color="000000" w:sz="4" w:space="0"/>
            </w:tcBorders>
            <w:noWrap/>
            <w:vAlign w:val="center"/>
          </w:tcPr>
          <w:p w14:paraId="51A27E10">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0.45</w:t>
            </w:r>
          </w:p>
        </w:tc>
        <w:tc>
          <w:tcPr>
            <w:tcW w:w="534" w:type="dxa"/>
            <w:vMerge w:val="restart"/>
            <w:tcBorders>
              <w:top w:val="single" w:color="000000" w:sz="4" w:space="0"/>
              <w:left w:val="single" w:color="000000" w:sz="4" w:space="0"/>
              <w:bottom w:val="single" w:color="000000" w:sz="4" w:space="0"/>
              <w:right w:val="single" w:color="000000" w:sz="4" w:space="0"/>
            </w:tcBorders>
            <w:noWrap/>
            <w:vAlign w:val="center"/>
          </w:tcPr>
          <w:p w14:paraId="2B084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1295" w:type="dxa"/>
            <w:vMerge w:val="restart"/>
            <w:tcBorders>
              <w:top w:val="single" w:color="000000" w:sz="4" w:space="0"/>
              <w:left w:val="single" w:color="000000" w:sz="4" w:space="0"/>
              <w:right w:val="single" w:color="000000" w:sz="4" w:space="0"/>
            </w:tcBorders>
            <w:noWrap/>
            <w:vAlign w:val="center"/>
          </w:tcPr>
          <w:p w14:paraId="05D378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78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0AA00250">
            <w:pPr>
              <w:jc w:val="center"/>
              <w:rPr>
                <w:rFonts w:hint="eastAsia" w:ascii="仿宋" w:hAnsi="仿宋" w:eastAsia="仿宋" w:cs="仿宋"/>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52D28D85">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0AEFA5E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爱好N05580</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2B92B64C">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right w:val="single" w:color="000000" w:sz="4" w:space="0"/>
            </w:tcBorders>
            <w:noWrap/>
            <w:vAlign w:val="center"/>
          </w:tcPr>
          <w:p w14:paraId="3362EE68">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2F8E668F">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right w:val="single" w:color="000000" w:sz="4" w:space="0"/>
            </w:tcBorders>
            <w:noWrap/>
            <w:vAlign w:val="center"/>
          </w:tcPr>
          <w:p w14:paraId="04DA5B56">
            <w:pPr>
              <w:jc w:val="center"/>
              <w:rPr>
                <w:rFonts w:hint="eastAsia" w:ascii="仿宋" w:hAnsi="仿宋" w:eastAsia="仿宋" w:cs="仿宋"/>
                <w:i w:val="0"/>
                <w:iCs w:val="0"/>
                <w:color w:val="000000"/>
                <w:sz w:val="24"/>
                <w:szCs w:val="24"/>
                <w:u w:val="none"/>
              </w:rPr>
            </w:pPr>
          </w:p>
        </w:tc>
      </w:tr>
      <w:tr w14:paraId="1120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97" w:type="dxa"/>
            <w:vMerge w:val="continue"/>
            <w:tcBorders>
              <w:top w:val="single" w:color="000000" w:sz="4" w:space="0"/>
              <w:left w:val="single" w:color="000000" w:sz="4" w:space="0"/>
              <w:bottom w:val="single" w:color="000000" w:sz="4" w:space="0"/>
              <w:right w:val="single" w:color="000000" w:sz="4" w:space="0"/>
            </w:tcBorders>
            <w:noWrap/>
            <w:vAlign w:val="center"/>
          </w:tcPr>
          <w:p w14:paraId="56343B31">
            <w:pPr>
              <w:jc w:val="center"/>
              <w:rPr>
                <w:rFonts w:hint="eastAsia" w:ascii="仿宋" w:hAnsi="仿宋" w:eastAsia="仿宋" w:cs="仿宋"/>
                <w:i w:val="0"/>
                <w:iCs w:val="0"/>
                <w:color w:val="000000"/>
                <w:sz w:val="24"/>
                <w:szCs w:val="24"/>
                <w:u w:val="none"/>
              </w:rPr>
            </w:pPr>
          </w:p>
        </w:tc>
        <w:tc>
          <w:tcPr>
            <w:tcW w:w="1239" w:type="dxa"/>
            <w:vMerge w:val="continue"/>
            <w:tcBorders>
              <w:top w:val="single" w:color="000000" w:sz="4" w:space="0"/>
              <w:left w:val="single" w:color="000000" w:sz="4" w:space="0"/>
              <w:bottom w:val="single" w:color="000000" w:sz="4" w:space="0"/>
              <w:right w:val="single" w:color="000000" w:sz="4" w:space="0"/>
            </w:tcBorders>
            <w:noWrap/>
            <w:vAlign w:val="center"/>
          </w:tcPr>
          <w:p w14:paraId="57F04DB2">
            <w:pPr>
              <w:jc w:val="center"/>
              <w:rPr>
                <w:rFonts w:hint="eastAsia" w:ascii="仿宋" w:hAnsi="仿宋" w:eastAsia="仿宋" w:cs="仿宋"/>
                <w:i w:val="0"/>
                <w:iCs w:val="0"/>
                <w:color w:val="000000"/>
                <w:sz w:val="24"/>
                <w:szCs w:val="24"/>
                <w:u w:val="none"/>
              </w:rPr>
            </w:pPr>
          </w:p>
        </w:tc>
        <w:tc>
          <w:tcPr>
            <w:tcW w:w="3125" w:type="dxa"/>
            <w:tcBorders>
              <w:top w:val="single" w:color="000000" w:sz="4" w:space="0"/>
              <w:left w:val="single" w:color="000000" w:sz="4" w:space="0"/>
              <w:bottom w:val="single" w:color="000000" w:sz="4" w:space="0"/>
              <w:right w:val="single" w:color="000000" w:sz="4" w:space="0"/>
            </w:tcBorders>
            <w:noWrap w:val="0"/>
            <w:vAlign w:val="center"/>
          </w:tcPr>
          <w:p w14:paraId="6C991C9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得力ABP64701</w:t>
            </w:r>
          </w:p>
        </w:tc>
        <w:tc>
          <w:tcPr>
            <w:tcW w:w="1307" w:type="dxa"/>
            <w:vMerge w:val="continue"/>
            <w:tcBorders>
              <w:top w:val="single" w:color="000000" w:sz="4" w:space="0"/>
              <w:left w:val="single" w:color="000000" w:sz="4" w:space="0"/>
              <w:bottom w:val="single" w:color="000000" w:sz="4" w:space="0"/>
              <w:right w:val="single" w:color="000000" w:sz="4" w:space="0"/>
            </w:tcBorders>
            <w:noWrap/>
            <w:vAlign w:val="center"/>
          </w:tcPr>
          <w:p w14:paraId="2DE94D1E">
            <w:pPr>
              <w:jc w:val="center"/>
              <w:rPr>
                <w:rFonts w:hint="eastAsia" w:ascii="仿宋" w:hAnsi="仿宋" w:eastAsia="仿宋" w:cs="仿宋"/>
                <w:i w:val="0"/>
                <w:iCs w:val="0"/>
                <w:color w:val="000000"/>
                <w:sz w:val="24"/>
                <w:szCs w:val="24"/>
                <w:u w:val="none"/>
              </w:rPr>
            </w:pPr>
          </w:p>
        </w:tc>
        <w:tc>
          <w:tcPr>
            <w:tcW w:w="1232" w:type="dxa"/>
            <w:vMerge w:val="continue"/>
            <w:tcBorders>
              <w:left w:val="single" w:color="000000" w:sz="4" w:space="0"/>
              <w:bottom w:val="single" w:color="000000" w:sz="4" w:space="0"/>
              <w:right w:val="single" w:color="000000" w:sz="4" w:space="0"/>
            </w:tcBorders>
            <w:noWrap/>
            <w:vAlign w:val="center"/>
          </w:tcPr>
          <w:p w14:paraId="46F279C7">
            <w:pPr>
              <w:jc w:val="center"/>
              <w:rPr>
                <w:rFonts w:hint="eastAsia" w:ascii="仿宋" w:hAnsi="仿宋" w:eastAsia="仿宋" w:cs="仿宋"/>
                <w:i w:val="0"/>
                <w:iCs w:val="0"/>
                <w:color w:val="000000"/>
                <w:sz w:val="24"/>
                <w:szCs w:val="24"/>
                <w:u w:val="none"/>
              </w:rPr>
            </w:pPr>
          </w:p>
        </w:tc>
        <w:tc>
          <w:tcPr>
            <w:tcW w:w="534" w:type="dxa"/>
            <w:vMerge w:val="continue"/>
            <w:tcBorders>
              <w:top w:val="single" w:color="000000" w:sz="4" w:space="0"/>
              <w:left w:val="single" w:color="000000" w:sz="4" w:space="0"/>
              <w:bottom w:val="single" w:color="000000" w:sz="4" w:space="0"/>
              <w:right w:val="single" w:color="000000" w:sz="4" w:space="0"/>
            </w:tcBorders>
            <w:noWrap/>
            <w:vAlign w:val="center"/>
          </w:tcPr>
          <w:p w14:paraId="30780905">
            <w:pPr>
              <w:jc w:val="center"/>
              <w:rPr>
                <w:rFonts w:hint="eastAsia" w:ascii="仿宋" w:hAnsi="仿宋" w:eastAsia="仿宋" w:cs="仿宋"/>
                <w:i w:val="0"/>
                <w:iCs w:val="0"/>
                <w:color w:val="000000"/>
                <w:sz w:val="24"/>
                <w:szCs w:val="24"/>
                <w:u w:val="none"/>
              </w:rPr>
            </w:pPr>
          </w:p>
        </w:tc>
        <w:tc>
          <w:tcPr>
            <w:tcW w:w="1295" w:type="dxa"/>
            <w:vMerge w:val="continue"/>
            <w:tcBorders>
              <w:left w:val="single" w:color="000000" w:sz="4" w:space="0"/>
              <w:bottom w:val="single" w:color="000000" w:sz="4" w:space="0"/>
              <w:right w:val="single" w:color="000000" w:sz="4" w:space="0"/>
            </w:tcBorders>
            <w:noWrap/>
            <w:vAlign w:val="center"/>
          </w:tcPr>
          <w:p w14:paraId="28ECAD12">
            <w:pPr>
              <w:jc w:val="center"/>
              <w:rPr>
                <w:rFonts w:hint="eastAsia" w:ascii="仿宋" w:hAnsi="仿宋" w:eastAsia="仿宋" w:cs="仿宋"/>
                <w:i w:val="0"/>
                <w:iCs w:val="0"/>
                <w:color w:val="000000"/>
                <w:sz w:val="24"/>
                <w:szCs w:val="24"/>
                <w:u w:val="none"/>
              </w:rPr>
            </w:pPr>
          </w:p>
        </w:tc>
      </w:tr>
    </w:tbl>
    <w:p w14:paraId="56F98581">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1.2 </w:t>
      </w:r>
      <w:r>
        <w:rPr>
          <w:rFonts w:hint="eastAsia" w:ascii="仿宋" w:hAnsi="仿宋" w:eastAsia="仿宋" w:cs="仿宋"/>
          <w:sz w:val="28"/>
          <w:szCs w:val="28"/>
        </w:rPr>
        <w:t>预算金额：</w:t>
      </w:r>
      <w:r>
        <w:rPr>
          <w:rFonts w:hint="eastAsia" w:ascii="仿宋" w:hAnsi="仿宋" w:eastAsia="仿宋" w:cs="仿宋"/>
          <w:sz w:val="28"/>
          <w:szCs w:val="28"/>
          <w:lang w:val="en-US" w:eastAsia="zh-CN"/>
        </w:rPr>
        <w:t>362540.00</w:t>
      </w:r>
      <w:r>
        <w:rPr>
          <w:rFonts w:hint="eastAsia" w:ascii="仿宋" w:hAnsi="仿宋" w:eastAsia="仿宋" w:cs="仿宋"/>
          <w:sz w:val="28"/>
          <w:szCs w:val="28"/>
        </w:rPr>
        <w:t>元</w:t>
      </w:r>
    </w:p>
    <w:p w14:paraId="0AD94591">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1.3 </w:t>
      </w:r>
      <w:r>
        <w:rPr>
          <w:rFonts w:hint="eastAsia" w:ascii="仿宋" w:hAnsi="仿宋" w:eastAsia="仿宋" w:cs="仿宋"/>
          <w:sz w:val="28"/>
          <w:szCs w:val="28"/>
        </w:rPr>
        <w:t>项目供货期限为</w:t>
      </w:r>
      <w:r>
        <w:rPr>
          <w:rFonts w:hint="eastAsia" w:ascii="仿宋" w:hAnsi="仿宋" w:eastAsia="仿宋" w:cs="仿宋"/>
          <w:sz w:val="28"/>
          <w:szCs w:val="28"/>
          <w:lang w:val="en-US" w:eastAsia="zh-CN"/>
        </w:rPr>
        <w:t>叁</w:t>
      </w:r>
      <w:r>
        <w:rPr>
          <w:rFonts w:hint="eastAsia" w:ascii="仿宋" w:hAnsi="仿宋" w:eastAsia="仿宋" w:cs="仿宋"/>
          <w:sz w:val="28"/>
          <w:szCs w:val="28"/>
        </w:rPr>
        <w:t>年，按实结算。</w:t>
      </w:r>
    </w:p>
    <w:p w14:paraId="747C2351">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1.4 </w:t>
      </w:r>
      <w:r>
        <w:rPr>
          <w:rFonts w:hint="eastAsia" w:ascii="仿宋" w:hAnsi="仿宋" w:eastAsia="仿宋" w:cs="仿宋"/>
          <w:sz w:val="28"/>
          <w:szCs w:val="28"/>
        </w:rPr>
        <w:t>交货要求：投标人承诺按招标人要求分期分批送货，在收到招标人通知后1天内送货到位；应急采购的在收到通知后3小时送货到位，否则视为违约，招标人有权随时终止合同。</w:t>
      </w:r>
    </w:p>
    <w:p w14:paraId="710497C0">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1.5 </w:t>
      </w:r>
      <w:r>
        <w:rPr>
          <w:rFonts w:hint="eastAsia" w:ascii="仿宋" w:hAnsi="仿宋" w:eastAsia="仿宋" w:cs="仿宋"/>
          <w:sz w:val="28"/>
          <w:szCs w:val="28"/>
        </w:rPr>
        <w:t>交付地点：招标人指定地点。</w:t>
      </w:r>
    </w:p>
    <w:p w14:paraId="5624E49F">
      <w:pPr>
        <w:keepNext w:val="0"/>
        <w:keepLines w:val="0"/>
        <w:pageBreakBefore w:val="0"/>
        <w:kinsoku/>
        <w:wordWrap/>
        <w:overflowPunct/>
        <w:topLinePunct w:val="0"/>
        <w:autoSpaceDE/>
        <w:autoSpaceDN/>
        <w:bidi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1.6 质保期：</w:t>
      </w:r>
      <w:r>
        <w:rPr>
          <w:rFonts w:hint="eastAsia" w:ascii="仿宋" w:hAnsi="仿宋" w:eastAsia="仿宋" w:cs="仿宋"/>
          <w:sz w:val="28"/>
          <w:szCs w:val="28"/>
        </w:rPr>
        <w:t>以上所有货物质保期≥1年，若国家、厂商、行业有更优标准，按国家、厂商、行业的最优标准执行。质保期从取得验收合格之日起计算。</w:t>
      </w:r>
    </w:p>
    <w:p w14:paraId="73F0FBB9">
      <w:pPr>
        <w:pStyle w:val="2"/>
        <w:keepNext w:val="0"/>
        <w:keepLines w:val="0"/>
        <w:pageBreakBefore w:val="0"/>
        <w:kinsoku/>
        <w:wordWrap/>
        <w:overflowPunct/>
        <w:topLinePunct w:val="0"/>
        <w:autoSpaceDE/>
        <w:autoSpaceDN/>
        <w:bidi w:val="0"/>
        <w:spacing w:line="500" w:lineRule="exact"/>
        <w:rPr>
          <w:rFonts w:hint="default"/>
          <w:b/>
          <w:bCs/>
          <w:sz w:val="28"/>
          <w:szCs w:val="28"/>
          <w:lang w:val="en-US"/>
        </w:rPr>
      </w:pPr>
      <w:r>
        <w:rPr>
          <w:rFonts w:hint="eastAsia" w:ascii="仿宋" w:hAnsi="仿宋" w:eastAsia="仿宋" w:cs="仿宋"/>
          <w:b/>
          <w:bCs/>
          <w:sz w:val="28"/>
          <w:szCs w:val="28"/>
          <w:lang w:val="en-US" w:eastAsia="zh-CN"/>
        </w:rPr>
        <w:t>1.7</w:t>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投标人须提供原厂正品，不得供应贴牌或仿制产品，所有货物均须具备出厂合格证及相应质检报告。笔芯颜色、规格须与现用产品一致，确保书写流畅、无断墨、无渗漏现象。供货期间若招标人因使用需求调整采购型号，投标人须无条件配合更换并保证及时供应。</w:t>
      </w:r>
    </w:p>
    <w:p w14:paraId="41EA66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3"/>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67AA74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合同编号：</w:t>
      </w:r>
    </w:p>
    <w:p w14:paraId="7767AF9C">
      <w:pPr>
        <w:pStyle w:val="3"/>
        <w:pageBreakBefore w:val="0"/>
        <w:widowControl w:val="0"/>
        <w:kinsoku/>
        <w:wordWrap/>
        <w:overflowPunct/>
        <w:topLinePunct w:val="0"/>
        <w:autoSpaceDE/>
        <w:autoSpaceDN/>
        <w:bidi w:val="0"/>
        <w:adjustRightInd/>
        <w:snapToGrid/>
        <w:spacing w:before="0" w:beforeLines="0" w:after="0" w:afterLines="0" w:line="520" w:lineRule="exact"/>
        <w:jc w:val="center"/>
        <w:textAlignment w:val="auto"/>
        <w:rPr>
          <w:rFonts w:hint="eastAsia"/>
          <w:lang w:val="en-US" w:eastAsia="zh-CN"/>
        </w:rPr>
      </w:pPr>
      <w:r>
        <w:rPr>
          <w:rFonts w:hint="eastAsia"/>
          <w:lang w:val="en-US" w:eastAsia="zh-CN"/>
        </w:rPr>
        <w:t>货物采购合同</w:t>
      </w:r>
    </w:p>
    <w:p w14:paraId="4BE6D16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p>
    <w:p w14:paraId="18610B2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联系人：程俊杰</w:t>
      </w:r>
      <w:r>
        <w:rPr>
          <w:rFonts w:hint="eastAsia" w:ascii="仿宋" w:hAnsi="仿宋" w:eastAsia="仿宋" w:cs="仿宋"/>
          <w:color w:val="000000" w:themeColor="text1"/>
          <w:sz w:val="28"/>
          <w:szCs w:val="28"/>
          <w:highlight w:val="none"/>
          <w:lang w:val="en-US" w:eastAsia="zh-CN"/>
          <w14:textFill>
            <w14:solidFill>
              <w14:schemeClr w14:val="tx1"/>
            </w14:solidFill>
          </w14:textFill>
        </w:rPr>
        <w:tab/>
      </w:r>
    </w:p>
    <w:p w14:paraId="735B8AC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联系电话：18873820001</w:t>
      </w:r>
    </w:p>
    <w:p w14:paraId="3679404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04BA273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E325A42">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甲方通过医院公开挂网</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办公用笔 </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，乙方为中标/中选供应商，</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项目编号：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办公用笔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事宜平等、自愿、公平、诚信协商，达成一致，特订立本合同，以资共同遵守。</w:t>
      </w:r>
    </w:p>
    <w:p w14:paraId="013D7F0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第一条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采购内容</w:t>
      </w:r>
    </w:p>
    <w:p w14:paraId="3C89F6E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 货物名称、品牌、型号、价格</w:t>
      </w:r>
    </w:p>
    <w:tbl>
      <w:tblPr>
        <w:tblStyle w:val="14"/>
        <w:tblpPr w:leftFromText="180" w:rightFromText="180" w:vertAnchor="text" w:horzAnchor="page" w:tblpX="1533" w:tblpY="148"/>
        <w:tblOverlap w:val="never"/>
        <w:tblW w:w="8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373"/>
        <w:gridCol w:w="1760"/>
        <w:gridCol w:w="1320"/>
        <w:gridCol w:w="1081"/>
        <w:gridCol w:w="1513"/>
      </w:tblGrid>
      <w:tr w14:paraId="7E4D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top"/>
          </w:tcPr>
          <w:p w14:paraId="394D8F4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货物</w:t>
            </w:r>
            <w:r>
              <w:rPr>
                <w:rFonts w:hint="eastAsia" w:ascii="仿宋" w:hAnsi="仿宋" w:eastAsia="仿宋" w:cs="仿宋"/>
                <w:color w:val="000000" w:themeColor="text1"/>
                <w:kern w:val="0"/>
                <w:sz w:val="24"/>
                <w:szCs w:val="24"/>
                <w:highlight w:val="none"/>
                <w14:textFill>
                  <w14:solidFill>
                    <w14:schemeClr w14:val="tx1"/>
                  </w14:solidFill>
                </w14:textFill>
              </w:rPr>
              <w:t>名称</w:t>
            </w:r>
          </w:p>
        </w:tc>
        <w:tc>
          <w:tcPr>
            <w:tcW w:w="1373" w:type="dxa"/>
            <w:noWrap w:val="0"/>
            <w:vAlign w:val="top"/>
          </w:tcPr>
          <w:p w14:paraId="47060B7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3DA833F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4BA1A2E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单价（元）</w:t>
            </w:r>
          </w:p>
        </w:tc>
        <w:tc>
          <w:tcPr>
            <w:tcW w:w="1081" w:type="dxa"/>
            <w:noWrap w:val="0"/>
            <w:vAlign w:val="top"/>
          </w:tcPr>
          <w:p w14:paraId="49D6D83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w:t>
            </w:r>
          </w:p>
        </w:tc>
        <w:tc>
          <w:tcPr>
            <w:tcW w:w="1513" w:type="dxa"/>
            <w:noWrap w:val="0"/>
            <w:vAlign w:val="top"/>
          </w:tcPr>
          <w:p w14:paraId="62F13FF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金额（元）</w:t>
            </w:r>
          </w:p>
        </w:tc>
      </w:tr>
      <w:tr w14:paraId="6005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18DA441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大号水笔</w:t>
            </w:r>
          </w:p>
        </w:tc>
        <w:tc>
          <w:tcPr>
            <w:tcW w:w="1373" w:type="dxa"/>
            <w:noWrap w:val="0"/>
            <w:vAlign w:val="center"/>
          </w:tcPr>
          <w:p w14:paraId="09417DB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5E7A391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35F18F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42ED463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2B73F0DB">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39B6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021C51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大号水笔芯</w:t>
            </w:r>
          </w:p>
        </w:tc>
        <w:tc>
          <w:tcPr>
            <w:tcW w:w="1373" w:type="dxa"/>
            <w:noWrap w:val="0"/>
            <w:vAlign w:val="center"/>
          </w:tcPr>
          <w:p w14:paraId="5FC61BEC">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33DE669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26DEC7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57BE9AB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2878108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0A4E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443B79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小号水笔</w:t>
            </w:r>
          </w:p>
        </w:tc>
        <w:tc>
          <w:tcPr>
            <w:tcW w:w="1373" w:type="dxa"/>
            <w:noWrap w:val="0"/>
            <w:vAlign w:val="center"/>
          </w:tcPr>
          <w:p w14:paraId="60805A9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73F718E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3066552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46D31C9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42C02C9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2756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6945CFE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小号水笔芯</w:t>
            </w:r>
          </w:p>
        </w:tc>
        <w:tc>
          <w:tcPr>
            <w:tcW w:w="1373" w:type="dxa"/>
            <w:noWrap w:val="0"/>
            <w:vAlign w:val="center"/>
          </w:tcPr>
          <w:p w14:paraId="21DE0EA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37AF791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20E4DCB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04F85D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50AD75C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421B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23AD5D0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记号笔</w:t>
            </w:r>
          </w:p>
        </w:tc>
        <w:tc>
          <w:tcPr>
            <w:tcW w:w="1373" w:type="dxa"/>
            <w:noWrap w:val="0"/>
            <w:vAlign w:val="center"/>
          </w:tcPr>
          <w:p w14:paraId="4BAFC1C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4A9C556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17E2C2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 </w:t>
            </w:r>
          </w:p>
        </w:tc>
        <w:tc>
          <w:tcPr>
            <w:tcW w:w="1081" w:type="dxa"/>
            <w:noWrap w:val="0"/>
            <w:vAlign w:val="top"/>
          </w:tcPr>
          <w:p w14:paraId="1B8DB2B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17A55BB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73BE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45C0B2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白板笔</w:t>
            </w:r>
          </w:p>
        </w:tc>
        <w:tc>
          <w:tcPr>
            <w:tcW w:w="1373" w:type="dxa"/>
            <w:noWrap w:val="0"/>
            <w:vAlign w:val="center"/>
          </w:tcPr>
          <w:p w14:paraId="0484395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1C88CE6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0BD4C2F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4596FF3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380A6E3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768D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649534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铅笔</w:t>
            </w:r>
          </w:p>
        </w:tc>
        <w:tc>
          <w:tcPr>
            <w:tcW w:w="1373" w:type="dxa"/>
            <w:noWrap w:val="0"/>
            <w:vAlign w:val="center"/>
          </w:tcPr>
          <w:p w14:paraId="0E89EA8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385D159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0AF99D1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2182EA26">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47D7AA3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480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96" w:type="dxa"/>
            <w:noWrap w:val="0"/>
            <w:vAlign w:val="center"/>
          </w:tcPr>
          <w:p w14:paraId="778F805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圆珠笔</w:t>
            </w:r>
          </w:p>
        </w:tc>
        <w:tc>
          <w:tcPr>
            <w:tcW w:w="1373" w:type="dxa"/>
            <w:noWrap w:val="0"/>
            <w:vAlign w:val="center"/>
          </w:tcPr>
          <w:p w14:paraId="59C34A5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2EF7525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35EE39D">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081" w:type="dxa"/>
            <w:noWrap w:val="0"/>
            <w:vAlign w:val="top"/>
          </w:tcPr>
          <w:p w14:paraId="63AD8B4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c>
          <w:tcPr>
            <w:tcW w:w="1513" w:type="dxa"/>
            <w:noWrap w:val="0"/>
            <w:vAlign w:val="top"/>
          </w:tcPr>
          <w:p w14:paraId="5BC0DFC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tc>
      </w:tr>
      <w:tr w14:paraId="5FFA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43" w:type="dxa"/>
            <w:gridSpan w:val="6"/>
            <w:noWrap w:val="0"/>
            <w:vAlign w:val="top"/>
          </w:tcPr>
          <w:p w14:paraId="51A5E66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合计</w:t>
            </w:r>
            <w:r>
              <w:rPr>
                <w:rFonts w:hint="eastAsia" w:ascii="仿宋" w:hAnsi="仿宋" w:eastAsia="仿宋" w:cs="仿宋"/>
                <w:color w:val="0000FF"/>
                <w:kern w:val="0"/>
                <w:sz w:val="24"/>
                <w:szCs w:val="24"/>
                <w:highlight w:val="none"/>
                <w:lang w:val="en-US" w:eastAsia="zh-CN"/>
              </w:rPr>
              <w:t>暂定</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价款</w:t>
            </w:r>
            <w:r>
              <w:rPr>
                <w:rFonts w:hint="eastAsia" w:ascii="仿宋" w:hAnsi="仿宋" w:eastAsia="仿宋" w:cs="仿宋"/>
                <w:color w:val="000000" w:themeColor="text1"/>
                <w:kern w:val="0"/>
                <w:sz w:val="24"/>
                <w:szCs w:val="24"/>
                <w:highlight w:val="none"/>
                <w14:textFill>
                  <w14:solidFill>
                    <w14:schemeClr w14:val="tx1"/>
                  </w14:solidFill>
                </w14:textFill>
              </w:rPr>
              <w:t>金额人民币（大写）：</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 xml:space="preserve">整      </w:t>
            </w:r>
            <w:r>
              <w:rPr>
                <w:rFonts w:hint="eastAsia" w:ascii="仿宋" w:hAnsi="仿宋" w:eastAsia="仿宋" w:cs="仿宋"/>
                <w:color w:val="000000" w:themeColor="text1"/>
                <w:kern w:val="0"/>
                <w:sz w:val="24"/>
                <w:szCs w:val="24"/>
                <w:highlight w:val="none"/>
                <w14:textFill>
                  <w14:solidFill>
                    <w14:schemeClr w14:val="tx1"/>
                  </w14:solidFill>
                </w14:textFill>
              </w:rPr>
              <w:t>（小写）：</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元</w:t>
            </w:r>
          </w:p>
        </w:tc>
      </w:tr>
    </w:tbl>
    <w:p w14:paraId="3F9E7E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1.2 本合同约定价格为固定单价，不因物价、市场波动变更，约定价格包括且不限于设计费、材料费、人工费、安装费、包装费、运输费、装卸费、调试费、接口费、检测费、检验费、税费、保险费、售后服务费、附随服务费等在内所有费用。 </w:t>
      </w:r>
    </w:p>
    <w:p w14:paraId="6801DB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FF"/>
          <w:sz w:val="28"/>
          <w:szCs w:val="28"/>
          <w:highlight w:val="none"/>
          <w:lang w:val="en-US" w:eastAsia="zh-CN"/>
        </w:rPr>
        <w:t>1.3 乙方须提供原厂正品，不得供应贴牌或仿制产品。供货期间若甲方因使用需求调整采购型号，乙方须无条件配合更换并保证及时供应。</w:t>
      </w:r>
    </w:p>
    <w:p w14:paraId="485FF509">
      <w:pPr>
        <w:keepNext w:val="0"/>
        <w:keepLines w:val="0"/>
        <w:pageBreakBefore w:val="0"/>
        <w:widowControl/>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1.4 </w:t>
      </w:r>
      <w:r>
        <w:rPr>
          <w:rFonts w:hint="eastAsia" w:ascii="仿宋" w:hAnsi="仿宋" w:eastAsia="仿宋" w:cs="仿宋"/>
          <w:b/>
          <w:bCs/>
          <w:color w:val="auto"/>
          <w:sz w:val="28"/>
          <w:szCs w:val="28"/>
        </w:rPr>
        <w:t>供货期限</w:t>
      </w:r>
    </w:p>
    <w:p w14:paraId="06D0A8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lang w:val="en-US" w:eastAsia="zh-CN"/>
        </w:rPr>
        <w:t xml:space="preserve">1.4.1 </w:t>
      </w:r>
      <w:r>
        <w:rPr>
          <w:rFonts w:hint="eastAsia" w:ascii="仿宋" w:hAnsi="仿宋" w:eastAsia="仿宋" w:cs="仿宋"/>
          <w:color w:val="auto"/>
          <w:sz w:val="28"/>
          <w:szCs w:val="28"/>
        </w:rPr>
        <w:t>乙方供货期限为</w:t>
      </w:r>
      <w:r>
        <w:rPr>
          <w:rFonts w:hint="eastAsia" w:ascii="仿宋" w:hAnsi="仿宋" w:eastAsia="仿宋" w:cs="仿宋"/>
          <w:color w:val="auto"/>
          <w:sz w:val="28"/>
          <w:szCs w:val="28"/>
          <w:u w:val="single"/>
          <w:lang w:val="en-US" w:eastAsia="zh-CN"/>
        </w:rPr>
        <w:t>叁</w:t>
      </w:r>
      <w:r>
        <w:rPr>
          <w:rFonts w:hint="eastAsia" w:ascii="仿宋" w:hAnsi="仿宋" w:eastAsia="仿宋" w:cs="仿宋"/>
          <w:color w:val="auto"/>
          <w:sz w:val="28"/>
          <w:szCs w:val="28"/>
        </w:rPr>
        <w:t>年，即从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b w:val="0"/>
          <w:bCs w:val="0"/>
          <w:color w:val="auto"/>
          <w:kern w:val="0"/>
          <w:sz w:val="28"/>
          <w:szCs w:val="28"/>
          <w:lang w:val="en-US" w:eastAsia="zh-CN"/>
        </w:rPr>
        <w:t>或自本合同签订后甲方向乙方采购金额</w:t>
      </w:r>
      <w:r>
        <w:rPr>
          <w:rFonts w:hint="eastAsia" w:ascii="仿宋" w:hAnsi="仿宋" w:eastAsia="仿宋" w:cs="仿宋"/>
          <w:b w:val="0"/>
          <w:bCs w:val="0"/>
          <w:color w:val="auto"/>
          <w:kern w:val="0"/>
          <w:sz w:val="28"/>
          <w:szCs w:val="28"/>
          <w:highlight w:val="none"/>
          <w:lang w:val="en-US" w:eastAsia="zh-CN"/>
        </w:rPr>
        <w:t>达到</w:t>
      </w:r>
      <w:r>
        <w:rPr>
          <w:rFonts w:hint="eastAsia" w:ascii="仿宋" w:hAnsi="仿宋" w:eastAsia="仿宋" w:cs="仿宋"/>
          <w:b w:val="0"/>
          <w:bCs w:val="0"/>
          <w:color w:val="auto"/>
          <w:kern w:val="0"/>
          <w:sz w:val="28"/>
          <w:szCs w:val="28"/>
          <w:highlight w:val="none"/>
          <w:u w:val="single"/>
          <w:lang w:val="en-US" w:eastAsia="zh-CN"/>
        </w:rPr>
        <w:t xml:space="preserve">             </w:t>
      </w:r>
      <w:r>
        <w:rPr>
          <w:rFonts w:hint="eastAsia" w:ascii="仿宋" w:hAnsi="仿宋" w:eastAsia="仿宋" w:cs="仿宋"/>
          <w:b w:val="0"/>
          <w:bCs w:val="0"/>
          <w:color w:val="auto"/>
          <w:kern w:val="0"/>
          <w:sz w:val="28"/>
          <w:szCs w:val="28"/>
          <w:highlight w:val="none"/>
          <w:lang w:val="en-US" w:eastAsia="zh-CN"/>
        </w:rPr>
        <w:t>元时止，以先到者为准。</w:t>
      </w:r>
    </w:p>
    <w:p w14:paraId="48646B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1.4.2 本合同期限届满、重新招标选定供应商前，乙方必须按本合同约定继续履行，以确保甲方工作正常运行。</w:t>
      </w:r>
    </w:p>
    <w:p w14:paraId="07145C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第二条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交货时间、地点、运输、装卸、搬运</w:t>
      </w:r>
    </w:p>
    <w:p w14:paraId="46426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 交货时间：</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本合同货物分批次交付，乙方应在每次接到甲方通知之日起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r>
        <w:rPr>
          <w:rFonts w:hint="eastAsia" w:ascii="仿宋" w:hAnsi="仿宋" w:eastAsia="仿宋" w:cs="仿宋"/>
          <w:color w:val="0000FF"/>
          <w:sz w:val="28"/>
          <w:szCs w:val="28"/>
          <w:highlight w:val="none"/>
          <w:lang w:val="en-US" w:eastAsia="zh-CN"/>
        </w:rPr>
        <w:t>甲方需紧急供货的，乙方应在收到甲方通知后3小时内送货到位，并通过甲方验收后交付甲方使用。</w:t>
      </w:r>
    </w:p>
    <w:p w14:paraId="32FFE9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2.2 甲方指定交货地点：娄底市中心医院。 </w:t>
      </w:r>
    </w:p>
    <w:p w14:paraId="2168CA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2.3 运输、装卸、搬运：由乙方自备交通运输工具将货物运至合同约定地点，并负责货物装卸、搬运的人工及费用。</w:t>
      </w:r>
    </w:p>
    <w:p w14:paraId="5D92D3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第三条 质量标准、质量验收、包装要求</w:t>
      </w:r>
    </w:p>
    <w:p w14:paraId="5F6B95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0B08B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 质量验收：以本合同约定标准按以下方式进行验收：</w:t>
      </w:r>
    </w:p>
    <w:p w14:paraId="721CEA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3.2.1 乙方将货物运至指定交货地点后，应通知甲方，并向甲方提供厂家标准资料文件（进口货物需提供真实有效的海关报关单，其他货物需提供产品合格证、售后质保承诺书</w:t>
      </w:r>
      <w:r>
        <w:rPr>
          <w:rFonts w:hint="eastAsia" w:ascii="仿宋" w:hAnsi="仿宋" w:eastAsia="仿宋" w:cs="仿宋"/>
          <w:color w:val="0000FF"/>
          <w:sz w:val="28"/>
          <w:szCs w:val="28"/>
          <w:highlight w:val="none"/>
          <w:lang w:val="en-US" w:eastAsia="zh-CN"/>
        </w:rPr>
        <w:t>及相应质检报告</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）。甲方自接到乙方通知之日起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日内无条件更换合格货物并承担所有费用。</w:t>
      </w:r>
    </w:p>
    <w:p w14:paraId="5F9A43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08B15A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07320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第四条 安装、培训等事项</w:t>
      </w:r>
    </w:p>
    <w:p w14:paraId="0E86C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 甲方负责协调、处理与安装、调试有关事宜，为乙方创造良好的安装、调试环境。</w:t>
      </w:r>
    </w:p>
    <w:p w14:paraId="57938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康健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作为代表，跟踪、检查安装、调试现场。</w:t>
      </w:r>
    </w:p>
    <w:p w14:paraId="329DC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 乙方负责对甲方的操作人员进行免费培训。</w:t>
      </w:r>
    </w:p>
    <w:p w14:paraId="31F30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4.4 乙方在安装、调试过程中应加强操作人员的安全教育，杜绝安全事故的发生。 </w:t>
      </w:r>
    </w:p>
    <w:p w14:paraId="304A2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售后服务</w:t>
      </w:r>
    </w:p>
    <w:p w14:paraId="5CAE6B0B">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本合同货物质保期为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年，自甲方在验收报告单上签字确认合格之日起开始计算。</w:t>
      </w:r>
    </w:p>
    <w:p w14:paraId="619997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质保期内乙方免费提供更换服务。</w:t>
      </w:r>
    </w:p>
    <w:p w14:paraId="38DA6B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5.2.1 如货物在</w:t>
      </w:r>
      <w:r>
        <w:rPr>
          <w:rFonts w:hint="eastAsia" w:ascii="仿宋" w:hAnsi="仿宋" w:eastAsia="仿宋" w:cs="仿宋"/>
          <w:color w:val="000000" w:themeColor="text1"/>
          <w:sz w:val="28"/>
          <w:szCs w:val="28"/>
          <w:highlight w:val="none"/>
          <w14:textFill>
            <w14:solidFill>
              <w14:schemeClr w14:val="tx1"/>
            </w14:solidFill>
          </w14:textFill>
        </w:rPr>
        <w:t>质</w:t>
      </w:r>
      <w:r>
        <w:rPr>
          <w:rFonts w:hint="eastAsia" w:ascii="仿宋" w:hAnsi="仿宋" w:eastAsia="仿宋" w:cs="仿宋"/>
          <w:color w:val="000000" w:themeColor="text1"/>
          <w:sz w:val="28"/>
          <w:szCs w:val="28"/>
          <w:highlight w:val="none"/>
          <w:lang w:val="en-US" w:eastAsia="zh-CN"/>
          <w14:textFill>
            <w14:solidFill>
              <w14:schemeClr w14:val="tx1"/>
            </w14:solidFill>
          </w14:textFill>
        </w:rPr>
        <w:t>保期内出现质量问题，乙方应在接到甲方通知（包括电话通知）后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小时内赶到甲方进行维修或更换全新合格货物，相关费用由乙方承担。</w:t>
      </w:r>
    </w:p>
    <w:p w14:paraId="05FA6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13D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5F82C46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5.3 质保期届满后，如货物出现问题，乙方应在接到甲方通知（包括电话通知）后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24</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小时上门服务，相关费用由甲方承担。</w:t>
      </w:r>
    </w:p>
    <w:p w14:paraId="734763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 </w:t>
      </w:r>
      <w:r>
        <w:rPr>
          <w:rFonts w:hint="eastAsia" w:ascii="仿宋" w:hAnsi="仿宋" w:eastAsia="仿宋" w:cs="仿宋"/>
          <w:color w:val="000000" w:themeColor="text1"/>
          <w:sz w:val="28"/>
          <w:szCs w:val="28"/>
          <w:highlight w:val="none"/>
          <w14:textFill>
            <w14:solidFill>
              <w14:schemeClr w14:val="tx1"/>
            </w14:solidFill>
          </w14:textFill>
        </w:rPr>
        <w:t>乙方须指派</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专门负责与甲方联系售后服务事宜，如人员发生变动，应及时通知甲方。</w:t>
      </w:r>
    </w:p>
    <w:p w14:paraId="555DB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第六条 付款时间、方式</w:t>
      </w:r>
    </w:p>
    <w:p w14:paraId="1F649AB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6.1 </w:t>
      </w:r>
      <w:r>
        <w:rPr>
          <w:rFonts w:hint="eastAsia" w:ascii="仿宋" w:hAnsi="仿宋" w:eastAsia="仿宋" w:cs="仿宋"/>
          <w:b w:val="0"/>
          <w:bCs w:val="0"/>
          <w:color w:val="auto"/>
          <w:sz w:val="28"/>
          <w:szCs w:val="28"/>
        </w:rPr>
        <w:t>甲、乙双方按批次进行结算和付款；甲方每次收到乙方提供的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日内，双方进行据实结算。乙方应在结算后向甲方提供以自己名义开具的对应金额的增值税普通发票，甲方自收到发票</w:t>
      </w:r>
      <w:r>
        <w:rPr>
          <w:rFonts w:hint="eastAsia" w:ascii="仿宋" w:hAnsi="仿宋" w:eastAsia="仿宋" w:cs="仿宋"/>
          <w:b w:val="0"/>
          <w:bCs w:val="0"/>
          <w:color w:val="auto"/>
          <w:sz w:val="28"/>
          <w:szCs w:val="28"/>
          <w:highlight w:val="none"/>
          <w:lang w:val="en-US" w:eastAsia="zh-CN"/>
        </w:rPr>
        <w:t>且确认不存在扣除乙方款项情形</w:t>
      </w:r>
      <w:r>
        <w:rPr>
          <w:rFonts w:hint="eastAsia" w:ascii="仿宋" w:hAnsi="仿宋" w:eastAsia="仿宋" w:cs="仿宋"/>
          <w:b w:val="0"/>
          <w:bCs w:val="0"/>
          <w:color w:val="auto"/>
          <w:sz w:val="28"/>
          <w:szCs w:val="28"/>
          <w:highlight w:val="none"/>
        </w:rPr>
        <w:t>之</w:t>
      </w:r>
      <w:r>
        <w:rPr>
          <w:rFonts w:hint="eastAsia" w:ascii="仿宋" w:hAnsi="仿宋" w:eastAsia="仿宋" w:cs="仿宋"/>
          <w:b w:val="0"/>
          <w:bCs w:val="0"/>
          <w:color w:val="auto"/>
          <w:sz w:val="28"/>
          <w:szCs w:val="28"/>
        </w:rPr>
        <w:t>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w:t>
      </w:r>
      <w:r>
        <w:rPr>
          <w:rFonts w:hint="eastAsia" w:ascii="仿宋" w:hAnsi="仿宋" w:eastAsia="仿宋" w:cs="仿宋"/>
          <w:b w:val="0"/>
          <w:bCs w:val="0"/>
          <w:color w:val="auto"/>
          <w:sz w:val="28"/>
          <w:szCs w:val="28"/>
          <w:lang w:val="en-US" w:eastAsia="zh-CN"/>
        </w:rPr>
        <w:t>一次性足额支付给</w:t>
      </w: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；如存在需扣除乙方款项情形，甲方扣除相应款项后将该次余款一次性支付给乙方。如因乙方未提供发票，甲方有权顺延付款期限，乙方自行承担相应责任</w:t>
      </w:r>
      <w:r>
        <w:rPr>
          <w:rFonts w:hint="eastAsia" w:ascii="仿宋" w:hAnsi="仿宋" w:eastAsia="仿宋" w:cs="仿宋"/>
          <w:b w:val="0"/>
          <w:bCs w:val="0"/>
          <w:color w:val="auto"/>
          <w:sz w:val="28"/>
          <w:szCs w:val="28"/>
        </w:rPr>
        <w:t>。</w:t>
      </w:r>
    </w:p>
    <w:p w14:paraId="5D0FD2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79A5E31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7C3CC4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05630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风险承担</w:t>
      </w:r>
    </w:p>
    <w:p w14:paraId="12EFC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DDD74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0E020F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48DFB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第八条 廉洁条款</w:t>
      </w:r>
    </w:p>
    <w:p w14:paraId="7F7AC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EC2F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8.2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23BBFF">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第九条 保密条款</w:t>
      </w:r>
    </w:p>
    <w:p w14:paraId="257C519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E477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3998D82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9.3 因乙方未履行本合同保密义务造成甲方或第三方损失的，由乙方承担全部赔偿责任。</w:t>
      </w:r>
    </w:p>
    <w:p w14:paraId="59FACA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9.4 本合同保密条款在合同被认定无效、被撤销或终止、解除后仍然有效。</w:t>
      </w:r>
    </w:p>
    <w:p w14:paraId="3F4A192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通知与送达</w:t>
      </w:r>
    </w:p>
    <w:p w14:paraId="0D7DD36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578D0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031358A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程俊杰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18873820001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317121229@qq.com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3E8408A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29C90E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B97D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89D5B8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305DDFA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本合同经双方协商一致后可以变更，双方应另行签订补充协议。</w:t>
      </w:r>
    </w:p>
    <w:p w14:paraId="0E8019B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6AA4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EA72AE8">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乙方逾期</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7 </w:t>
      </w:r>
      <w:r>
        <w:rPr>
          <w:rFonts w:hint="eastAsia" w:ascii="仿宋" w:hAnsi="仿宋" w:eastAsia="仿宋" w:cs="仿宋"/>
          <w:color w:val="000000" w:themeColor="text1"/>
          <w:sz w:val="28"/>
          <w:szCs w:val="28"/>
          <w:highlight w:val="none"/>
          <w14:textFill>
            <w14:solidFill>
              <w14:schemeClr w14:val="tx1"/>
            </w14:solidFill>
          </w14:textFill>
        </w:rPr>
        <w:t>日仍不能供货；</w:t>
      </w:r>
    </w:p>
    <w:p w14:paraId="5C81041E">
      <w:pPr>
        <w:pStyle w:val="2"/>
        <w:keepNext w:val="0"/>
        <w:keepLines w:val="0"/>
        <w:pageBreakBefore w:val="0"/>
        <w:kinsoku/>
        <w:wordWrap/>
        <w:overflowPunct/>
        <w:topLinePunct w:val="0"/>
        <w:autoSpaceDE/>
        <w:autoSpaceDN/>
        <w:bidi w:val="0"/>
        <w:spacing w:line="480" w:lineRule="exact"/>
        <w:ind w:firstLine="560" w:firstLineChars="200"/>
        <w:rPr>
          <w:rFonts w:hint="default" w:eastAsia="仿宋"/>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11.3.2 </w:t>
      </w:r>
      <w:r>
        <w:rPr>
          <w:rFonts w:hint="eastAsia" w:ascii="仿宋" w:hAnsi="仿宋" w:eastAsia="仿宋" w:cs="仿宋"/>
          <w:color w:val="0000FF"/>
          <w:sz w:val="28"/>
          <w:szCs w:val="28"/>
          <w:highlight w:val="none"/>
          <w:lang w:val="en-US" w:eastAsia="zh-CN"/>
        </w:rPr>
        <w:t>乙方未能在本合同约定的紧急供货时间内供货的</w:t>
      </w:r>
      <w:r>
        <w:rPr>
          <w:rFonts w:hint="eastAsia" w:ascii="仿宋" w:hAnsi="仿宋" w:eastAsia="仿宋" w:cs="仿宋"/>
          <w:color w:val="0000FF"/>
          <w:sz w:val="28"/>
          <w:szCs w:val="28"/>
          <w:highlight w:val="none"/>
        </w:rPr>
        <w:t>；</w:t>
      </w:r>
    </w:p>
    <w:p w14:paraId="2EFB0AD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乙方提供的</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2987CD7">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 xml:space="preserve">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322A06E8">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 xml:space="preserve"> 其他根本违约的情形。</w:t>
      </w:r>
    </w:p>
    <w:p w14:paraId="668818E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45A51E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29E25F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如乙方未在本合同约定时间内将验收合格的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交付给甲方使用，除应赔偿甲方因此造成的损失外，每逾期一日，按</w:t>
      </w:r>
      <w:r>
        <w:rPr>
          <w:rFonts w:hint="eastAsia" w:ascii="仿宋" w:hAnsi="仿宋" w:eastAsia="仿宋" w:cs="仿宋"/>
          <w:color w:val="000000" w:themeColor="text1"/>
          <w:sz w:val="28"/>
          <w:szCs w:val="28"/>
          <w:highlight w:val="none"/>
          <w:u w:val="none"/>
          <w14:textFill>
            <w14:solidFill>
              <w14:schemeClr w14:val="tx1"/>
            </w14:solidFill>
          </w14:textFill>
        </w:rPr>
        <w:t>本合同</w:t>
      </w:r>
      <w:r>
        <w:rPr>
          <w:rFonts w:hint="eastAsia" w:ascii="仿宋" w:hAnsi="仿宋" w:eastAsia="仿宋" w:cs="仿宋"/>
          <w:color w:val="0000FF"/>
          <w:sz w:val="28"/>
          <w:szCs w:val="28"/>
          <w:highlight w:val="none"/>
          <w:u w:val="none"/>
          <w:lang w:val="en-US" w:eastAsia="zh-CN"/>
        </w:rPr>
        <w:t>暂定</w:t>
      </w:r>
      <w:r>
        <w:rPr>
          <w:rFonts w:hint="eastAsia" w:ascii="仿宋" w:hAnsi="仿宋" w:eastAsia="仿宋" w:cs="仿宋"/>
          <w:color w:val="000000" w:themeColor="text1"/>
          <w:sz w:val="28"/>
          <w:szCs w:val="28"/>
          <w:highlight w:val="none"/>
          <w:u w:val="none"/>
          <w14:textFill>
            <w14:solidFill>
              <w14:schemeClr w14:val="tx1"/>
            </w14:solidFill>
          </w14:textFill>
        </w:rPr>
        <w:t>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4ECBCE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u w:val="none"/>
          <w14:textFill>
            <w14:solidFill>
              <w14:schemeClr w14:val="tx1"/>
            </w14:solidFill>
          </w14:textFill>
        </w:rPr>
        <w:t>本合同</w:t>
      </w:r>
      <w:r>
        <w:rPr>
          <w:rFonts w:hint="eastAsia" w:ascii="仿宋" w:hAnsi="仿宋" w:eastAsia="仿宋" w:cs="仿宋"/>
          <w:color w:val="0000FF"/>
          <w:sz w:val="28"/>
          <w:szCs w:val="28"/>
          <w:highlight w:val="none"/>
          <w:u w:val="none"/>
          <w:lang w:val="en-US" w:eastAsia="zh-CN"/>
        </w:rPr>
        <w:t>暂定</w:t>
      </w:r>
      <w:r>
        <w:rPr>
          <w:rFonts w:hint="eastAsia" w:ascii="仿宋" w:hAnsi="仿宋" w:eastAsia="仿宋" w:cs="仿宋"/>
          <w:color w:val="000000" w:themeColor="text1"/>
          <w:sz w:val="28"/>
          <w:szCs w:val="28"/>
          <w:highlight w:val="none"/>
          <w:u w:val="none"/>
          <w14:textFill>
            <w14:solidFill>
              <w14:schemeClr w14:val="tx1"/>
            </w14:solidFill>
          </w14:textFill>
        </w:rPr>
        <w:t>总价款30%</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766541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highlight w:val="none"/>
          <w:u w:val="single"/>
          <w:lang w:val="en-US" w:eastAsia="zh-CN"/>
        </w:rPr>
        <w:t>36000</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.00元。如乙方除需承担违反廉洁条款的违约责任外，同时存在其他违约行为，乙方仍须就其他违约行为承担相应违约责任。</w:t>
      </w:r>
    </w:p>
    <w:p w14:paraId="01407C2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AA24E9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717F573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13.1 本合同适用中华人民共和国法律，并按其解释。</w:t>
      </w:r>
    </w:p>
    <w:p w14:paraId="228742E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DFC81F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0FA95C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599AEFC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3212453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4538B5D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770AA0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5A543B0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7287AD61">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36769AB8">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3CA98EC">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63785973">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4314166A">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合同签订地履行地：娄底市娄星区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签订时间：    年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月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w:t>
      </w:r>
    </w:p>
    <w:p w14:paraId="51CEB283">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420" w:leftChars="0"/>
        <w:jc w:val="both"/>
        <w:textAlignment w:val="auto"/>
        <w:rPr>
          <w:rFonts w:hint="eastAsia" w:ascii="仿宋" w:hAnsi="仿宋" w:eastAsia="仿宋" w:cs="仿宋"/>
          <w:b w:val="0"/>
          <w:bCs/>
          <w:color w:val="auto"/>
          <w:sz w:val="28"/>
          <w:szCs w:val="28"/>
        </w:rPr>
      </w:pPr>
    </w:p>
    <w:p w14:paraId="0E0DE0C9">
      <w:pPr>
        <w:keepNext w:val="0"/>
        <w:keepLines w:val="0"/>
        <w:pageBreakBefore w:val="0"/>
        <w:widowControl w:val="0"/>
        <w:kinsoku/>
        <w:wordWrap/>
        <w:overflowPunct w:val="0"/>
        <w:topLinePunct w:val="0"/>
        <w:autoSpaceDE w:val="0"/>
        <w:autoSpaceDN w:val="0"/>
        <w:bidi w:val="0"/>
        <w:adjustRightInd w:val="0"/>
        <w:snapToGrid/>
        <w:spacing w:line="480" w:lineRule="exact"/>
        <w:textAlignment w:val="baseline"/>
        <w:rPr>
          <w:color w:val="auto"/>
        </w:rPr>
      </w:pPr>
      <w:bookmarkStart w:id="1" w:name="OLE_LINK2"/>
      <w:r>
        <w:rPr>
          <w:rFonts w:hint="eastAsia" w:ascii="仿宋" w:hAnsi="仿宋" w:eastAsia="仿宋" w:cs="仿宋"/>
          <w:b w:val="0"/>
          <w:bCs w:val="0"/>
          <w:color w:val="auto"/>
          <w:sz w:val="28"/>
          <w:szCs w:val="28"/>
          <w:lang w:val="en-US" w:eastAsia="zh-CN"/>
        </w:rPr>
        <w:t xml:space="preserve">                            </w:t>
      </w:r>
      <w:bookmarkEnd w:id="1"/>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15E686B5">
      <w:pPr>
        <w:rPr>
          <w:rFonts w:hint="eastAsia" w:ascii="宋体" w:hAnsi="宋体" w:cs="宋体"/>
          <w:color w:val="auto"/>
          <w:sz w:val="44"/>
          <w:szCs w:val="44"/>
          <w:lang w:val="en-US" w:eastAsia="zh-CN"/>
        </w:rPr>
      </w:pPr>
    </w:p>
    <w:p w14:paraId="1D27862F">
      <w:pPr>
        <w:jc w:val="center"/>
        <w:rPr>
          <w:rFonts w:hint="eastAsia"/>
          <w:b/>
          <w:color w:val="auto"/>
          <w:sz w:val="24"/>
          <w:lang w:val="en-US" w:eastAsia="zh-CN"/>
        </w:rPr>
      </w:pPr>
      <w:r>
        <w:rPr>
          <w:rFonts w:hint="eastAsia" w:ascii="宋体" w:hAnsi="宋体" w:cs="宋体"/>
          <w:color w:val="auto"/>
          <w:sz w:val="44"/>
          <w:szCs w:val="44"/>
          <w:lang w:val="en-US" w:eastAsia="zh-CN"/>
        </w:rPr>
        <w:t xml:space="preserve">  </w:t>
      </w:r>
    </w:p>
    <w:p w14:paraId="5FDA02AB">
      <w:pPr>
        <w:pStyle w:val="3"/>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7"/>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8"/>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4"/>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126ABE8D">
      <w:pPr>
        <w:pStyle w:val="18"/>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7"/>
        <w:rPr>
          <w:color w:val="auto"/>
        </w:rPr>
      </w:pPr>
    </w:p>
    <w:p w14:paraId="0F8FD442">
      <w:pPr>
        <w:pStyle w:val="19"/>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7"/>
        <w:rPr>
          <w:color w:val="auto"/>
        </w:rPr>
      </w:pPr>
    </w:p>
    <w:p w14:paraId="1AA19DFA">
      <w:pPr>
        <w:pStyle w:val="17"/>
        <w:rPr>
          <w:color w:val="auto"/>
        </w:rPr>
      </w:pPr>
    </w:p>
    <w:p w14:paraId="4461DEBA">
      <w:pPr>
        <w:pStyle w:val="17"/>
        <w:rPr>
          <w:color w:val="auto"/>
        </w:rPr>
      </w:pPr>
    </w:p>
    <w:p w14:paraId="4F259EF0">
      <w:pPr>
        <w:pStyle w:val="19"/>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0E18F0D5"/>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9"/>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9"/>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9"/>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10"/>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0A895"/>
    <w:multiLevelType w:val="singleLevel"/>
    <w:tmpl w:val="B820A895"/>
    <w:lvl w:ilvl="0" w:tentative="0">
      <w:start w:val="2"/>
      <w:numFmt w:val="chineseCounting"/>
      <w:suff w:val="nothing"/>
      <w:lvlText w:val="%1、"/>
      <w:lvlJc w:val="left"/>
      <w:rPr>
        <w:rFonts w:hint="eastAsia"/>
      </w:rPr>
    </w:lvl>
  </w:abstractNum>
  <w:abstractNum w:abstractNumId="1">
    <w:nsid w:val="E5EEFDF4"/>
    <w:multiLevelType w:val="singleLevel"/>
    <w:tmpl w:val="E5EEFDF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A1BBB"/>
    <w:rsid w:val="009922E2"/>
    <w:rsid w:val="1E6131E6"/>
    <w:rsid w:val="384D4212"/>
    <w:rsid w:val="3C63367E"/>
    <w:rsid w:val="53BA3FEF"/>
    <w:rsid w:val="657426A7"/>
    <w:rsid w:val="751A1BBB"/>
    <w:rsid w:val="75F6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2"/>
    <w:basedOn w:val="1"/>
    <w:next w:val="1"/>
    <w:link w:val="16"/>
    <w:qFormat/>
    <w:uiPriority w:val="9"/>
    <w:pPr>
      <w:keepNext/>
      <w:keepLines/>
      <w:spacing w:line="360" w:lineRule="auto"/>
      <w:outlineLvl w:val="1"/>
    </w:pPr>
    <w:rPr>
      <w:rFonts w:ascii="Arial" w:hAnsi="Arial"/>
      <w:b/>
      <w:bCs/>
      <w:sz w:val="24"/>
      <w:szCs w:val="32"/>
    </w:rPr>
  </w:style>
  <w:style w:type="paragraph" w:styleId="5">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Body Text Indent"/>
    <w:basedOn w:val="1"/>
    <w:next w:val="1"/>
    <w:qFormat/>
    <w:uiPriority w:val="0"/>
    <w:pPr>
      <w:spacing w:after="120"/>
      <w:ind w:left="420" w:leftChars="200"/>
    </w:pPr>
    <w:rPr>
      <w:kern w:val="0"/>
      <w:sz w:val="24"/>
    </w:rPr>
  </w:style>
  <w:style w:type="paragraph" w:styleId="9">
    <w:name w:val="footer"/>
    <w:basedOn w:val="1"/>
    <w:qFormat/>
    <w:uiPriority w:val="0"/>
    <w:pPr>
      <w:tabs>
        <w:tab w:val="center" w:pos="4153"/>
        <w:tab w:val="right" w:pos="8306"/>
      </w:tabs>
      <w:snapToGrid w:val="0"/>
      <w:jc w:val="left"/>
    </w:pPr>
    <w:rPr>
      <w:kern w:val="0"/>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style>
  <w:style w:type="paragraph" w:styleId="12">
    <w:name w:val="Normal (Web)"/>
    <w:basedOn w:val="1"/>
    <w:qFormat/>
    <w:uiPriority w:val="0"/>
    <w:rPr>
      <w:sz w:val="24"/>
    </w:rPr>
  </w:style>
  <w:style w:type="paragraph" w:styleId="13">
    <w:name w:val="Body Text First Indent 2"/>
    <w:basedOn w:val="8"/>
    <w:next w:val="6"/>
    <w:qFormat/>
    <w:uiPriority w:val="0"/>
    <w:pPr>
      <w:ind w:firstLine="420" w:firstLineChars="200"/>
    </w:pPr>
  </w:style>
  <w:style w:type="character" w:customStyle="1" w:styleId="16">
    <w:name w:val="标题 2 Char"/>
    <w:link w:val="4"/>
    <w:qFormat/>
    <w:uiPriority w:val="0"/>
    <w:rPr>
      <w:rFonts w:ascii="Arial" w:hAnsi="Arial"/>
      <w:b/>
      <w:bCs/>
      <w:sz w:val="24"/>
      <w:szCs w:val="32"/>
    </w:r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1"/>
    <w:basedOn w:val="1"/>
    <w:qFormat/>
    <w:uiPriority w:val="99"/>
    <w:pPr>
      <w:ind w:firstLine="420" w:firstLineChars="200"/>
    </w:p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7582</Words>
  <Characters>8086</Characters>
  <Lines>0</Lines>
  <Paragraphs>0</Paragraphs>
  <TotalTime>0</TotalTime>
  <ScaleCrop>false</ScaleCrop>
  <LinksUpToDate>false</LinksUpToDate>
  <CharactersWithSpaces>9243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2025-11-17T03:25:00Z</dcterms:created>
  <dc:creator>请叫我sir</dc:creator>
  <cp:lastModifiedBy>是小豹子</cp:lastModifiedBy>
  <dcterms:modified xsi:type="dcterms:W3CDTF">2025-12-01T08:38:08Z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23FA5D86524D47DEA65760145771807B_11</vt:lpwstr>
  </property>
  <property fmtid="{D5CDD505-2E9C-101B-9397-08002B2CF9AE}" pid="4" name="KSOTemplateDocerSaveRecord">
    <vt:lpwstr>eyJoZGlkIjoiMjI0YzkyZjA4NDE5ZWViZGEyZTVjOTNhYTg4ZmYzYTciLCJ1c2VySWQiOiIzMDQ3NTQ4MDUifQ==</vt:lpwstr>
  </property>
</Properties>
</file>