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C885AF6">
      <w:pPr>
        <w:spacing w:before="312" w:beforeLines="100" w:after="156" w:afterLines="50" w:line="400" w:lineRule="exact"/>
        <w:jc w:val="center"/>
        <w:rPr>
          <w:rFonts w:hint="eastAsia" w:asciiTheme="majorEastAsia" w:hAnsiTheme="majorEastAsia" w:eastAsiaTheme="majorEastAsia"/>
          <w:b/>
          <w:color w:val="000000"/>
          <w:sz w:val="32"/>
          <w:szCs w:val="32"/>
          <w:shd w:val="clear" w:color="auto" w:fill="FFFFFF"/>
          <w:lang w:val="en-US" w:eastAsia="zh-CN"/>
        </w:rPr>
      </w:pPr>
      <w:r>
        <w:rPr>
          <w:rFonts w:hint="eastAsia" w:asciiTheme="majorEastAsia" w:hAnsiTheme="majorEastAsia" w:eastAsiaTheme="majorEastAsia"/>
          <w:b/>
          <w:color w:val="000000"/>
          <w:sz w:val="32"/>
          <w:szCs w:val="32"/>
          <w:shd w:val="clear" w:color="auto" w:fill="FFFFFF"/>
          <w:lang w:val="en-US" w:eastAsia="zh-CN"/>
        </w:rPr>
        <w:t>电子注射器控制助推装置（水光治疗机）招标参数</w:t>
      </w:r>
    </w:p>
    <w:p w14:paraId="1C60B3C7">
      <w:pPr>
        <w:spacing w:before="312" w:beforeLines="100" w:after="156" w:afterLines="50" w:line="400" w:lineRule="exact"/>
        <w:jc w:val="both"/>
        <w:rPr>
          <w:rFonts w:hint="default" w:asciiTheme="majorEastAsia" w:hAnsiTheme="majorEastAsia" w:eastAsiaTheme="majorEastAsia"/>
          <w:b/>
          <w:color w:val="000000"/>
          <w:sz w:val="28"/>
          <w:szCs w:val="28"/>
          <w:shd w:val="clear" w:color="auto" w:fill="FFFFFF"/>
          <w:lang w:val="en-US" w:eastAsia="zh-CN"/>
        </w:rPr>
      </w:pPr>
      <w:r>
        <w:rPr>
          <w:rFonts w:hint="eastAsia" w:asciiTheme="majorEastAsia" w:hAnsiTheme="majorEastAsia" w:eastAsiaTheme="majorEastAsia"/>
          <w:b/>
          <w:color w:val="000000"/>
          <w:sz w:val="28"/>
          <w:szCs w:val="28"/>
          <w:shd w:val="clear" w:color="auto" w:fill="FFFFFF"/>
          <w:lang w:val="en-US" w:eastAsia="zh-CN"/>
        </w:rPr>
        <w:t>一、技术参数</w:t>
      </w:r>
    </w:p>
    <w:tbl>
      <w:tblPr>
        <w:tblStyle w:val="6"/>
        <w:tblW w:w="10238"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20"/>
        <w:gridCol w:w="2261"/>
        <w:gridCol w:w="6957"/>
      </w:tblGrid>
      <w:tr w14:paraId="23A9A7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0" w:hRule="atLeast"/>
          <w:jc w:val="center"/>
        </w:trPr>
        <w:tc>
          <w:tcPr>
            <w:tcW w:w="1020" w:type="dxa"/>
            <w:vAlign w:val="center"/>
          </w:tcPr>
          <w:p w14:paraId="5D9CAC62">
            <w:pPr>
              <w:keepNext w:val="0"/>
              <w:keepLines w:val="0"/>
              <w:pageBreakBefore w:val="0"/>
              <w:widowControl w:val="0"/>
              <w:kinsoku/>
              <w:wordWrap/>
              <w:overflowPunct/>
              <w:topLinePunct w:val="0"/>
              <w:autoSpaceDE/>
              <w:autoSpaceDN/>
              <w:bidi w:val="0"/>
              <w:adjustRightInd/>
              <w:snapToGrid/>
              <w:spacing w:after="50" w:line="360" w:lineRule="auto"/>
              <w:ind w:right="0"/>
              <w:jc w:val="center"/>
              <w:textAlignment w:val="auto"/>
              <w:rPr>
                <w:rFonts w:cs="楷体_GB2312" w:asciiTheme="minorEastAsia" w:hAnsiTheme="minorEastAsia" w:eastAsiaTheme="minorEastAsia"/>
                <w:sz w:val="24"/>
              </w:rPr>
            </w:pPr>
            <w:r>
              <w:rPr>
                <w:rFonts w:hint="eastAsia" w:cs="楷体_GB2312" w:asciiTheme="minorEastAsia" w:hAnsiTheme="minorEastAsia" w:eastAsiaTheme="minorEastAsia"/>
                <w:sz w:val="24"/>
              </w:rPr>
              <w:t>序号</w:t>
            </w:r>
          </w:p>
        </w:tc>
        <w:tc>
          <w:tcPr>
            <w:tcW w:w="2261" w:type="dxa"/>
            <w:vAlign w:val="center"/>
          </w:tcPr>
          <w:p w14:paraId="56E5AC2B">
            <w:pPr>
              <w:keepNext w:val="0"/>
              <w:keepLines w:val="0"/>
              <w:pageBreakBefore w:val="0"/>
              <w:kinsoku/>
              <w:wordWrap/>
              <w:overflowPunct/>
              <w:topLinePunct w:val="0"/>
              <w:autoSpaceDE/>
              <w:autoSpaceDN/>
              <w:bidi w:val="0"/>
              <w:adjustRightInd/>
              <w:snapToGrid/>
              <w:spacing w:after="50" w:line="360" w:lineRule="auto"/>
              <w:ind w:right="0"/>
              <w:jc w:val="center"/>
              <w:textAlignment w:val="auto"/>
              <w:rPr>
                <w:rFonts w:cs="楷体_GB2312" w:asciiTheme="minorEastAsia" w:hAnsiTheme="minorEastAsia" w:eastAsiaTheme="minorEastAsia"/>
                <w:sz w:val="24"/>
              </w:rPr>
            </w:pPr>
            <w:r>
              <w:rPr>
                <w:rFonts w:hint="eastAsia" w:cs="楷体_GB2312" w:asciiTheme="minorEastAsia" w:hAnsiTheme="minorEastAsia" w:eastAsiaTheme="minorEastAsia"/>
                <w:sz w:val="24"/>
              </w:rPr>
              <w:t>项目名称</w:t>
            </w:r>
          </w:p>
        </w:tc>
        <w:tc>
          <w:tcPr>
            <w:tcW w:w="6957" w:type="dxa"/>
            <w:vAlign w:val="center"/>
          </w:tcPr>
          <w:p w14:paraId="4DA4FE13">
            <w:pPr>
              <w:keepNext w:val="0"/>
              <w:keepLines w:val="0"/>
              <w:pageBreakBefore w:val="0"/>
              <w:kinsoku/>
              <w:wordWrap/>
              <w:overflowPunct/>
              <w:topLinePunct w:val="0"/>
              <w:autoSpaceDE/>
              <w:autoSpaceDN/>
              <w:bidi w:val="0"/>
              <w:adjustRightInd/>
              <w:snapToGrid/>
              <w:spacing w:after="50" w:line="360" w:lineRule="auto"/>
              <w:ind w:right="0"/>
              <w:jc w:val="center"/>
              <w:textAlignment w:val="auto"/>
              <w:rPr>
                <w:rFonts w:cs="楷体_GB2312" w:asciiTheme="minorEastAsia" w:hAnsiTheme="minorEastAsia" w:eastAsiaTheme="minorEastAsia"/>
                <w:sz w:val="24"/>
              </w:rPr>
            </w:pPr>
            <w:r>
              <w:rPr>
                <w:rFonts w:hint="eastAsia" w:cs="楷体_GB2312" w:asciiTheme="minorEastAsia" w:hAnsiTheme="minorEastAsia" w:eastAsiaTheme="minorEastAsia"/>
                <w:sz w:val="24"/>
              </w:rPr>
              <w:t>规格参数</w:t>
            </w:r>
          </w:p>
        </w:tc>
      </w:tr>
      <w:tr w14:paraId="19C990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0" w:hRule="atLeast"/>
          <w:jc w:val="center"/>
        </w:trPr>
        <w:tc>
          <w:tcPr>
            <w:tcW w:w="1020" w:type="dxa"/>
            <w:vAlign w:val="center"/>
          </w:tcPr>
          <w:p w14:paraId="1BC7EE22">
            <w:pPr>
              <w:pStyle w:val="14"/>
              <w:keepNext w:val="0"/>
              <w:keepLines w:val="0"/>
              <w:pageBreakBefore w:val="0"/>
              <w:numPr>
                <w:ilvl w:val="0"/>
                <w:numId w:val="0"/>
              </w:numPr>
              <w:kinsoku/>
              <w:wordWrap/>
              <w:overflowPunct/>
              <w:topLinePunct w:val="0"/>
              <w:autoSpaceDE/>
              <w:autoSpaceDN/>
              <w:bidi w:val="0"/>
              <w:adjustRightInd/>
              <w:snapToGrid/>
              <w:spacing w:after="50" w:line="360" w:lineRule="auto"/>
              <w:ind w:leftChars="0" w:right="0" w:rightChars="0"/>
              <w:jc w:val="center"/>
              <w:textAlignment w:val="auto"/>
              <w:rPr>
                <w:rFonts w:hint="default"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1</w:t>
            </w:r>
          </w:p>
        </w:tc>
        <w:tc>
          <w:tcPr>
            <w:tcW w:w="2261" w:type="dxa"/>
            <w:vAlign w:val="center"/>
          </w:tcPr>
          <w:p w14:paraId="6B1EA42B">
            <w:pPr>
              <w:keepNext w:val="0"/>
              <w:keepLines w:val="0"/>
              <w:pageBreakBefore w:val="0"/>
              <w:kinsoku/>
              <w:wordWrap/>
              <w:overflowPunct/>
              <w:topLinePunct w:val="0"/>
              <w:autoSpaceDE/>
              <w:autoSpaceDN/>
              <w:bidi w:val="0"/>
              <w:adjustRightInd/>
              <w:snapToGrid/>
              <w:spacing w:after="50" w:line="360" w:lineRule="auto"/>
              <w:ind w:right="0"/>
              <w:jc w:val="center"/>
              <w:textAlignment w:val="auto"/>
              <w:rPr>
                <w:rFonts w:cs="楷体_GB2312" w:asciiTheme="minorEastAsia" w:hAnsiTheme="minorEastAsia" w:eastAsiaTheme="minorEastAsia"/>
                <w:sz w:val="24"/>
              </w:rPr>
            </w:pPr>
            <w:r>
              <w:rPr>
                <w:rFonts w:hint="eastAsia" w:cs="楷体_GB2312" w:asciiTheme="minorEastAsia" w:hAnsiTheme="minorEastAsia" w:eastAsiaTheme="minorEastAsia"/>
                <w:sz w:val="24"/>
              </w:rPr>
              <w:t>设备名称</w:t>
            </w:r>
          </w:p>
        </w:tc>
        <w:tc>
          <w:tcPr>
            <w:tcW w:w="6957" w:type="dxa"/>
            <w:vAlign w:val="center"/>
          </w:tcPr>
          <w:p w14:paraId="1F999FD4">
            <w:pPr>
              <w:keepNext w:val="0"/>
              <w:keepLines w:val="0"/>
              <w:pageBreakBefore w:val="0"/>
              <w:widowControl/>
              <w:kinsoku/>
              <w:wordWrap/>
              <w:overflowPunct/>
              <w:topLinePunct w:val="0"/>
              <w:autoSpaceDE/>
              <w:autoSpaceDN/>
              <w:bidi w:val="0"/>
              <w:adjustRightInd/>
              <w:snapToGrid/>
              <w:ind w:right="0"/>
              <w:jc w:val="left"/>
              <w:textAlignment w:val="auto"/>
              <w:rPr>
                <w:rFonts w:asciiTheme="minorEastAsia" w:hAnsiTheme="minorEastAsia" w:eastAsiaTheme="minorEastAsia"/>
                <w:sz w:val="24"/>
              </w:rPr>
            </w:pPr>
            <w:r>
              <w:rPr>
                <w:rFonts w:hint="eastAsia" w:ascii="宋体" w:hAnsi="宋体" w:eastAsia="宋体" w:cs="宋体"/>
                <w:color w:val="000000"/>
                <w:kern w:val="0"/>
                <w:sz w:val="24"/>
                <w:szCs w:val="24"/>
                <w:lang w:val="en-US" w:eastAsia="zh-CN" w:bidi="ar"/>
              </w:rPr>
              <w:t>电子注射器控制助推装置（水光治疗机）</w:t>
            </w:r>
          </w:p>
        </w:tc>
      </w:tr>
      <w:tr w14:paraId="0EDB07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0" w:hRule="atLeast"/>
          <w:jc w:val="center"/>
        </w:trPr>
        <w:tc>
          <w:tcPr>
            <w:tcW w:w="1020" w:type="dxa"/>
            <w:vAlign w:val="center"/>
          </w:tcPr>
          <w:p w14:paraId="6D5CE321">
            <w:pPr>
              <w:pStyle w:val="14"/>
              <w:keepNext w:val="0"/>
              <w:keepLines w:val="0"/>
              <w:pageBreakBefore w:val="0"/>
              <w:numPr>
                <w:ilvl w:val="0"/>
                <w:numId w:val="0"/>
              </w:numPr>
              <w:kinsoku/>
              <w:wordWrap/>
              <w:overflowPunct/>
              <w:topLinePunct w:val="0"/>
              <w:autoSpaceDE/>
              <w:autoSpaceDN/>
              <w:bidi w:val="0"/>
              <w:adjustRightInd/>
              <w:snapToGrid/>
              <w:spacing w:after="50" w:line="360" w:lineRule="auto"/>
              <w:ind w:leftChars="0" w:right="0" w:rightChars="0"/>
              <w:jc w:val="center"/>
              <w:textAlignment w:val="auto"/>
              <w:rPr>
                <w:rFonts w:hint="eastAsia"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2</w:t>
            </w:r>
          </w:p>
        </w:tc>
        <w:tc>
          <w:tcPr>
            <w:tcW w:w="2261" w:type="dxa"/>
            <w:vAlign w:val="center"/>
          </w:tcPr>
          <w:p w14:paraId="698ED86F">
            <w:pPr>
              <w:keepNext w:val="0"/>
              <w:keepLines w:val="0"/>
              <w:pageBreakBefore w:val="0"/>
              <w:kinsoku/>
              <w:wordWrap/>
              <w:overflowPunct/>
              <w:topLinePunct w:val="0"/>
              <w:autoSpaceDE/>
              <w:autoSpaceDN/>
              <w:bidi w:val="0"/>
              <w:adjustRightInd/>
              <w:snapToGrid/>
              <w:spacing w:after="50" w:line="360" w:lineRule="auto"/>
              <w:ind w:right="0"/>
              <w:jc w:val="center"/>
              <w:textAlignment w:val="auto"/>
              <w:rPr>
                <w:rFonts w:cs="楷体_GB2312" w:asciiTheme="minorEastAsia" w:hAnsiTheme="minorEastAsia" w:eastAsiaTheme="minorEastAsia"/>
                <w:sz w:val="24"/>
              </w:rPr>
            </w:pPr>
            <w:r>
              <w:rPr>
                <w:rFonts w:hint="eastAsia" w:asciiTheme="minorEastAsia" w:hAnsiTheme="minorEastAsia" w:eastAsiaTheme="minorEastAsia"/>
                <w:sz w:val="24"/>
              </w:rPr>
              <w:t>适用范围</w:t>
            </w:r>
          </w:p>
        </w:tc>
        <w:tc>
          <w:tcPr>
            <w:tcW w:w="6957" w:type="dxa"/>
            <w:vAlign w:val="center"/>
          </w:tcPr>
          <w:p w14:paraId="1DC43DEB">
            <w:pPr>
              <w:keepNext w:val="0"/>
              <w:keepLines w:val="0"/>
              <w:pageBreakBefore w:val="0"/>
              <w:widowControl/>
              <w:suppressLineNumbers w:val="0"/>
              <w:kinsoku/>
              <w:wordWrap/>
              <w:overflowPunct/>
              <w:topLinePunct w:val="0"/>
              <w:autoSpaceDE/>
              <w:autoSpaceDN/>
              <w:bidi w:val="0"/>
              <w:adjustRightInd/>
              <w:snapToGrid/>
              <w:ind w:right="0"/>
              <w:jc w:val="left"/>
              <w:textAlignment w:val="auto"/>
              <w:rPr>
                <w:rFonts w:asciiTheme="minorEastAsia" w:hAnsiTheme="minorEastAsia" w:eastAsiaTheme="minorEastAsia"/>
                <w:sz w:val="24"/>
              </w:rPr>
            </w:pPr>
            <w:r>
              <w:rPr>
                <w:rFonts w:hint="eastAsia" w:ascii="宋体" w:hAnsi="宋体" w:eastAsia="宋体" w:cs="宋体"/>
                <w:color w:val="000000"/>
                <w:kern w:val="0"/>
                <w:sz w:val="24"/>
                <w:szCs w:val="24"/>
                <w:lang w:val="en-US" w:eastAsia="zh-CN" w:bidi="ar"/>
              </w:rPr>
              <w:t>与已获得注册证的一次性使用无菌注射器和一次性使用无菌注射针配合使用，供医疗机构用于患者面部真皮层的定量控制注射</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不用于镇痛药、化疗药物、胰岛素的输注</w:t>
            </w:r>
          </w:p>
        </w:tc>
      </w:tr>
      <w:tr w14:paraId="1BDED4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4" w:hRule="atLeast"/>
          <w:jc w:val="center"/>
        </w:trPr>
        <w:tc>
          <w:tcPr>
            <w:tcW w:w="1020" w:type="dxa"/>
            <w:vAlign w:val="center"/>
          </w:tcPr>
          <w:p w14:paraId="3BC054FF">
            <w:pPr>
              <w:pStyle w:val="14"/>
              <w:keepNext w:val="0"/>
              <w:keepLines w:val="0"/>
              <w:pageBreakBefore w:val="0"/>
              <w:numPr>
                <w:ilvl w:val="0"/>
                <w:numId w:val="0"/>
              </w:numPr>
              <w:kinsoku/>
              <w:wordWrap/>
              <w:overflowPunct/>
              <w:topLinePunct w:val="0"/>
              <w:autoSpaceDE/>
              <w:autoSpaceDN/>
              <w:bidi w:val="0"/>
              <w:adjustRightInd/>
              <w:snapToGrid/>
              <w:spacing w:after="50" w:line="360" w:lineRule="auto"/>
              <w:ind w:leftChars="0" w:right="0" w:rightChars="0"/>
              <w:jc w:val="center"/>
              <w:textAlignment w:val="auto"/>
              <w:rPr>
                <w:rFonts w:hint="eastAsia"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3</w:t>
            </w:r>
          </w:p>
        </w:tc>
        <w:tc>
          <w:tcPr>
            <w:tcW w:w="2261" w:type="dxa"/>
            <w:vAlign w:val="center"/>
          </w:tcPr>
          <w:p w14:paraId="716E6CA5">
            <w:pPr>
              <w:keepNext w:val="0"/>
              <w:keepLines w:val="0"/>
              <w:pageBreakBefore w:val="0"/>
              <w:kinsoku/>
              <w:wordWrap/>
              <w:overflowPunct/>
              <w:topLinePunct w:val="0"/>
              <w:autoSpaceDE/>
              <w:autoSpaceDN/>
              <w:bidi w:val="0"/>
              <w:adjustRightInd/>
              <w:snapToGrid/>
              <w:spacing w:after="50" w:line="360" w:lineRule="auto"/>
              <w:ind w:right="0"/>
              <w:jc w:val="center"/>
              <w:textAlignment w:val="auto"/>
              <w:rPr>
                <w:rFonts w:cs="楷体_GB2312" w:asciiTheme="minorEastAsia" w:hAnsiTheme="minorEastAsia" w:eastAsiaTheme="minorEastAsia"/>
                <w:sz w:val="24"/>
              </w:rPr>
            </w:pPr>
            <w:r>
              <w:rPr>
                <w:rFonts w:hint="eastAsia" w:cs="宋体" w:asciiTheme="minorEastAsia" w:hAnsiTheme="minorEastAsia" w:eastAsiaTheme="minorEastAsia"/>
                <w:kern w:val="0"/>
                <w:sz w:val="24"/>
              </w:rPr>
              <w:t>操作模式</w:t>
            </w:r>
          </w:p>
        </w:tc>
        <w:tc>
          <w:tcPr>
            <w:tcW w:w="6957" w:type="dxa"/>
            <w:vAlign w:val="center"/>
          </w:tcPr>
          <w:p w14:paraId="174E162E">
            <w:pPr>
              <w:keepNext w:val="0"/>
              <w:keepLines w:val="0"/>
              <w:pageBreakBefore w:val="0"/>
              <w:kinsoku/>
              <w:wordWrap/>
              <w:overflowPunct/>
              <w:topLinePunct w:val="0"/>
              <w:autoSpaceDE/>
              <w:autoSpaceDN/>
              <w:bidi w:val="0"/>
              <w:adjustRightInd/>
              <w:snapToGrid/>
              <w:spacing w:after="50" w:line="360" w:lineRule="auto"/>
              <w:ind w:right="0"/>
              <w:jc w:val="left"/>
              <w:textAlignment w:val="auto"/>
              <w:rPr>
                <w:rFonts w:cs="楷体_GB2312" w:asciiTheme="minorEastAsia" w:hAnsiTheme="minorEastAsia" w:eastAsiaTheme="minorEastAsia"/>
                <w:sz w:val="24"/>
              </w:rPr>
            </w:pPr>
            <w:r>
              <w:rPr>
                <w:rFonts w:hint="eastAsia" w:cs="宋体" w:asciiTheme="minorEastAsia" w:hAnsiTheme="minorEastAsia" w:eastAsiaTheme="minorEastAsia"/>
                <w:kern w:val="0"/>
                <w:sz w:val="24"/>
                <w:lang w:val="en-US" w:eastAsia="zh-CN"/>
              </w:rPr>
              <w:t>不小于</w:t>
            </w:r>
            <w:r>
              <w:rPr>
                <w:rFonts w:cs="宋体" w:asciiTheme="minorEastAsia" w:hAnsiTheme="minorEastAsia" w:eastAsiaTheme="minorEastAsia"/>
                <w:kern w:val="0"/>
                <w:sz w:val="24"/>
              </w:rPr>
              <w:t>4</w:t>
            </w:r>
            <w:r>
              <w:rPr>
                <w:rFonts w:hint="eastAsia" w:cs="宋体" w:asciiTheme="minorEastAsia" w:hAnsiTheme="minorEastAsia" w:eastAsiaTheme="minorEastAsia"/>
                <w:kern w:val="0"/>
                <w:sz w:val="24"/>
              </w:rPr>
              <w:t>种</w:t>
            </w:r>
            <w:r>
              <w:rPr>
                <w:rFonts w:hint="eastAsia" w:cs="宋体" w:asciiTheme="minorEastAsia" w:hAnsiTheme="minorEastAsia" w:eastAsiaTheme="minorEastAsia"/>
                <w:kern w:val="0"/>
                <w:sz w:val="24"/>
                <w:lang w:eastAsia="zh-CN"/>
              </w:rPr>
              <w:t>（</w:t>
            </w:r>
            <w:r>
              <w:rPr>
                <w:rFonts w:hint="eastAsia" w:cs="宋体" w:asciiTheme="minorEastAsia" w:hAnsiTheme="minorEastAsia" w:eastAsiaTheme="minorEastAsia"/>
                <w:kern w:val="0"/>
                <w:sz w:val="24"/>
              </w:rPr>
              <w:t>自动感应；自动脚踏；单次脚踏；连续脚踏</w:t>
            </w:r>
            <w:r>
              <w:rPr>
                <w:rFonts w:hint="eastAsia" w:cs="宋体" w:asciiTheme="minorEastAsia" w:hAnsiTheme="minorEastAsia" w:eastAsiaTheme="minorEastAsia"/>
                <w:kern w:val="0"/>
                <w:sz w:val="24"/>
                <w:lang w:val="en-US" w:eastAsia="zh-CN"/>
              </w:rPr>
              <w:t>等</w:t>
            </w:r>
            <w:r>
              <w:rPr>
                <w:rFonts w:hint="eastAsia" w:cs="宋体" w:asciiTheme="minorEastAsia" w:hAnsiTheme="minorEastAsia" w:eastAsiaTheme="minorEastAsia"/>
                <w:kern w:val="0"/>
                <w:sz w:val="24"/>
                <w:lang w:eastAsia="zh-CN"/>
              </w:rPr>
              <w:t>）</w:t>
            </w:r>
          </w:p>
        </w:tc>
      </w:tr>
      <w:tr w14:paraId="0B945D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9" w:hRule="atLeast"/>
          <w:jc w:val="center"/>
        </w:trPr>
        <w:tc>
          <w:tcPr>
            <w:tcW w:w="1020" w:type="dxa"/>
            <w:vAlign w:val="center"/>
          </w:tcPr>
          <w:p w14:paraId="5F6A6C44">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cs="楷体_GB2312" w:asciiTheme="minorEastAsia" w:hAnsiTheme="minorEastAsia" w:eastAsiaTheme="minorEastAsia"/>
                <w:sz w:val="24"/>
              </w:rPr>
            </w:pPr>
            <w:r>
              <w:rPr>
                <w:rFonts w:hint="eastAsia" w:cs="楷体_GB2312" w:asciiTheme="minorEastAsia" w:hAnsiTheme="minorEastAsia" w:eastAsiaTheme="minorEastAsia"/>
                <w:sz w:val="24"/>
                <w:lang w:val="en-US" w:eastAsia="zh-CN"/>
              </w:rPr>
              <w:t>4</w:t>
            </w:r>
          </w:p>
        </w:tc>
        <w:tc>
          <w:tcPr>
            <w:tcW w:w="2261" w:type="dxa"/>
            <w:vAlign w:val="center"/>
          </w:tcPr>
          <w:p w14:paraId="3F1266F2">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楷体_GB2312" w:asciiTheme="minorEastAsia" w:hAnsiTheme="minorEastAsia" w:eastAsiaTheme="minorEastAsia"/>
                <w:sz w:val="24"/>
              </w:rPr>
            </w:pPr>
            <w:r>
              <w:rPr>
                <w:rFonts w:hint="eastAsia" w:cs="宋体" w:asciiTheme="minorEastAsia" w:hAnsiTheme="minorEastAsia" w:eastAsiaTheme="minorEastAsia"/>
                <w:kern w:val="0"/>
                <w:sz w:val="24"/>
              </w:rPr>
              <w:t>触摸屏</w:t>
            </w:r>
          </w:p>
        </w:tc>
        <w:tc>
          <w:tcPr>
            <w:tcW w:w="6957" w:type="dxa"/>
            <w:shd w:val="clear" w:color="auto" w:fill="auto"/>
            <w:vAlign w:val="center"/>
          </w:tcPr>
          <w:p w14:paraId="304C531F">
            <w:pPr>
              <w:keepNext w:val="0"/>
              <w:keepLines w:val="0"/>
              <w:pageBreakBefore w:val="0"/>
              <w:kinsoku/>
              <w:wordWrap/>
              <w:overflowPunct/>
              <w:topLinePunct w:val="0"/>
              <w:autoSpaceDE/>
              <w:autoSpaceDN/>
              <w:bidi w:val="0"/>
              <w:adjustRightInd/>
              <w:snapToGrid/>
              <w:ind w:right="0"/>
              <w:jc w:val="left"/>
              <w:textAlignment w:val="auto"/>
              <w:rPr>
                <w:rFonts w:asciiTheme="minorEastAsia" w:hAnsiTheme="minorEastAsia" w:eastAsiaTheme="minorEastAsia"/>
                <w:sz w:val="24"/>
              </w:rPr>
            </w:pPr>
            <w:r>
              <w:rPr>
                <w:rFonts w:hint="eastAsia" w:asciiTheme="minorEastAsia" w:hAnsiTheme="minorEastAsia" w:eastAsiaTheme="minorEastAsia"/>
                <w:sz w:val="24"/>
              </w:rPr>
              <w:t>≥10</w:t>
            </w:r>
            <w:r>
              <w:rPr>
                <w:rFonts w:asciiTheme="minorEastAsia" w:hAnsiTheme="minorEastAsia" w:eastAsiaTheme="minorEastAsia"/>
                <w:sz w:val="24"/>
              </w:rPr>
              <w:t>.1</w:t>
            </w:r>
            <w:r>
              <w:rPr>
                <w:rFonts w:hint="eastAsia" w:asciiTheme="minorEastAsia" w:hAnsiTheme="minorEastAsia" w:eastAsiaTheme="minorEastAsia"/>
                <w:sz w:val="24"/>
              </w:rPr>
              <w:t>寸电容触摸屏</w:t>
            </w:r>
          </w:p>
        </w:tc>
      </w:tr>
      <w:tr w14:paraId="1FFEEB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7" w:hRule="atLeast"/>
          <w:jc w:val="center"/>
        </w:trPr>
        <w:tc>
          <w:tcPr>
            <w:tcW w:w="1020" w:type="dxa"/>
            <w:vAlign w:val="center"/>
          </w:tcPr>
          <w:p w14:paraId="765D658B">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hint="eastAsia"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5</w:t>
            </w:r>
          </w:p>
        </w:tc>
        <w:tc>
          <w:tcPr>
            <w:tcW w:w="2261" w:type="dxa"/>
            <w:vAlign w:val="center"/>
          </w:tcPr>
          <w:p w14:paraId="10BB6B1E">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楷体_GB2312" w:asciiTheme="minorEastAsia" w:hAnsiTheme="minorEastAsia" w:eastAsiaTheme="minorEastAsia"/>
                <w:sz w:val="24"/>
              </w:rPr>
            </w:pPr>
            <w:r>
              <w:rPr>
                <w:rFonts w:hint="eastAsia" w:cs="宋体" w:asciiTheme="minorEastAsia" w:hAnsiTheme="minorEastAsia" w:eastAsiaTheme="minorEastAsia"/>
                <w:kern w:val="0"/>
                <w:sz w:val="24"/>
              </w:rPr>
              <w:t>负压等级</w:t>
            </w:r>
          </w:p>
        </w:tc>
        <w:tc>
          <w:tcPr>
            <w:tcW w:w="6957" w:type="dxa"/>
            <w:vAlign w:val="center"/>
          </w:tcPr>
          <w:p w14:paraId="05980742">
            <w:pPr>
              <w:keepNext w:val="0"/>
              <w:keepLines w:val="0"/>
              <w:pageBreakBefore w:val="0"/>
              <w:kinsoku/>
              <w:wordWrap/>
              <w:overflowPunct/>
              <w:topLinePunct w:val="0"/>
              <w:autoSpaceDE/>
              <w:autoSpaceDN/>
              <w:bidi w:val="0"/>
              <w:adjustRightInd/>
              <w:snapToGrid/>
              <w:spacing w:after="50" w:line="360" w:lineRule="auto"/>
              <w:ind w:right="0"/>
              <w:jc w:val="left"/>
              <w:textAlignment w:val="auto"/>
              <w:rPr>
                <w:rFonts w:cs="楷体_GB2312" w:asciiTheme="minorEastAsia" w:hAnsiTheme="minorEastAsia" w:eastAsiaTheme="minorEastAsia"/>
                <w:sz w:val="24"/>
              </w:rPr>
            </w:pPr>
            <w:r>
              <w:rPr>
                <w:rFonts w:hint="eastAsia" w:cs="宋体" w:asciiTheme="minorEastAsia" w:hAnsiTheme="minorEastAsia" w:eastAsiaTheme="minorEastAsia"/>
                <w:kern w:val="0"/>
                <w:sz w:val="24"/>
              </w:rPr>
              <w:t>0～</w:t>
            </w:r>
            <w:r>
              <w:rPr>
                <w:rFonts w:cs="宋体" w:asciiTheme="minorEastAsia" w:hAnsiTheme="minorEastAsia" w:eastAsiaTheme="minorEastAsia"/>
                <w:kern w:val="0"/>
                <w:sz w:val="24"/>
              </w:rPr>
              <w:t>9</w:t>
            </w:r>
            <w:r>
              <w:rPr>
                <w:rFonts w:hint="eastAsia" w:cs="宋体" w:asciiTheme="minorEastAsia" w:hAnsiTheme="minorEastAsia" w:eastAsiaTheme="minorEastAsia"/>
                <w:kern w:val="0"/>
                <w:sz w:val="24"/>
              </w:rPr>
              <w:t>级别（</w:t>
            </w:r>
            <w:r>
              <w:rPr>
                <w:rFonts w:hint="eastAsia" w:asciiTheme="minorEastAsia" w:hAnsiTheme="minorEastAsia" w:eastAsiaTheme="minorEastAsia"/>
                <w:sz w:val="24"/>
              </w:rPr>
              <w:t>0表示无压力，数字越大负压越大；误差</w:t>
            </w:r>
            <w:r>
              <w:rPr>
                <w:rFonts w:hint="eastAsia" w:cs="宋体" w:asciiTheme="minorEastAsia" w:hAnsiTheme="minorEastAsia" w:eastAsiaTheme="minorEastAsia"/>
                <w:color w:val="000000"/>
                <w:sz w:val="24"/>
              </w:rPr>
              <w:t>±20%范围内）</w:t>
            </w:r>
          </w:p>
        </w:tc>
      </w:tr>
      <w:tr w14:paraId="77A37D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7" w:hRule="atLeast"/>
          <w:jc w:val="center"/>
        </w:trPr>
        <w:tc>
          <w:tcPr>
            <w:tcW w:w="1020" w:type="dxa"/>
            <w:vAlign w:val="center"/>
          </w:tcPr>
          <w:p w14:paraId="0597C2FD">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hint="eastAsia"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6</w:t>
            </w:r>
          </w:p>
        </w:tc>
        <w:tc>
          <w:tcPr>
            <w:tcW w:w="2261" w:type="dxa"/>
            <w:vAlign w:val="center"/>
          </w:tcPr>
          <w:p w14:paraId="03D3D6A7">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楷体_GB2312" w:asciiTheme="minorEastAsia" w:hAnsiTheme="minorEastAsia" w:eastAsiaTheme="minorEastAsia"/>
                <w:sz w:val="24"/>
              </w:rPr>
            </w:pPr>
            <w:r>
              <w:rPr>
                <w:rFonts w:hint="eastAsia" w:cs="宋体" w:asciiTheme="minorEastAsia" w:hAnsiTheme="minorEastAsia" w:eastAsiaTheme="minorEastAsia"/>
                <w:kern w:val="0"/>
                <w:sz w:val="24"/>
              </w:rPr>
              <w:t>最高注射总次数</w:t>
            </w:r>
          </w:p>
        </w:tc>
        <w:tc>
          <w:tcPr>
            <w:tcW w:w="6957" w:type="dxa"/>
            <w:vAlign w:val="center"/>
          </w:tcPr>
          <w:p w14:paraId="237E1EB2">
            <w:pPr>
              <w:keepNext w:val="0"/>
              <w:keepLines w:val="0"/>
              <w:pageBreakBefore w:val="0"/>
              <w:kinsoku/>
              <w:wordWrap/>
              <w:overflowPunct/>
              <w:topLinePunct w:val="0"/>
              <w:autoSpaceDE/>
              <w:autoSpaceDN/>
              <w:bidi w:val="0"/>
              <w:adjustRightInd/>
              <w:snapToGrid/>
              <w:spacing w:line="360" w:lineRule="auto"/>
              <w:ind w:right="0"/>
              <w:jc w:val="left"/>
              <w:textAlignment w:val="auto"/>
              <w:rPr>
                <w:rFonts w:cs="楷体_GB2312" w:asciiTheme="minorEastAsia" w:hAnsiTheme="minorEastAsia" w:eastAsiaTheme="minorEastAsia"/>
                <w:sz w:val="24"/>
              </w:rPr>
            </w:pPr>
            <w:r>
              <w:rPr>
                <w:rFonts w:hint="eastAsia" w:cs="宋体" w:asciiTheme="minorEastAsia" w:hAnsiTheme="minorEastAsia" w:eastAsiaTheme="minorEastAsia"/>
                <w:kern w:val="0"/>
                <w:sz w:val="24"/>
              </w:rPr>
              <w:t>1</w:t>
            </w:r>
            <w:r>
              <w:rPr>
                <w:rFonts w:cs="宋体" w:asciiTheme="minorEastAsia" w:hAnsiTheme="minorEastAsia" w:eastAsiaTheme="minorEastAsia"/>
                <w:kern w:val="0"/>
                <w:sz w:val="24"/>
              </w:rPr>
              <w:t>20</w:t>
            </w:r>
            <w:r>
              <w:rPr>
                <w:rFonts w:hint="eastAsia" w:cs="宋体" w:asciiTheme="minorEastAsia" w:hAnsiTheme="minorEastAsia" w:eastAsiaTheme="minorEastAsia"/>
                <w:kern w:val="0"/>
                <w:sz w:val="24"/>
              </w:rPr>
              <w:t>次,</w:t>
            </w:r>
            <w:r>
              <w:rPr>
                <w:rFonts w:cs="宋体" w:asciiTheme="minorEastAsia" w:hAnsiTheme="minorEastAsia" w:eastAsiaTheme="minorEastAsia"/>
                <w:kern w:val="0"/>
                <w:sz w:val="24"/>
              </w:rPr>
              <w:t xml:space="preserve"> </w:t>
            </w:r>
            <w:r>
              <w:rPr>
                <w:rFonts w:hint="eastAsia" w:cs="宋体" w:asciiTheme="minorEastAsia" w:hAnsiTheme="minorEastAsia" w:eastAsiaTheme="minorEastAsia"/>
                <w:kern w:val="0"/>
                <w:sz w:val="24"/>
              </w:rPr>
              <w:t>实时显示已注射次数</w:t>
            </w:r>
          </w:p>
        </w:tc>
      </w:tr>
      <w:tr w14:paraId="3761DB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7" w:hRule="atLeast"/>
          <w:jc w:val="center"/>
        </w:trPr>
        <w:tc>
          <w:tcPr>
            <w:tcW w:w="1020" w:type="dxa"/>
            <w:vAlign w:val="center"/>
          </w:tcPr>
          <w:p w14:paraId="6D4F1E3E">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hint="eastAsia"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7</w:t>
            </w:r>
          </w:p>
        </w:tc>
        <w:tc>
          <w:tcPr>
            <w:tcW w:w="2261" w:type="dxa"/>
            <w:vAlign w:val="center"/>
          </w:tcPr>
          <w:p w14:paraId="53422F69">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最小单次注射量</w:t>
            </w:r>
          </w:p>
        </w:tc>
        <w:tc>
          <w:tcPr>
            <w:tcW w:w="6957" w:type="dxa"/>
            <w:vAlign w:val="center"/>
          </w:tcPr>
          <w:p w14:paraId="0990D904">
            <w:pPr>
              <w:keepNext w:val="0"/>
              <w:keepLines w:val="0"/>
              <w:pageBreakBefore w:val="0"/>
              <w:kinsoku/>
              <w:wordWrap/>
              <w:overflowPunct/>
              <w:topLinePunct w:val="0"/>
              <w:autoSpaceDE/>
              <w:autoSpaceDN/>
              <w:bidi w:val="0"/>
              <w:adjustRightInd/>
              <w:snapToGrid/>
              <w:spacing w:line="360" w:lineRule="auto"/>
              <w:ind w:right="0"/>
              <w:jc w:val="left"/>
              <w:textAlignment w:val="auto"/>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0</w:t>
            </w:r>
            <w:r>
              <w:rPr>
                <w:rFonts w:cs="宋体" w:asciiTheme="minorEastAsia" w:hAnsiTheme="minorEastAsia" w:eastAsiaTheme="minorEastAsia"/>
                <w:kern w:val="0"/>
                <w:sz w:val="24"/>
              </w:rPr>
              <w:t>.0067</w:t>
            </w:r>
            <w:r>
              <w:rPr>
                <w:rFonts w:hint="eastAsia" w:cs="宋体" w:asciiTheme="minorEastAsia" w:hAnsiTheme="minorEastAsia" w:eastAsiaTheme="minorEastAsia"/>
                <w:kern w:val="0"/>
                <w:sz w:val="24"/>
              </w:rPr>
              <w:t>ml</w:t>
            </w:r>
          </w:p>
        </w:tc>
      </w:tr>
      <w:tr w14:paraId="7CC6CA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7" w:hRule="atLeast"/>
          <w:jc w:val="center"/>
        </w:trPr>
        <w:tc>
          <w:tcPr>
            <w:tcW w:w="1020" w:type="dxa"/>
            <w:vAlign w:val="center"/>
          </w:tcPr>
          <w:p w14:paraId="1C884B9A">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cs="楷体_GB2312" w:asciiTheme="minorEastAsia" w:hAnsiTheme="minorEastAsia" w:eastAsiaTheme="minorEastAsia"/>
                <w:sz w:val="24"/>
              </w:rPr>
            </w:pPr>
            <w:r>
              <w:rPr>
                <w:rFonts w:hint="eastAsia" w:cs="楷体_GB2312" w:asciiTheme="minorEastAsia" w:hAnsiTheme="minorEastAsia" w:eastAsiaTheme="minorEastAsia"/>
                <w:sz w:val="24"/>
                <w:lang w:val="en-US" w:eastAsia="zh-CN"/>
              </w:rPr>
              <w:t>8</w:t>
            </w:r>
          </w:p>
        </w:tc>
        <w:tc>
          <w:tcPr>
            <w:tcW w:w="2261" w:type="dxa"/>
          </w:tcPr>
          <w:p w14:paraId="64069F03">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楷体_GB2312" w:asciiTheme="minorEastAsia" w:hAnsiTheme="minorEastAsia" w:eastAsiaTheme="minorEastAsia"/>
                <w:bCs/>
                <w:sz w:val="24"/>
              </w:rPr>
            </w:pPr>
            <w:r>
              <w:rPr>
                <w:rFonts w:hint="eastAsia" w:cs="宋体" w:asciiTheme="minorEastAsia" w:hAnsiTheme="minorEastAsia" w:eastAsiaTheme="minorEastAsia"/>
                <w:kern w:val="0"/>
                <w:sz w:val="24"/>
              </w:rPr>
              <w:t>注射准确性</w:t>
            </w:r>
          </w:p>
        </w:tc>
        <w:tc>
          <w:tcPr>
            <w:tcW w:w="6957" w:type="dxa"/>
          </w:tcPr>
          <w:p w14:paraId="1189C645">
            <w:pPr>
              <w:keepNext w:val="0"/>
              <w:keepLines w:val="0"/>
              <w:pageBreakBefore w:val="0"/>
              <w:kinsoku/>
              <w:wordWrap/>
              <w:overflowPunct/>
              <w:topLinePunct w:val="0"/>
              <w:autoSpaceDE/>
              <w:autoSpaceDN/>
              <w:bidi w:val="0"/>
              <w:adjustRightInd/>
              <w:snapToGrid/>
              <w:spacing w:line="360" w:lineRule="auto"/>
              <w:ind w:right="0"/>
              <w:jc w:val="left"/>
              <w:textAlignment w:val="auto"/>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w:t>
            </w:r>
            <w:r>
              <w:rPr>
                <w:rFonts w:cs="宋体" w:asciiTheme="minorEastAsia" w:hAnsiTheme="minorEastAsia" w:eastAsiaTheme="minorEastAsia"/>
                <w:kern w:val="0"/>
                <w:sz w:val="24"/>
              </w:rPr>
              <w:t>3</w:t>
            </w:r>
            <w:r>
              <w:rPr>
                <w:rFonts w:hint="eastAsia" w:cs="宋体" w:asciiTheme="minorEastAsia" w:hAnsiTheme="minorEastAsia" w:eastAsiaTheme="minorEastAsia"/>
                <w:kern w:val="0"/>
                <w:sz w:val="24"/>
              </w:rPr>
              <w:t>%范围内</w:t>
            </w:r>
          </w:p>
        </w:tc>
      </w:tr>
      <w:tr w14:paraId="55DEAB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7" w:hRule="atLeast"/>
          <w:jc w:val="center"/>
        </w:trPr>
        <w:tc>
          <w:tcPr>
            <w:tcW w:w="1020" w:type="dxa"/>
            <w:vAlign w:val="center"/>
          </w:tcPr>
          <w:p w14:paraId="3250052A">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cs="楷体_GB2312" w:asciiTheme="minorEastAsia" w:hAnsiTheme="minorEastAsia" w:eastAsiaTheme="minorEastAsia"/>
                <w:sz w:val="24"/>
              </w:rPr>
            </w:pPr>
            <w:r>
              <w:rPr>
                <w:rFonts w:hint="eastAsia" w:cs="楷体_GB2312" w:asciiTheme="minorEastAsia" w:hAnsiTheme="minorEastAsia" w:eastAsiaTheme="minorEastAsia"/>
                <w:sz w:val="24"/>
                <w:lang w:val="en-US" w:eastAsia="zh-CN"/>
              </w:rPr>
              <w:t>9</w:t>
            </w:r>
          </w:p>
        </w:tc>
        <w:tc>
          <w:tcPr>
            <w:tcW w:w="2261" w:type="dxa"/>
          </w:tcPr>
          <w:p w14:paraId="273986C2">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楷体_GB2312" w:asciiTheme="minorEastAsia" w:hAnsiTheme="minorEastAsia" w:eastAsiaTheme="minorEastAsia"/>
                <w:bCs/>
                <w:sz w:val="24"/>
              </w:rPr>
            </w:pPr>
            <w:r>
              <w:rPr>
                <w:rFonts w:hint="eastAsia" w:cs="宋体" w:asciiTheme="minorEastAsia" w:hAnsiTheme="minorEastAsia" w:eastAsiaTheme="minorEastAsia"/>
                <w:kern w:val="0"/>
                <w:sz w:val="24"/>
              </w:rPr>
              <w:t>注射速度</w:t>
            </w:r>
          </w:p>
        </w:tc>
        <w:tc>
          <w:tcPr>
            <w:tcW w:w="6957" w:type="dxa"/>
          </w:tcPr>
          <w:p w14:paraId="534F9463">
            <w:pPr>
              <w:keepNext w:val="0"/>
              <w:keepLines w:val="0"/>
              <w:pageBreakBefore w:val="0"/>
              <w:kinsoku/>
              <w:wordWrap/>
              <w:overflowPunct/>
              <w:topLinePunct w:val="0"/>
              <w:autoSpaceDE/>
              <w:autoSpaceDN/>
              <w:bidi w:val="0"/>
              <w:adjustRightInd/>
              <w:snapToGrid/>
              <w:spacing w:line="360" w:lineRule="auto"/>
              <w:ind w:right="0"/>
              <w:jc w:val="left"/>
              <w:textAlignment w:val="auto"/>
              <w:rPr>
                <w:rFonts w:cs="楷体_GB2312" w:asciiTheme="minorEastAsia" w:hAnsiTheme="minorEastAsia" w:eastAsiaTheme="minorEastAsia"/>
                <w:bCs/>
                <w:sz w:val="24"/>
              </w:rPr>
            </w:pPr>
            <w:r>
              <w:rPr>
                <w:rFonts w:hint="eastAsia" w:asciiTheme="minorEastAsia" w:hAnsiTheme="minorEastAsia" w:eastAsiaTheme="minorEastAsia"/>
                <w:sz w:val="24"/>
              </w:rPr>
              <w:t>慢速、中速、快速</w:t>
            </w:r>
            <w:r>
              <w:rPr>
                <w:rFonts w:hint="eastAsia" w:asciiTheme="minorEastAsia" w:hAnsiTheme="minorEastAsia" w:eastAsiaTheme="minorEastAsia"/>
                <w:sz w:val="24"/>
                <w:lang w:eastAsia="zh-CN"/>
              </w:rPr>
              <w:t>；</w:t>
            </w:r>
            <w:r>
              <w:rPr>
                <w:rFonts w:cs="宋体" w:asciiTheme="minorEastAsia" w:hAnsiTheme="minorEastAsia" w:eastAsiaTheme="minorEastAsia"/>
                <w:kern w:val="0"/>
                <w:sz w:val="24"/>
              </w:rPr>
              <w:t>最快</w:t>
            </w:r>
            <w:r>
              <w:rPr>
                <w:rFonts w:hint="eastAsia" w:cs="宋体" w:asciiTheme="minorEastAsia" w:hAnsiTheme="minorEastAsia" w:eastAsiaTheme="minorEastAsia"/>
                <w:kern w:val="0"/>
                <w:sz w:val="24"/>
              </w:rPr>
              <w:t>推进</w:t>
            </w:r>
            <w:r>
              <w:rPr>
                <w:rFonts w:cs="宋体" w:asciiTheme="minorEastAsia" w:hAnsiTheme="minorEastAsia" w:eastAsiaTheme="minorEastAsia"/>
                <w:kern w:val="0"/>
                <w:sz w:val="24"/>
              </w:rPr>
              <w:t>速度</w:t>
            </w:r>
            <w:r>
              <w:rPr>
                <w:rFonts w:hint="eastAsia" w:cs="宋体" w:asciiTheme="minorEastAsia" w:hAnsiTheme="minorEastAsia" w:eastAsiaTheme="minorEastAsia"/>
                <w:kern w:val="0"/>
                <w:sz w:val="24"/>
                <w:lang w:eastAsia="zh-CN"/>
              </w:rPr>
              <w:t>：</w:t>
            </w:r>
            <w:r>
              <w:rPr>
                <w:rFonts w:cs="宋体" w:asciiTheme="minorEastAsia" w:hAnsiTheme="minorEastAsia" w:eastAsiaTheme="minorEastAsia"/>
                <w:kern w:val="0"/>
                <w:sz w:val="24"/>
              </w:rPr>
              <w:t>3.5mm/s</w:t>
            </w:r>
            <w:r>
              <w:rPr>
                <w:rFonts w:cs="楷体_GB2312" w:asciiTheme="minorEastAsia" w:hAnsiTheme="minorEastAsia" w:eastAsiaTheme="minorEastAsia"/>
                <w:bCs/>
                <w:sz w:val="24"/>
              </w:rPr>
              <w:t xml:space="preserve"> </w:t>
            </w:r>
            <w:r>
              <w:rPr>
                <w:rFonts w:hint="eastAsia" w:cs="楷体_GB2312" w:asciiTheme="minorEastAsia" w:hAnsiTheme="minorEastAsia" w:eastAsiaTheme="minorEastAsia"/>
                <w:bCs/>
                <w:sz w:val="24"/>
              </w:rPr>
              <w:t>（</w:t>
            </w:r>
            <w:r>
              <w:rPr>
                <w:rFonts w:hint="eastAsia" w:cs="宋体" w:asciiTheme="minorEastAsia" w:hAnsiTheme="minorEastAsia" w:eastAsiaTheme="minorEastAsia"/>
                <w:kern w:val="0"/>
                <w:sz w:val="24"/>
              </w:rPr>
              <w:t>±</w:t>
            </w:r>
            <w:r>
              <w:rPr>
                <w:rFonts w:cs="宋体" w:asciiTheme="minorEastAsia" w:hAnsiTheme="minorEastAsia" w:eastAsiaTheme="minorEastAsia"/>
                <w:kern w:val="0"/>
                <w:sz w:val="24"/>
              </w:rPr>
              <w:t>10</w:t>
            </w:r>
            <w:r>
              <w:rPr>
                <w:rFonts w:hint="eastAsia" w:cs="宋体" w:asciiTheme="minorEastAsia" w:hAnsiTheme="minorEastAsia" w:eastAsiaTheme="minorEastAsia"/>
                <w:kern w:val="0"/>
                <w:sz w:val="24"/>
              </w:rPr>
              <w:t>%</w:t>
            </w:r>
            <w:r>
              <w:rPr>
                <w:rFonts w:hint="eastAsia" w:cs="楷体_GB2312" w:asciiTheme="minorEastAsia" w:hAnsiTheme="minorEastAsia" w:eastAsiaTheme="minorEastAsia"/>
                <w:bCs/>
                <w:sz w:val="24"/>
              </w:rPr>
              <w:t>）</w:t>
            </w:r>
          </w:p>
        </w:tc>
      </w:tr>
      <w:tr w14:paraId="168DDF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7" w:hRule="atLeast"/>
          <w:jc w:val="center"/>
        </w:trPr>
        <w:tc>
          <w:tcPr>
            <w:tcW w:w="1020" w:type="dxa"/>
            <w:vAlign w:val="center"/>
          </w:tcPr>
          <w:p w14:paraId="0569EAA3">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hint="default"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10</w:t>
            </w:r>
          </w:p>
        </w:tc>
        <w:tc>
          <w:tcPr>
            <w:tcW w:w="2261" w:type="dxa"/>
            <w:vAlign w:val="center"/>
          </w:tcPr>
          <w:p w14:paraId="458A26DB">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楷体_GB2312" w:asciiTheme="minorEastAsia" w:hAnsiTheme="minorEastAsia" w:eastAsiaTheme="minorEastAsia"/>
                <w:sz w:val="24"/>
              </w:rPr>
            </w:pPr>
            <w:r>
              <w:rPr>
                <w:rFonts w:cs="宋体" w:asciiTheme="minorEastAsia" w:hAnsiTheme="minorEastAsia" w:eastAsiaTheme="minorEastAsia"/>
                <w:kern w:val="0"/>
                <w:sz w:val="24"/>
              </w:rPr>
              <w:t>操作界面语言</w:t>
            </w:r>
          </w:p>
        </w:tc>
        <w:tc>
          <w:tcPr>
            <w:tcW w:w="6957" w:type="dxa"/>
            <w:vAlign w:val="center"/>
          </w:tcPr>
          <w:p w14:paraId="20B0AC15">
            <w:pPr>
              <w:keepNext w:val="0"/>
              <w:keepLines w:val="0"/>
              <w:pageBreakBefore w:val="0"/>
              <w:kinsoku/>
              <w:wordWrap/>
              <w:overflowPunct/>
              <w:topLinePunct w:val="0"/>
              <w:autoSpaceDE/>
              <w:autoSpaceDN/>
              <w:bidi w:val="0"/>
              <w:adjustRightInd/>
              <w:snapToGrid/>
              <w:spacing w:line="360" w:lineRule="auto"/>
              <w:ind w:right="0"/>
              <w:jc w:val="left"/>
              <w:textAlignment w:val="auto"/>
              <w:rPr>
                <w:rFonts w:cs="楷体_GB2312" w:asciiTheme="minorEastAsia" w:hAnsiTheme="minorEastAsia" w:eastAsiaTheme="minorEastAsia"/>
                <w:sz w:val="24"/>
              </w:rPr>
            </w:pPr>
            <w:r>
              <w:rPr>
                <w:rFonts w:cs="宋体" w:asciiTheme="minorEastAsia" w:hAnsiTheme="minorEastAsia" w:eastAsiaTheme="minorEastAsia"/>
                <w:kern w:val="0"/>
                <w:sz w:val="24"/>
              </w:rPr>
              <w:t>两种（中文</w:t>
            </w:r>
            <w:r>
              <w:rPr>
                <w:rFonts w:hint="eastAsia" w:cs="宋体" w:asciiTheme="minorEastAsia" w:hAnsiTheme="minorEastAsia" w:eastAsiaTheme="minorEastAsia"/>
                <w:kern w:val="0"/>
                <w:sz w:val="24"/>
                <w:lang w:eastAsia="zh-CN"/>
              </w:rPr>
              <w:t>、</w:t>
            </w:r>
            <w:r>
              <w:rPr>
                <w:rFonts w:cs="宋体" w:asciiTheme="minorEastAsia" w:hAnsiTheme="minorEastAsia" w:eastAsiaTheme="minorEastAsia"/>
                <w:kern w:val="0"/>
                <w:sz w:val="24"/>
              </w:rPr>
              <w:t>英文）</w:t>
            </w:r>
          </w:p>
        </w:tc>
      </w:tr>
      <w:tr w14:paraId="07D3B2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2" w:hRule="atLeast"/>
          <w:jc w:val="center"/>
        </w:trPr>
        <w:tc>
          <w:tcPr>
            <w:tcW w:w="1020" w:type="dxa"/>
            <w:vAlign w:val="center"/>
          </w:tcPr>
          <w:p w14:paraId="6344557D">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hint="default"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11</w:t>
            </w:r>
          </w:p>
        </w:tc>
        <w:tc>
          <w:tcPr>
            <w:tcW w:w="2261" w:type="dxa"/>
            <w:vAlign w:val="center"/>
          </w:tcPr>
          <w:p w14:paraId="003C83E7">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楷体_GB2312" w:asciiTheme="minorEastAsia" w:hAnsiTheme="minorEastAsia" w:eastAsiaTheme="minorEastAsia"/>
                <w:sz w:val="24"/>
              </w:rPr>
            </w:pPr>
            <w:r>
              <w:rPr>
                <w:rFonts w:cs="宋体" w:asciiTheme="minorEastAsia" w:hAnsiTheme="minorEastAsia" w:eastAsiaTheme="minorEastAsia"/>
                <w:kern w:val="0"/>
                <w:sz w:val="24"/>
              </w:rPr>
              <w:t>预存配置</w:t>
            </w:r>
          </w:p>
        </w:tc>
        <w:tc>
          <w:tcPr>
            <w:tcW w:w="6957" w:type="dxa"/>
            <w:vAlign w:val="center"/>
          </w:tcPr>
          <w:p w14:paraId="5B418138">
            <w:pPr>
              <w:keepNext w:val="0"/>
              <w:keepLines w:val="0"/>
              <w:pageBreakBefore w:val="0"/>
              <w:kinsoku/>
              <w:wordWrap/>
              <w:overflowPunct/>
              <w:topLinePunct w:val="0"/>
              <w:autoSpaceDE/>
              <w:autoSpaceDN/>
              <w:bidi w:val="0"/>
              <w:adjustRightInd/>
              <w:snapToGrid/>
              <w:spacing w:line="360" w:lineRule="auto"/>
              <w:ind w:right="0"/>
              <w:jc w:val="left"/>
              <w:textAlignment w:val="auto"/>
              <w:rPr>
                <w:rFonts w:cs="楷体_GB2312" w:asciiTheme="minorEastAsia" w:hAnsiTheme="minorEastAsia" w:eastAsiaTheme="minorEastAsia"/>
                <w:sz w:val="24"/>
              </w:rPr>
            </w:pPr>
            <w:r>
              <w:rPr>
                <w:rFonts w:hint="eastAsia" w:cs="宋体" w:asciiTheme="minorEastAsia" w:hAnsiTheme="minorEastAsia" w:eastAsiaTheme="minorEastAsia"/>
                <w:kern w:val="0"/>
                <w:sz w:val="24"/>
                <w:lang w:val="en-US" w:eastAsia="zh-CN"/>
              </w:rPr>
              <w:t>不小于</w:t>
            </w:r>
            <w:r>
              <w:rPr>
                <w:rFonts w:cs="宋体" w:asciiTheme="minorEastAsia" w:hAnsiTheme="minorEastAsia" w:eastAsiaTheme="minorEastAsia"/>
                <w:kern w:val="0"/>
                <w:sz w:val="24"/>
              </w:rPr>
              <w:t>5个</w:t>
            </w:r>
          </w:p>
        </w:tc>
      </w:tr>
      <w:tr w14:paraId="32B70E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9" w:hRule="atLeast"/>
          <w:jc w:val="center"/>
        </w:trPr>
        <w:tc>
          <w:tcPr>
            <w:tcW w:w="1020" w:type="dxa"/>
            <w:vAlign w:val="center"/>
          </w:tcPr>
          <w:p w14:paraId="1679FD0A">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hint="default"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12</w:t>
            </w:r>
          </w:p>
        </w:tc>
        <w:tc>
          <w:tcPr>
            <w:tcW w:w="2261" w:type="dxa"/>
            <w:vAlign w:val="center"/>
          </w:tcPr>
          <w:p w14:paraId="7BEB0A0D">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可选注射器种类</w:t>
            </w:r>
          </w:p>
        </w:tc>
        <w:tc>
          <w:tcPr>
            <w:tcW w:w="6957" w:type="dxa"/>
            <w:vAlign w:val="center"/>
          </w:tcPr>
          <w:p w14:paraId="10A190EF">
            <w:pPr>
              <w:keepNext w:val="0"/>
              <w:keepLines w:val="0"/>
              <w:pageBreakBefore w:val="0"/>
              <w:kinsoku/>
              <w:wordWrap/>
              <w:overflowPunct/>
              <w:topLinePunct w:val="0"/>
              <w:autoSpaceDE/>
              <w:autoSpaceDN/>
              <w:bidi w:val="0"/>
              <w:adjustRightInd/>
              <w:snapToGrid/>
              <w:spacing w:line="360" w:lineRule="auto"/>
              <w:ind w:right="0"/>
              <w:jc w:val="left"/>
              <w:textAlignment w:val="auto"/>
              <w:rPr>
                <w:rFonts w:cs="宋体" w:asciiTheme="minorEastAsia" w:hAnsiTheme="minorEastAsia" w:eastAsiaTheme="minorEastAsia"/>
                <w:kern w:val="0"/>
                <w:sz w:val="24"/>
              </w:rPr>
            </w:pPr>
            <w:r>
              <w:rPr>
                <w:rFonts w:cs="宋体" w:asciiTheme="minorEastAsia" w:hAnsiTheme="minorEastAsia" w:eastAsiaTheme="minorEastAsia"/>
                <w:kern w:val="0"/>
                <w:sz w:val="24"/>
              </w:rPr>
              <w:t>可选</w:t>
            </w:r>
            <w:r>
              <w:rPr>
                <w:rFonts w:hint="eastAsia" w:cs="宋体" w:asciiTheme="minorEastAsia" w:hAnsiTheme="minorEastAsia" w:eastAsiaTheme="minorEastAsia"/>
                <w:kern w:val="0"/>
                <w:sz w:val="24"/>
              </w:rPr>
              <w:t>指定的</w:t>
            </w:r>
            <w:r>
              <w:rPr>
                <w:rFonts w:cs="宋体" w:asciiTheme="minorEastAsia" w:hAnsiTheme="minorEastAsia" w:eastAsiaTheme="minorEastAsia"/>
                <w:kern w:val="0"/>
                <w:sz w:val="24"/>
              </w:rPr>
              <w:t>1ml、2.5ml、3ml、5ml注射器</w:t>
            </w:r>
          </w:p>
        </w:tc>
      </w:tr>
      <w:tr w14:paraId="264C21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7" w:hRule="atLeast"/>
          <w:jc w:val="center"/>
        </w:trPr>
        <w:tc>
          <w:tcPr>
            <w:tcW w:w="1020" w:type="dxa"/>
            <w:vAlign w:val="center"/>
          </w:tcPr>
          <w:p w14:paraId="6F182450">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hint="default"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13</w:t>
            </w:r>
          </w:p>
        </w:tc>
        <w:tc>
          <w:tcPr>
            <w:tcW w:w="2261" w:type="dxa"/>
            <w:vAlign w:val="center"/>
          </w:tcPr>
          <w:p w14:paraId="6684730F">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楷体_GB2312" w:asciiTheme="minorEastAsia" w:hAnsiTheme="minorEastAsia" w:eastAsiaTheme="minorEastAsia"/>
                <w:sz w:val="24"/>
              </w:rPr>
            </w:pPr>
            <w:r>
              <w:rPr>
                <w:rFonts w:cs="宋体" w:asciiTheme="minorEastAsia" w:hAnsiTheme="minorEastAsia" w:eastAsiaTheme="minorEastAsia"/>
                <w:kern w:val="0"/>
                <w:sz w:val="24"/>
              </w:rPr>
              <w:t>电源额定输入功率</w:t>
            </w:r>
          </w:p>
        </w:tc>
        <w:tc>
          <w:tcPr>
            <w:tcW w:w="6957" w:type="dxa"/>
            <w:shd w:val="clear" w:color="auto" w:fill="auto"/>
            <w:vAlign w:val="center"/>
          </w:tcPr>
          <w:p w14:paraId="5D767B6C">
            <w:pPr>
              <w:keepNext w:val="0"/>
              <w:keepLines w:val="0"/>
              <w:pageBreakBefore w:val="0"/>
              <w:kinsoku/>
              <w:wordWrap/>
              <w:overflowPunct/>
              <w:topLinePunct w:val="0"/>
              <w:autoSpaceDE/>
              <w:autoSpaceDN/>
              <w:bidi w:val="0"/>
              <w:adjustRightInd/>
              <w:snapToGrid/>
              <w:spacing w:line="360" w:lineRule="auto"/>
              <w:ind w:right="0"/>
              <w:jc w:val="left"/>
              <w:textAlignment w:val="auto"/>
              <w:rPr>
                <w:rFonts w:cs="宋体" w:asciiTheme="minorEastAsia" w:hAnsiTheme="minorEastAsia" w:eastAsiaTheme="minorEastAsia"/>
                <w:kern w:val="0"/>
                <w:sz w:val="24"/>
              </w:rPr>
            </w:pPr>
            <w:r>
              <w:rPr>
                <w:rFonts w:cs="宋体" w:asciiTheme="minorEastAsia" w:hAnsiTheme="minorEastAsia" w:eastAsiaTheme="minorEastAsia"/>
                <w:kern w:val="0"/>
                <w:sz w:val="24"/>
              </w:rPr>
              <w:t>电源额定输入功率：</w:t>
            </w:r>
            <w:r>
              <w:rPr>
                <w:rFonts w:hint="eastAsia" w:cs="宋体" w:asciiTheme="minorEastAsia" w:hAnsiTheme="minorEastAsia" w:eastAsiaTheme="minorEastAsia"/>
                <w:kern w:val="0"/>
                <w:sz w:val="24"/>
              </w:rPr>
              <w:t>≤</w:t>
            </w:r>
            <w:r>
              <w:rPr>
                <w:rFonts w:cs="宋体" w:asciiTheme="minorEastAsia" w:hAnsiTheme="minorEastAsia" w:eastAsiaTheme="minorEastAsia"/>
                <w:kern w:val="0"/>
                <w:sz w:val="24"/>
              </w:rPr>
              <w:t>75VA</w:t>
            </w:r>
          </w:p>
        </w:tc>
      </w:tr>
      <w:tr w14:paraId="3E6B8FD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7" w:hRule="atLeast"/>
          <w:jc w:val="center"/>
        </w:trPr>
        <w:tc>
          <w:tcPr>
            <w:tcW w:w="1020" w:type="dxa"/>
            <w:vAlign w:val="center"/>
          </w:tcPr>
          <w:p w14:paraId="7A612BBB">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cs="楷体_GB2312" w:asciiTheme="minorEastAsia" w:hAnsiTheme="minorEastAsia" w:eastAsiaTheme="minorEastAsia"/>
                <w:sz w:val="24"/>
              </w:rPr>
            </w:pPr>
            <w:r>
              <w:rPr>
                <w:rFonts w:hint="eastAsia" w:cs="楷体_GB2312" w:asciiTheme="minorEastAsia" w:hAnsiTheme="minorEastAsia" w:eastAsiaTheme="minorEastAsia"/>
                <w:sz w:val="24"/>
                <w:lang w:val="en-US" w:eastAsia="zh-CN"/>
              </w:rPr>
              <w:t>14</w:t>
            </w:r>
          </w:p>
        </w:tc>
        <w:tc>
          <w:tcPr>
            <w:tcW w:w="2261" w:type="dxa"/>
            <w:vAlign w:val="center"/>
          </w:tcPr>
          <w:p w14:paraId="0D40F4E6">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楷体_GB2312" w:asciiTheme="minorEastAsia" w:hAnsiTheme="minorEastAsia" w:eastAsiaTheme="minorEastAsia"/>
                <w:sz w:val="24"/>
              </w:rPr>
            </w:pPr>
            <w:r>
              <w:rPr>
                <w:rFonts w:hint="eastAsia" w:cs="楷体_GB2312" w:asciiTheme="minorEastAsia" w:hAnsiTheme="minorEastAsia" w:eastAsiaTheme="minorEastAsia"/>
                <w:sz w:val="24"/>
              </w:rPr>
              <w:t>操作手柄</w:t>
            </w:r>
          </w:p>
        </w:tc>
        <w:tc>
          <w:tcPr>
            <w:tcW w:w="6957" w:type="dxa"/>
            <w:vAlign w:val="center"/>
          </w:tcPr>
          <w:p w14:paraId="4C119EE6">
            <w:pPr>
              <w:keepNext w:val="0"/>
              <w:keepLines w:val="0"/>
              <w:pageBreakBefore w:val="0"/>
              <w:kinsoku/>
              <w:wordWrap/>
              <w:overflowPunct/>
              <w:topLinePunct w:val="0"/>
              <w:autoSpaceDE/>
              <w:autoSpaceDN/>
              <w:bidi w:val="0"/>
              <w:adjustRightInd/>
              <w:snapToGrid/>
              <w:spacing w:line="360" w:lineRule="auto"/>
              <w:ind w:right="0"/>
              <w:jc w:val="left"/>
              <w:textAlignment w:val="auto"/>
              <w:rPr>
                <w:rFonts w:cs="楷体_GB2312" w:asciiTheme="minorEastAsia" w:hAnsiTheme="minorEastAsia" w:eastAsiaTheme="minorEastAsia"/>
                <w:sz w:val="24"/>
              </w:rPr>
            </w:pPr>
            <w:r>
              <w:rPr>
                <w:rFonts w:cs="宋体" w:asciiTheme="minorEastAsia" w:hAnsiTheme="minorEastAsia" w:eastAsiaTheme="minorEastAsia"/>
                <w:kern w:val="0"/>
                <w:sz w:val="24"/>
              </w:rPr>
              <w:t>手柄托盘自动磁吸功能，防止手柄摔落</w:t>
            </w:r>
          </w:p>
        </w:tc>
      </w:tr>
      <w:tr w14:paraId="03F8411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7" w:hRule="atLeast"/>
          <w:jc w:val="center"/>
        </w:trPr>
        <w:tc>
          <w:tcPr>
            <w:tcW w:w="1020" w:type="dxa"/>
            <w:vAlign w:val="center"/>
          </w:tcPr>
          <w:p w14:paraId="3BA14BFB">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hint="default"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15</w:t>
            </w:r>
          </w:p>
        </w:tc>
        <w:tc>
          <w:tcPr>
            <w:tcW w:w="2261" w:type="dxa"/>
            <w:vAlign w:val="center"/>
          </w:tcPr>
          <w:p w14:paraId="1A75F05B">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楷体_GB2312" w:asciiTheme="minorEastAsia" w:hAnsiTheme="minorEastAsia" w:eastAsiaTheme="minorEastAsia"/>
                <w:sz w:val="24"/>
              </w:rPr>
            </w:pPr>
            <w:r>
              <w:rPr>
                <w:rFonts w:hint="eastAsia" w:cs="宋体" w:asciiTheme="minorEastAsia" w:hAnsiTheme="minorEastAsia" w:eastAsiaTheme="minorEastAsia"/>
                <w:kern w:val="0"/>
                <w:sz w:val="24"/>
              </w:rPr>
              <w:t>环境温度</w:t>
            </w:r>
          </w:p>
        </w:tc>
        <w:tc>
          <w:tcPr>
            <w:tcW w:w="6957" w:type="dxa"/>
            <w:vAlign w:val="center"/>
          </w:tcPr>
          <w:p w14:paraId="264EA8B8">
            <w:pPr>
              <w:keepNext w:val="0"/>
              <w:keepLines w:val="0"/>
              <w:pageBreakBefore w:val="0"/>
              <w:kinsoku/>
              <w:wordWrap/>
              <w:overflowPunct/>
              <w:topLinePunct w:val="0"/>
              <w:autoSpaceDE/>
              <w:autoSpaceDN/>
              <w:bidi w:val="0"/>
              <w:adjustRightInd/>
              <w:snapToGrid/>
              <w:spacing w:line="360" w:lineRule="auto"/>
              <w:ind w:right="0"/>
              <w:jc w:val="left"/>
              <w:textAlignment w:val="auto"/>
              <w:rPr>
                <w:rFonts w:cs="宋体" w:asciiTheme="minorEastAsia" w:hAnsiTheme="minorEastAsia" w:eastAsiaTheme="minorEastAsia"/>
                <w:kern w:val="0"/>
                <w:sz w:val="24"/>
              </w:rPr>
            </w:pPr>
            <w:bookmarkStart w:id="0" w:name="OLE_LINK5"/>
            <w:r>
              <w:rPr>
                <w:rFonts w:hint="eastAsia" w:cs="宋体" w:asciiTheme="minorEastAsia" w:hAnsiTheme="minorEastAsia" w:eastAsiaTheme="minorEastAsia"/>
                <w:kern w:val="0"/>
                <w:sz w:val="24"/>
              </w:rPr>
              <w:t>5℃～4</w:t>
            </w:r>
            <w:r>
              <w:rPr>
                <w:rFonts w:cs="宋体" w:asciiTheme="minorEastAsia" w:hAnsiTheme="minorEastAsia" w:eastAsiaTheme="minorEastAsia"/>
                <w:kern w:val="0"/>
                <w:sz w:val="24"/>
              </w:rPr>
              <w:t>0</w:t>
            </w:r>
            <w:r>
              <w:rPr>
                <w:rFonts w:hint="eastAsia" w:cs="宋体" w:asciiTheme="minorEastAsia" w:hAnsiTheme="minorEastAsia" w:eastAsiaTheme="minorEastAsia"/>
                <w:kern w:val="0"/>
                <w:sz w:val="24"/>
              </w:rPr>
              <w:t>℃</w:t>
            </w:r>
            <w:bookmarkEnd w:id="0"/>
          </w:p>
        </w:tc>
      </w:tr>
      <w:tr w14:paraId="59280C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2" w:hRule="atLeast"/>
          <w:jc w:val="center"/>
        </w:trPr>
        <w:tc>
          <w:tcPr>
            <w:tcW w:w="1020" w:type="dxa"/>
            <w:vAlign w:val="center"/>
          </w:tcPr>
          <w:p w14:paraId="76FDECA1">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hint="default"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16</w:t>
            </w:r>
          </w:p>
        </w:tc>
        <w:tc>
          <w:tcPr>
            <w:tcW w:w="2261" w:type="dxa"/>
            <w:vAlign w:val="center"/>
          </w:tcPr>
          <w:p w14:paraId="77322B34">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楷体_GB2312" w:asciiTheme="minorEastAsia" w:hAnsiTheme="minorEastAsia" w:eastAsiaTheme="minorEastAsia"/>
                <w:b/>
                <w:bCs/>
                <w:sz w:val="24"/>
              </w:rPr>
            </w:pPr>
            <w:r>
              <w:rPr>
                <w:rFonts w:hint="eastAsia" w:cs="宋体" w:asciiTheme="minorEastAsia" w:hAnsiTheme="minorEastAsia" w:eastAsiaTheme="minorEastAsia"/>
                <w:kern w:val="0"/>
                <w:sz w:val="24"/>
              </w:rPr>
              <w:t>相对湿度</w:t>
            </w:r>
          </w:p>
        </w:tc>
        <w:tc>
          <w:tcPr>
            <w:tcW w:w="6957" w:type="dxa"/>
          </w:tcPr>
          <w:p w14:paraId="22DDB20F">
            <w:pPr>
              <w:keepNext w:val="0"/>
              <w:keepLines w:val="0"/>
              <w:pageBreakBefore w:val="0"/>
              <w:kinsoku/>
              <w:wordWrap/>
              <w:overflowPunct/>
              <w:topLinePunct w:val="0"/>
              <w:autoSpaceDE/>
              <w:autoSpaceDN/>
              <w:bidi w:val="0"/>
              <w:adjustRightInd/>
              <w:snapToGrid/>
              <w:spacing w:line="360" w:lineRule="auto"/>
              <w:ind w:right="0"/>
              <w:jc w:val="left"/>
              <w:textAlignment w:val="auto"/>
              <w:rPr>
                <w:rFonts w:hint="default" w:cs="楷体_GB2312" w:asciiTheme="minorEastAsia" w:hAnsiTheme="minorEastAsia" w:eastAsiaTheme="minorEastAsia"/>
                <w:b/>
                <w:bCs/>
                <w:sz w:val="24"/>
                <w:lang w:val="en-US" w:eastAsia="zh-CN"/>
              </w:rPr>
            </w:pPr>
            <w:r>
              <w:rPr>
                <w:rFonts w:hint="eastAsia" w:cs="宋体" w:asciiTheme="minorEastAsia" w:hAnsiTheme="minorEastAsia" w:eastAsiaTheme="minorEastAsia"/>
                <w:kern w:val="0"/>
                <w:sz w:val="24"/>
              </w:rPr>
              <w:t>80%</w:t>
            </w:r>
            <w:r>
              <w:rPr>
                <w:rFonts w:cs="宋体" w:asciiTheme="minorEastAsia" w:hAnsiTheme="minorEastAsia" w:eastAsiaTheme="minorEastAsia"/>
                <w:kern w:val="0"/>
                <w:sz w:val="24"/>
              </w:rPr>
              <w:t>(</w:t>
            </w:r>
            <w:r>
              <w:rPr>
                <w:rFonts w:hint="eastAsia" w:cs="宋体" w:asciiTheme="minorEastAsia" w:hAnsiTheme="minorEastAsia" w:eastAsiaTheme="minorEastAsia"/>
                <w:kern w:val="0"/>
                <w:sz w:val="24"/>
              </w:rPr>
              <w:t>无冷凝)±</w:t>
            </w:r>
            <w:r>
              <w:rPr>
                <w:rFonts w:hint="eastAsia" w:cs="宋体" w:asciiTheme="minorEastAsia" w:hAnsiTheme="minorEastAsia" w:eastAsiaTheme="minorEastAsia"/>
                <w:kern w:val="0"/>
                <w:sz w:val="24"/>
                <w:lang w:val="en-US" w:eastAsia="zh-CN"/>
              </w:rPr>
              <w:t>1%</w:t>
            </w:r>
          </w:p>
        </w:tc>
      </w:tr>
      <w:tr w14:paraId="2156A9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2" w:hRule="atLeast"/>
          <w:jc w:val="center"/>
        </w:trPr>
        <w:tc>
          <w:tcPr>
            <w:tcW w:w="1020" w:type="dxa"/>
            <w:vAlign w:val="center"/>
          </w:tcPr>
          <w:p w14:paraId="473975B3">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hint="default"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17</w:t>
            </w:r>
          </w:p>
        </w:tc>
        <w:tc>
          <w:tcPr>
            <w:tcW w:w="2261" w:type="dxa"/>
            <w:vAlign w:val="center"/>
          </w:tcPr>
          <w:p w14:paraId="38822FF8">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楷体_GB2312" w:asciiTheme="minorEastAsia" w:hAnsiTheme="minorEastAsia" w:eastAsiaTheme="minorEastAsia"/>
                <w:bCs/>
                <w:sz w:val="24"/>
              </w:rPr>
            </w:pPr>
            <w:r>
              <w:rPr>
                <w:rFonts w:hint="eastAsia" w:cs="宋体" w:asciiTheme="minorEastAsia" w:hAnsiTheme="minorEastAsia" w:eastAsiaTheme="minorEastAsia"/>
                <w:kern w:val="0"/>
                <w:sz w:val="24"/>
              </w:rPr>
              <w:t>大气压力</w:t>
            </w:r>
          </w:p>
        </w:tc>
        <w:tc>
          <w:tcPr>
            <w:tcW w:w="6957" w:type="dxa"/>
          </w:tcPr>
          <w:p w14:paraId="18920962">
            <w:pPr>
              <w:keepNext w:val="0"/>
              <w:keepLines w:val="0"/>
              <w:pageBreakBefore w:val="0"/>
              <w:kinsoku/>
              <w:wordWrap/>
              <w:overflowPunct/>
              <w:topLinePunct w:val="0"/>
              <w:autoSpaceDE/>
              <w:autoSpaceDN/>
              <w:bidi w:val="0"/>
              <w:adjustRightInd/>
              <w:snapToGrid/>
              <w:spacing w:line="360" w:lineRule="auto"/>
              <w:ind w:right="0"/>
              <w:jc w:val="left"/>
              <w:textAlignment w:val="auto"/>
              <w:rPr>
                <w:rFonts w:cs="楷体_GB2312" w:asciiTheme="minorEastAsia" w:hAnsiTheme="minorEastAsia" w:eastAsiaTheme="minorEastAsia"/>
                <w:bCs/>
                <w:sz w:val="24"/>
              </w:rPr>
            </w:pPr>
            <w:r>
              <w:rPr>
                <w:rFonts w:hint="eastAsia" w:cs="宋体" w:asciiTheme="minorEastAsia" w:hAnsiTheme="minorEastAsia" w:eastAsiaTheme="minorEastAsia"/>
                <w:sz w:val="24"/>
              </w:rPr>
              <w:t>800hPa</w:t>
            </w:r>
            <w:r>
              <w:rPr>
                <w:rFonts w:hint="eastAsia" w:cs="宋体" w:asciiTheme="minorEastAsia" w:hAnsiTheme="minorEastAsia" w:eastAsiaTheme="minorEastAsia"/>
                <w:sz w:val="24"/>
                <w:lang w:val="en-US" w:eastAsia="zh-CN"/>
              </w:rPr>
              <w:t xml:space="preserve"> </w:t>
            </w:r>
            <w:r>
              <w:rPr>
                <w:rFonts w:hint="eastAsia" w:cs="宋体" w:asciiTheme="minorEastAsia" w:hAnsiTheme="minorEastAsia" w:eastAsiaTheme="minorEastAsia"/>
                <w:kern w:val="0"/>
                <w:sz w:val="24"/>
              </w:rPr>
              <w:t>～</w:t>
            </w:r>
            <w:r>
              <w:rPr>
                <w:rFonts w:hint="eastAsia" w:cs="宋体" w:asciiTheme="minorEastAsia" w:hAnsiTheme="minorEastAsia" w:eastAsiaTheme="minorEastAsia"/>
                <w:kern w:val="0"/>
                <w:sz w:val="24"/>
                <w:lang w:val="en-US" w:eastAsia="zh-CN"/>
              </w:rPr>
              <w:t xml:space="preserve"> </w:t>
            </w:r>
            <w:r>
              <w:rPr>
                <w:rFonts w:hint="eastAsia" w:cs="宋体" w:asciiTheme="minorEastAsia" w:hAnsiTheme="minorEastAsia" w:eastAsiaTheme="minorEastAsia"/>
                <w:sz w:val="24"/>
              </w:rPr>
              <w:t>1060hPa</w:t>
            </w:r>
          </w:p>
        </w:tc>
      </w:tr>
      <w:tr w14:paraId="418BC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2" w:hRule="atLeast"/>
          <w:jc w:val="center"/>
        </w:trPr>
        <w:tc>
          <w:tcPr>
            <w:tcW w:w="1020" w:type="dxa"/>
            <w:vAlign w:val="center"/>
          </w:tcPr>
          <w:p w14:paraId="5F10D9BC">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hint="default"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18</w:t>
            </w:r>
          </w:p>
        </w:tc>
        <w:tc>
          <w:tcPr>
            <w:tcW w:w="2261" w:type="dxa"/>
            <w:vAlign w:val="center"/>
          </w:tcPr>
          <w:p w14:paraId="227448C3">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楷体_GB2312" w:asciiTheme="minorEastAsia" w:hAnsiTheme="minorEastAsia" w:eastAsiaTheme="minorEastAsia"/>
                <w:b/>
                <w:bCs/>
                <w:sz w:val="24"/>
              </w:rPr>
            </w:pPr>
            <w:r>
              <w:rPr>
                <w:rFonts w:hint="eastAsia" w:cs="宋体" w:asciiTheme="minorEastAsia" w:hAnsiTheme="minorEastAsia" w:eastAsiaTheme="minorEastAsia"/>
                <w:kern w:val="0"/>
                <w:sz w:val="24"/>
              </w:rPr>
              <w:t>供电电源</w:t>
            </w:r>
          </w:p>
        </w:tc>
        <w:tc>
          <w:tcPr>
            <w:tcW w:w="6957" w:type="dxa"/>
          </w:tcPr>
          <w:p w14:paraId="38BA3510">
            <w:pPr>
              <w:keepNext w:val="0"/>
              <w:keepLines w:val="0"/>
              <w:pageBreakBefore w:val="0"/>
              <w:kinsoku/>
              <w:wordWrap/>
              <w:overflowPunct/>
              <w:topLinePunct w:val="0"/>
              <w:autoSpaceDE/>
              <w:autoSpaceDN/>
              <w:bidi w:val="0"/>
              <w:adjustRightInd/>
              <w:snapToGrid/>
              <w:spacing w:line="360" w:lineRule="auto"/>
              <w:ind w:right="0"/>
              <w:jc w:val="left"/>
              <w:textAlignment w:val="auto"/>
              <w:rPr>
                <w:rFonts w:hint="eastAsia" w:cs="楷体_GB2312" w:asciiTheme="minorEastAsia" w:hAnsiTheme="minorEastAsia" w:eastAsiaTheme="minorEastAsia"/>
                <w:b/>
                <w:bCs/>
                <w:sz w:val="24"/>
                <w:lang w:val="en-US" w:eastAsia="zh-CN"/>
              </w:rPr>
            </w:pPr>
            <w:r>
              <w:rPr>
                <w:rFonts w:hint="eastAsia" w:cs="宋体" w:asciiTheme="minorEastAsia" w:hAnsiTheme="minorEastAsia" w:eastAsiaTheme="minorEastAsia"/>
                <w:kern w:val="0"/>
                <w:sz w:val="24"/>
              </w:rPr>
              <w:t>AC220V±</w:t>
            </w:r>
            <w:r>
              <w:rPr>
                <w:rFonts w:hint="eastAsia" w:cs="宋体" w:asciiTheme="minorEastAsia" w:hAnsiTheme="minorEastAsia" w:eastAsiaTheme="minorEastAsia"/>
                <w:kern w:val="0"/>
                <w:sz w:val="24"/>
                <w:lang w:val="en-US" w:eastAsia="zh-CN"/>
              </w:rPr>
              <w:t>5</w:t>
            </w:r>
            <w:r>
              <w:rPr>
                <w:rFonts w:hint="eastAsia" w:cs="宋体" w:asciiTheme="minorEastAsia" w:hAnsiTheme="minorEastAsia" w:eastAsiaTheme="minorEastAsia"/>
                <w:kern w:val="0"/>
                <w:sz w:val="24"/>
              </w:rPr>
              <w:t>/50Hz±</w:t>
            </w:r>
            <w:r>
              <w:rPr>
                <w:rFonts w:hint="eastAsia" w:cs="宋体" w:asciiTheme="minorEastAsia" w:hAnsiTheme="minorEastAsia" w:eastAsiaTheme="minorEastAsia"/>
                <w:kern w:val="0"/>
                <w:sz w:val="24"/>
                <w:lang w:val="en-US" w:eastAsia="zh-CN"/>
              </w:rPr>
              <w:t>2</w:t>
            </w:r>
          </w:p>
        </w:tc>
      </w:tr>
      <w:tr w14:paraId="194303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2" w:hRule="atLeast"/>
          <w:jc w:val="center"/>
        </w:trPr>
        <w:tc>
          <w:tcPr>
            <w:tcW w:w="1020" w:type="dxa"/>
            <w:vAlign w:val="center"/>
          </w:tcPr>
          <w:p w14:paraId="0132E675">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cs="楷体_GB2312" w:asciiTheme="minorEastAsia" w:hAnsiTheme="minorEastAsia" w:eastAsiaTheme="minorEastAsia"/>
                <w:sz w:val="24"/>
              </w:rPr>
            </w:pPr>
            <w:r>
              <w:rPr>
                <w:rFonts w:hint="eastAsia" w:cs="楷体_GB2312" w:asciiTheme="minorEastAsia" w:hAnsiTheme="minorEastAsia" w:eastAsiaTheme="minorEastAsia"/>
                <w:sz w:val="24"/>
                <w:vertAlign w:val="baseline"/>
                <w:lang w:val="en-US" w:eastAsia="zh-CN"/>
              </w:rPr>
              <w:t>19</w:t>
            </w:r>
          </w:p>
        </w:tc>
        <w:tc>
          <w:tcPr>
            <w:tcW w:w="2261" w:type="dxa"/>
            <w:vAlign w:val="center"/>
          </w:tcPr>
          <w:p w14:paraId="7E6D0470">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手柄</w:t>
            </w:r>
          </w:p>
        </w:tc>
        <w:tc>
          <w:tcPr>
            <w:tcW w:w="6957" w:type="dxa"/>
          </w:tcPr>
          <w:p w14:paraId="79FA3EEC">
            <w:pPr>
              <w:keepNext w:val="0"/>
              <w:keepLines w:val="0"/>
              <w:pageBreakBefore w:val="0"/>
              <w:kinsoku/>
              <w:wordWrap/>
              <w:overflowPunct/>
              <w:topLinePunct w:val="0"/>
              <w:autoSpaceDE/>
              <w:autoSpaceDN/>
              <w:bidi w:val="0"/>
              <w:adjustRightInd/>
              <w:snapToGrid/>
              <w:spacing w:line="360" w:lineRule="auto"/>
              <w:ind w:right="0"/>
              <w:jc w:val="left"/>
              <w:textAlignment w:val="auto"/>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手柄一体化设计（气管不外露）</w:t>
            </w:r>
          </w:p>
        </w:tc>
      </w:tr>
      <w:tr w14:paraId="0DD4999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2" w:hRule="atLeast"/>
          <w:jc w:val="center"/>
        </w:trPr>
        <w:tc>
          <w:tcPr>
            <w:tcW w:w="1020" w:type="dxa"/>
            <w:vAlign w:val="center"/>
          </w:tcPr>
          <w:p w14:paraId="3878F8E4">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cs="楷体_GB2312" w:asciiTheme="minorEastAsia" w:hAnsiTheme="minorEastAsia" w:eastAsiaTheme="minorEastAsia"/>
                <w:sz w:val="24"/>
              </w:rPr>
            </w:pPr>
            <w:r>
              <w:rPr>
                <w:rFonts w:hint="eastAsia" w:cs="楷体_GB2312" w:asciiTheme="minorEastAsia" w:hAnsiTheme="minorEastAsia" w:eastAsiaTheme="minorEastAsia"/>
                <w:sz w:val="24"/>
                <w:lang w:val="en-US" w:eastAsia="zh-CN"/>
              </w:rPr>
              <w:t>20</w:t>
            </w:r>
          </w:p>
        </w:tc>
        <w:tc>
          <w:tcPr>
            <w:tcW w:w="2261" w:type="dxa"/>
            <w:vAlign w:val="center"/>
          </w:tcPr>
          <w:p w14:paraId="02AEAB92">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自动报警装置</w:t>
            </w:r>
          </w:p>
        </w:tc>
        <w:tc>
          <w:tcPr>
            <w:tcW w:w="6957" w:type="dxa"/>
          </w:tcPr>
          <w:p w14:paraId="778F8F35">
            <w:pPr>
              <w:keepNext w:val="0"/>
              <w:keepLines w:val="0"/>
              <w:pageBreakBefore w:val="0"/>
              <w:kinsoku/>
              <w:wordWrap/>
              <w:overflowPunct/>
              <w:topLinePunct w:val="0"/>
              <w:autoSpaceDE/>
              <w:autoSpaceDN/>
              <w:bidi w:val="0"/>
              <w:adjustRightInd/>
              <w:snapToGrid/>
              <w:spacing w:line="360" w:lineRule="auto"/>
              <w:ind w:right="0"/>
              <w:jc w:val="left"/>
              <w:textAlignment w:val="auto"/>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当遇到阻塞、电源中断、负压不足等问题时设备会自动报警</w:t>
            </w:r>
          </w:p>
        </w:tc>
      </w:tr>
      <w:tr w14:paraId="122839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2" w:hRule="atLeast"/>
          <w:jc w:val="center"/>
        </w:trPr>
        <w:tc>
          <w:tcPr>
            <w:tcW w:w="1020" w:type="dxa"/>
            <w:vAlign w:val="center"/>
          </w:tcPr>
          <w:p w14:paraId="29864956">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hint="default"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21</w:t>
            </w:r>
          </w:p>
        </w:tc>
        <w:tc>
          <w:tcPr>
            <w:tcW w:w="2261" w:type="dxa"/>
            <w:vAlign w:val="center"/>
          </w:tcPr>
          <w:p w14:paraId="426E9114">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针剂选择种类</w:t>
            </w:r>
          </w:p>
        </w:tc>
        <w:tc>
          <w:tcPr>
            <w:tcW w:w="6957" w:type="dxa"/>
          </w:tcPr>
          <w:p w14:paraId="788F412A">
            <w:pPr>
              <w:keepNext w:val="0"/>
              <w:keepLines w:val="0"/>
              <w:pageBreakBefore w:val="0"/>
              <w:widowControl w:val="0"/>
              <w:kinsoku/>
              <w:wordWrap/>
              <w:overflowPunct/>
              <w:topLinePunct w:val="0"/>
              <w:autoSpaceDE/>
              <w:autoSpaceDN/>
              <w:bidi w:val="0"/>
              <w:adjustRightInd/>
              <w:snapToGrid/>
              <w:spacing w:line="240" w:lineRule="auto"/>
              <w:ind w:right="0"/>
              <w:jc w:val="left"/>
              <w:textAlignment w:val="auto"/>
              <w:rPr>
                <w:rFonts w:hint="eastAsia" w:cs="宋体" w:asciiTheme="minorEastAsia" w:hAnsiTheme="minorEastAsia" w:eastAsiaTheme="minorEastAsia"/>
                <w:kern w:val="0"/>
                <w:sz w:val="24"/>
                <w:lang w:val="en-US" w:eastAsia="zh-CN"/>
              </w:rPr>
            </w:pPr>
            <w:r>
              <w:rPr>
                <w:rFonts w:hint="eastAsia" w:cs="宋体" w:asciiTheme="minorEastAsia" w:hAnsiTheme="minorEastAsia" w:eastAsiaTheme="minorEastAsia"/>
                <w:kern w:val="0"/>
                <w:sz w:val="24"/>
                <w:lang w:val="en-US" w:eastAsia="zh-CN"/>
              </w:rPr>
              <w:t>不小于</w:t>
            </w:r>
            <w:r>
              <w:rPr>
                <w:rFonts w:hint="eastAsia" w:cs="宋体" w:asciiTheme="minorEastAsia" w:hAnsiTheme="minorEastAsia" w:eastAsiaTheme="minorEastAsia"/>
                <w:kern w:val="0"/>
                <w:sz w:val="24"/>
              </w:rPr>
              <w:t>9种</w:t>
            </w:r>
            <w:r>
              <w:rPr>
                <w:rFonts w:hint="eastAsia" w:cs="宋体" w:asciiTheme="minorEastAsia" w:hAnsiTheme="minorEastAsia" w:eastAsiaTheme="minorEastAsia"/>
                <w:kern w:val="0"/>
                <w:sz w:val="24"/>
                <w:lang w:eastAsia="zh-CN"/>
              </w:rPr>
              <w:t>：</w:t>
            </w:r>
            <w:r>
              <w:rPr>
                <w:rFonts w:hint="eastAsia" w:cs="宋体" w:asciiTheme="minorEastAsia" w:hAnsiTheme="minorEastAsia" w:eastAsiaTheme="minorEastAsia"/>
                <w:kern w:val="0"/>
                <w:sz w:val="24"/>
              </w:rPr>
              <w:t>0.8/1ml；1/2.5ml；2/2.5ml；2/3ml；2.5/3ml；3/3ml；3/5ml；4/5ml；5/5ml</w:t>
            </w:r>
            <w:r>
              <w:rPr>
                <w:rFonts w:hint="eastAsia" w:cs="宋体" w:asciiTheme="minorEastAsia" w:hAnsiTheme="minorEastAsia" w:eastAsiaTheme="minorEastAsia"/>
                <w:kern w:val="0"/>
                <w:sz w:val="24"/>
                <w:lang w:val="en-US" w:eastAsia="zh-CN"/>
              </w:rPr>
              <w:t>等</w:t>
            </w:r>
          </w:p>
        </w:tc>
      </w:tr>
      <w:tr w14:paraId="25002A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2" w:hRule="atLeast"/>
          <w:jc w:val="center"/>
        </w:trPr>
        <w:tc>
          <w:tcPr>
            <w:tcW w:w="1020" w:type="dxa"/>
            <w:vAlign w:val="center"/>
          </w:tcPr>
          <w:p w14:paraId="5E76DA2A">
            <w:pPr>
              <w:pStyle w:val="14"/>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rPr>
                <w:rFonts w:hint="default" w:cs="楷体_GB2312" w:asciiTheme="minorEastAsia" w:hAnsiTheme="minorEastAsia" w:eastAsiaTheme="minorEastAsia"/>
                <w:sz w:val="24"/>
                <w:lang w:val="en-US" w:eastAsia="zh-CN"/>
              </w:rPr>
            </w:pPr>
            <w:r>
              <w:rPr>
                <w:rFonts w:hint="eastAsia" w:cs="楷体_GB2312" w:asciiTheme="minorEastAsia" w:hAnsiTheme="minorEastAsia" w:eastAsiaTheme="minorEastAsia"/>
                <w:sz w:val="24"/>
                <w:lang w:val="en-US" w:eastAsia="zh-CN"/>
              </w:rPr>
              <w:t>22</w:t>
            </w:r>
          </w:p>
        </w:tc>
        <w:tc>
          <w:tcPr>
            <w:tcW w:w="2261" w:type="dxa"/>
            <w:vAlign w:val="center"/>
          </w:tcPr>
          <w:p w14:paraId="0F795BEC">
            <w:pPr>
              <w:keepNext w:val="0"/>
              <w:keepLines w:val="0"/>
              <w:pageBreakBefore w:val="0"/>
              <w:kinsoku/>
              <w:wordWrap/>
              <w:overflowPunct/>
              <w:topLinePunct w:val="0"/>
              <w:autoSpaceDE/>
              <w:autoSpaceDN/>
              <w:bidi w:val="0"/>
              <w:adjustRightInd/>
              <w:snapToGrid/>
              <w:spacing w:line="360" w:lineRule="auto"/>
              <w:ind w:right="0"/>
              <w:jc w:val="center"/>
              <w:textAlignment w:val="auto"/>
              <w:rPr>
                <w:rFonts w:hint="eastAsia" w:cs="宋体" w:asciiTheme="minorEastAsia" w:hAnsiTheme="minorEastAsia" w:eastAsiaTheme="minorEastAsia"/>
                <w:kern w:val="0"/>
                <w:sz w:val="24"/>
              </w:rPr>
            </w:pPr>
          </w:p>
        </w:tc>
        <w:tc>
          <w:tcPr>
            <w:tcW w:w="6957" w:type="dxa"/>
          </w:tcPr>
          <w:p w14:paraId="6231C3B2">
            <w:pPr>
              <w:keepNext w:val="0"/>
              <w:keepLines w:val="0"/>
              <w:pageBreakBefore w:val="0"/>
              <w:widowControl w:val="0"/>
              <w:kinsoku/>
              <w:wordWrap/>
              <w:overflowPunct/>
              <w:topLinePunct w:val="0"/>
              <w:autoSpaceDE/>
              <w:autoSpaceDN/>
              <w:bidi w:val="0"/>
              <w:adjustRightInd/>
              <w:snapToGrid/>
              <w:spacing w:line="240" w:lineRule="auto"/>
              <w:ind w:right="0"/>
              <w:jc w:val="left"/>
              <w:textAlignment w:val="auto"/>
              <w:rPr>
                <w:rFonts w:hint="default" w:cs="宋体" w:asciiTheme="minorEastAsia" w:hAnsiTheme="minorEastAsia" w:eastAsiaTheme="minorEastAsia"/>
                <w:kern w:val="0"/>
                <w:sz w:val="24"/>
                <w:lang w:val="en-US" w:eastAsia="zh-CN"/>
              </w:rPr>
            </w:pPr>
            <w:r>
              <w:rPr>
                <w:rFonts w:hint="eastAsia" w:cs="宋体" w:asciiTheme="minorEastAsia" w:hAnsiTheme="minorEastAsia" w:eastAsiaTheme="minorEastAsia"/>
                <w:kern w:val="0"/>
                <w:sz w:val="24"/>
                <w:lang w:val="en-US" w:eastAsia="zh-CN"/>
              </w:rPr>
              <w:t>匹配九孔一次性使用无菌注射针（水光治疗机专用）价格不高于120元/个。</w:t>
            </w:r>
            <w:bookmarkStart w:id="1" w:name="_GoBack"/>
            <w:bookmarkEnd w:id="1"/>
          </w:p>
        </w:tc>
      </w:tr>
    </w:tbl>
    <w:p w14:paraId="66BA9D59">
      <w:pPr>
        <w:spacing w:before="312" w:beforeLines="100" w:after="156" w:afterLines="50" w:line="400" w:lineRule="exact"/>
        <w:jc w:val="both"/>
        <w:rPr>
          <w:rFonts w:hint="eastAsia" w:asciiTheme="majorEastAsia" w:hAnsiTheme="majorEastAsia" w:eastAsiaTheme="majorEastAsia"/>
          <w:b/>
          <w:color w:val="000000"/>
          <w:sz w:val="28"/>
          <w:szCs w:val="28"/>
          <w:shd w:val="clear" w:color="auto" w:fill="FFFFFF"/>
          <w:lang w:val="en-US" w:eastAsia="zh-CN"/>
        </w:rPr>
      </w:pPr>
      <w:r>
        <w:rPr>
          <w:rFonts w:hint="eastAsia" w:asciiTheme="majorEastAsia" w:hAnsiTheme="majorEastAsia" w:eastAsiaTheme="majorEastAsia"/>
          <w:b/>
          <w:color w:val="000000"/>
          <w:sz w:val="28"/>
          <w:szCs w:val="28"/>
          <w:shd w:val="clear" w:color="auto" w:fill="FFFFFF"/>
          <w:lang w:val="en-US" w:eastAsia="zh-CN"/>
        </w:rPr>
        <w:t>二、商务参数</w:t>
      </w:r>
    </w:p>
    <w:p w14:paraId="421537F3">
      <w:pPr>
        <w:pStyle w:val="4"/>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运输、装卸、培训、安装调试：由中标人负责承担，最终通过使用科室、设备科及相关部门确认验收交付使用。国产设备交付，设备必须为6个月内生产的产品；进口设备交付，设备必须为一年内生产的产品。</w:t>
      </w:r>
    </w:p>
    <w:p w14:paraId="29A31FCE">
      <w:pPr>
        <w:pStyle w:val="4"/>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★2、交货时间：按合同约定的日期交货。</w:t>
      </w:r>
    </w:p>
    <w:p w14:paraId="06E36970">
      <w:pPr>
        <w:pStyle w:val="4"/>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★3、交货地点：娄底市中心医院指定地点。</w:t>
      </w:r>
    </w:p>
    <w:p w14:paraId="62F35A9F">
      <w:pPr>
        <w:pStyle w:val="4"/>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★4、付款方式：设备验收合格后，供应商将发票交到娄底市中心医院后按程序支付货款90%（按医院财务制度一般情况下4个月内支付、特殊情况下最多不超过6个月），甲方在设备验收合格满</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年后支付10%余款给乙方。</w:t>
      </w:r>
    </w:p>
    <w:p w14:paraId="7D16823B">
      <w:pPr>
        <w:pStyle w:val="4"/>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★5、质保与售后：整机保修</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 xml:space="preserve"> 年，终身维修。验收时出具原厂售后质保承诺书，质保期内每年巡检一次，并提交巡检记录。质保期内出现故障，1小时响应，响应后24小时上门服务。</w:t>
      </w:r>
    </w:p>
    <w:p w14:paraId="3A9262F9">
      <w:pPr>
        <w:pStyle w:val="4"/>
        <w:jc w:val="both"/>
        <w:rPr>
          <w:rStyle w:val="8"/>
          <w:b w:val="0"/>
          <w:bCs w:val="0"/>
          <w:color w:val="BFBFBF" w:themeColor="background1" w:themeShade="BF"/>
        </w:rPr>
      </w:pPr>
      <w:r>
        <w:rPr>
          <w:rFonts w:hint="eastAsia" w:asciiTheme="minorEastAsia" w:hAnsiTheme="minorEastAsia" w:eastAsiaTheme="minorEastAsia" w:cstheme="minorEastAsia"/>
          <w:sz w:val="24"/>
          <w:szCs w:val="24"/>
        </w:rPr>
        <w:t>★6、在投标文件中必须提供相关佐证资料（加盖投标人公章的技术参数、技术白皮书、说明书、彩页），并在响应表中备注该条参数响应或正偏离的佐证资料所在页码。</w:t>
      </w:r>
      <w:r>
        <w:rPr>
          <w:rFonts w:hint="eastAsia" w:hAnsi="宋体"/>
          <w:sz w:val="28"/>
          <w:szCs w:val="28"/>
        </w:rPr>
        <w:t xml:space="preserve">                                       </w:t>
      </w:r>
      <w:r>
        <w:rPr>
          <w:rFonts w:hint="eastAsia" w:hAnsi="宋体"/>
          <w:b/>
          <w:sz w:val="28"/>
          <w:szCs w:val="28"/>
        </w:rPr>
        <w:t xml:space="preserve"> </w:t>
      </w:r>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6B12B">
    <w:pPr>
      <w:pStyle w:val="4"/>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xNDYyNTYyMmMwOTVhMWFhMmU5ZWE4YzA3NWY2YzYifQ=="/>
  </w:docVars>
  <w:rsids>
    <w:rsidRoot w:val="00172A27"/>
    <w:rsid w:val="00004BB6"/>
    <w:rsid w:val="00057D94"/>
    <w:rsid w:val="00072A1C"/>
    <w:rsid w:val="0007406E"/>
    <w:rsid w:val="000840C7"/>
    <w:rsid w:val="000D0795"/>
    <w:rsid w:val="000D5849"/>
    <w:rsid w:val="000E3E78"/>
    <w:rsid w:val="00111341"/>
    <w:rsid w:val="0011396A"/>
    <w:rsid w:val="00117721"/>
    <w:rsid w:val="00171424"/>
    <w:rsid w:val="00172A27"/>
    <w:rsid w:val="00176071"/>
    <w:rsid w:val="001E61EE"/>
    <w:rsid w:val="001F1C09"/>
    <w:rsid w:val="00220726"/>
    <w:rsid w:val="00252000"/>
    <w:rsid w:val="00261C08"/>
    <w:rsid w:val="00262087"/>
    <w:rsid w:val="00266B4B"/>
    <w:rsid w:val="00276440"/>
    <w:rsid w:val="002911DC"/>
    <w:rsid w:val="002D377C"/>
    <w:rsid w:val="002F3AC9"/>
    <w:rsid w:val="00355765"/>
    <w:rsid w:val="00386634"/>
    <w:rsid w:val="0039212A"/>
    <w:rsid w:val="003929A2"/>
    <w:rsid w:val="003974CA"/>
    <w:rsid w:val="003A1EB1"/>
    <w:rsid w:val="003B6E11"/>
    <w:rsid w:val="003C0EFA"/>
    <w:rsid w:val="00411EEE"/>
    <w:rsid w:val="00450222"/>
    <w:rsid w:val="004562C0"/>
    <w:rsid w:val="004620A4"/>
    <w:rsid w:val="00466F3F"/>
    <w:rsid w:val="00474A8F"/>
    <w:rsid w:val="004833FD"/>
    <w:rsid w:val="00487946"/>
    <w:rsid w:val="00497B7D"/>
    <w:rsid w:val="004B569B"/>
    <w:rsid w:val="004C07CE"/>
    <w:rsid w:val="004C097C"/>
    <w:rsid w:val="004C6944"/>
    <w:rsid w:val="004F475C"/>
    <w:rsid w:val="0050247D"/>
    <w:rsid w:val="00543AA4"/>
    <w:rsid w:val="00562DE9"/>
    <w:rsid w:val="00573892"/>
    <w:rsid w:val="00592973"/>
    <w:rsid w:val="005A4128"/>
    <w:rsid w:val="005B631D"/>
    <w:rsid w:val="005D07F5"/>
    <w:rsid w:val="00626F1A"/>
    <w:rsid w:val="00654E54"/>
    <w:rsid w:val="00671E53"/>
    <w:rsid w:val="006760D8"/>
    <w:rsid w:val="00682559"/>
    <w:rsid w:val="00683AA8"/>
    <w:rsid w:val="006A0D4A"/>
    <w:rsid w:val="006A1234"/>
    <w:rsid w:val="006A25B7"/>
    <w:rsid w:val="006C671A"/>
    <w:rsid w:val="00707725"/>
    <w:rsid w:val="007078F7"/>
    <w:rsid w:val="007523DE"/>
    <w:rsid w:val="007661C1"/>
    <w:rsid w:val="00787A64"/>
    <w:rsid w:val="007A3EA9"/>
    <w:rsid w:val="00814220"/>
    <w:rsid w:val="0082159A"/>
    <w:rsid w:val="00846321"/>
    <w:rsid w:val="00856A19"/>
    <w:rsid w:val="00872D02"/>
    <w:rsid w:val="00886151"/>
    <w:rsid w:val="00892513"/>
    <w:rsid w:val="00896EFA"/>
    <w:rsid w:val="008975DA"/>
    <w:rsid w:val="008B1FA7"/>
    <w:rsid w:val="00903E3E"/>
    <w:rsid w:val="00955979"/>
    <w:rsid w:val="00991F60"/>
    <w:rsid w:val="00993B4C"/>
    <w:rsid w:val="009C2A28"/>
    <w:rsid w:val="009D20A7"/>
    <w:rsid w:val="009E1CEE"/>
    <w:rsid w:val="009F0CA3"/>
    <w:rsid w:val="009F7852"/>
    <w:rsid w:val="00A022C3"/>
    <w:rsid w:val="00A7031E"/>
    <w:rsid w:val="00A97B4D"/>
    <w:rsid w:val="00AC745B"/>
    <w:rsid w:val="00B36588"/>
    <w:rsid w:val="00B57A1E"/>
    <w:rsid w:val="00B81544"/>
    <w:rsid w:val="00B947FB"/>
    <w:rsid w:val="00BA0F72"/>
    <w:rsid w:val="00BA64CC"/>
    <w:rsid w:val="00BB4E20"/>
    <w:rsid w:val="00BD3BC8"/>
    <w:rsid w:val="00BE58EC"/>
    <w:rsid w:val="00C01CE8"/>
    <w:rsid w:val="00C10764"/>
    <w:rsid w:val="00C2647A"/>
    <w:rsid w:val="00C875F0"/>
    <w:rsid w:val="00CB1AB9"/>
    <w:rsid w:val="00CD0472"/>
    <w:rsid w:val="00CD5C19"/>
    <w:rsid w:val="00CE2B97"/>
    <w:rsid w:val="00D1096D"/>
    <w:rsid w:val="00D14FF3"/>
    <w:rsid w:val="00D2204B"/>
    <w:rsid w:val="00D22E51"/>
    <w:rsid w:val="00D47C40"/>
    <w:rsid w:val="00D502C3"/>
    <w:rsid w:val="00D55DC5"/>
    <w:rsid w:val="00D83230"/>
    <w:rsid w:val="00D9121E"/>
    <w:rsid w:val="00D91899"/>
    <w:rsid w:val="00D95A2E"/>
    <w:rsid w:val="00DD7745"/>
    <w:rsid w:val="00DF0604"/>
    <w:rsid w:val="00DF0B95"/>
    <w:rsid w:val="00DF3802"/>
    <w:rsid w:val="00E447DC"/>
    <w:rsid w:val="00E53B88"/>
    <w:rsid w:val="00E54DDF"/>
    <w:rsid w:val="00E63D67"/>
    <w:rsid w:val="00EA0735"/>
    <w:rsid w:val="00EB2226"/>
    <w:rsid w:val="00EB776D"/>
    <w:rsid w:val="00EC18B0"/>
    <w:rsid w:val="00EE3331"/>
    <w:rsid w:val="00EE53B7"/>
    <w:rsid w:val="00F0597B"/>
    <w:rsid w:val="00F05FEA"/>
    <w:rsid w:val="00F070E1"/>
    <w:rsid w:val="00F216D5"/>
    <w:rsid w:val="00F24168"/>
    <w:rsid w:val="00F358FA"/>
    <w:rsid w:val="00F50B8F"/>
    <w:rsid w:val="00FC5912"/>
    <w:rsid w:val="00FC725C"/>
    <w:rsid w:val="00FF30C7"/>
    <w:rsid w:val="022C1728"/>
    <w:rsid w:val="07571039"/>
    <w:rsid w:val="085A45DB"/>
    <w:rsid w:val="0AF57239"/>
    <w:rsid w:val="0B68592B"/>
    <w:rsid w:val="0F457FFD"/>
    <w:rsid w:val="19584163"/>
    <w:rsid w:val="20C5792A"/>
    <w:rsid w:val="22967EB9"/>
    <w:rsid w:val="2BB335F8"/>
    <w:rsid w:val="370A3FA0"/>
    <w:rsid w:val="3A4154C3"/>
    <w:rsid w:val="3A930191"/>
    <w:rsid w:val="3AAA16E4"/>
    <w:rsid w:val="3C617D77"/>
    <w:rsid w:val="3F507E15"/>
    <w:rsid w:val="3F8F473D"/>
    <w:rsid w:val="4B24037D"/>
    <w:rsid w:val="4EFF7168"/>
    <w:rsid w:val="60E02767"/>
    <w:rsid w:val="66CC3851"/>
    <w:rsid w:val="68D27E48"/>
    <w:rsid w:val="694F2FB7"/>
    <w:rsid w:val="7944542B"/>
    <w:rsid w:val="7AE75A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99"/>
    <w:pPr>
      <w:tabs>
        <w:tab w:val="center" w:pos="4153"/>
        <w:tab w:val="right" w:pos="8306"/>
      </w:tabs>
      <w:snapToGrid w:val="0"/>
      <w:jc w:val="center"/>
    </w:pPr>
    <w:rPr>
      <w:sz w:val="18"/>
      <w:szCs w:val="18"/>
    </w:rPr>
  </w:style>
  <w:style w:type="table" w:styleId="6">
    <w:name w:val="Table Grid"/>
    <w:basedOn w:val="5"/>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8">
    <w:name w:val="Strong"/>
    <w:basedOn w:val="7"/>
    <w:autoRedefine/>
    <w:qFormat/>
    <w:uiPriority w:val="0"/>
    <w:rPr>
      <w:b/>
      <w:bCs/>
    </w:rPr>
  </w:style>
  <w:style w:type="character" w:customStyle="1" w:styleId="9">
    <w:name w:val="页眉 字符"/>
    <w:basedOn w:val="7"/>
    <w:link w:val="4"/>
    <w:autoRedefine/>
    <w:qFormat/>
    <w:uiPriority w:val="99"/>
    <w:rPr>
      <w:kern w:val="2"/>
      <w:sz w:val="18"/>
      <w:szCs w:val="18"/>
    </w:rPr>
  </w:style>
  <w:style w:type="character" w:customStyle="1" w:styleId="10">
    <w:name w:val="明显强调1"/>
    <w:basedOn w:val="7"/>
    <w:autoRedefine/>
    <w:qFormat/>
    <w:uiPriority w:val="21"/>
    <w:rPr>
      <w:b/>
      <w:bCs/>
      <w:i/>
      <w:iCs/>
      <w:color w:val="4F81BD" w:themeColor="accent1"/>
      <w14:textFill>
        <w14:solidFill>
          <w14:schemeClr w14:val="accent1"/>
        </w14:solidFill>
      </w14:textFill>
    </w:rPr>
  </w:style>
  <w:style w:type="paragraph" w:styleId="11">
    <w:name w:val="Quote"/>
    <w:basedOn w:val="1"/>
    <w:next w:val="1"/>
    <w:link w:val="12"/>
    <w:qFormat/>
    <w:uiPriority w:val="29"/>
    <w:rPr>
      <w:i/>
      <w:iCs/>
      <w:color w:val="000000" w:themeColor="text1"/>
      <w14:textFill>
        <w14:solidFill>
          <w14:schemeClr w14:val="tx1"/>
        </w14:solidFill>
      </w14:textFill>
    </w:rPr>
  </w:style>
  <w:style w:type="character" w:customStyle="1" w:styleId="12">
    <w:name w:val="引用 字符"/>
    <w:basedOn w:val="7"/>
    <w:link w:val="11"/>
    <w:qFormat/>
    <w:uiPriority w:val="29"/>
    <w:rPr>
      <w:i/>
      <w:iCs/>
      <w:color w:val="000000" w:themeColor="text1"/>
      <w:kern w:val="2"/>
      <w:sz w:val="21"/>
      <w:szCs w:val="24"/>
      <w14:textFill>
        <w14:solidFill>
          <w14:schemeClr w14:val="tx1"/>
        </w14:solidFill>
      </w14:textFill>
    </w:rPr>
  </w:style>
  <w:style w:type="character" w:customStyle="1" w:styleId="13">
    <w:name w:val="批注框文本 字符"/>
    <w:basedOn w:val="7"/>
    <w:link w:val="2"/>
    <w:autoRedefine/>
    <w:qFormat/>
    <w:uiPriority w:val="0"/>
    <w:rPr>
      <w:kern w:val="2"/>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 (Beijing) Limited</Company>
  <Pages>2</Pages>
  <Words>890</Words>
  <Characters>1013</Characters>
  <Lines>4</Lines>
  <Paragraphs>1</Paragraphs>
  <TotalTime>8</TotalTime>
  <ScaleCrop>false</ScaleCrop>
  <LinksUpToDate>false</LinksUpToDate>
  <CharactersWithSpaces>1058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2022-02-17T01:28:00Z</dcterms:created>
  <dc:creator>Lenovo User</dc:creator>
  <cp:lastModifiedBy>蓝色贝雷</cp:lastModifiedBy>
  <cp:lastPrinted>2024-05-27T08:29:00Z</cp:lastPrinted>
  <dcterms:modified xsi:type="dcterms:W3CDTF">2025-04-29T08:35:57Z</dcterms:modified>
  <dc:title>CHX-100H型直流脉冲式CO2激光治疗机</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5EAF0AE7D93349B89489EFD75F257E13</vt:lpwstr>
  </property>
</Properties>
</file>