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1B76">
      <w:pPr>
        <w:pStyle w:val="15"/>
        <w:snapToGrid w:val="0"/>
        <w:jc w:val="center"/>
        <w:rPr>
          <w:rFonts w:hint="eastAsia" w:ascii="Arial" w:hAnsi="Arial" w:eastAsia="方正小标宋简体" w:cs="Arial"/>
          <w:sz w:val="72"/>
          <w:szCs w:val="72"/>
        </w:rPr>
      </w:pPr>
      <w:bookmarkStart w:id="0" w:name="_Toc16523570"/>
    </w:p>
    <w:p w14:paraId="36822329">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35A3AC2">
      <w:pPr>
        <w:pStyle w:val="15"/>
        <w:snapToGrid w:val="0"/>
        <w:jc w:val="center"/>
        <w:rPr>
          <w:rFonts w:hint="eastAsia" w:ascii="Arial" w:hAnsi="Arial" w:eastAsia="方正小标宋简体" w:cs="Arial"/>
          <w:sz w:val="72"/>
          <w:szCs w:val="72"/>
        </w:rPr>
      </w:pPr>
    </w:p>
    <w:p w14:paraId="3A869CB6">
      <w:pPr>
        <w:pStyle w:val="15"/>
        <w:snapToGrid w:val="0"/>
        <w:jc w:val="center"/>
        <w:rPr>
          <w:rFonts w:hint="eastAsia" w:ascii="Arial" w:hAnsi="Arial" w:eastAsia="方正小标宋简体" w:cs="Arial"/>
          <w:sz w:val="72"/>
          <w:szCs w:val="72"/>
        </w:rPr>
      </w:pPr>
    </w:p>
    <w:p w14:paraId="6308C621">
      <w:pPr>
        <w:pStyle w:val="15"/>
        <w:snapToGrid w:val="0"/>
        <w:jc w:val="center"/>
        <w:rPr>
          <w:rFonts w:hint="eastAsia" w:ascii="Arial" w:hAnsi="Arial" w:eastAsia="方正小标宋简体" w:cs="Arial"/>
          <w:sz w:val="72"/>
          <w:szCs w:val="72"/>
        </w:rPr>
      </w:pPr>
    </w:p>
    <w:p w14:paraId="77BAE459">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47B5448">
      <w:pPr>
        <w:pStyle w:val="15"/>
        <w:snapToGrid w:val="0"/>
        <w:jc w:val="center"/>
        <w:rPr>
          <w:rFonts w:ascii="Arial" w:hAnsi="Arial" w:cs="Arial"/>
          <w:sz w:val="32"/>
          <w:szCs w:val="32"/>
        </w:rPr>
      </w:pPr>
    </w:p>
    <w:p w14:paraId="2131F55F">
      <w:pPr>
        <w:pStyle w:val="16"/>
        <w:rPr>
          <w:rFonts w:ascii="Arial" w:hAnsi="Arial" w:cs="Arial"/>
          <w:sz w:val="32"/>
          <w:szCs w:val="32"/>
        </w:rPr>
      </w:pPr>
    </w:p>
    <w:p w14:paraId="172E63A8">
      <w:pPr>
        <w:pStyle w:val="2"/>
        <w:rPr>
          <w:rFonts w:ascii="Arial" w:hAnsi="Arial" w:cs="Arial"/>
          <w:sz w:val="32"/>
          <w:szCs w:val="32"/>
        </w:rPr>
      </w:pPr>
    </w:p>
    <w:p w14:paraId="36F01534">
      <w:pPr>
        <w:pStyle w:val="2"/>
        <w:rPr>
          <w:rFonts w:ascii="Arial" w:hAnsi="Arial" w:cs="Arial"/>
          <w:sz w:val="32"/>
          <w:szCs w:val="32"/>
        </w:rPr>
      </w:pPr>
    </w:p>
    <w:p w14:paraId="4BCE7A98">
      <w:pPr>
        <w:pStyle w:val="2"/>
        <w:rPr>
          <w:rFonts w:ascii="Arial" w:hAnsi="Arial" w:cs="Arial"/>
          <w:sz w:val="32"/>
          <w:szCs w:val="32"/>
        </w:rPr>
      </w:pPr>
    </w:p>
    <w:p w14:paraId="6C8100B0">
      <w:pPr>
        <w:pStyle w:val="2"/>
        <w:rPr>
          <w:rFonts w:ascii="Arial" w:hAnsi="Arial" w:cs="Arial"/>
          <w:sz w:val="32"/>
          <w:szCs w:val="32"/>
        </w:rPr>
      </w:pPr>
    </w:p>
    <w:p w14:paraId="37C2D5A4">
      <w:pPr>
        <w:pStyle w:val="2"/>
        <w:rPr>
          <w:rFonts w:ascii="Arial" w:hAnsi="Arial" w:cs="Arial"/>
          <w:sz w:val="32"/>
          <w:szCs w:val="32"/>
        </w:rPr>
      </w:pPr>
    </w:p>
    <w:p w14:paraId="7E1F68C4">
      <w:pPr>
        <w:pStyle w:val="2"/>
        <w:rPr>
          <w:rFonts w:ascii="Arial" w:hAnsi="Arial" w:cs="Arial"/>
          <w:sz w:val="32"/>
          <w:szCs w:val="32"/>
        </w:rPr>
      </w:pPr>
    </w:p>
    <w:p w14:paraId="666BCD9A">
      <w:pPr>
        <w:pStyle w:val="2"/>
        <w:rPr>
          <w:rFonts w:ascii="Arial" w:hAnsi="Arial" w:cs="Arial"/>
          <w:sz w:val="32"/>
          <w:szCs w:val="32"/>
        </w:rPr>
      </w:pPr>
    </w:p>
    <w:p w14:paraId="6CB66431">
      <w:pPr>
        <w:pStyle w:val="15"/>
        <w:snapToGrid w:val="0"/>
        <w:jc w:val="center"/>
        <w:rPr>
          <w:rFonts w:ascii="Arial" w:hAnsi="Arial" w:cs="Arial"/>
          <w:sz w:val="32"/>
          <w:szCs w:val="32"/>
        </w:rPr>
      </w:pPr>
    </w:p>
    <w:p w14:paraId="2E420D01">
      <w:pPr>
        <w:pStyle w:val="15"/>
        <w:snapToGrid w:val="0"/>
        <w:jc w:val="center"/>
        <w:rPr>
          <w:rFonts w:ascii="Arial" w:hAnsi="Arial" w:cs="Arial"/>
          <w:sz w:val="32"/>
          <w:szCs w:val="32"/>
        </w:rPr>
      </w:pPr>
    </w:p>
    <w:p w14:paraId="331534E3">
      <w:pPr>
        <w:spacing w:line="360" w:lineRule="auto"/>
        <w:rPr>
          <w:rFonts w:hint="eastAsia"/>
          <w:bCs/>
          <w:sz w:val="32"/>
          <w:szCs w:val="32"/>
        </w:rPr>
      </w:pPr>
    </w:p>
    <w:p w14:paraId="77CDE0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414399B7">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（一氧化氮治疗仪医院公开挂网</w:t>
      </w:r>
      <w:r>
        <w:rPr>
          <w:rFonts w:hint="eastAsia" w:ascii="Times New Roman" w:hAnsi="Times New Roman" w:eastAsia="宋体" w:cs="Times New Roman"/>
          <w:b/>
          <w:bCs/>
          <w:kern w:val="44"/>
          <w:sz w:val="32"/>
          <w:szCs w:val="32"/>
          <w:lang w:val="en-US" w:eastAsia="zh-CN" w:bidi="ar-SA"/>
        </w:rPr>
        <w:t>）</w:t>
      </w:r>
    </w:p>
    <w:p w14:paraId="01899626">
      <w:pPr>
        <w:spacing w:line="320" w:lineRule="exact"/>
        <w:jc w:val="left"/>
        <w:rPr>
          <w:sz w:val="24"/>
        </w:rPr>
      </w:pPr>
    </w:p>
    <w:p w14:paraId="4C8F14D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78D850E4">
      <w:pPr>
        <w:pStyle w:val="4"/>
        <w:numPr>
          <w:ilvl w:val="0"/>
          <w:numId w:val="0"/>
        </w:numPr>
        <w:spacing w:line="240" w:lineRule="auto"/>
        <w:ind w:leftChars="0"/>
        <w:jc w:val="center"/>
        <w:rPr>
          <w:rFonts w:hint="eastAsia" w:ascii="宋体" w:hAnsi="宋体" w:cs="宋体"/>
          <w:color w:val="auto"/>
          <w:sz w:val="44"/>
          <w:szCs w:val="44"/>
          <w:lang w:val="en-US" w:eastAsia="zh-CN"/>
        </w:rPr>
      </w:pPr>
    </w:p>
    <w:p w14:paraId="4A66A5A5">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CDE226E">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一氧化氮治疗仪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2D313CF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C9F3A4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一氧化氮治疗仪</w:t>
      </w:r>
      <w:r>
        <w:rPr>
          <w:rFonts w:hint="eastAsia" w:asciiTheme="minorEastAsia" w:hAnsiTheme="minorEastAsia" w:eastAsiaTheme="minorEastAsia" w:cstheme="minorEastAsia"/>
          <w:b w:val="0"/>
          <w:bCs/>
          <w:color w:val="auto"/>
          <w:sz w:val="24"/>
          <w:szCs w:val="24"/>
          <w:lang w:val="en-US" w:eastAsia="zh-CN"/>
        </w:rPr>
        <w:t>项目</w:t>
      </w:r>
    </w:p>
    <w:p w14:paraId="6554C114">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6DBA799">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531BA1C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0C8C153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07BECD4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407CE77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3E7ECD3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3D81FDE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C1AACE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26A80EA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344F8C3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16FA902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018C76B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5EA333D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6E32FE2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6FD0A4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696388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E4150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255E30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35A3C40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26E2E9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FF1BF0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25A4E0D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099E6E4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2AA70BFE">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857D07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6231D96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6A165D4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AAB7406">
      <w:pPr>
        <w:pStyle w:val="16"/>
        <w:rPr>
          <w:rFonts w:hint="eastAsia"/>
          <w:lang w:val="en-US" w:eastAsia="zh-CN"/>
        </w:rPr>
      </w:pPr>
    </w:p>
    <w:p w14:paraId="587974DF">
      <w:pPr>
        <w:pStyle w:val="16"/>
        <w:jc w:val="both"/>
        <w:rPr>
          <w:rFonts w:hint="default"/>
          <w:lang w:val="en-US" w:eastAsia="zh-CN"/>
        </w:rPr>
      </w:pPr>
    </w:p>
    <w:p w14:paraId="7ADDD54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7F192C5">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3A8E88B">
      <w:pPr>
        <w:pStyle w:val="16"/>
        <w:rPr>
          <w:rFonts w:hint="eastAsia" w:ascii="宋体" w:hAnsi="宋体" w:cs="宋体"/>
          <w:b/>
          <w:bCs/>
          <w:color w:val="auto"/>
          <w:sz w:val="44"/>
          <w:szCs w:val="44"/>
          <w:lang w:val="en-US" w:eastAsia="zh-CN"/>
        </w:rPr>
      </w:pPr>
    </w:p>
    <w:p w14:paraId="4475D31F">
      <w:pPr>
        <w:pStyle w:val="2"/>
        <w:rPr>
          <w:rFonts w:hint="eastAsia" w:ascii="宋体" w:hAnsi="宋体" w:cs="宋体"/>
          <w:b/>
          <w:bCs/>
          <w:color w:val="auto"/>
          <w:sz w:val="44"/>
          <w:szCs w:val="44"/>
          <w:lang w:val="en-US" w:eastAsia="zh-CN"/>
        </w:rPr>
      </w:pPr>
    </w:p>
    <w:p w14:paraId="6B2EF577">
      <w:pPr>
        <w:rPr>
          <w:rFonts w:hint="eastAsia" w:ascii="宋体" w:hAnsi="宋体" w:cs="宋体"/>
          <w:b/>
          <w:bCs/>
          <w:color w:val="auto"/>
          <w:sz w:val="44"/>
          <w:szCs w:val="44"/>
          <w:lang w:val="en-US" w:eastAsia="zh-CN"/>
        </w:rPr>
      </w:pPr>
    </w:p>
    <w:p w14:paraId="7AB7ED69">
      <w:pPr>
        <w:pStyle w:val="14"/>
        <w:rPr>
          <w:rFonts w:hint="eastAsia"/>
          <w:lang w:val="en-US" w:eastAsia="zh-CN"/>
        </w:rPr>
      </w:pPr>
    </w:p>
    <w:p w14:paraId="7DFCC22E">
      <w:pPr>
        <w:rPr>
          <w:rFonts w:hint="eastAsia"/>
          <w:lang w:val="en-US" w:eastAsia="zh-CN"/>
        </w:rPr>
      </w:pPr>
      <w:r>
        <w:rPr>
          <w:rFonts w:hint="eastAsia"/>
          <w:lang w:val="en-US" w:eastAsia="zh-CN"/>
        </w:rPr>
        <w:br w:type="page"/>
      </w:r>
    </w:p>
    <w:p w14:paraId="0DFAAEDB">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AA5E9DD">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1C623E8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558A81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AF1150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D47D2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3323C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EE173A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3C2376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314AB4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4E823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216109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一氧化氮治疗仪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C3FF2D">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CDFF9D">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32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64234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60E7F94">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455C225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015AD78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434A8AA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2778F66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43884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1.治疗用一氧化氮(NO）气体来源：电化学即时生发，或储气钢瓶</w:t>
      </w:r>
    </w:p>
    <w:p w14:paraId="7A62E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2.所生成的气体中不含有害气体NO2及金属颗粒物</w:t>
      </w:r>
    </w:p>
    <w:p w14:paraId="34E560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3.▲用99%以上浓度的氮气作为NO载气，确保气体纯度</w:t>
      </w:r>
    </w:p>
    <w:p w14:paraId="71E98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4.▲含制气模块的整机或NO气体获批国家医疗器械注册证</w:t>
      </w:r>
    </w:p>
    <w:p w14:paraId="37F56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5.NO输注浓度手动设置范围：0~99ppm，步长为1 ppm。可以满足最新临床医学专家共识要求，针对部分特殊患者治疗需求，最大输出浓度可达200ppm</w:t>
      </w:r>
    </w:p>
    <w:p w14:paraId="7CDEB8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6.NO 输出浓度精准度：当1ppm≤NO输出浓度≤4ppm, 误差不超过±0.8ppm;当5ppm≤NO输出浓度≤200ppm,误差不超过±2ppm或者±10%（取其大者）</w:t>
      </w:r>
    </w:p>
    <w:p w14:paraId="4A3896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7.▲NO 浓度监测范围及精准度：0ppm～200ppm</w:t>
      </w:r>
    </w:p>
    <w:p w14:paraId="15F2E1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8.呼吸机在15LPM 流量下，设备NO 最大输出浓度不低于65ppm，以满足各场景应用，需提供证明材料</w:t>
      </w:r>
    </w:p>
    <w:p w14:paraId="553E2E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9.在呼吸设备6L/min 分钟通气量下，设置NO 20ppm，平均NO输注流量≤1L/min，避免对呼吸设备潮气量和氧浓度的影响，需提供证明材料</w:t>
      </w:r>
    </w:p>
    <w:p w14:paraId="2CB310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10. NO生成和监测双通道独立运行，互不干扰，双重保险</w:t>
      </w:r>
    </w:p>
    <w:p w14:paraId="44158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11.设备注册证/说明书中含有一次性使用的NO输注管和气体采样管，避免交叉感染，确保特殊病人的使用安全</w:t>
      </w:r>
    </w:p>
    <w:p w14:paraId="32A44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12.设备的安全性经SCI/SCIE发表的动物或人体研究验证，且发表的期刊最新的影响因子应该超过5，以保障其权威性</w:t>
      </w:r>
    </w:p>
    <w:p w14:paraId="6E724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13.监测模块传感器类型：内置电化学传感器，含NO传感器、NO2传感器和O2传感器。</w:t>
      </w:r>
    </w:p>
    <w:p w14:paraId="6C31B6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14.报警控制：仪器支持用户对各参数（NO,NO2,O2)报警限进行设置</w:t>
      </w:r>
    </w:p>
    <w:p w14:paraId="76EC68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15.使用湿度环境：10%~70%</w:t>
      </w:r>
    </w:p>
    <w:p w14:paraId="3C6CAC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16.NO注入和采样口应该分离。采样口位置应符合2024年医学会最新临床指南要求， NO注入与采样应分离，采样位置尽可能靠近患者端。 (提供产品说明书或许产品彩页关于管路连接示意图)</w:t>
      </w:r>
    </w:p>
    <w:p w14:paraId="6F3E2F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17.设备具有开机自检功能，显示详细自检项目和结果，NO、NO2、O2浓度监测具有零点自动校准功能，确保监测值的准确性</w:t>
      </w:r>
    </w:p>
    <w:p w14:paraId="34BC02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18.设备可生成NO最高浓度＞3000 ppm</w:t>
      </w:r>
    </w:p>
    <w:p w14:paraId="363A25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19.整体机器重量包含反应体或钢瓶不超过10Kg</w:t>
      </w:r>
    </w:p>
    <w:p w14:paraId="405468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仿宋" w:hAnsi="仿宋" w:eastAsia="仿宋" w:cs="仿宋"/>
          <w:sz w:val="24"/>
          <w:szCs w:val="24"/>
        </w:rPr>
        <w:t>★</w:t>
      </w:r>
      <w:r>
        <w:rPr>
          <w:rFonts w:hint="eastAsia" w:ascii="宋体" w:hAnsi="宋体"/>
          <w:sz w:val="24"/>
          <w:szCs w:val="24"/>
          <w:lang w:val="en-US" w:eastAsia="zh-CN"/>
        </w:rPr>
        <w:t>20.专机配套耗材报价不得高于省平台中标价且不得高于下表限价：</w:t>
      </w:r>
    </w:p>
    <w:tbl>
      <w:tblPr>
        <w:tblStyle w:val="11"/>
        <w:tblpPr w:leftFromText="180" w:rightFromText="180" w:vertAnchor="text" w:horzAnchor="page" w:tblpX="1732" w:tblpY="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2979"/>
        <w:gridCol w:w="2131"/>
        <w:gridCol w:w="2131"/>
      </w:tblGrid>
      <w:tr w14:paraId="72B1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81" w:type="dxa"/>
            <w:vAlign w:val="center"/>
          </w:tcPr>
          <w:p w14:paraId="39CD6AA6">
            <w:pPr>
              <w:pStyle w:val="2"/>
              <w:ind w:left="0" w:leftChars="0" w:firstLine="0" w:firstLineChars="0"/>
              <w:jc w:val="center"/>
              <w:rPr>
                <w:rFonts w:hint="eastAsia" w:ascii="宋体" w:hAnsi="宋体" w:eastAsia="宋体" w:cs="宋体"/>
                <w:color w:val="auto"/>
                <w:sz w:val="24"/>
                <w:szCs w:val="20"/>
                <w:vertAlign w:val="baseline"/>
                <w:lang w:val="en-US" w:eastAsia="zh-CN"/>
              </w:rPr>
            </w:pPr>
            <w:r>
              <w:rPr>
                <w:rFonts w:hint="eastAsia" w:ascii="宋体" w:hAnsi="宋体" w:eastAsia="宋体" w:cs="宋体"/>
                <w:color w:val="auto"/>
                <w:sz w:val="24"/>
                <w:szCs w:val="20"/>
                <w:vertAlign w:val="baseline"/>
                <w:lang w:val="en-US" w:eastAsia="zh-CN"/>
              </w:rPr>
              <w:t>序号</w:t>
            </w:r>
          </w:p>
        </w:tc>
        <w:tc>
          <w:tcPr>
            <w:tcW w:w="2979" w:type="dxa"/>
            <w:vAlign w:val="center"/>
          </w:tcPr>
          <w:p w14:paraId="236A78A9">
            <w:pPr>
              <w:pStyle w:val="2"/>
              <w:ind w:left="0" w:leftChars="0" w:firstLine="0" w:firstLineChars="0"/>
              <w:jc w:val="center"/>
              <w:rPr>
                <w:rFonts w:hint="eastAsia" w:ascii="宋体" w:hAnsi="宋体" w:eastAsia="宋体" w:cs="宋体"/>
                <w:color w:val="auto"/>
                <w:sz w:val="24"/>
                <w:szCs w:val="20"/>
                <w:vertAlign w:val="baseline"/>
                <w:lang w:val="en-US" w:eastAsia="zh-CN"/>
              </w:rPr>
            </w:pPr>
            <w:r>
              <w:rPr>
                <w:rFonts w:hint="eastAsia" w:ascii="宋体" w:hAnsi="宋体" w:eastAsia="宋体" w:cs="宋体"/>
                <w:color w:val="auto"/>
                <w:sz w:val="24"/>
                <w:szCs w:val="20"/>
                <w:vertAlign w:val="baseline"/>
                <w:lang w:val="en-US" w:eastAsia="zh-CN"/>
              </w:rPr>
              <w:t>名称</w:t>
            </w:r>
          </w:p>
        </w:tc>
        <w:tc>
          <w:tcPr>
            <w:tcW w:w="2131" w:type="dxa"/>
            <w:vAlign w:val="center"/>
          </w:tcPr>
          <w:p w14:paraId="3674E8D5">
            <w:pPr>
              <w:pStyle w:val="2"/>
              <w:ind w:left="0" w:leftChars="0" w:firstLine="0" w:firstLineChars="0"/>
              <w:jc w:val="center"/>
              <w:rPr>
                <w:rFonts w:hint="eastAsia" w:ascii="宋体" w:hAnsi="宋体" w:eastAsia="宋体" w:cs="宋体"/>
                <w:color w:val="auto"/>
                <w:sz w:val="24"/>
                <w:szCs w:val="20"/>
                <w:vertAlign w:val="baseline"/>
                <w:lang w:val="en-US" w:eastAsia="zh-CN"/>
              </w:rPr>
            </w:pPr>
            <w:r>
              <w:rPr>
                <w:rFonts w:hint="eastAsia" w:ascii="宋体" w:hAnsi="宋体" w:eastAsia="宋体" w:cs="宋体"/>
                <w:color w:val="auto"/>
                <w:sz w:val="24"/>
                <w:szCs w:val="20"/>
                <w:vertAlign w:val="baseline"/>
                <w:lang w:val="en-US" w:eastAsia="zh-CN"/>
              </w:rPr>
              <w:t>规格</w:t>
            </w:r>
          </w:p>
        </w:tc>
        <w:tc>
          <w:tcPr>
            <w:tcW w:w="2131" w:type="dxa"/>
            <w:vAlign w:val="center"/>
          </w:tcPr>
          <w:p w14:paraId="2FE5A8A0">
            <w:pPr>
              <w:pStyle w:val="2"/>
              <w:ind w:left="0" w:leftChars="0" w:firstLine="0" w:firstLineChars="0"/>
              <w:jc w:val="center"/>
              <w:rPr>
                <w:rFonts w:hint="eastAsia" w:ascii="宋体" w:hAnsi="宋体" w:eastAsia="宋体" w:cs="宋体"/>
                <w:color w:val="auto"/>
                <w:sz w:val="24"/>
                <w:szCs w:val="20"/>
                <w:vertAlign w:val="baseline"/>
                <w:lang w:val="en-US" w:eastAsia="zh-CN"/>
              </w:rPr>
            </w:pPr>
            <w:r>
              <w:rPr>
                <w:rFonts w:hint="eastAsia" w:ascii="宋体" w:hAnsi="宋体" w:eastAsia="宋体" w:cs="宋体"/>
                <w:color w:val="auto"/>
                <w:sz w:val="24"/>
                <w:szCs w:val="20"/>
                <w:vertAlign w:val="baseline"/>
                <w:lang w:val="en-US" w:eastAsia="zh-CN"/>
              </w:rPr>
              <w:t>最高限价（元）</w:t>
            </w:r>
          </w:p>
        </w:tc>
      </w:tr>
      <w:tr w14:paraId="717F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14:paraId="70731FB2">
            <w:pPr>
              <w:pStyle w:val="2"/>
              <w:ind w:left="0" w:leftChars="0" w:firstLine="0" w:firstLineChars="0"/>
              <w:jc w:val="center"/>
              <w:rPr>
                <w:rFonts w:hint="eastAsia" w:ascii="宋体" w:hAnsi="宋体" w:eastAsia="宋体" w:cs="宋体"/>
                <w:b w:val="0"/>
                <w:bCs w:val="0"/>
                <w:color w:val="auto"/>
                <w:sz w:val="24"/>
                <w:szCs w:val="20"/>
                <w:vertAlign w:val="baseline"/>
                <w:lang w:val="en-US" w:eastAsia="zh-CN"/>
              </w:rPr>
            </w:pPr>
            <w:r>
              <w:rPr>
                <w:rFonts w:hint="eastAsia" w:ascii="宋体" w:hAnsi="宋体" w:eastAsia="宋体" w:cs="宋体"/>
                <w:b w:val="0"/>
                <w:bCs w:val="0"/>
                <w:color w:val="auto"/>
                <w:sz w:val="24"/>
                <w:szCs w:val="20"/>
                <w:vertAlign w:val="baseline"/>
                <w:lang w:val="en-US" w:eastAsia="zh-CN"/>
              </w:rPr>
              <w:t>1</w:t>
            </w:r>
          </w:p>
        </w:tc>
        <w:tc>
          <w:tcPr>
            <w:tcW w:w="2979" w:type="dxa"/>
            <w:vAlign w:val="center"/>
          </w:tcPr>
          <w:p w14:paraId="79284DD0">
            <w:pPr>
              <w:pStyle w:val="2"/>
              <w:ind w:left="0" w:leftChars="0" w:firstLine="0" w:firstLineChars="0"/>
              <w:jc w:val="center"/>
              <w:rPr>
                <w:rFonts w:hint="eastAsia" w:ascii="宋体" w:hAnsi="宋体" w:eastAsia="宋体" w:cs="宋体"/>
                <w:b w:val="0"/>
                <w:bCs w:val="0"/>
                <w:color w:val="auto"/>
                <w:sz w:val="24"/>
                <w:szCs w:val="20"/>
                <w:vertAlign w:val="baseline"/>
                <w:lang w:val="en-US" w:eastAsia="zh-CN"/>
              </w:rPr>
            </w:pPr>
            <w:r>
              <w:rPr>
                <w:rFonts w:hint="eastAsia" w:ascii="宋体" w:hAnsi="宋体" w:eastAsia="宋体" w:cs="宋体"/>
                <w:b w:val="0"/>
                <w:bCs w:val="0"/>
                <w:color w:val="auto"/>
                <w:sz w:val="24"/>
                <w:szCs w:val="20"/>
                <w:vertAlign w:val="baseline"/>
                <w:lang w:val="en-US" w:eastAsia="zh-CN"/>
              </w:rPr>
              <w:t>一氧化氮气体供气管路</w:t>
            </w:r>
          </w:p>
        </w:tc>
        <w:tc>
          <w:tcPr>
            <w:tcW w:w="2131" w:type="dxa"/>
            <w:vAlign w:val="center"/>
          </w:tcPr>
          <w:p w14:paraId="5CB62CDC">
            <w:pPr>
              <w:pStyle w:val="2"/>
              <w:jc w:val="center"/>
              <w:rPr>
                <w:rFonts w:hint="eastAsia" w:ascii="宋体" w:hAnsi="宋体" w:eastAsia="宋体" w:cs="宋体"/>
                <w:b w:val="0"/>
                <w:bCs w:val="0"/>
                <w:color w:val="auto"/>
                <w:sz w:val="24"/>
                <w:szCs w:val="20"/>
                <w:vertAlign w:val="baseline"/>
                <w:lang w:val="en-US" w:eastAsia="zh-CN"/>
              </w:rPr>
            </w:pPr>
          </w:p>
        </w:tc>
        <w:tc>
          <w:tcPr>
            <w:tcW w:w="2131" w:type="dxa"/>
            <w:vAlign w:val="center"/>
          </w:tcPr>
          <w:p w14:paraId="6F91C2C8">
            <w:pPr>
              <w:pStyle w:val="2"/>
              <w:ind w:left="0" w:leftChars="0" w:firstLine="0" w:firstLineChars="0"/>
              <w:jc w:val="center"/>
              <w:rPr>
                <w:rFonts w:hint="eastAsia" w:ascii="宋体" w:hAnsi="宋体" w:eastAsia="宋体" w:cs="宋体"/>
                <w:b w:val="0"/>
                <w:bCs w:val="0"/>
                <w:color w:val="auto"/>
                <w:sz w:val="24"/>
                <w:szCs w:val="20"/>
                <w:vertAlign w:val="baseline"/>
                <w:lang w:val="en-US" w:eastAsia="zh-CN"/>
              </w:rPr>
            </w:pPr>
            <w:r>
              <w:rPr>
                <w:rFonts w:hint="eastAsia" w:ascii="宋体" w:hAnsi="宋体" w:eastAsia="宋体" w:cs="宋体"/>
                <w:b w:val="0"/>
                <w:bCs w:val="0"/>
                <w:color w:val="auto"/>
                <w:sz w:val="24"/>
                <w:szCs w:val="20"/>
                <w:vertAlign w:val="baseline"/>
                <w:lang w:val="en-US" w:eastAsia="zh-CN"/>
              </w:rPr>
              <w:t>220</w:t>
            </w:r>
          </w:p>
        </w:tc>
      </w:tr>
      <w:tr w14:paraId="7DD5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14:paraId="03C413B0">
            <w:pPr>
              <w:pStyle w:val="2"/>
              <w:ind w:left="0" w:leftChars="0" w:firstLine="0" w:firstLineChars="0"/>
              <w:jc w:val="center"/>
              <w:rPr>
                <w:rFonts w:hint="eastAsia" w:ascii="宋体" w:hAnsi="宋体" w:eastAsia="宋体" w:cs="宋体"/>
                <w:b w:val="0"/>
                <w:bCs w:val="0"/>
                <w:color w:val="auto"/>
                <w:sz w:val="24"/>
                <w:szCs w:val="20"/>
                <w:vertAlign w:val="baseline"/>
                <w:lang w:val="en-US" w:eastAsia="zh-CN"/>
              </w:rPr>
            </w:pPr>
            <w:r>
              <w:rPr>
                <w:rFonts w:hint="eastAsia" w:ascii="宋体" w:hAnsi="宋体" w:eastAsia="宋体" w:cs="宋体"/>
                <w:b w:val="0"/>
                <w:bCs w:val="0"/>
                <w:color w:val="auto"/>
                <w:sz w:val="24"/>
                <w:szCs w:val="20"/>
                <w:vertAlign w:val="baseline"/>
                <w:lang w:val="en-US" w:eastAsia="zh-CN"/>
              </w:rPr>
              <w:t>2</w:t>
            </w:r>
          </w:p>
        </w:tc>
        <w:tc>
          <w:tcPr>
            <w:tcW w:w="2979" w:type="dxa"/>
            <w:vAlign w:val="center"/>
          </w:tcPr>
          <w:p w14:paraId="7A53E1E3">
            <w:pPr>
              <w:pStyle w:val="2"/>
              <w:ind w:left="0" w:leftChars="0" w:firstLine="0" w:firstLineChars="0"/>
              <w:jc w:val="center"/>
              <w:rPr>
                <w:rFonts w:hint="eastAsia" w:ascii="宋体" w:hAnsi="宋体" w:eastAsia="宋体" w:cs="宋体"/>
                <w:b w:val="0"/>
                <w:bCs w:val="0"/>
                <w:color w:val="auto"/>
                <w:sz w:val="24"/>
                <w:szCs w:val="20"/>
                <w:vertAlign w:val="baseline"/>
                <w:lang w:val="en-US" w:eastAsia="zh-CN"/>
              </w:rPr>
            </w:pPr>
            <w:r>
              <w:rPr>
                <w:rFonts w:hint="eastAsia" w:ascii="宋体" w:hAnsi="宋体" w:eastAsia="宋体" w:cs="宋体"/>
                <w:b w:val="0"/>
                <w:bCs w:val="0"/>
                <w:color w:val="auto"/>
                <w:sz w:val="24"/>
                <w:szCs w:val="20"/>
                <w:vertAlign w:val="baseline"/>
                <w:lang w:val="en-US" w:eastAsia="zh-CN"/>
              </w:rPr>
              <w:t>微释控反应体</w:t>
            </w:r>
          </w:p>
        </w:tc>
        <w:tc>
          <w:tcPr>
            <w:tcW w:w="2131" w:type="dxa"/>
            <w:vAlign w:val="center"/>
          </w:tcPr>
          <w:p w14:paraId="6FC971ED">
            <w:pPr>
              <w:pStyle w:val="2"/>
              <w:ind w:left="0" w:leftChars="0" w:firstLine="0" w:firstLineChars="0"/>
              <w:jc w:val="center"/>
              <w:rPr>
                <w:rFonts w:hint="eastAsia" w:ascii="宋体" w:hAnsi="宋体" w:eastAsia="宋体" w:cs="宋体"/>
                <w:b w:val="0"/>
                <w:bCs w:val="0"/>
                <w:color w:val="auto"/>
                <w:sz w:val="24"/>
                <w:szCs w:val="20"/>
                <w:vertAlign w:val="baseline"/>
                <w:lang w:val="en-US" w:eastAsia="zh-CN"/>
              </w:rPr>
            </w:pPr>
            <w:r>
              <w:rPr>
                <w:rFonts w:hint="eastAsia" w:ascii="宋体" w:hAnsi="宋体" w:eastAsia="宋体" w:cs="宋体"/>
                <w:b w:val="0"/>
                <w:bCs w:val="0"/>
                <w:color w:val="auto"/>
                <w:sz w:val="24"/>
                <w:szCs w:val="20"/>
                <w:vertAlign w:val="baseline"/>
                <w:lang w:val="en-US" w:eastAsia="zh-CN"/>
              </w:rPr>
              <w:t>INO-120小时</w:t>
            </w:r>
          </w:p>
        </w:tc>
        <w:tc>
          <w:tcPr>
            <w:tcW w:w="2131" w:type="dxa"/>
            <w:vAlign w:val="center"/>
          </w:tcPr>
          <w:p w14:paraId="194446ED">
            <w:pPr>
              <w:pStyle w:val="2"/>
              <w:ind w:left="0" w:leftChars="0" w:firstLine="0" w:firstLineChars="0"/>
              <w:jc w:val="center"/>
              <w:rPr>
                <w:rFonts w:hint="eastAsia" w:ascii="宋体" w:hAnsi="宋体" w:eastAsia="宋体" w:cs="宋体"/>
                <w:b w:val="0"/>
                <w:bCs w:val="0"/>
                <w:color w:val="auto"/>
                <w:sz w:val="24"/>
                <w:szCs w:val="20"/>
                <w:vertAlign w:val="baseline"/>
                <w:lang w:val="en-US" w:eastAsia="zh-CN"/>
              </w:rPr>
            </w:pPr>
            <w:r>
              <w:rPr>
                <w:rFonts w:hint="eastAsia" w:ascii="宋体" w:hAnsi="宋体" w:eastAsia="宋体" w:cs="宋体"/>
                <w:b w:val="0"/>
                <w:bCs w:val="0"/>
                <w:color w:val="auto"/>
                <w:sz w:val="24"/>
                <w:szCs w:val="20"/>
                <w:vertAlign w:val="baseline"/>
                <w:lang w:val="en-US" w:eastAsia="zh-CN"/>
              </w:rPr>
              <w:t>1400</w:t>
            </w:r>
          </w:p>
        </w:tc>
      </w:tr>
      <w:tr w14:paraId="61E6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14:paraId="1DD296CF">
            <w:pPr>
              <w:pStyle w:val="2"/>
              <w:ind w:left="0" w:leftChars="0" w:firstLine="0" w:firstLineChars="0"/>
              <w:jc w:val="center"/>
              <w:rPr>
                <w:rFonts w:hint="eastAsia" w:ascii="宋体" w:hAnsi="宋体" w:eastAsia="宋体" w:cs="宋体"/>
                <w:b w:val="0"/>
                <w:bCs w:val="0"/>
                <w:color w:val="auto"/>
                <w:sz w:val="24"/>
                <w:szCs w:val="20"/>
                <w:vertAlign w:val="baseline"/>
                <w:lang w:val="en-US" w:eastAsia="zh-CN"/>
              </w:rPr>
            </w:pPr>
            <w:r>
              <w:rPr>
                <w:rFonts w:hint="eastAsia" w:ascii="宋体" w:hAnsi="宋体" w:eastAsia="宋体" w:cs="宋体"/>
                <w:b w:val="0"/>
                <w:bCs w:val="0"/>
                <w:color w:val="auto"/>
                <w:sz w:val="24"/>
                <w:szCs w:val="20"/>
                <w:vertAlign w:val="baseline"/>
                <w:lang w:val="en-US" w:eastAsia="zh-CN"/>
              </w:rPr>
              <w:t>3</w:t>
            </w:r>
          </w:p>
        </w:tc>
        <w:tc>
          <w:tcPr>
            <w:tcW w:w="2979" w:type="dxa"/>
            <w:vAlign w:val="center"/>
          </w:tcPr>
          <w:p w14:paraId="3E561F60">
            <w:pPr>
              <w:jc w:val="center"/>
              <w:rPr>
                <w:rFonts w:hint="eastAsia" w:ascii="宋体" w:hAnsi="宋体" w:eastAsia="宋体" w:cs="宋体"/>
                <w:b w:val="0"/>
                <w:bCs w:val="0"/>
                <w:color w:val="auto"/>
                <w:sz w:val="24"/>
                <w:szCs w:val="20"/>
                <w:vertAlign w:val="baseline"/>
                <w:lang w:val="en-US" w:eastAsia="zh-CN"/>
              </w:rPr>
            </w:pPr>
            <w:r>
              <w:rPr>
                <w:rFonts w:hint="eastAsia" w:ascii="宋体" w:hAnsi="宋体" w:eastAsia="宋体" w:cs="宋体"/>
                <w:b w:val="0"/>
                <w:bCs w:val="0"/>
                <w:color w:val="auto"/>
                <w:sz w:val="24"/>
                <w:szCs w:val="20"/>
                <w:vertAlign w:val="baseline"/>
                <w:lang w:val="en-US" w:eastAsia="zh-CN"/>
              </w:rPr>
              <w:t>微释控反应体</w:t>
            </w:r>
          </w:p>
        </w:tc>
        <w:tc>
          <w:tcPr>
            <w:tcW w:w="2131" w:type="dxa"/>
            <w:vAlign w:val="center"/>
          </w:tcPr>
          <w:p w14:paraId="0EC951E6">
            <w:pPr>
              <w:jc w:val="center"/>
              <w:rPr>
                <w:rFonts w:hint="eastAsia" w:ascii="宋体" w:hAnsi="宋体" w:eastAsia="宋体" w:cs="宋体"/>
                <w:b w:val="0"/>
                <w:bCs w:val="0"/>
                <w:color w:val="auto"/>
                <w:sz w:val="24"/>
                <w:szCs w:val="20"/>
                <w:vertAlign w:val="baseline"/>
                <w:lang w:val="en-US" w:eastAsia="zh-CN"/>
              </w:rPr>
            </w:pPr>
            <w:r>
              <w:rPr>
                <w:rFonts w:hint="eastAsia" w:ascii="宋体" w:hAnsi="宋体" w:eastAsia="宋体" w:cs="宋体"/>
                <w:b w:val="0"/>
                <w:bCs w:val="0"/>
                <w:color w:val="auto"/>
                <w:sz w:val="24"/>
                <w:szCs w:val="20"/>
                <w:vertAlign w:val="baseline"/>
                <w:lang w:val="en-US" w:eastAsia="zh-CN"/>
              </w:rPr>
              <w:t>INO-180小时</w:t>
            </w:r>
          </w:p>
        </w:tc>
        <w:tc>
          <w:tcPr>
            <w:tcW w:w="2131" w:type="dxa"/>
            <w:vAlign w:val="center"/>
          </w:tcPr>
          <w:p w14:paraId="6F057A80">
            <w:pPr>
              <w:pStyle w:val="2"/>
              <w:ind w:left="0" w:leftChars="0" w:firstLine="0" w:firstLineChars="0"/>
              <w:jc w:val="center"/>
              <w:rPr>
                <w:rFonts w:hint="eastAsia" w:ascii="宋体" w:hAnsi="宋体" w:eastAsia="宋体" w:cs="宋体"/>
                <w:b w:val="0"/>
                <w:bCs w:val="0"/>
                <w:color w:val="auto"/>
                <w:sz w:val="24"/>
                <w:szCs w:val="20"/>
                <w:vertAlign w:val="baseline"/>
                <w:lang w:val="en-US" w:eastAsia="zh-CN"/>
              </w:rPr>
            </w:pPr>
            <w:r>
              <w:rPr>
                <w:rFonts w:hint="eastAsia" w:ascii="宋体" w:hAnsi="宋体" w:eastAsia="宋体" w:cs="宋体"/>
                <w:b w:val="0"/>
                <w:bCs w:val="0"/>
                <w:color w:val="auto"/>
                <w:sz w:val="24"/>
                <w:szCs w:val="20"/>
                <w:vertAlign w:val="baseline"/>
                <w:lang w:val="en-US" w:eastAsia="zh-CN"/>
              </w:rPr>
              <w:t>1680</w:t>
            </w:r>
          </w:p>
        </w:tc>
      </w:tr>
    </w:tbl>
    <w:p w14:paraId="6B090AD9">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24D930C">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3AB938B2">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474AD72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78AFEA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410D0A3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92DEE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07C81A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2、交货时间：按合同约定的日期交货。</w:t>
      </w:r>
    </w:p>
    <w:p w14:paraId="2E0A21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3、交货地点：娄底市中心医院指定地点。</w:t>
      </w:r>
    </w:p>
    <w:p w14:paraId="2A649F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4、付款方式：设备验收合格后，供应商将发票交到娄底市中心医院后按程序支付货款9</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%（按医院财务制度一般情况下4个月内支付、特殊情况下最多不超过6个月），甲方在设备</w:t>
      </w:r>
      <w:r>
        <w:rPr>
          <w:rFonts w:hint="eastAsia" w:ascii="宋体" w:hAnsi="宋体" w:cs="宋体"/>
          <w:color w:val="auto"/>
          <w:sz w:val="24"/>
          <w:szCs w:val="24"/>
          <w:lang w:val="en-US" w:eastAsia="zh-CN"/>
        </w:rPr>
        <w:t>质保期届满且</w:t>
      </w:r>
      <w:r>
        <w:rPr>
          <w:rFonts w:hint="eastAsia" w:ascii="宋体" w:hAnsi="宋体" w:eastAsia="宋体" w:cs="宋体"/>
          <w:color w:val="000000" w:themeColor="text1"/>
          <w:sz w:val="24"/>
          <w14:textFill>
            <w14:solidFill>
              <w14:schemeClr w14:val="tx1"/>
            </w14:solidFill>
          </w14:textFill>
        </w:rPr>
        <w:t>不存在需被扣除情形</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%余款给乙方。</w:t>
      </w:r>
    </w:p>
    <w:p w14:paraId="7EBA2F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 xml:space="preserve">5、质保与售后：整机保修 </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520B5F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112E10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p>
    <w:p w14:paraId="5FC00F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41211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182DC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7156F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37197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17255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227D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99AB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C82A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200E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54A47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1D388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DFE3FEF">
      <w:pPr>
        <w:keepNext w:val="0"/>
        <w:keepLines w:val="0"/>
        <w:pageBreakBefore w:val="0"/>
        <w:widowControl w:val="0"/>
        <w:kinsoku/>
        <w:wordWrap/>
        <w:overflowPunct/>
        <w:topLinePunct w:val="0"/>
        <w:autoSpaceDE/>
        <w:autoSpaceDN/>
        <w:bidi w:val="0"/>
        <w:adjustRightInd/>
        <w:snapToGrid/>
        <w:spacing w:line="520" w:lineRule="exact"/>
        <w:ind w:firstLine="6720" w:firstLineChars="2800"/>
        <w:textAlignment w:val="auto"/>
        <w:rPr>
          <w:rFonts w:hint="eastAsia" w:ascii="宋体" w:hAnsi="宋体" w:eastAsia="宋体" w:cs="宋体"/>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合同编号：</w:t>
      </w:r>
    </w:p>
    <w:p w14:paraId="5DE77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5887DD5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6F445FC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28B557E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4FF9499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15A30D1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5364053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34C4B26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7218A9E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36F8EE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33A7DAE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06E9888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lang w:val="en-US" w:eastAsia="zh-CN"/>
          <w14:textFill>
            <w14:solidFill>
              <w14:schemeClr w14:val="tx1"/>
            </w14:solidFill>
          </w14:textFill>
        </w:rPr>
        <w:t>公开招标</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一氧化痰治疗仪</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一氧化痰治疗仪</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1A6DBC6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0"/>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1283"/>
        <w:gridCol w:w="145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43"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283"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43" w:type="dxa"/>
            <w:vAlign w:val="center"/>
          </w:tcPr>
          <w:p w14:paraId="243DDE05">
            <w:pPr>
              <w:widowControl/>
              <w:spacing w:line="32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sz w:val="24"/>
                <w:lang w:eastAsia="zh-CN"/>
              </w:rPr>
              <w:t>一氧化痰治疗仪</w:t>
            </w:r>
          </w:p>
        </w:tc>
        <w:tc>
          <w:tcPr>
            <w:tcW w:w="1283" w:type="dxa"/>
            <w:vAlign w:val="center"/>
          </w:tcPr>
          <w:p w14:paraId="747B32D7">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355A57D2">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65E7D48D">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09D2071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sz w:val="24"/>
                <w:lang w:val="en-US" w:eastAsia="zh-CN"/>
              </w:rPr>
              <w:t>1台</w:t>
            </w:r>
          </w:p>
        </w:tc>
        <w:tc>
          <w:tcPr>
            <w:tcW w:w="1388" w:type="dxa"/>
            <w:vAlign w:val="center"/>
          </w:tcPr>
          <w:p w14:paraId="59666CA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010A8EF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w:t>
      </w:r>
    </w:p>
    <w:p w14:paraId="7A16CD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6B4626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2E34A2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5F4B0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.1.2 本合同约定价格为固定总价，不因物价、市场波动变更，约定价格包括且不限于设计费、材料费、人工费、安装费、包装费、运输费、装卸费、调试费、接口费、检测费、检验费、税费、保险费、售后服务费、附随服务费等在内所有费用。</w:t>
      </w:r>
    </w:p>
    <w:p w14:paraId="759401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本合同设备无需与甲方使用的信息系统对接。</w:t>
      </w:r>
    </w:p>
    <w:p w14:paraId="49FA2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0"/>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3A6F5663">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68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04EC64F8">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3C9">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C8A3">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6B67F95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1993F5C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71A">
            <w:pPr>
              <w:pStyle w:val="2"/>
              <w:ind w:left="0" w:leftChars="0" w:firstLine="0" w:firstLineChars="0"/>
              <w:jc w:val="center"/>
              <w:rPr>
                <w:rFonts w:hint="eastAsia" w:asciiTheme="minorHAnsi" w:hAnsiTheme="minorHAnsi" w:eastAsiaTheme="minorEastAsia" w:cstheme="minorBidi"/>
                <w:color w:val="auto"/>
                <w:kern w:val="0"/>
                <w:sz w:val="24"/>
                <w:szCs w:val="24"/>
                <w:vertAlign w:val="baseline"/>
                <w:lang w:val="en-US" w:eastAsia="zh-CN" w:bidi="ar-SA"/>
              </w:rPr>
            </w:pPr>
            <w:r>
              <w:rPr>
                <w:rFonts w:hint="eastAsia"/>
                <w:color w:val="auto"/>
                <w:vertAlign w:val="baseline"/>
                <w:lang w:val="en-US" w:eastAsia="zh-CN"/>
              </w:rPr>
              <w:t>一氧化氮气体供气管路</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413A3406">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44C">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D40">
            <w:pPr>
              <w:spacing w:beforeLines="0" w:afterLines="0"/>
              <w:jc w:val="center"/>
              <w:rPr>
                <w:rFonts w:hint="eastAsia" w:ascii="宋体" w:hAnsi="宋体" w:eastAsiaTheme="minorEastAsia" w:cstheme="minorBidi"/>
                <w:color w:val="000000"/>
                <w:kern w:val="2"/>
                <w:sz w:val="18"/>
                <w:szCs w:val="18"/>
                <w:lang w:val="en-US" w:eastAsia="zh-CN" w:bidi="ar-SA"/>
              </w:rPr>
            </w:pPr>
          </w:p>
        </w:tc>
      </w:tr>
      <w:tr w14:paraId="4DBD3C6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06EE">
            <w:pPr>
              <w:pStyle w:val="2"/>
              <w:ind w:left="0" w:leftChars="0" w:firstLine="0" w:firstLineChars="0"/>
              <w:jc w:val="center"/>
              <w:rPr>
                <w:rFonts w:hint="eastAsia" w:asciiTheme="minorHAnsi" w:hAnsiTheme="minorHAnsi" w:eastAsiaTheme="minorEastAsia" w:cstheme="minorBidi"/>
                <w:color w:val="auto"/>
                <w:kern w:val="0"/>
                <w:sz w:val="24"/>
                <w:szCs w:val="24"/>
                <w:vertAlign w:val="baseline"/>
                <w:lang w:val="en-US" w:eastAsia="zh-CN" w:bidi="ar-SA"/>
              </w:rPr>
            </w:pPr>
            <w:r>
              <w:rPr>
                <w:rFonts w:hint="eastAsia"/>
                <w:color w:val="auto"/>
                <w:vertAlign w:val="baseline"/>
                <w:lang w:val="en-US" w:eastAsia="zh-CN"/>
              </w:rPr>
              <w:t>微释控反应体</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009F3D67">
            <w:pPr>
              <w:pStyle w:val="2"/>
              <w:ind w:left="0" w:leftChars="0" w:firstLine="0" w:firstLineChars="0"/>
              <w:jc w:val="center"/>
              <w:rPr>
                <w:rFonts w:hint="eastAsia" w:asciiTheme="minorHAnsi" w:hAnsiTheme="minorHAnsi" w:eastAsiaTheme="minorEastAsia" w:cstheme="minorBidi"/>
                <w:color w:val="auto"/>
                <w:kern w:val="0"/>
                <w:sz w:val="24"/>
                <w:szCs w:val="24"/>
                <w:vertAlign w:val="baseline"/>
                <w:lang w:val="en-US" w:eastAsia="zh-CN" w:bidi="ar-SA"/>
              </w:rPr>
            </w:pPr>
            <w:r>
              <w:rPr>
                <w:rFonts w:hint="eastAsia"/>
                <w:color w:val="auto"/>
                <w:vertAlign w:val="baseline"/>
                <w:lang w:val="en-US" w:eastAsia="zh-CN"/>
              </w:rPr>
              <w:t>INO-120小时</w:t>
            </w: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3A31596E">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5566">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FE24">
            <w:pPr>
              <w:spacing w:beforeLines="0" w:afterLines="0"/>
              <w:jc w:val="center"/>
              <w:rPr>
                <w:rFonts w:hint="eastAsia" w:ascii="宋体" w:hAnsi="宋体" w:eastAsiaTheme="minorEastAsia" w:cstheme="minorBidi"/>
                <w:color w:val="000000"/>
                <w:kern w:val="2"/>
                <w:sz w:val="18"/>
                <w:szCs w:val="18"/>
                <w:lang w:val="en-US" w:eastAsia="zh-CN" w:bidi="ar-SA"/>
              </w:rPr>
            </w:pPr>
          </w:p>
        </w:tc>
      </w:tr>
      <w:tr w14:paraId="4C526B21">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5B85">
            <w:pPr>
              <w:jc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微释控反应体</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71E9F86D">
            <w:pPr>
              <w:jc w:val="center"/>
              <w:rPr>
                <w:rFonts w:hint="eastAsia" w:asciiTheme="minorHAnsi" w:hAnsiTheme="minorHAnsi" w:eastAsiaTheme="minorEastAsia" w:cstheme="minorBidi"/>
                <w:color w:val="auto"/>
                <w:kern w:val="2"/>
                <w:sz w:val="21"/>
                <w:szCs w:val="24"/>
                <w:vertAlign w:val="baseline"/>
                <w:lang w:val="en-US" w:eastAsia="zh-CN" w:bidi="ar-SA"/>
              </w:rPr>
            </w:pPr>
            <w:r>
              <w:rPr>
                <w:rFonts w:hint="eastAsia"/>
                <w:color w:val="auto"/>
                <w:vertAlign w:val="baseline"/>
                <w:lang w:val="en-US" w:eastAsia="zh-CN"/>
              </w:rPr>
              <w:t>INO-180小时</w:t>
            </w: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6A72E602">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C5BF">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6B45">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15674ED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sz w:val="24"/>
          <w:u w:val="single"/>
          <w:lang w:eastAsia="zh-CN"/>
          <w14:textFill>
            <w14:solidFill>
              <w14:schemeClr w14:val="tx1"/>
            </w14:solidFill>
          </w14:textFill>
        </w:rPr>
        <w:t>一氧化痰治疗仪</w:t>
      </w:r>
      <w:r>
        <w:rPr>
          <w:rFonts w:hint="eastAsia" w:ascii="宋体" w:hAnsi="宋体" w:eastAsia="宋体" w:cs="宋体"/>
          <w:color w:val="000000" w:themeColor="text1"/>
          <w:sz w:val="24"/>
          <w14:textFill>
            <w14:solidFill>
              <w14:schemeClr w14:val="tx1"/>
            </w14:solidFill>
          </w14:textFill>
        </w:rPr>
        <w:t>设</w:t>
      </w:r>
      <w:r>
        <w:rPr>
          <w:rFonts w:hint="eastAsia" w:ascii="宋体" w:hAnsi="宋体" w:eastAsia="宋体" w:cs="宋体"/>
          <w:color w:val="000000" w:themeColor="text1"/>
          <w:kern w:val="0"/>
          <w:sz w:val="24"/>
          <w14:textFill>
            <w14:solidFill>
              <w14:schemeClr w14:val="tx1"/>
            </w14:solidFill>
          </w14:textFill>
        </w:rPr>
        <w:t>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5E16636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4D2450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112707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426283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46CDBA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20DD36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lang w:val="en-US" w:eastAsia="zh-CN"/>
          <w14:textFill>
            <w14:solidFill>
              <w14:schemeClr w14:val="tx1"/>
            </w14:solidFill>
          </w14:textFill>
        </w:rPr>
        <w:t>邓时敏</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19705D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9E98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B3DAE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86E9A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361C317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7248283@qq.com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w:t>
      </w:r>
    </w:p>
    <w:p w14:paraId="228201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5E810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7CB7F69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7911B64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A8961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4A090C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5838E1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伍</w:t>
      </w:r>
      <w:r>
        <w:rPr>
          <w:rFonts w:hint="eastAsia" w:ascii="宋体" w:hAnsi="宋体" w:eastAsia="宋体" w:cs="宋体"/>
          <w:color w:val="000000" w:themeColor="text1"/>
          <w:sz w:val="24"/>
          <w14:textFill>
            <w14:solidFill>
              <w14:schemeClr w14:val="tx1"/>
            </w14:solidFill>
          </w14:textFill>
        </w:rPr>
        <w:t>份，甲方执</w:t>
      </w:r>
      <w:r>
        <w:rPr>
          <w:rFonts w:hint="eastAsia" w:ascii="宋体" w:hAnsi="宋体" w:eastAsia="宋体" w:cs="宋体"/>
          <w:color w:val="000000" w:themeColor="text1"/>
          <w:sz w:val="24"/>
          <w:lang w:val="en-US" w:eastAsia="zh-CN"/>
          <w14:textFill>
            <w14:solidFill>
              <w14:schemeClr w14:val="tx1"/>
            </w14:solidFill>
          </w14:textFill>
        </w:rPr>
        <w:t>肆</w:t>
      </w:r>
      <w:r>
        <w:rPr>
          <w:rFonts w:hint="eastAsia" w:ascii="宋体" w:hAnsi="宋体" w:eastAsia="宋体" w:cs="宋体"/>
          <w:color w:val="000000" w:themeColor="text1"/>
          <w:sz w:val="24"/>
          <w14:textFill>
            <w14:solidFill>
              <w14:schemeClr w14:val="tx1"/>
            </w14:solidFill>
          </w14:textFill>
        </w:rPr>
        <w:t>份、乙方执壹份，自双方签字并盖章后生效。</w:t>
      </w:r>
    </w:p>
    <w:p w14:paraId="1117EF11">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14FDADB0">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2"/>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03F3F8E">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094475EA">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2"/>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35A7DD21">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212286B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4B5D8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B3F22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71A45D00">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C23E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418C8329">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0EA25A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0E14E99C">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05A29BD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0ED45F0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11785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412CD0E">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3BEA03D7">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38429E02">
            <w:pPr>
              <w:jc w:val="center"/>
              <w:rPr>
                <w:rFonts w:hint="eastAsia" w:ascii="仿宋" w:hAnsi="仿宋" w:eastAsia="仿宋" w:cs="仿宋"/>
                <w:sz w:val="24"/>
                <w:szCs w:val="24"/>
              </w:rPr>
            </w:pPr>
            <w:r>
              <w:rPr>
                <w:rFonts w:hint="eastAsia" w:ascii="仿宋" w:hAnsi="仿宋" w:eastAsia="仿宋" w:cs="仿宋"/>
                <w:sz w:val="24"/>
                <w:szCs w:val="24"/>
              </w:rPr>
              <w:t>50%（设备45%+专机耗材5%）</w:t>
            </w:r>
          </w:p>
        </w:tc>
      </w:tr>
      <w:tr w14:paraId="5FE69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3013483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05036993">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314324F9">
            <w:pPr>
              <w:jc w:val="center"/>
              <w:rPr>
                <w:rFonts w:hint="eastAsia" w:ascii="仿宋" w:hAnsi="仿宋" w:eastAsia="仿宋" w:cs="仿宋"/>
                <w:sz w:val="24"/>
                <w:szCs w:val="24"/>
              </w:rPr>
            </w:pPr>
            <w:r>
              <w:rPr>
                <w:rFonts w:hint="eastAsia" w:ascii="仿宋" w:hAnsi="仿宋" w:eastAsia="仿宋" w:cs="仿宋"/>
                <w:sz w:val="24"/>
                <w:szCs w:val="24"/>
              </w:rPr>
              <w:t>40%</w:t>
            </w:r>
          </w:p>
        </w:tc>
      </w:tr>
      <w:tr w14:paraId="283CC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3A99A676">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0F05707">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0779B7C0">
            <w:pPr>
              <w:jc w:val="center"/>
              <w:rPr>
                <w:rFonts w:hint="eastAsia" w:ascii="仿宋" w:hAnsi="仿宋" w:eastAsia="仿宋" w:cs="仿宋"/>
                <w:sz w:val="24"/>
                <w:szCs w:val="24"/>
              </w:rPr>
            </w:pPr>
            <w:r>
              <w:rPr>
                <w:rFonts w:hint="eastAsia" w:ascii="仿宋" w:hAnsi="仿宋" w:eastAsia="仿宋" w:cs="仿宋"/>
                <w:sz w:val="24"/>
                <w:szCs w:val="24"/>
              </w:rPr>
              <w:t>10%</w:t>
            </w:r>
          </w:p>
        </w:tc>
      </w:tr>
      <w:tr w14:paraId="744CD1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7E4687BD">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20694CF8">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4FE72B7E">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2E5BAB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0330226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256288D0">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5F43CEEF">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3CB0A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22A35888">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6A284B07">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17A7F1D4">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1501B3C0">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设备价格权值占比为45%，专机专用耗材价格权值占比为5%；报价总分＝设备报价得分＋专机专用耗材报价得分。投标人的价格分统一按照以下公式计算：</w:t>
            </w:r>
          </w:p>
          <w:p w14:paraId="05FB6B98">
            <w:pPr>
              <w:jc w:val="left"/>
              <w:rPr>
                <w:rFonts w:hint="eastAsia" w:ascii="仿宋" w:hAnsi="仿宋" w:eastAsia="仿宋" w:cs="仿宋"/>
                <w:sz w:val="24"/>
                <w:szCs w:val="24"/>
              </w:rPr>
            </w:pPr>
            <w:r>
              <w:rPr>
                <w:rFonts w:hint="eastAsia" w:ascii="仿宋" w:hAnsi="仿宋" w:eastAsia="仿宋" w:cs="仿宋"/>
                <w:sz w:val="24"/>
                <w:szCs w:val="24"/>
              </w:rPr>
              <w:t>设备投标报价得分</w:t>
            </w:r>
            <w:bookmarkStart w:id="5" w:name="_GoBack"/>
            <w:bookmarkEnd w:id="5"/>
            <w:r>
              <w:rPr>
                <w:rFonts w:hint="eastAsia" w:ascii="仿宋" w:hAnsi="仿宋" w:eastAsia="仿宋" w:cs="仿宋"/>
                <w:sz w:val="24"/>
                <w:szCs w:val="24"/>
              </w:rPr>
              <w:t>=（评标基准价/投标报价）×价格权值×100</w:t>
            </w:r>
          </w:p>
          <w:p w14:paraId="37E2DBA0">
            <w:pPr>
              <w:jc w:val="left"/>
              <w:rPr>
                <w:rFonts w:hint="eastAsia" w:ascii="仿宋" w:hAnsi="仿宋" w:eastAsia="仿宋" w:cs="仿宋"/>
                <w:sz w:val="24"/>
                <w:szCs w:val="24"/>
              </w:rPr>
            </w:pPr>
            <w:r>
              <w:rPr>
                <w:rFonts w:hint="eastAsia" w:ascii="仿宋" w:hAnsi="仿宋" w:eastAsia="仿宋" w:cs="仿宋"/>
                <w:sz w:val="24"/>
                <w:szCs w:val="24"/>
              </w:rPr>
              <w:t>专机专用耗材投标报价得分=（评标基准价/投标报价）×价格权值×100</w:t>
            </w:r>
          </w:p>
          <w:p w14:paraId="33A29A7D">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E20A07">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3B5C4888">
      <w:pPr>
        <w:jc w:val="center"/>
        <w:rPr>
          <w:rFonts w:hint="eastAsia" w:ascii="仿宋" w:hAnsi="仿宋" w:eastAsia="仿宋" w:cs="仿宋"/>
          <w:sz w:val="24"/>
          <w:szCs w:val="24"/>
        </w:rPr>
      </w:pPr>
    </w:p>
    <w:p w14:paraId="7F5B6356">
      <w:pPr>
        <w:jc w:val="center"/>
        <w:rPr>
          <w:rFonts w:hint="eastAsia" w:ascii="仿宋" w:hAnsi="仿宋" w:eastAsia="仿宋" w:cs="仿宋"/>
          <w:sz w:val="24"/>
          <w:szCs w:val="24"/>
        </w:rPr>
      </w:pPr>
    </w:p>
    <w:p w14:paraId="1FF95089">
      <w:pPr>
        <w:jc w:val="center"/>
        <w:rPr>
          <w:rFonts w:hint="eastAsia" w:ascii="仿宋" w:hAnsi="仿宋" w:eastAsia="仿宋" w:cs="仿宋"/>
          <w:sz w:val="24"/>
          <w:szCs w:val="24"/>
        </w:rPr>
      </w:pPr>
    </w:p>
    <w:p w14:paraId="48DCF75E">
      <w:pPr>
        <w:jc w:val="center"/>
        <w:rPr>
          <w:rFonts w:hint="eastAsia" w:ascii="仿宋" w:hAnsi="仿宋" w:eastAsia="仿宋" w:cs="仿宋"/>
          <w:sz w:val="24"/>
          <w:szCs w:val="24"/>
        </w:rPr>
      </w:pPr>
    </w:p>
    <w:p w14:paraId="7974162D">
      <w:pPr>
        <w:jc w:val="center"/>
        <w:rPr>
          <w:rFonts w:hint="eastAsia" w:ascii="仿宋" w:hAnsi="仿宋" w:eastAsia="仿宋" w:cs="仿宋"/>
          <w:sz w:val="24"/>
          <w:szCs w:val="24"/>
        </w:rPr>
      </w:pPr>
      <w:r>
        <w:rPr>
          <w:rFonts w:hint="eastAsia" w:ascii="仿宋" w:hAnsi="仿宋" w:eastAsia="仿宋" w:cs="仿宋"/>
          <w:sz w:val="24"/>
          <w:szCs w:val="24"/>
        </w:rPr>
        <w:br w:type="page"/>
      </w:r>
    </w:p>
    <w:p w14:paraId="13A54B08">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25E611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72ADBDF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5A86A9F4">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56C8154D">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147B2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52D32982">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5B939C53">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1AAB31A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7EB723E0">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1391048C">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0E688C5A">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1184F738">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1EFBD485">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4669E978">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01970AF9">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02AEE61F">
      <w:pPr>
        <w:jc w:val="center"/>
        <w:rPr>
          <w:rFonts w:hint="eastAsia" w:ascii="仿宋" w:hAnsi="仿宋" w:eastAsia="仿宋" w:cs="仿宋"/>
          <w:sz w:val="24"/>
          <w:szCs w:val="24"/>
        </w:rPr>
      </w:pPr>
    </w:p>
    <w:p w14:paraId="61ED0FE1">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22383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43C85B9E">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32B8937C">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0D058063">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24491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1F0C423B">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7620A79C">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2B5BFD8A">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513841DC">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13584F7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37C3F1BF">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4C7D1820">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0ACA4F3E">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624086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4890118F">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52D7E2E5">
            <w:pPr>
              <w:jc w:val="center"/>
              <w:rPr>
                <w:rFonts w:hint="eastAsia" w:ascii="仿宋" w:hAnsi="仿宋" w:eastAsia="仿宋" w:cs="仿宋"/>
                <w:sz w:val="24"/>
                <w:szCs w:val="24"/>
              </w:rPr>
            </w:pPr>
          </w:p>
        </w:tc>
        <w:tc>
          <w:tcPr>
            <w:tcW w:w="1377" w:type="dxa"/>
            <w:tcBorders>
              <w:tl2br w:val="nil"/>
              <w:tr2bl w:val="nil"/>
            </w:tcBorders>
            <w:noWrap w:val="0"/>
            <w:vAlign w:val="center"/>
          </w:tcPr>
          <w:p w14:paraId="6A83972D">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5ED090F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5C971A9C">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2D59C56D">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257A8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1CF90431">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729DBDEF">
            <w:pPr>
              <w:jc w:val="center"/>
              <w:rPr>
                <w:rFonts w:hint="eastAsia" w:ascii="仿宋" w:hAnsi="仿宋" w:eastAsia="仿宋" w:cs="仿宋"/>
                <w:sz w:val="24"/>
                <w:szCs w:val="24"/>
              </w:rPr>
            </w:pPr>
          </w:p>
        </w:tc>
        <w:tc>
          <w:tcPr>
            <w:tcW w:w="1377" w:type="dxa"/>
            <w:tcBorders>
              <w:tl2br w:val="nil"/>
              <w:tr2bl w:val="nil"/>
            </w:tcBorders>
            <w:noWrap w:val="0"/>
            <w:vAlign w:val="center"/>
          </w:tcPr>
          <w:p w14:paraId="4129578B">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4B2468F8">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294B983C">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2B6B252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B7C070E">
      <w:pPr>
        <w:pStyle w:val="4"/>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4EEB1BD">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7C808AD0">
      <w:pPr>
        <w:rPr>
          <w:rFonts w:hint="eastAsia" w:ascii="宋体" w:hAnsi="宋体" w:cs="宋体"/>
          <w:color w:val="auto"/>
        </w:rPr>
      </w:pPr>
    </w:p>
    <w:bookmarkEnd w:id="2"/>
    <w:p w14:paraId="5B5E9C93">
      <w:pPr>
        <w:rPr>
          <w:rFonts w:hint="eastAsia"/>
          <w:color w:val="auto"/>
        </w:rPr>
      </w:pPr>
    </w:p>
    <w:p w14:paraId="723D0C45">
      <w:pPr>
        <w:jc w:val="center"/>
        <w:rPr>
          <w:b/>
          <w:color w:val="auto"/>
          <w:sz w:val="24"/>
        </w:rPr>
      </w:pPr>
      <w:r>
        <w:rPr>
          <w:b/>
          <w:color w:val="auto"/>
          <w:sz w:val="28"/>
          <w:szCs w:val="28"/>
        </w:rPr>
        <w:t>第一部分、开标一览表</w:t>
      </w:r>
    </w:p>
    <w:p w14:paraId="24239725">
      <w:pPr>
        <w:jc w:val="center"/>
        <w:rPr>
          <w:b/>
          <w:color w:val="auto"/>
          <w:sz w:val="24"/>
        </w:rPr>
      </w:pPr>
    </w:p>
    <w:p w14:paraId="5893F606">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138468EC">
      <w:pPr>
        <w:pStyle w:val="18"/>
        <w:rPr>
          <w:color w:val="auto"/>
        </w:rPr>
      </w:pPr>
    </w:p>
    <w:p w14:paraId="33C0C235">
      <w:pPr>
        <w:adjustRightInd w:val="0"/>
        <w:snapToGrid w:val="0"/>
        <w:spacing w:line="360" w:lineRule="auto"/>
        <w:jc w:val="center"/>
        <w:rPr>
          <w:rFonts w:hint="eastAsia" w:ascii="宋体" w:hAnsi="宋体" w:cs="宋体"/>
          <w:b/>
          <w:color w:val="auto"/>
          <w:sz w:val="28"/>
          <w:szCs w:val="28"/>
        </w:rPr>
      </w:pPr>
    </w:p>
    <w:p w14:paraId="4ABC0B80">
      <w:pPr>
        <w:adjustRightInd w:val="0"/>
        <w:snapToGrid w:val="0"/>
        <w:spacing w:line="360" w:lineRule="auto"/>
        <w:jc w:val="center"/>
        <w:rPr>
          <w:rFonts w:hint="eastAsia" w:ascii="宋体" w:hAnsi="宋体" w:cs="宋体"/>
          <w:b/>
          <w:color w:val="auto"/>
          <w:sz w:val="28"/>
          <w:szCs w:val="28"/>
        </w:rPr>
      </w:pPr>
    </w:p>
    <w:p w14:paraId="6AFBCDDB">
      <w:pPr>
        <w:adjustRightInd w:val="0"/>
        <w:snapToGrid w:val="0"/>
        <w:spacing w:line="360" w:lineRule="auto"/>
        <w:jc w:val="center"/>
        <w:rPr>
          <w:rFonts w:hint="eastAsia" w:ascii="宋体" w:hAnsi="宋体" w:cs="宋体"/>
          <w:b/>
          <w:color w:val="auto"/>
          <w:sz w:val="28"/>
          <w:szCs w:val="28"/>
        </w:rPr>
      </w:pPr>
    </w:p>
    <w:p w14:paraId="2FBADA48">
      <w:pPr>
        <w:adjustRightInd w:val="0"/>
        <w:snapToGrid w:val="0"/>
        <w:spacing w:line="360" w:lineRule="auto"/>
        <w:jc w:val="center"/>
        <w:rPr>
          <w:rFonts w:hint="eastAsia" w:ascii="宋体" w:hAnsi="宋体" w:cs="宋体"/>
          <w:b/>
          <w:color w:val="auto"/>
          <w:sz w:val="28"/>
          <w:szCs w:val="28"/>
        </w:rPr>
      </w:pPr>
    </w:p>
    <w:p w14:paraId="11A8F835">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575C5CAE">
      <w:pPr>
        <w:pStyle w:val="17"/>
        <w:rPr>
          <w:rFonts w:hint="eastAsia"/>
          <w:lang w:eastAsia="zh-CN"/>
        </w:rPr>
      </w:pPr>
    </w:p>
    <w:p w14:paraId="49CA7F92">
      <w:pPr>
        <w:adjustRightInd w:val="0"/>
        <w:snapToGrid w:val="0"/>
        <w:spacing w:line="360" w:lineRule="auto"/>
        <w:jc w:val="center"/>
        <w:rPr>
          <w:rFonts w:hint="eastAsia" w:ascii="宋体" w:hAnsi="宋体" w:cs="宋体"/>
          <w:b/>
          <w:color w:val="auto"/>
          <w:sz w:val="24"/>
          <w:szCs w:val="20"/>
        </w:rPr>
      </w:pPr>
    </w:p>
    <w:p w14:paraId="1435F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8AA142C">
      <w:pPr>
        <w:adjustRightInd w:val="0"/>
        <w:snapToGrid w:val="0"/>
        <w:spacing w:line="360" w:lineRule="auto"/>
        <w:rPr>
          <w:rFonts w:hint="eastAsia" w:ascii="宋体" w:hAnsi="宋体" w:cs="宋体"/>
          <w:b/>
          <w:color w:val="auto"/>
          <w:sz w:val="28"/>
          <w:szCs w:val="28"/>
        </w:rPr>
      </w:pPr>
    </w:p>
    <w:p w14:paraId="7D0FE43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E8F373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AF609B9">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A1CFC3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B9B8963">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5A3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FE655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4990A6ED">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B89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4B147C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2FC81EB">
      <w:pPr>
        <w:adjustRightInd w:val="0"/>
        <w:snapToGrid w:val="0"/>
        <w:spacing w:line="360" w:lineRule="auto"/>
        <w:rPr>
          <w:rFonts w:hint="eastAsia" w:ascii="宋体" w:hAnsi="宋体" w:cs="宋体"/>
          <w:color w:val="auto"/>
          <w:sz w:val="24"/>
        </w:rPr>
      </w:pPr>
    </w:p>
    <w:p w14:paraId="4A3EEB34">
      <w:pPr>
        <w:adjustRightInd w:val="0"/>
        <w:snapToGrid w:val="0"/>
        <w:spacing w:line="360" w:lineRule="auto"/>
        <w:rPr>
          <w:rFonts w:hint="eastAsia" w:ascii="宋体" w:hAnsi="宋体" w:cs="宋体"/>
          <w:color w:val="auto"/>
          <w:sz w:val="24"/>
        </w:rPr>
      </w:pPr>
    </w:p>
    <w:p w14:paraId="58C8F88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72DF609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73623A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6DDD8A3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0BC1CB2">
      <w:pPr>
        <w:adjustRightInd w:val="0"/>
        <w:snapToGrid w:val="0"/>
        <w:spacing w:line="360" w:lineRule="auto"/>
        <w:rPr>
          <w:rFonts w:hint="eastAsia" w:ascii="宋体" w:hAnsi="宋体" w:cs="宋体"/>
          <w:b/>
          <w:color w:val="auto"/>
          <w:sz w:val="28"/>
          <w:szCs w:val="28"/>
        </w:rPr>
      </w:pPr>
    </w:p>
    <w:p w14:paraId="773B4516">
      <w:pPr>
        <w:rPr>
          <w:rFonts w:hint="eastAsia" w:ascii="宋体" w:hAnsi="宋体" w:cs="宋体"/>
          <w:b/>
          <w:color w:val="auto"/>
          <w:sz w:val="24"/>
          <w:szCs w:val="20"/>
        </w:rPr>
      </w:pPr>
      <w:r>
        <w:rPr>
          <w:rFonts w:hint="eastAsia" w:ascii="宋体" w:hAnsi="宋体" w:cs="宋体"/>
          <w:b/>
          <w:color w:val="auto"/>
          <w:sz w:val="24"/>
          <w:szCs w:val="20"/>
        </w:rPr>
        <w:br w:type="page"/>
      </w:r>
    </w:p>
    <w:p w14:paraId="1ED3891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E764EAA">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9CA6EBE">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7A64758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2A173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1295FE5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48345D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3FC694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FE0934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10E123D">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EA0908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4AA0129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2B0C9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261D0F4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7118123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DD993BF">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6167875">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D8F3D85">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2A7F99B">
      <w:pPr>
        <w:adjustRightInd w:val="0"/>
        <w:snapToGrid w:val="0"/>
        <w:spacing w:line="360" w:lineRule="auto"/>
        <w:jc w:val="center"/>
        <w:rPr>
          <w:rFonts w:hint="eastAsia" w:ascii="宋体" w:hAnsi="宋体" w:cs="宋体"/>
          <w:b/>
          <w:color w:val="auto"/>
          <w:sz w:val="24"/>
          <w:szCs w:val="20"/>
        </w:rPr>
      </w:pPr>
    </w:p>
    <w:p w14:paraId="622B4561">
      <w:pPr>
        <w:adjustRightInd w:val="0"/>
        <w:snapToGrid w:val="0"/>
        <w:spacing w:line="360" w:lineRule="auto"/>
        <w:rPr>
          <w:rFonts w:hint="eastAsia" w:ascii="宋体" w:hAnsi="宋体" w:cs="宋体"/>
          <w:b/>
          <w:color w:val="auto"/>
          <w:sz w:val="24"/>
          <w:szCs w:val="20"/>
        </w:rPr>
      </w:pPr>
    </w:p>
    <w:p w14:paraId="08E69EE7">
      <w:pPr>
        <w:adjustRightInd w:val="0"/>
        <w:snapToGrid w:val="0"/>
        <w:spacing w:line="360" w:lineRule="auto"/>
        <w:rPr>
          <w:rFonts w:hint="eastAsia" w:ascii="宋体" w:hAnsi="宋体" w:cs="宋体"/>
          <w:b/>
          <w:color w:val="auto"/>
          <w:sz w:val="24"/>
          <w:szCs w:val="20"/>
        </w:rPr>
      </w:pPr>
    </w:p>
    <w:p w14:paraId="093CD207">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FFB2465">
      <w:pPr>
        <w:adjustRightInd w:val="0"/>
        <w:snapToGrid w:val="0"/>
        <w:spacing w:line="360" w:lineRule="auto"/>
        <w:jc w:val="center"/>
        <w:rPr>
          <w:rFonts w:hint="eastAsia" w:ascii="宋体" w:hAnsi="宋体" w:cs="宋体"/>
          <w:b/>
          <w:color w:val="auto"/>
          <w:sz w:val="24"/>
          <w:szCs w:val="20"/>
        </w:rPr>
      </w:pPr>
    </w:p>
    <w:p w14:paraId="6B3BB398">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E30216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1D25E0C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F98A6C">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9345C7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B95CCB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15B5234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19CE3B3">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9D19DA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102BCA7">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55FBA0D">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785B1EB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4B54136">
      <w:pPr>
        <w:jc w:val="left"/>
        <w:rPr>
          <w:rFonts w:hint="eastAsia" w:ascii="宋体" w:hAnsi="宋体" w:eastAsia="宋体" w:cs="Times New Roman"/>
          <w:b w:val="0"/>
          <w:bCs w:val="0"/>
          <w:color w:val="auto"/>
          <w:kern w:val="2"/>
          <w:sz w:val="24"/>
          <w:szCs w:val="24"/>
          <w:lang w:val="en-US" w:eastAsia="zh-CN" w:bidi="ar-SA"/>
        </w:rPr>
      </w:pPr>
    </w:p>
    <w:p w14:paraId="01DBFF5B">
      <w:pPr>
        <w:jc w:val="left"/>
        <w:rPr>
          <w:rFonts w:hint="eastAsia" w:ascii="宋体" w:hAnsi="宋体" w:eastAsia="宋体" w:cs="Times New Roman"/>
          <w:b w:val="0"/>
          <w:bCs w:val="0"/>
          <w:color w:val="auto"/>
          <w:kern w:val="2"/>
          <w:sz w:val="24"/>
          <w:szCs w:val="24"/>
          <w:lang w:val="en-US" w:eastAsia="zh-CN" w:bidi="ar-SA"/>
        </w:rPr>
      </w:pPr>
    </w:p>
    <w:p w14:paraId="10498A1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C097E52">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A961E94">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55BCBFA4">
      <w:pPr>
        <w:pStyle w:val="17"/>
        <w:rPr>
          <w:rFonts w:hint="eastAsia"/>
          <w:lang w:eastAsia="zh-CN"/>
        </w:rPr>
      </w:pPr>
    </w:p>
    <w:p w14:paraId="5D24C696">
      <w:pPr>
        <w:spacing w:before="120" w:beforeLines="50" w:after="120" w:afterLines="50" w:line="276" w:lineRule="auto"/>
        <w:jc w:val="center"/>
        <w:rPr>
          <w:b/>
          <w:color w:val="auto"/>
          <w:sz w:val="24"/>
        </w:rPr>
      </w:pPr>
      <w:r>
        <w:rPr>
          <w:b/>
          <w:color w:val="auto"/>
          <w:sz w:val="24"/>
        </w:rPr>
        <w:t>采购需求响应/偏离表</w:t>
      </w:r>
    </w:p>
    <w:p w14:paraId="29E8B025">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36ED7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1D21965">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9B616AF">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4FA2923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38B39FB9">
            <w:pPr>
              <w:adjustRightInd w:val="0"/>
              <w:snapToGrid w:val="0"/>
              <w:spacing w:before="50" w:line="360" w:lineRule="auto"/>
              <w:jc w:val="center"/>
              <w:rPr>
                <w:color w:val="auto"/>
              </w:rPr>
            </w:pPr>
            <w:r>
              <w:rPr>
                <w:color w:val="auto"/>
              </w:rPr>
              <w:t>投标文件应答</w:t>
            </w:r>
          </w:p>
        </w:tc>
        <w:tc>
          <w:tcPr>
            <w:tcW w:w="1513" w:type="dxa"/>
            <w:noWrap w:val="0"/>
            <w:vAlign w:val="center"/>
          </w:tcPr>
          <w:p w14:paraId="082F258F">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7E37011B">
            <w:pPr>
              <w:adjustRightInd w:val="0"/>
              <w:snapToGrid w:val="0"/>
              <w:spacing w:before="50" w:line="360" w:lineRule="auto"/>
              <w:ind w:left="-88" w:leftChars="-42"/>
              <w:jc w:val="center"/>
              <w:rPr>
                <w:color w:val="auto"/>
                <w:szCs w:val="21"/>
              </w:rPr>
            </w:pPr>
            <w:r>
              <w:rPr>
                <w:color w:val="auto"/>
                <w:szCs w:val="21"/>
              </w:rPr>
              <w:t>偏离说明</w:t>
            </w:r>
          </w:p>
        </w:tc>
      </w:tr>
      <w:tr w14:paraId="2413E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D8C0D78">
            <w:pPr>
              <w:adjustRightInd w:val="0"/>
              <w:snapToGrid w:val="0"/>
              <w:spacing w:before="50" w:line="360" w:lineRule="auto"/>
              <w:ind w:left="-88" w:leftChars="-42"/>
              <w:jc w:val="center"/>
              <w:rPr>
                <w:color w:val="auto"/>
                <w:szCs w:val="21"/>
              </w:rPr>
            </w:pPr>
          </w:p>
        </w:tc>
        <w:tc>
          <w:tcPr>
            <w:tcW w:w="1877" w:type="dxa"/>
            <w:noWrap w:val="0"/>
            <w:vAlign w:val="center"/>
          </w:tcPr>
          <w:p w14:paraId="3B97111F">
            <w:pPr>
              <w:adjustRightInd w:val="0"/>
              <w:snapToGrid w:val="0"/>
              <w:spacing w:before="50" w:line="360" w:lineRule="auto"/>
              <w:ind w:left="-88" w:leftChars="-42"/>
              <w:jc w:val="center"/>
              <w:rPr>
                <w:color w:val="auto"/>
                <w:szCs w:val="21"/>
              </w:rPr>
            </w:pPr>
          </w:p>
        </w:tc>
        <w:tc>
          <w:tcPr>
            <w:tcW w:w="1671" w:type="dxa"/>
            <w:noWrap w:val="0"/>
            <w:vAlign w:val="center"/>
          </w:tcPr>
          <w:p w14:paraId="3C767129">
            <w:pPr>
              <w:adjustRightInd w:val="0"/>
              <w:snapToGrid w:val="0"/>
              <w:spacing w:before="50" w:line="360" w:lineRule="auto"/>
              <w:ind w:left="-88" w:leftChars="-42"/>
              <w:jc w:val="center"/>
              <w:rPr>
                <w:color w:val="auto"/>
                <w:szCs w:val="21"/>
              </w:rPr>
            </w:pPr>
          </w:p>
        </w:tc>
        <w:tc>
          <w:tcPr>
            <w:tcW w:w="1608" w:type="dxa"/>
            <w:noWrap w:val="0"/>
            <w:vAlign w:val="center"/>
          </w:tcPr>
          <w:p w14:paraId="10491CEC">
            <w:pPr>
              <w:adjustRightInd w:val="0"/>
              <w:snapToGrid w:val="0"/>
              <w:spacing w:before="50" w:line="360" w:lineRule="auto"/>
              <w:ind w:left="-88" w:leftChars="-42"/>
              <w:jc w:val="center"/>
              <w:rPr>
                <w:color w:val="auto"/>
                <w:szCs w:val="21"/>
              </w:rPr>
            </w:pPr>
          </w:p>
        </w:tc>
        <w:tc>
          <w:tcPr>
            <w:tcW w:w="1513" w:type="dxa"/>
            <w:noWrap w:val="0"/>
            <w:vAlign w:val="center"/>
          </w:tcPr>
          <w:p w14:paraId="0D2FA595">
            <w:pPr>
              <w:adjustRightInd w:val="0"/>
              <w:snapToGrid w:val="0"/>
              <w:spacing w:before="50" w:line="360" w:lineRule="auto"/>
              <w:ind w:left="-88" w:leftChars="-42"/>
              <w:jc w:val="center"/>
              <w:rPr>
                <w:color w:val="auto"/>
                <w:szCs w:val="21"/>
              </w:rPr>
            </w:pPr>
          </w:p>
        </w:tc>
        <w:tc>
          <w:tcPr>
            <w:tcW w:w="1061" w:type="dxa"/>
            <w:noWrap w:val="0"/>
            <w:vAlign w:val="center"/>
          </w:tcPr>
          <w:p w14:paraId="405E0687">
            <w:pPr>
              <w:adjustRightInd w:val="0"/>
              <w:snapToGrid w:val="0"/>
              <w:spacing w:before="50" w:line="360" w:lineRule="auto"/>
              <w:ind w:left="-88" w:leftChars="-42"/>
              <w:jc w:val="center"/>
              <w:rPr>
                <w:color w:val="auto"/>
                <w:szCs w:val="21"/>
              </w:rPr>
            </w:pPr>
          </w:p>
        </w:tc>
      </w:tr>
      <w:tr w14:paraId="785E8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8D93EAA">
            <w:pPr>
              <w:adjustRightInd w:val="0"/>
              <w:snapToGrid w:val="0"/>
              <w:spacing w:before="50" w:line="360" w:lineRule="auto"/>
              <w:ind w:left="-88" w:leftChars="-42"/>
              <w:jc w:val="center"/>
              <w:rPr>
                <w:color w:val="auto"/>
                <w:szCs w:val="21"/>
              </w:rPr>
            </w:pPr>
          </w:p>
        </w:tc>
        <w:tc>
          <w:tcPr>
            <w:tcW w:w="1877" w:type="dxa"/>
            <w:noWrap w:val="0"/>
            <w:vAlign w:val="center"/>
          </w:tcPr>
          <w:p w14:paraId="137A2751">
            <w:pPr>
              <w:adjustRightInd w:val="0"/>
              <w:snapToGrid w:val="0"/>
              <w:spacing w:before="50" w:line="360" w:lineRule="auto"/>
              <w:ind w:left="-88" w:leftChars="-42"/>
              <w:jc w:val="center"/>
              <w:rPr>
                <w:color w:val="auto"/>
                <w:szCs w:val="21"/>
              </w:rPr>
            </w:pPr>
          </w:p>
        </w:tc>
        <w:tc>
          <w:tcPr>
            <w:tcW w:w="1671" w:type="dxa"/>
            <w:noWrap w:val="0"/>
            <w:vAlign w:val="center"/>
          </w:tcPr>
          <w:p w14:paraId="6C388274">
            <w:pPr>
              <w:adjustRightInd w:val="0"/>
              <w:snapToGrid w:val="0"/>
              <w:spacing w:before="50" w:line="360" w:lineRule="auto"/>
              <w:ind w:left="-88" w:leftChars="-42"/>
              <w:jc w:val="center"/>
              <w:rPr>
                <w:color w:val="auto"/>
                <w:szCs w:val="21"/>
              </w:rPr>
            </w:pPr>
          </w:p>
        </w:tc>
        <w:tc>
          <w:tcPr>
            <w:tcW w:w="1608" w:type="dxa"/>
            <w:noWrap w:val="0"/>
            <w:vAlign w:val="center"/>
          </w:tcPr>
          <w:p w14:paraId="2C6473D1">
            <w:pPr>
              <w:adjustRightInd w:val="0"/>
              <w:snapToGrid w:val="0"/>
              <w:spacing w:before="50" w:line="360" w:lineRule="auto"/>
              <w:ind w:left="-88" w:leftChars="-42"/>
              <w:jc w:val="center"/>
              <w:rPr>
                <w:color w:val="auto"/>
                <w:szCs w:val="21"/>
              </w:rPr>
            </w:pPr>
          </w:p>
        </w:tc>
        <w:tc>
          <w:tcPr>
            <w:tcW w:w="1513" w:type="dxa"/>
            <w:noWrap w:val="0"/>
            <w:vAlign w:val="center"/>
          </w:tcPr>
          <w:p w14:paraId="1E6B0EBF">
            <w:pPr>
              <w:adjustRightInd w:val="0"/>
              <w:snapToGrid w:val="0"/>
              <w:spacing w:before="50" w:line="360" w:lineRule="auto"/>
              <w:ind w:left="-88" w:leftChars="-42"/>
              <w:jc w:val="center"/>
              <w:rPr>
                <w:color w:val="auto"/>
                <w:szCs w:val="21"/>
              </w:rPr>
            </w:pPr>
          </w:p>
        </w:tc>
        <w:tc>
          <w:tcPr>
            <w:tcW w:w="1061" w:type="dxa"/>
            <w:noWrap w:val="0"/>
            <w:vAlign w:val="center"/>
          </w:tcPr>
          <w:p w14:paraId="6CF580D9">
            <w:pPr>
              <w:adjustRightInd w:val="0"/>
              <w:snapToGrid w:val="0"/>
              <w:spacing w:before="50" w:line="360" w:lineRule="auto"/>
              <w:ind w:left="-88" w:leftChars="-42"/>
              <w:jc w:val="center"/>
              <w:rPr>
                <w:color w:val="auto"/>
                <w:szCs w:val="21"/>
              </w:rPr>
            </w:pPr>
          </w:p>
        </w:tc>
      </w:tr>
      <w:tr w14:paraId="2430B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E8AA852">
            <w:pPr>
              <w:adjustRightInd w:val="0"/>
              <w:snapToGrid w:val="0"/>
              <w:spacing w:before="50" w:line="360" w:lineRule="auto"/>
              <w:ind w:left="-88" w:leftChars="-42"/>
              <w:jc w:val="center"/>
              <w:rPr>
                <w:color w:val="auto"/>
                <w:szCs w:val="21"/>
              </w:rPr>
            </w:pPr>
          </w:p>
        </w:tc>
        <w:tc>
          <w:tcPr>
            <w:tcW w:w="1877" w:type="dxa"/>
            <w:noWrap w:val="0"/>
            <w:vAlign w:val="center"/>
          </w:tcPr>
          <w:p w14:paraId="4075E40D">
            <w:pPr>
              <w:adjustRightInd w:val="0"/>
              <w:snapToGrid w:val="0"/>
              <w:spacing w:before="50" w:line="360" w:lineRule="auto"/>
              <w:ind w:left="-88" w:leftChars="-42"/>
              <w:jc w:val="center"/>
              <w:rPr>
                <w:color w:val="auto"/>
                <w:szCs w:val="21"/>
              </w:rPr>
            </w:pPr>
          </w:p>
        </w:tc>
        <w:tc>
          <w:tcPr>
            <w:tcW w:w="1671" w:type="dxa"/>
            <w:noWrap w:val="0"/>
            <w:vAlign w:val="center"/>
          </w:tcPr>
          <w:p w14:paraId="6C702BB2">
            <w:pPr>
              <w:adjustRightInd w:val="0"/>
              <w:snapToGrid w:val="0"/>
              <w:spacing w:before="50" w:line="360" w:lineRule="auto"/>
              <w:ind w:left="-88" w:leftChars="-42"/>
              <w:jc w:val="center"/>
              <w:rPr>
                <w:color w:val="auto"/>
                <w:szCs w:val="21"/>
              </w:rPr>
            </w:pPr>
          </w:p>
        </w:tc>
        <w:tc>
          <w:tcPr>
            <w:tcW w:w="1608" w:type="dxa"/>
            <w:noWrap w:val="0"/>
            <w:vAlign w:val="center"/>
          </w:tcPr>
          <w:p w14:paraId="727E8D5F">
            <w:pPr>
              <w:adjustRightInd w:val="0"/>
              <w:snapToGrid w:val="0"/>
              <w:spacing w:before="50" w:line="360" w:lineRule="auto"/>
              <w:ind w:left="-88" w:leftChars="-42"/>
              <w:jc w:val="center"/>
              <w:rPr>
                <w:color w:val="auto"/>
                <w:szCs w:val="21"/>
              </w:rPr>
            </w:pPr>
          </w:p>
        </w:tc>
        <w:tc>
          <w:tcPr>
            <w:tcW w:w="1513" w:type="dxa"/>
            <w:noWrap w:val="0"/>
            <w:vAlign w:val="center"/>
          </w:tcPr>
          <w:p w14:paraId="1CADE362">
            <w:pPr>
              <w:adjustRightInd w:val="0"/>
              <w:snapToGrid w:val="0"/>
              <w:spacing w:before="50" w:line="360" w:lineRule="auto"/>
              <w:ind w:left="-88" w:leftChars="-42"/>
              <w:jc w:val="center"/>
              <w:rPr>
                <w:color w:val="auto"/>
                <w:szCs w:val="21"/>
              </w:rPr>
            </w:pPr>
          </w:p>
        </w:tc>
        <w:tc>
          <w:tcPr>
            <w:tcW w:w="1061" w:type="dxa"/>
            <w:noWrap w:val="0"/>
            <w:vAlign w:val="center"/>
          </w:tcPr>
          <w:p w14:paraId="4C669EA3">
            <w:pPr>
              <w:adjustRightInd w:val="0"/>
              <w:snapToGrid w:val="0"/>
              <w:spacing w:before="50" w:line="360" w:lineRule="auto"/>
              <w:ind w:left="-88" w:leftChars="-42"/>
              <w:jc w:val="center"/>
              <w:rPr>
                <w:color w:val="auto"/>
                <w:szCs w:val="21"/>
              </w:rPr>
            </w:pPr>
          </w:p>
        </w:tc>
      </w:tr>
      <w:tr w14:paraId="24269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2AF229AE">
            <w:pPr>
              <w:rPr>
                <w:b/>
                <w:color w:val="auto"/>
              </w:rPr>
            </w:pPr>
          </w:p>
        </w:tc>
      </w:tr>
    </w:tbl>
    <w:p w14:paraId="30277756">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C3E146B">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21E58CA">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04EB0413">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2C1FF301">
      <w:pPr>
        <w:pStyle w:val="18"/>
        <w:rPr>
          <w:color w:val="auto"/>
        </w:rPr>
      </w:pPr>
    </w:p>
    <w:p w14:paraId="4317B66E">
      <w:pPr>
        <w:pStyle w:val="17"/>
        <w:rPr>
          <w:rFonts w:hint="eastAsia"/>
          <w:lang w:eastAsia="zh-CN"/>
        </w:rPr>
      </w:pPr>
    </w:p>
    <w:p w14:paraId="490EA7F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0288">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B3A1D">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5B3A1D">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1497189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D61D">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3B7A8">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B3B7A8">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4BE9169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3597">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4608AD"/>
    <w:rsid w:val="00AE556A"/>
    <w:rsid w:val="01062C1A"/>
    <w:rsid w:val="01350E35"/>
    <w:rsid w:val="02390242"/>
    <w:rsid w:val="03E43FAE"/>
    <w:rsid w:val="04653F41"/>
    <w:rsid w:val="04B72FC8"/>
    <w:rsid w:val="04F57A38"/>
    <w:rsid w:val="050719CA"/>
    <w:rsid w:val="06934BAA"/>
    <w:rsid w:val="06E91EC4"/>
    <w:rsid w:val="07583825"/>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BE628B9"/>
    <w:rsid w:val="1C795D39"/>
    <w:rsid w:val="1CE412C7"/>
    <w:rsid w:val="1D5071B5"/>
    <w:rsid w:val="1DD7486D"/>
    <w:rsid w:val="1E79119D"/>
    <w:rsid w:val="1F334F58"/>
    <w:rsid w:val="1F796B24"/>
    <w:rsid w:val="1FC602A8"/>
    <w:rsid w:val="1FE73549"/>
    <w:rsid w:val="2038045E"/>
    <w:rsid w:val="208F6E7F"/>
    <w:rsid w:val="20AF0900"/>
    <w:rsid w:val="20B41DA7"/>
    <w:rsid w:val="20BC6B8B"/>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A202A5"/>
    <w:rsid w:val="31F17CD1"/>
    <w:rsid w:val="324F4D43"/>
    <w:rsid w:val="32E86B4C"/>
    <w:rsid w:val="33384C93"/>
    <w:rsid w:val="33EE6ABE"/>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0681D02"/>
    <w:rsid w:val="4140452A"/>
    <w:rsid w:val="414D7889"/>
    <w:rsid w:val="41BB0BAE"/>
    <w:rsid w:val="425629F5"/>
    <w:rsid w:val="4284152B"/>
    <w:rsid w:val="429A4992"/>
    <w:rsid w:val="435B161D"/>
    <w:rsid w:val="43B25DAC"/>
    <w:rsid w:val="44771DFD"/>
    <w:rsid w:val="45D569C3"/>
    <w:rsid w:val="470C3EE0"/>
    <w:rsid w:val="479B74B7"/>
    <w:rsid w:val="48735221"/>
    <w:rsid w:val="49E92B05"/>
    <w:rsid w:val="4A354E62"/>
    <w:rsid w:val="4AEE1A11"/>
    <w:rsid w:val="4B7F39F4"/>
    <w:rsid w:val="4BAE646F"/>
    <w:rsid w:val="4C4D6AA3"/>
    <w:rsid w:val="4CAC1559"/>
    <w:rsid w:val="4D754257"/>
    <w:rsid w:val="4DCD6AB3"/>
    <w:rsid w:val="4EE7662F"/>
    <w:rsid w:val="50216DCD"/>
    <w:rsid w:val="50540C20"/>
    <w:rsid w:val="506258C6"/>
    <w:rsid w:val="51AC28BD"/>
    <w:rsid w:val="52183ACC"/>
    <w:rsid w:val="521E2A7F"/>
    <w:rsid w:val="53345ECB"/>
    <w:rsid w:val="53B55872"/>
    <w:rsid w:val="544055F2"/>
    <w:rsid w:val="54AD4386"/>
    <w:rsid w:val="55D8243C"/>
    <w:rsid w:val="581A7C72"/>
    <w:rsid w:val="583A4BD7"/>
    <w:rsid w:val="59907279"/>
    <w:rsid w:val="59C51B68"/>
    <w:rsid w:val="59C74B1F"/>
    <w:rsid w:val="5A886F59"/>
    <w:rsid w:val="5DB23133"/>
    <w:rsid w:val="604D5946"/>
    <w:rsid w:val="611B6B1B"/>
    <w:rsid w:val="62C222C2"/>
    <w:rsid w:val="632D7C40"/>
    <w:rsid w:val="64133D6A"/>
    <w:rsid w:val="64245572"/>
    <w:rsid w:val="66C30AF5"/>
    <w:rsid w:val="672737CD"/>
    <w:rsid w:val="678E4F5D"/>
    <w:rsid w:val="67F3562A"/>
    <w:rsid w:val="680E122C"/>
    <w:rsid w:val="6A4E1D63"/>
    <w:rsid w:val="6AA026F2"/>
    <w:rsid w:val="6B592423"/>
    <w:rsid w:val="6B933190"/>
    <w:rsid w:val="6C3E0FF7"/>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9EB699D"/>
    <w:rsid w:val="79F871CC"/>
    <w:rsid w:val="7AFF5E62"/>
    <w:rsid w:val="7B0620DE"/>
    <w:rsid w:val="7BBF44BB"/>
    <w:rsid w:val="7BF15CE4"/>
    <w:rsid w:val="7C3A27E5"/>
    <w:rsid w:val="7D9727DD"/>
    <w:rsid w:val="7DCB30EB"/>
    <w:rsid w:val="7E9F79F5"/>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2"/>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Text1I2"/>
    <w:basedOn w:val="21"/>
    <w:qFormat/>
    <w:uiPriority w:val="0"/>
    <w:pPr>
      <w:ind w:firstLine="420"/>
      <w:jc w:val="left"/>
    </w:pPr>
    <w:rPr>
      <w:rFonts w:ascii="Calibri" w:hAnsi="Calibri"/>
      <w:kern w:val="0"/>
    </w:rPr>
  </w:style>
  <w:style w:type="paragraph" w:customStyle="1" w:styleId="21">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2178</Words>
  <Characters>2469</Characters>
  <Lines>0</Lines>
  <Paragraphs>0</Paragraphs>
  <TotalTime>1</TotalTime>
  <ScaleCrop>false</ScaleCrop>
  <LinksUpToDate>false</LinksUpToDate>
  <CharactersWithSpaces>2475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cp:lastPrinted>2026-01-06T07:57:00Z</cp:lastPrinted>
  <dcterms:modified xsi:type="dcterms:W3CDTF">2026-01-09T05:07:52Z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