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2D2C0">
      <w:pPr>
        <w:pStyle w:val="6"/>
        <w:snapToGrid w:val="0"/>
        <w:jc w:val="center"/>
        <w:rPr>
          <w:rFonts w:hint="eastAsia" w:ascii="Arial" w:hAnsi="Arial" w:eastAsia="方正小标宋简体" w:cs="Arial"/>
          <w:sz w:val="72"/>
          <w:szCs w:val="72"/>
        </w:rPr>
      </w:pPr>
      <w:bookmarkStart w:id="0" w:name="_Toc16523570"/>
    </w:p>
    <w:p w14:paraId="1B95787E">
      <w:pPr>
        <w:pStyle w:val="6"/>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75F3B684">
      <w:pPr>
        <w:pStyle w:val="6"/>
        <w:snapToGrid w:val="0"/>
        <w:jc w:val="center"/>
        <w:rPr>
          <w:rFonts w:hint="eastAsia" w:ascii="Arial" w:hAnsi="Arial" w:eastAsia="方正小标宋简体" w:cs="Arial"/>
          <w:sz w:val="72"/>
          <w:szCs w:val="72"/>
        </w:rPr>
      </w:pPr>
    </w:p>
    <w:p w14:paraId="65C368DD">
      <w:pPr>
        <w:pStyle w:val="6"/>
        <w:snapToGrid w:val="0"/>
        <w:jc w:val="center"/>
        <w:rPr>
          <w:rFonts w:hint="eastAsia" w:ascii="Arial" w:hAnsi="Arial" w:eastAsia="方正小标宋简体" w:cs="Arial"/>
          <w:sz w:val="72"/>
          <w:szCs w:val="72"/>
        </w:rPr>
      </w:pPr>
    </w:p>
    <w:p w14:paraId="11616A47">
      <w:pPr>
        <w:pStyle w:val="6"/>
        <w:snapToGrid w:val="0"/>
        <w:jc w:val="center"/>
        <w:rPr>
          <w:rFonts w:hint="eastAsia" w:ascii="Arial" w:hAnsi="Arial" w:eastAsia="方正小标宋简体" w:cs="Arial"/>
          <w:sz w:val="72"/>
          <w:szCs w:val="72"/>
        </w:rPr>
      </w:pPr>
    </w:p>
    <w:p w14:paraId="39F8D380">
      <w:pPr>
        <w:pStyle w:val="6"/>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7F791A7">
      <w:pPr>
        <w:pStyle w:val="6"/>
        <w:snapToGrid w:val="0"/>
        <w:jc w:val="center"/>
        <w:rPr>
          <w:rFonts w:ascii="Arial" w:hAnsi="Arial" w:cs="Arial"/>
          <w:sz w:val="32"/>
          <w:szCs w:val="32"/>
        </w:rPr>
      </w:pPr>
    </w:p>
    <w:p w14:paraId="409EB72F">
      <w:pPr>
        <w:pStyle w:val="19"/>
        <w:rPr>
          <w:rFonts w:ascii="Arial" w:hAnsi="Arial" w:cs="Arial"/>
          <w:sz w:val="32"/>
          <w:szCs w:val="32"/>
        </w:rPr>
      </w:pPr>
    </w:p>
    <w:p w14:paraId="668BDAFE">
      <w:pPr>
        <w:pStyle w:val="13"/>
        <w:rPr>
          <w:rFonts w:ascii="Arial" w:hAnsi="Arial" w:cs="Arial"/>
          <w:sz w:val="32"/>
          <w:szCs w:val="32"/>
        </w:rPr>
      </w:pPr>
    </w:p>
    <w:p w14:paraId="30B28264">
      <w:pPr>
        <w:pStyle w:val="13"/>
        <w:rPr>
          <w:rFonts w:ascii="Arial" w:hAnsi="Arial" w:cs="Arial"/>
          <w:sz w:val="32"/>
          <w:szCs w:val="32"/>
        </w:rPr>
      </w:pPr>
    </w:p>
    <w:p w14:paraId="45C922C2">
      <w:pPr>
        <w:pStyle w:val="13"/>
        <w:rPr>
          <w:rFonts w:ascii="Arial" w:hAnsi="Arial" w:cs="Arial"/>
          <w:sz w:val="32"/>
          <w:szCs w:val="32"/>
        </w:rPr>
      </w:pPr>
    </w:p>
    <w:p w14:paraId="0233B328">
      <w:pPr>
        <w:pStyle w:val="13"/>
        <w:rPr>
          <w:rFonts w:ascii="Arial" w:hAnsi="Arial" w:cs="Arial"/>
          <w:sz w:val="32"/>
          <w:szCs w:val="32"/>
        </w:rPr>
      </w:pPr>
    </w:p>
    <w:p w14:paraId="65E4BC6C">
      <w:pPr>
        <w:pStyle w:val="13"/>
        <w:rPr>
          <w:rFonts w:ascii="Arial" w:hAnsi="Arial" w:cs="Arial"/>
          <w:sz w:val="32"/>
          <w:szCs w:val="32"/>
        </w:rPr>
      </w:pPr>
    </w:p>
    <w:p w14:paraId="7577245D">
      <w:pPr>
        <w:pStyle w:val="13"/>
        <w:rPr>
          <w:rFonts w:ascii="Arial" w:hAnsi="Arial" w:cs="Arial"/>
          <w:sz w:val="32"/>
          <w:szCs w:val="32"/>
        </w:rPr>
      </w:pPr>
    </w:p>
    <w:p w14:paraId="5337F494">
      <w:pPr>
        <w:pStyle w:val="13"/>
        <w:rPr>
          <w:rFonts w:ascii="Arial" w:hAnsi="Arial" w:cs="Arial"/>
          <w:sz w:val="32"/>
          <w:szCs w:val="32"/>
        </w:rPr>
      </w:pPr>
    </w:p>
    <w:p w14:paraId="0A4AE94E">
      <w:pPr>
        <w:pStyle w:val="6"/>
        <w:snapToGrid w:val="0"/>
        <w:jc w:val="center"/>
        <w:rPr>
          <w:rFonts w:ascii="Arial" w:hAnsi="Arial" w:cs="Arial"/>
          <w:sz w:val="32"/>
          <w:szCs w:val="32"/>
        </w:rPr>
      </w:pPr>
    </w:p>
    <w:p w14:paraId="13C7226F">
      <w:pPr>
        <w:pStyle w:val="6"/>
        <w:snapToGrid w:val="0"/>
        <w:jc w:val="center"/>
        <w:rPr>
          <w:rFonts w:ascii="Arial" w:hAnsi="Arial" w:cs="Arial"/>
          <w:sz w:val="32"/>
          <w:szCs w:val="32"/>
        </w:rPr>
      </w:pPr>
    </w:p>
    <w:p w14:paraId="0E6A0AE3">
      <w:pPr>
        <w:spacing w:line="360" w:lineRule="auto"/>
        <w:rPr>
          <w:rFonts w:hint="eastAsia"/>
          <w:bCs/>
          <w:sz w:val="32"/>
          <w:szCs w:val="32"/>
        </w:rPr>
      </w:pPr>
    </w:p>
    <w:p w14:paraId="221DD5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cs="Times New Roman"/>
          <w:b/>
          <w:bCs/>
          <w:kern w:val="44"/>
          <w:sz w:val="32"/>
          <w:szCs w:val="32"/>
          <w:lang w:val="en-US" w:eastAsia="zh-CN" w:bidi="ar-SA"/>
        </w:rPr>
        <w:t>娄底市中心医院儿童认知评估训练系统</w:t>
      </w:r>
      <w:r>
        <w:rPr>
          <w:rFonts w:hint="eastAsia"/>
          <w:bCs/>
          <w:sz w:val="32"/>
          <w:szCs w:val="32"/>
          <w:lang w:val="en-US" w:eastAsia="zh-CN"/>
        </w:rPr>
        <w:t>采购项目</w:t>
      </w:r>
    </w:p>
    <w:p w14:paraId="2646632F">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（医院公开挂网</w:t>
      </w:r>
      <w:r>
        <w:rPr>
          <w:rFonts w:hint="eastAsia" w:ascii="Times New Roman" w:hAnsi="Times New Roman" w:eastAsia="宋体" w:cs="Times New Roman"/>
          <w:b/>
          <w:bCs/>
          <w:kern w:val="44"/>
          <w:sz w:val="32"/>
          <w:szCs w:val="32"/>
          <w:lang w:val="en-US" w:eastAsia="zh-CN" w:bidi="ar-SA"/>
        </w:rPr>
        <w:t>）</w:t>
      </w:r>
    </w:p>
    <w:p w14:paraId="2B704EEC">
      <w:pPr>
        <w:spacing w:line="320" w:lineRule="exact"/>
        <w:jc w:val="left"/>
        <w:rPr>
          <w:sz w:val="24"/>
        </w:rPr>
      </w:pPr>
    </w:p>
    <w:p w14:paraId="0354F586">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五</w:t>
      </w:r>
      <w:r>
        <w:rPr>
          <w:rFonts w:hint="eastAsia" w:ascii="宋体" w:hAnsi="宋体" w:cs="宋体"/>
          <w:bCs/>
          <w:sz w:val="32"/>
          <w:szCs w:val="32"/>
        </w:rPr>
        <w:t>月</w:t>
      </w:r>
    </w:p>
    <w:p w14:paraId="43FCB49C">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02230438">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049FCDF5">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娄底市中心医院儿童认知评估训练系统</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33F26BBC">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20A851AA">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娄底市中心医院儿童认知评估训练系统</w:t>
      </w:r>
      <w:r>
        <w:rPr>
          <w:rFonts w:hint="eastAsia" w:asciiTheme="minorEastAsia" w:hAnsiTheme="minorEastAsia" w:eastAsiaTheme="minorEastAsia" w:cstheme="minorEastAsia"/>
          <w:b w:val="0"/>
          <w:bCs/>
          <w:color w:val="auto"/>
          <w:sz w:val="24"/>
          <w:szCs w:val="24"/>
          <w:lang w:val="en-US" w:eastAsia="zh-CN"/>
        </w:rPr>
        <w:t>项目</w:t>
      </w:r>
    </w:p>
    <w:p w14:paraId="0CDBF21C">
      <w:pPr>
        <w:pStyle w:val="6"/>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C7C445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ACEB34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5893B3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F42DD7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ACB140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21C808E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5D0942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12B2191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B858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B89F27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27C4F67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67F7E3C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BA1D7A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31DB0A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023AEF5">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0ADD55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D88B5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4EF3F46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6CA551A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2BB116B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0D3123B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7934304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1C567C2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486FB98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4200680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0F261BB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2.2、经评标委员会评审后，有效投标人少于3家的。</w:t>
      </w:r>
    </w:p>
    <w:p w14:paraId="6D411BA9">
      <w:pPr>
        <w:pStyle w:val="19"/>
        <w:rPr>
          <w:rFonts w:hint="eastAsia"/>
          <w:lang w:val="en-US" w:eastAsia="zh-CN"/>
        </w:rPr>
      </w:pPr>
    </w:p>
    <w:p w14:paraId="7E250597">
      <w:pPr>
        <w:pStyle w:val="19"/>
        <w:jc w:val="both"/>
        <w:rPr>
          <w:rFonts w:hint="default"/>
          <w:lang w:val="en-US" w:eastAsia="zh-CN"/>
        </w:rPr>
      </w:pPr>
    </w:p>
    <w:p w14:paraId="22CD3DC2">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15EDAE9">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F41F978">
      <w:pPr>
        <w:pStyle w:val="19"/>
        <w:rPr>
          <w:rFonts w:hint="eastAsia" w:ascii="宋体" w:hAnsi="宋体" w:cs="宋体"/>
          <w:b/>
          <w:bCs/>
          <w:color w:val="auto"/>
          <w:sz w:val="44"/>
          <w:szCs w:val="44"/>
          <w:lang w:val="en-US" w:eastAsia="zh-CN"/>
        </w:rPr>
      </w:pPr>
    </w:p>
    <w:p w14:paraId="6DFDBEAA">
      <w:pPr>
        <w:pStyle w:val="13"/>
        <w:rPr>
          <w:rFonts w:hint="eastAsia" w:ascii="宋体" w:hAnsi="宋体" w:cs="宋体"/>
          <w:b/>
          <w:bCs/>
          <w:color w:val="auto"/>
          <w:sz w:val="44"/>
          <w:szCs w:val="44"/>
          <w:lang w:val="en-US" w:eastAsia="zh-CN"/>
        </w:rPr>
      </w:pPr>
    </w:p>
    <w:p w14:paraId="30F94F1D">
      <w:pPr>
        <w:rPr>
          <w:rFonts w:hint="eastAsia" w:ascii="宋体" w:hAnsi="宋体" w:cs="宋体"/>
          <w:b/>
          <w:bCs/>
          <w:color w:val="auto"/>
          <w:sz w:val="44"/>
          <w:szCs w:val="44"/>
          <w:lang w:val="en-US" w:eastAsia="zh-CN"/>
        </w:rPr>
      </w:pPr>
    </w:p>
    <w:p w14:paraId="102811BE">
      <w:pPr>
        <w:pStyle w:val="18"/>
        <w:rPr>
          <w:rFonts w:hint="eastAsia"/>
          <w:lang w:val="en-US" w:eastAsia="zh-CN"/>
        </w:rPr>
      </w:pPr>
    </w:p>
    <w:p w14:paraId="04DC7BC4">
      <w:pPr>
        <w:pStyle w:val="2"/>
        <w:rPr>
          <w:rFonts w:hint="eastAsia" w:ascii="宋体" w:hAnsi="宋体" w:cs="宋体"/>
          <w:b/>
          <w:bCs/>
          <w:color w:val="auto"/>
          <w:sz w:val="44"/>
          <w:szCs w:val="44"/>
          <w:lang w:val="en-US" w:eastAsia="zh-CN"/>
        </w:rPr>
      </w:pPr>
    </w:p>
    <w:p w14:paraId="127EFE5C">
      <w:pPr>
        <w:rPr>
          <w:rFonts w:hint="eastAsia" w:ascii="宋体" w:hAnsi="宋体" w:cs="宋体"/>
          <w:b/>
          <w:bCs/>
          <w:color w:val="auto"/>
          <w:sz w:val="44"/>
          <w:szCs w:val="44"/>
          <w:lang w:val="en-US" w:eastAsia="zh-CN"/>
        </w:rPr>
      </w:pPr>
    </w:p>
    <w:p w14:paraId="4A7B14FC">
      <w:pPr>
        <w:rPr>
          <w:rFonts w:hint="eastAsia" w:ascii="宋体" w:hAnsi="宋体" w:cs="宋体"/>
          <w:b/>
          <w:bCs/>
          <w:color w:val="auto"/>
          <w:sz w:val="44"/>
          <w:szCs w:val="44"/>
          <w:lang w:val="en-US" w:eastAsia="zh-CN"/>
        </w:rPr>
      </w:pPr>
    </w:p>
    <w:p w14:paraId="05DE6F3A">
      <w:pPr>
        <w:rPr>
          <w:rFonts w:hint="eastAsia"/>
          <w:lang w:val="en-US" w:eastAsia="zh-CN"/>
        </w:rPr>
      </w:pPr>
    </w:p>
    <w:p w14:paraId="28624900">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36FC09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38C731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4"/>
        <w:tblW w:w="5638"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2310"/>
      </w:tblGrid>
      <w:tr w14:paraId="38AB9E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9E0CB9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4A50A2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项目</w:t>
            </w:r>
            <w:r>
              <w:rPr>
                <w:rFonts w:hint="eastAsia" w:asciiTheme="minorEastAsia" w:hAnsiTheme="minorEastAsia" w:eastAsiaTheme="minorEastAsia" w:cstheme="minorEastAsia"/>
                <w:kern w:val="2"/>
                <w:sz w:val="24"/>
                <w:szCs w:val="24"/>
              </w:rPr>
              <w:t>名称</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D78E54A">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69DE81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08FB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17944E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娄底市中心医院儿童认知评估训练系统</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9EAF0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16</w:t>
            </w:r>
          </w:p>
        </w:tc>
      </w:tr>
    </w:tbl>
    <w:p w14:paraId="737A1F4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78C7E4B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2EAE5CA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33C7822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2C4C66D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认知评估训练系统，需采用非侵入式脑机接口技术，对儿童的信息处理速度、注意力、空间认知、记忆力、情绪能力、问题解决等认知能力进行评估，并根据评估结果制定个性化的干预训练方案，从而实现认知能力的提升，同时起到消除焦虑紧张情绪，缓解压力，提升心理调节能力，实现身心健康。</w:t>
      </w:r>
    </w:p>
    <w:p w14:paraId="15B72FB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系统功能需求：</w:t>
      </w:r>
    </w:p>
    <w:p w14:paraId="03E31BD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（一）、在线评估</w:t>
      </w:r>
    </w:p>
    <w:p w14:paraId="5459A15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①系统提供选择反应时、注意网络、视觉搜索、注意广度、注意瞬脱、圈数字、心理旋转、记忆再认、情绪理解、威斯康辛卡片分类等多种测评方法。</w:t>
      </w:r>
    </w:p>
    <w:p w14:paraId="0F568B8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②针对不同年龄段的儿童，系统智能化推荐评估方案，按反应力、注意力、空间能力、记忆力、情绪能力、思维力等六个维度生成评估分析报告，报告内容丰富翔实，便宜医生解读。</w:t>
      </w:r>
    </w:p>
    <w:p w14:paraId="26FFE11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③系统根据评估报告，自动匹配个性化的训练课程。</w:t>
      </w:r>
    </w:p>
    <w:p w14:paraId="1BDC052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④系统支持多人同时在线进行评估，医护人员评估前简单指导即可，后台全程自动进行评估，评估过程中不用干预，医护人员可实现一对多管理，大幅提高评估效率。</w:t>
      </w:r>
    </w:p>
    <w:p w14:paraId="088DF13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⑤精准记录反应时间和正确率，同时对同龄儿童评估情况进行对比。</w:t>
      </w:r>
    </w:p>
    <w:p w14:paraId="38077B5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（二）、在线训练</w:t>
      </w:r>
    </w:p>
    <w:p w14:paraId="2306B1A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①系统采用多种认知训练游戏，对信息加工速度（二级能力为选择反应、数字匹配、速度匹配）、注意（二级能力为注意集中、注意广度、注意分配、注意瞬脱、注意转换、注意选择）、空间认知（二级能力为视知觉-空间表征能力、空间关系知觉能力）、记忆（二级能力为前瞻记忆、工作记忆、记忆再认、记忆广度）、情绪（二级能力为情绪调节、情绪理解、情绪记忆）、问题解决能力（二级能力为抽象思维、决策、量化思维、心算任务）等六个维度进行训练。支持游戏在线升级。</w:t>
      </w:r>
    </w:p>
    <w:p w14:paraId="0BBB6ED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②每次训练结果可获得单项训练报告，所有训练课程完成之后，可获得训练总报告。</w:t>
      </w:r>
    </w:p>
    <w:p w14:paraId="6E4946C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③每次个性化训练课程结束后，系统支持根据儿童的能力水平和兴趣自由选择训练项目。</w:t>
      </w:r>
    </w:p>
    <w:p w14:paraId="29CFE63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④系统采用多个训练游戏对放松协调能力进行训练，采用放松指数实现对放松训练效果的评价。</w:t>
      </w:r>
    </w:p>
    <w:p w14:paraId="0CA6CB1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⑤系统根据评估结果制定个性化训练课程进行强化训练，并支持多人同时在线训练。</w:t>
      </w:r>
    </w:p>
    <w:p w14:paraId="00C32A7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（三）、在线监测</w:t>
      </w:r>
    </w:p>
    <w:p w14:paraId="66EFF13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①监测δ、θ、α、β、γ频段8个EEG参数以及“专注度”和“放松度”参数，并可输出喜好度、用脑度、熟练度、电极脱落检测数据、眨眼强度数据。</w:t>
      </w:r>
    </w:p>
    <w:p w14:paraId="02DAFFC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②在做测评和训练的过程中，通过全彩色LED灯的色彩变化实时显示情绪变化。通过遥控器实时切换脑波灯的专注或放松模式工作状态。</w:t>
      </w:r>
    </w:p>
    <w:p w14:paraId="120CFDD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（四）、数据及报告查询</w:t>
      </w:r>
    </w:p>
    <w:p w14:paraId="386C105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①所有训练记录数据，自动保存到云服务平台数据库，方便用户随时查看数据和报告，可随时打印。</w:t>
      </w:r>
    </w:p>
    <w:p w14:paraId="503D3ED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②测评或训练结束后，以曲线图、柱状图、饼图等图表形式显示分析结果。支持随时查看认知能力的训练曲线等数据。</w:t>
      </w:r>
    </w:p>
    <w:p w14:paraId="69DC07C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（五）、系统基本配置清单</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504"/>
        <w:gridCol w:w="839"/>
        <w:gridCol w:w="5459"/>
      </w:tblGrid>
      <w:tr w14:paraId="0941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409175F0">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序号</w:t>
            </w:r>
          </w:p>
        </w:tc>
        <w:tc>
          <w:tcPr>
            <w:tcW w:w="1504" w:type="dxa"/>
            <w:vAlign w:val="center"/>
          </w:tcPr>
          <w:p w14:paraId="27ED1B6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内容</w:t>
            </w:r>
          </w:p>
        </w:tc>
        <w:tc>
          <w:tcPr>
            <w:tcW w:w="839" w:type="dxa"/>
            <w:vAlign w:val="center"/>
          </w:tcPr>
          <w:p w14:paraId="4C245BD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数量</w:t>
            </w:r>
          </w:p>
        </w:tc>
        <w:tc>
          <w:tcPr>
            <w:tcW w:w="5459" w:type="dxa"/>
            <w:vAlign w:val="center"/>
          </w:tcPr>
          <w:p w14:paraId="5EC44AE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说  明</w:t>
            </w:r>
          </w:p>
        </w:tc>
      </w:tr>
      <w:tr w14:paraId="4892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6297A42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1504" w:type="dxa"/>
            <w:vAlign w:val="center"/>
          </w:tcPr>
          <w:p w14:paraId="58E76376">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儿童认知评估系统</w:t>
            </w:r>
          </w:p>
        </w:tc>
        <w:tc>
          <w:tcPr>
            <w:tcW w:w="839" w:type="dxa"/>
            <w:vAlign w:val="center"/>
          </w:tcPr>
          <w:p w14:paraId="025FEAD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1套</w:t>
            </w:r>
          </w:p>
        </w:tc>
        <w:tc>
          <w:tcPr>
            <w:tcW w:w="5459" w:type="dxa"/>
          </w:tcPr>
          <w:p w14:paraId="3A05587C">
            <w:pPr>
              <w:spacing w:line="360" w:lineRule="auto"/>
              <w:ind w:left="315" w:hanging="315" w:hangingChars="150"/>
              <w:rPr>
                <w:rFonts w:hint="eastAsia" w:ascii="宋体" w:hAnsi="宋体" w:eastAsia="宋体" w:cs="宋体"/>
                <w:color w:val="000000"/>
                <w:kern w:val="0"/>
                <w:szCs w:val="21"/>
                <w:lang w:eastAsia="zh-CN"/>
              </w:rPr>
            </w:pPr>
            <w:r>
              <w:rPr>
                <w:rFonts w:hint="eastAsia" w:ascii="宋体" w:hAnsi="宋体" w:cs="宋体"/>
                <w:color w:val="000000"/>
                <w:kern w:val="0"/>
                <w:szCs w:val="21"/>
              </w:rPr>
              <w:t>1、</w:t>
            </w:r>
            <w:r>
              <w:rPr>
                <w:rFonts w:hint="eastAsia" w:ascii="宋体" w:hAnsi="宋体" w:cs="宋体"/>
                <w:color w:val="FF0000"/>
                <w:kern w:val="0"/>
                <w:szCs w:val="21"/>
              </w:rPr>
              <w:t>系统包含</w:t>
            </w:r>
            <w:r>
              <w:rPr>
                <w:rFonts w:hint="eastAsia" w:ascii="宋体" w:hAnsi="宋体" w:cs="宋体"/>
                <w:color w:val="FF0000"/>
                <w:kern w:val="0"/>
                <w:szCs w:val="21"/>
                <w:lang w:val="en-US" w:eastAsia="zh-CN"/>
              </w:rPr>
              <w:t>1</w:t>
            </w:r>
            <w:r>
              <w:rPr>
                <w:rFonts w:hint="eastAsia" w:ascii="宋体" w:hAnsi="宋体" w:cs="宋体"/>
                <w:color w:val="FF0000"/>
                <w:kern w:val="0"/>
                <w:szCs w:val="21"/>
              </w:rPr>
              <w:t>000次评估及</w:t>
            </w:r>
            <w:r>
              <w:rPr>
                <w:rFonts w:hint="eastAsia" w:ascii="宋体" w:hAnsi="宋体" w:cs="宋体"/>
                <w:color w:val="FF0000"/>
                <w:kern w:val="0"/>
                <w:szCs w:val="21"/>
                <w:lang w:val="en-US" w:eastAsia="zh-CN"/>
              </w:rPr>
              <w:t>12000次</w:t>
            </w:r>
            <w:r>
              <w:rPr>
                <w:rFonts w:hint="eastAsia" w:ascii="宋体" w:hAnsi="宋体" w:cs="宋体"/>
                <w:color w:val="FF0000"/>
                <w:kern w:val="0"/>
                <w:szCs w:val="21"/>
              </w:rPr>
              <w:t>训练</w:t>
            </w:r>
            <w:r>
              <w:rPr>
                <w:rFonts w:hint="eastAsia" w:ascii="宋体" w:hAnsi="宋体" w:cs="宋体"/>
                <w:color w:val="FF0000"/>
                <w:kern w:val="0"/>
                <w:szCs w:val="21"/>
                <w:lang w:eastAsia="zh-CN"/>
              </w:rPr>
              <w:t>。</w:t>
            </w:r>
          </w:p>
          <w:p w14:paraId="3FD5CE2B">
            <w:pPr>
              <w:spacing w:line="360" w:lineRule="auto"/>
              <w:ind w:left="315" w:hanging="315" w:hangingChars="150"/>
              <w:rPr>
                <w:rFonts w:ascii="宋体" w:hAnsi="宋体" w:cs="宋体"/>
                <w:color w:val="000000"/>
                <w:kern w:val="0"/>
                <w:szCs w:val="21"/>
              </w:rPr>
            </w:pPr>
            <w:r>
              <w:rPr>
                <w:rFonts w:hint="eastAsia" w:ascii="宋体" w:hAnsi="宋体" w:cs="宋体"/>
                <w:color w:val="000000"/>
                <w:kern w:val="0"/>
                <w:szCs w:val="21"/>
              </w:rPr>
              <w:t>2、配两套辅助设备，每套含：脑波信号采集器、脑波灯、脑波数据接收器、遥控器、充电线各一个。</w:t>
            </w:r>
          </w:p>
          <w:p w14:paraId="6CB27A73">
            <w:pPr>
              <w:spacing w:line="360" w:lineRule="auto"/>
              <w:ind w:left="315" w:hanging="315" w:hangingChars="150"/>
              <w:rPr>
                <w:rFonts w:ascii="宋体" w:hAnsi="宋体" w:cs="宋体"/>
                <w:color w:val="000000"/>
                <w:kern w:val="0"/>
                <w:szCs w:val="21"/>
              </w:rPr>
            </w:pPr>
            <w:r>
              <w:rPr>
                <w:rFonts w:hint="eastAsia" w:ascii="宋体" w:hAnsi="宋体" w:cs="宋体"/>
                <w:color w:val="000000"/>
                <w:kern w:val="0"/>
                <w:szCs w:val="21"/>
              </w:rPr>
              <w:t>3、说明：系统支持多套辅助设备同时使用，科室可根据实际工作需要增加辅助设备。</w:t>
            </w:r>
          </w:p>
        </w:tc>
      </w:tr>
    </w:tbl>
    <w:p w14:paraId="0EFE1CB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p>
    <w:p w14:paraId="002EA6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190B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3AE7D2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如按法律规定提供证件）、生产厂家营业执照（如按法律规定需提供）、生产许可证（如按法律规定需提供）、产品注册证（如按法律规定需提供）；</w:t>
      </w:r>
    </w:p>
    <w:p w14:paraId="68C94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7A3E6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CBF51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081DC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39B23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9A38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A92BC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73722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8BAD364">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p>
    <w:p w14:paraId="30A737BB">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12318639">
      <w:pPr>
        <w:keepNext w:val="0"/>
        <w:keepLines w:val="0"/>
        <w:pageBreakBefore w:val="0"/>
        <w:kinsoku/>
        <w:wordWrap/>
        <w:overflowPunct/>
        <w:topLinePunct w:val="0"/>
        <w:bidi w:val="0"/>
        <w:snapToGrid/>
        <w:spacing w:line="500" w:lineRule="exact"/>
        <w:ind w:firstLine="465"/>
        <w:jc w:val="center"/>
        <w:textAlignment w:val="auto"/>
        <w:rPr>
          <w:rFonts w:hint="default"/>
          <w:sz w:val="28"/>
          <w:szCs w:val="28"/>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仿宋_GB2312" w:eastAsia="仿宋_GB2312" w:cs="仿宋_GB2312"/>
          <w:bCs/>
          <w:color w:val="auto"/>
          <w:kern w:val="0"/>
          <w:sz w:val="28"/>
          <w:szCs w:val="28"/>
          <w:lang w:val="en-US" w:eastAsia="zh-CN" w:bidi="ar-SA"/>
        </w:rPr>
        <w:t xml:space="preserve">                </w:t>
      </w:r>
      <w:r>
        <w:rPr>
          <w:rFonts w:hint="eastAsia"/>
          <w:sz w:val="28"/>
          <w:szCs w:val="28"/>
          <w:lang w:val="en-US" w:eastAsia="zh-CN"/>
        </w:rPr>
        <w:t xml:space="preserve">       合同编号：</w:t>
      </w:r>
    </w:p>
    <w:p w14:paraId="0A1942B3">
      <w:pPr>
        <w:keepNext w:val="0"/>
        <w:keepLines w:val="0"/>
        <w:pageBreakBefore w:val="0"/>
        <w:kinsoku/>
        <w:wordWrap/>
        <w:overflowPunct/>
        <w:topLinePunct w:val="0"/>
        <w:bidi w:val="0"/>
        <w:snapToGrid/>
        <w:spacing w:line="500" w:lineRule="exact"/>
        <w:jc w:val="center"/>
        <w:textAlignment w:val="auto"/>
        <w:rPr>
          <w:b/>
          <w:bCs/>
          <w:sz w:val="40"/>
          <w:szCs w:val="40"/>
        </w:rPr>
      </w:pPr>
      <w:r>
        <w:rPr>
          <w:rFonts w:hint="eastAsia" w:eastAsia="宋体" w:cs="宋体"/>
          <w:b/>
          <w:bCs/>
          <w:sz w:val="40"/>
          <w:szCs w:val="40"/>
          <w:lang w:val="en-US" w:eastAsia="zh-CN"/>
        </w:rPr>
        <w:t>儿童认知评估训练系统</w:t>
      </w:r>
      <w:r>
        <w:rPr>
          <w:rFonts w:hint="eastAsia" w:cs="宋体"/>
          <w:b/>
          <w:bCs/>
          <w:sz w:val="40"/>
          <w:szCs w:val="40"/>
          <w:lang w:val="en-US" w:eastAsia="zh-CN"/>
        </w:rPr>
        <w:t>采购</w:t>
      </w:r>
      <w:r>
        <w:rPr>
          <w:rFonts w:hint="eastAsia"/>
          <w:b/>
          <w:bCs/>
          <w:sz w:val="40"/>
          <w:szCs w:val="40"/>
        </w:rPr>
        <w:t>合同</w:t>
      </w:r>
    </w:p>
    <w:p w14:paraId="467EB2D1">
      <w:pPr>
        <w:keepNext w:val="0"/>
        <w:keepLines w:val="0"/>
        <w:pageBreakBefore w:val="0"/>
        <w:widowControl w:val="0"/>
        <w:shd w:val="clear"/>
        <w:kinsoku/>
        <w:wordWrap/>
        <w:overflowPunct/>
        <w:topLinePunct w:val="0"/>
        <w:autoSpaceDE/>
        <w:autoSpaceDN/>
        <w:bidi w:val="0"/>
        <w:adjustRightInd/>
        <w:snapToGrid/>
        <w:spacing w:line="500" w:lineRule="exact"/>
        <w:ind w:left="0"/>
        <w:textAlignment w:val="auto"/>
        <w:rPr>
          <w:rFonts w:hint="eastAsia" w:ascii="宋体" w:hAnsi="宋体" w:eastAsia="宋体" w:cs="宋体"/>
          <w:b/>
          <w:bCs/>
          <w:color w:val="000000" w:themeColor="text1"/>
          <w:kern w:val="0"/>
          <w:sz w:val="28"/>
          <w:szCs w:val="28"/>
          <w14:textFill>
            <w14:solidFill>
              <w14:schemeClr w14:val="tx1"/>
            </w14:solidFill>
          </w14:textFill>
        </w:rPr>
      </w:pPr>
    </w:p>
    <w:p w14:paraId="2FBCC5D1">
      <w:pPr>
        <w:keepNext w:val="0"/>
        <w:keepLines w:val="0"/>
        <w:pageBreakBefore w:val="0"/>
        <w:widowControl w:val="0"/>
        <w:shd w:val="clear"/>
        <w:kinsoku/>
        <w:wordWrap/>
        <w:overflowPunct/>
        <w:topLinePunct w:val="0"/>
        <w:autoSpaceDE/>
        <w:autoSpaceDN/>
        <w:bidi w:val="0"/>
        <w:adjustRightInd/>
        <w:snapToGrid/>
        <w:spacing w:line="500" w:lineRule="exact"/>
        <w:ind w:left="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甲方：</w:t>
      </w:r>
      <w:r>
        <w:rPr>
          <w:rFonts w:hint="eastAsia" w:ascii="宋体" w:hAnsi="宋体" w:eastAsia="宋体" w:cs="宋体"/>
          <w:b/>
          <w:bCs/>
          <w:color w:val="000000" w:themeColor="text1"/>
          <w:kern w:val="0"/>
          <w:sz w:val="24"/>
          <w:szCs w:val="24"/>
          <w:lang w:val="en-US" w:eastAsia="zh-Hans"/>
          <w14:textFill>
            <w14:solidFill>
              <w14:schemeClr w14:val="tx1"/>
            </w14:solidFill>
          </w14:textFill>
        </w:rPr>
        <w:t>娄底市中心医院</w:t>
      </w:r>
      <w:r>
        <w:rPr>
          <w:rFonts w:hint="eastAsia" w:ascii="宋体" w:hAnsi="宋体" w:eastAsia="宋体" w:cs="宋体"/>
          <w:b/>
          <w:bCs/>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p w14:paraId="5C2DC2ED">
      <w:pPr>
        <w:keepNext w:val="0"/>
        <w:keepLines w:val="0"/>
        <w:pageBreakBefore w:val="0"/>
        <w:widowControl w:val="0"/>
        <w:shd w:val="clear"/>
        <w:kinsoku/>
        <w:wordWrap/>
        <w:overflowPunct/>
        <w:topLinePunct w:val="0"/>
        <w:autoSpaceDE/>
        <w:autoSpaceDN/>
        <w:bidi w:val="0"/>
        <w:adjustRightInd/>
        <w:snapToGrid/>
        <w:spacing w:line="500" w:lineRule="exact"/>
        <w:ind w:left="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法定代表人：杨吉军</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p w14:paraId="1D309C30">
      <w:pPr>
        <w:keepNext w:val="0"/>
        <w:keepLines w:val="0"/>
        <w:pageBreakBefore w:val="0"/>
        <w:widowControl w:val="0"/>
        <w:shd w:val="clear"/>
        <w:kinsoku/>
        <w:wordWrap/>
        <w:overflowPunct/>
        <w:topLinePunct w:val="0"/>
        <w:autoSpaceDE/>
        <w:autoSpaceDN/>
        <w:bidi w:val="0"/>
        <w:adjustRightInd/>
        <w:snapToGrid/>
        <w:spacing w:line="500" w:lineRule="exact"/>
        <w:ind w:left="0"/>
        <w:textAlignment w:val="auto"/>
        <w:rPr>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统一社会信用代码：12431300447162073W</w:t>
      </w:r>
    </w:p>
    <w:p w14:paraId="4073E5D1">
      <w:pPr>
        <w:keepNext w:val="0"/>
        <w:keepLines w:val="0"/>
        <w:pageBreakBefore w:val="0"/>
        <w:widowControl w:val="0"/>
        <w:shd w:val="clear"/>
        <w:kinsoku/>
        <w:wordWrap/>
        <w:overflowPunct/>
        <w:topLinePunct w:val="0"/>
        <w:autoSpaceDE/>
        <w:autoSpaceDN/>
        <w:bidi w:val="0"/>
        <w:adjustRightInd/>
        <w:snapToGrid/>
        <w:spacing w:line="500" w:lineRule="exact"/>
        <w:ind w:left="0"/>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乙方：</w:t>
      </w:r>
      <w:r>
        <w:rPr>
          <w:rFonts w:hint="eastAsia" w:ascii="宋体" w:hAnsi="宋体" w:eastAsia="宋体" w:cs="宋体"/>
          <w:b/>
          <w:bCs/>
          <w:color w:val="000000" w:themeColor="text1"/>
          <w:kern w:val="0"/>
          <w:sz w:val="24"/>
          <w:szCs w:val="24"/>
          <w:lang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p w14:paraId="26B82830">
      <w:pPr>
        <w:keepNext w:val="0"/>
        <w:keepLines w:val="0"/>
        <w:pageBreakBefore w:val="0"/>
        <w:widowControl w:val="0"/>
        <w:shd w:val="clear"/>
        <w:kinsoku/>
        <w:wordWrap/>
        <w:overflowPunct/>
        <w:topLinePunct w:val="0"/>
        <w:autoSpaceDE/>
        <w:autoSpaceDN/>
        <w:bidi w:val="0"/>
        <w:adjustRightInd/>
        <w:snapToGrid/>
        <w:spacing w:line="500" w:lineRule="exact"/>
        <w:ind w:left="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法定代表人：</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p w14:paraId="4D481C9F">
      <w:pPr>
        <w:keepNext w:val="0"/>
        <w:keepLines w:val="0"/>
        <w:pageBreakBefore w:val="0"/>
        <w:widowControl w:val="0"/>
        <w:shd w:val="clear"/>
        <w:kinsoku/>
        <w:wordWrap/>
        <w:overflowPunct/>
        <w:topLinePunct w:val="0"/>
        <w:autoSpaceDE/>
        <w:autoSpaceDN/>
        <w:bidi w:val="0"/>
        <w:adjustRightInd/>
        <w:snapToGrid/>
        <w:spacing w:line="500" w:lineRule="exact"/>
        <w:ind w:left="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统一社会信用代码：</w:t>
      </w:r>
    </w:p>
    <w:p w14:paraId="2606A1C9">
      <w:pPr>
        <w:keepNext w:val="0"/>
        <w:keepLines w:val="0"/>
        <w:pageBreakBefore w:val="0"/>
        <w:kinsoku/>
        <w:wordWrap/>
        <w:overflowPunct/>
        <w:topLinePunct w:val="0"/>
        <w:bidi w:val="0"/>
        <w:snapToGrid/>
        <w:spacing w:line="500" w:lineRule="exact"/>
        <w:ind w:firstLine="465"/>
        <w:textAlignment w:val="auto"/>
        <w:rPr>
          <w:sz w:val="24"/>
          <w:szCs w:val="24"/>
        </w:rPr>
      </w:pPr>
    </w:p>
    <w:p w14:paraId="42743575">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sz w:val="24"/>
          <w:szCs w:val="24"/>
        </w:rPr>
      </w:pPr>
      <w:r>
        <w:rPr>
          <w:rFonts w:hint="eastAsia"/>
          <w:sz w:val="24"/>
          <w:szCs w:val="24"/>
          <w:lang w:val="en-US" w:eastAsia="zh-CN"/>
        </w:rPr>
        <w:t>甲方通过医院公开挂网方式采购</w:t>
      </w:r>
      <w:r>
        <w:rPr>
          <w:rFonts w:hint="eastAsia" w:eastAsia="宋体" w:cs="宋体"/>
          <w:sz w:val="24"/>
          <w:szCs w:val="24"/>
          <w:lang w:val="en-US" w:eastAsia="zh-CN"/>
        </w:rPr>
        <w:t>儿童认知评估训练系统</w:t>
      </w:r>
      <w:r>
        <w:rPr>
          <w:rFonts w:hint="eastAsia"/>
          <w:sz w:val="24"/>
          <w:szCs w:val="24"/>
          <w:lang w:val="en-US" w:eastAsia="zh-CN"/>
        </w:rPr>
        <w:t>，乙方为中标/中选供应商。根据《中华人民共和国民法典》《中华人民共和国政府采购法》等相关法律规定，甲乙双方在采购项目确定的基础上，就采购</w:t>
      </w:r>
      <w:r>
        <w:rPr>
          <w:rFonts w:hint="eastAsia" w:eastAsia="宋体" w:cs="宋体"/>
          <w:sz w:val="24"/>
          <w:szCs w:val="24"/>
          <w:lang w:val="en-US" w:eastAsia="zh-CN"/>
        </w:rPr>
        <w:t>儿童认知评估训练系统</w:t>
      </w:r>
      <w:r>
        <w:rPr>
          <w:rFonts w:hint="eastAsia"/>
          <w:sz w:val="24"/>
          <w:szCs w:val="24"/>
          <w:lang w:val="en-US" w:eastAsia="zh-CN"/>
        </w:rPr>
        <w:t>相关事宜平等、自愿、公平、诚信协商，达成一致，特订立本合同，以资共同遵守。</w:t>
      </w:r>
    </w:p>
    <w:p w14:paraId="06A980AB">
      <w:pPr>
        <w:pStyle w:val="22"/>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textAlignment w:val="auto"/>
        <w:rPr>
          <w:rFonts w:hint="eastAsia"/>
          <w:b/>
          <w:bCs/>
          <w:sz w:val="24"/>
          <w:szCs w:val="24"/>
        </w:rPr>
      </w:pPr>
      <w:r>
        <w:rPr>
          <w:rFonts w:hint="eastAsia" w:ascii="Calibri" w:hAnsi="Calibri" w:eastAsia="宋体" w:cs="宋体"/>
          <w:b/>
          <w:bCs/>
          <w:kern w:val="2"/>
          <w:sz w:val="24"/>
          <w:szCs w:val="24"/>
          <w:lang w:val="en-US" w:eastAsia="zh-CN" w:bidi="ar-SA"/>
        </w:rPr>
        <w:t>一、</w:t>
      </w:r>
      <w:r>
        <w:rPr>
          <w:rFonts w:hint="eastAsia"/>
          <w:b/>
          <w:bCs/>
          <w:color w:val="000000" w:themeColor="text1"/>
          <w:sz w:val="24"/>
          <w:szCs w:val="24"/>
          <w:lang w:val="en-US" w:eastAsia="zh-CN"/>
          <w14:textFill>
            <w14:solidFill>
              <w14:schemeClr w14:val="tx1"/>
            </w14:solidFill>
          </w14:textFill>
        </w:rPr>
        <w:t>采购</w:t>
      </w:r>
      <w:r>
        <w:rPr>
          <w:rFonts w:hint="eastAsia"/>
          <w:b/>
          <w:bCs/>
          <w:color w:val="000000" w:themeColor="text1"/>
          <w:sz w:val="24"/>
          <w:szCs w:val="24"/>
          <w14:textFill>
            <w14:solidFill>
              <w14:schemeClr w14:val="tx1"/>
            </w14:solidFill>
          </w14:textFill>
        </w:rPr>
        <w:t>内容及</w:t>
      </w:r>
      <w:r>
        <w:rPr>
          <w:rFonts w:hint="eastAsia"/>
          <w:b/>
          <w:bCs/>
          <w:sz w:val="24"/>
          <w:szCs w:val="24"/>
        </w:rPr>
        <w:t>价格</w:t>
      </w:r>
    </w:p>
    <w:p w14:paraId="3A908367">
      <w:pPr>
        <w:pStyle w:val="22"/>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 xml:space="preserve"> 产品名称、价格</w:t>
      </w:r>
    </w:p>
    <w:tbl>
      <w:tblPr>
        <w:tblStyle w:val="14"/>
        <w:tblpPr w:leftFromText="180" w:rightFromText="180" w:vertAnchor="text" w:horzAnchor="margin" w:tblpX="-172" w:tblpY="140"/>
        <w:tblW w:w="9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2082"/>
        <w:gridCol w:w="1110"/>
        <w:gridCol w:w="1395"/>
        <w:gridCol w:w="3719"/>
      </w:tblGrid>
      <w:tr w14:paraId="3666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848" w:type="dxa"/>
            <w:vAlign w:val="center"/>
          </w:tcPr>
          <w:p w14:paraId="D6DB17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bCs/>
                <w:sz w:val="24"/>
                <w:szCs w:val="24"/>
              </w:rPr>
            </w:pPr>
            <w:r>
              <w:rPr>
                <w:rFonts w:hint="eastAsia"/>
                <w:b/>
                <w:bCs/>
                <w:sz w:val="24"/>
                <w:szCs w:val="24"/>
              </w:rPr>
              <w:t>序号</w:t>
            </w:r>
          </w:p>
        </w:tc>
        <w:tc>
          <w:tcPr>
            <w:tcW w:w="2082" w:type="dxa"/>
            <w:vAlign w:val="center"/>
          </w:tcPr>
          <w:p w14:paraId="F54077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bCs/>
                <w:sz w:val="24"/>
                <w:szCs w:val="24"/>
              </w:rPr>
            </w:pPr>
            <w:r>
              <w:rPr>
                <w:rFonts w:hint="eastAsia"/>
                <w:b/>
                <w:bCs/>
                <w:sz w:val="24"/>
                <w:szCs w:val="24"/>
              </w:rPr>
              <w:t>名    称</w:t>
            </w:r>
          </w:p>
        </w:tc>
        <w:tc>
          <w:tcPr>
            <w:tcW w:w="1110" w:type="dxa"/>
            <w:vAlign w:val="center"/>
          </w:tcPr>
          <w:p w14:paraId="A43053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bCs/>
                <w:sz w:val="24"/>
                <w:szCs w:val="24"/>
              </w:rPr>
            </w:pPr>
            <w:r>
              <w:rPr>
                <w:rFonts w:hint="eastAsia"/>
                <w:b/>
                <w:bCs/>
                <w:sz w:val="24"/>
                <w:szCs w:val="24"/>
              </w:rPr>
              <w:t>数  量</w:t>
            </w:r>
          </w:p>
        </w:tc>
        <w:tc>
          <w:tcPr>
            <w:tcW w:w="1395" w:type="dxa"/>
            <w:vAlign w:val="center"/>
          </w:tcPr>
          <w:p w14:paraId="B42AAB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bCs/>
                <w:sz w:val="24"/>
                <w:szCs w:val="24"/>
              </w:rPr>
            </w:pPr>
            <w:r>
              <w:rPr>
                <w:rFonts w:hint="eastAsia"/>
                <w:b/>
                <w:bCs/>
                <w:sz w:val="24"/>
                <w:szCs w:val="24"/>
              </w:rPr>
              <w:t>单  价</w:t>
            </w:r>
          </w:p>
          <w:p w14:paraId="872E4F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bCs/>
                <w:sz w:val="24"/>
                <w:szCs w:val="24"/>
              </w:rPr>
            </w:pPr>
            <w:r>
              <w:rPr>
                <w:rFonts w:hint="eastAsia"/>
                <w:b/>
                <w:bCs/>
                <w:sz w:val="24"/>
                <w:szCs w:val="24"/>
              </w:rPr>
              <w:t>（每套）</w:t>
            </w:r>
          </w:p>
        </w:tc>
        <w:tc>
          <w:tcPr>
            <w:tcW w:w="3719" w:type="dxa"/>
            <w:vAlign w:val="center"/>
          </w:tcPr>
          <w:p w14:paraId="A63018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bCs/>
                <w:sz w:val="24"/>
                <w:szCs w:val="24"/>
              </w:rPr>
            </w:pPr>
            <w:r>
              <w:rPr>
                <w:rFonts w:hint="eastAsia"/>
                <w:b/>
                <w:bCs/>
                <w:sz w:val="24"/>
                <w:szCs w:val="24"/>
              </w:rPr>
              <w:t>备   注</w:t>
            </w:r>
          </w:p>
        </w:tc>
      </w:tr>
      <w:tr w14:paraId="64A4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48" w:type="dxa"/>
            <w:vAlign w:val="center"/>
          </w:tcPr>
          <w:p w14:paraId="30AADB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szCs w:val="24"/>
              </w:rPr>
            </w:pPr>
            <w:r>
              <w:rPr>
                <w:rFonts w:hint="eastAsia"/>
                <w:sz w:val="24"/>
                <w:szCs w:val="24"/>
              </w:rPr>
              <w:t>1</w:t>
            </w:r>
          </w:p>
        </w:tc>
        <w:tc>
          <w:tcPr>
            <w:tcW w:w="2082" w:type="dxa"/>
            <w:vAlign w:val="center"/>
          </w:tcPr>
          <w:p w14:paraId="477607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宋体"/>
                <w:sz w:val="24"/>
                <w:szCs w:val="24"/>
                <w:lang w:val="en-US" w:eastAsia="zh-CN"/>
              </w:rPr>
            </w:pPr>
            <w:r>
              <w:rPr>
                <w:rFonts w:hint="eastAsia"/>
                <w:sz w:val="24"/>
                <w:szCs w:val="24"/>
              </w:rPr>
              <w:t>《</w:t>
            </w:r>
            <w:r>
              <w:rPr>
                <w:rFonts w:hint="eastAsia"/>
                <w:sz w:val="24"/>
                <w:szCs w:val="24"/>
                <w:lang w:eastAsia="zh-CN"/>
              </w:rPr>
              <w:t>儿童认知评估训练系统</w:t>
            </w:r>
            <w:r>
              <w:rPr>
                <w:rFonts w:hint="eastAsia"/>
                <w:sz w:val="24"/>
                <w:szCs w:val="24"/>
              </w:rPr>
              <w:t>》</w:t>
            </w:r>
            <w:r>
              <w:rPr>
                <w:rFonts w:hint="eastAsia"/>
                <w:sz w:val="24"/>
                <w:szCs w:val="24"/>
                <w:lang w:val="en-US" w:eastAsia="zh-CN"/>
              </w:rPr>
              <w:t>软件</w:t>
            </w:r>
          </w:p>
        </w:tc>
        <w:tc>
          <w:tcPr>
            <w:tcW w:w="1110" w:type="dxa"/>
            <w:vAlign w:val="center"/>
          </w:tcPr>
          <w:p w14:paraId="5EE0F7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szCs w:val="24"/>
              </w:rPr>
            </w:pPr>
            <w:r>
              <w:rPr>
                <w:rFonts w:hint="eastAsia"/>
                <w:sz w:val="24"/>
                <w:szCs w:val="24"/>
              </w:rPr>
              <w:t>1套</w:t>
            </w:r>
          </w:p>
        </w:tc>
        <w:tc>
          <w:tcPr>
            <w:tcW w:w="1395" w:type="dxa"/>
            <w:vAlign w:val="center"/>
          </w:tcPr>
          <w:p w14:paraId="9A625A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szCs w:val="24"/>
              </w:rPr>
            </w:pPr>
          </w:p>
        </w:tc>
        <w:tc>
          <w:tcPr>
            <w:tcW w:w="3719" w:type="dxa"/>
            <w:vAlign w:val="center"/>
          </w:tcPr>
          <w:p w14:paraId="77F3E240">
            <w:pPr>
              <w:keepNext w:val="0"/>
              <w:keepLines w:val="0"/>
              <w:pageBreakBefore w:val="0"/>
              <w:widowControl w:val="0"/>
              <w:kinsoku/>
              <w:wordWrap/>
              <w:overflowPunct/>
              <w:topLinePunct w:val="0"/>
              <w:autoSpaceDE/>
              <w:autoSpaceDN/>
              <w:bidi w:val="0"/>
              <w:adjustRightInd/>
              <w:snapToGrid/>
              <w:spacing w:line="320" w:lineRule="exact"/>
              <w:ind w:left="0" w:firstLine="0" w:firstLineChars="0"/>
              <w:jc w:val="both"/>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包含</w:t>
            </w:r>
            <w:r>
              <w:rPr>
                <w:rFonts w:hint="eastAsia" w:ascii="宋体" w:hAnsi="宋体" w:cs="宋体"/>
                <w:color w:val="000000" w:themeColor="text1"/>
                <w:kern w:val="0"/>
                <w:sz w:val="24"/>
                <w:szCs w:val="24"/>
                <w:lang w:val="en-US" w:eastAsia="zh-CN"/>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000次</w:t>
            </w:r>
            <w:r>
              <w:rPr>
                <w:rFonts w:hint="eastAsia" w:ascii="宋体" w:hAnsi="宋体" w:cs="宋体"/>
                <w:color w:val="000000" w:themeColor="text1"/>
                <w:kern w:val="0"/>
                <w:sz w:val="24"/>
                <w:szCs w:val="24"/>
                <w:lang w:val="en-US" w:eastAsia="zh-CN"/>
                <w14:textFill>
                  <w14:solidFill>
                    <w14:schemeClr w14:val="tx1"/>
                  </w14:solidFill>
                </w14:textFill>
              </w:rPr>
              <w:t>在线</w:t>
            </w:r>
            <w:r>
              <w:rPr>
                <w:rFonts w:hint="eastAsia" w:ascii="宋体" w:hAnsi="宋体" w:cs="宋体"/>
                <w:color w:val="000000" w:themeColor="text1"/>
                <w:kern w:val="0"/>
                <w:sz w:val="24"/>
                <w:szCs w:val="24"/>
                <w14:textFill>
                  <w14:solidFill>
                    <w14:schemeClr w14:val="tx1"/>
                  </w14:solidFill>
                </w14:textFill>
              </w:rPr>
              <w:t>评估</w:t>
            </w:r>
            <w:r>
              <w:rPr>
                <w:rFonts w:hint="eastAsia" w:ascii="宋体" w:hAnsi="宋体" w:cs="宋体"/>
                <w:color w:val="000000" w:themeColor="text1"/>
                <w:kern w:val="0"/>
                <w:sz w:val="24"/>
                <w:szCs w:val="24"/>
                <w:lang w:val="en-US" w:eastAsia="zh-CN"/>
                <w14:textFill>
                  <w14:solidFill>
                    <w14:schemeClr w14:val="tx1"/>
                  </w14:solidFill>
                </w14:textFill>
              </w:rPr>
              <w:t>报告</w:t>
            </w:r>
            <w:r>
              <w:rPr>
                <w:rFonts w:hint="eastAsia" w:ascii="宋体" w:hAnsi="宋体" w:cs="宋体"/>
                <w:color w:val="000000" w:themeColor="text1"/>
                <w:kern w:val="0"/>
                <w:sz w:val="24"/>
                <w:szCs w:val="24"/>
                <w14:textFill>
                  <w14:solidFill>
                    <w14:schemeClr w14:val="tx1"/>
                  </w14:solidFill>
                </w14:textFill>
              </w:rPr>
              <w:t>及</w:t>
            </w:r>
            <w:r>
              <w:rPr>
                <w:rFonts w:hint="eastAsia" w:ascii="宋体" w:hAnsi="宋体" w:cs="宋体"/>
                <w:color w:val="000000" w:themeColor="text1"/>
                <w:kern w:val="0"/>
                <w:sz w:val="24"/>
                <w:szCs w:val="24"/>
                <w:lang w:val="en-US" w:eastAsia="zh-CN"/>
                <w14:textFill>
                  <w14:solidFill>
                    <w14:schemeClr w14:val="tx1"/>
                  </w14:solidFill>
                </w14:textFill>
              </w:rPr>
              <w:t>12000次在线</w:t>
            </w:r>
            <w:r>
              <w:rPr>
                <w:rFonts w:hint="eastAsia" w:ascii="宋体" w:hAnsi="宋体" w:cs="宋体"/>
                <w:color w:val="000000" w:themeColor="text1"/>
                <w:kern w:val="0"/>
                <w:sz w:val="24"/>
                <w:szCs w:val="24"/>
                <w14:textFill>
                  <w14:solidFill>
                    <w14:schemeClr w14:val="tx1"/>
                  </w14:solidFill>
                </w14:textFill>
              </w:rPr>
              <w:t>训练</w:t>
            </w:r>
            <w:r>
              <w:rPr>
                <w:rFonts w:hint="eastAsia" w:ascii="宋体" w:hAnsi="宋体" w:cs="宋体"/>
                <w:color w:val="000000" w:themeColor="text1"/>
                <w:kern w:val="0"/>
                <w:sz w:val="24"/>
                <w:szCs w:val="24"/>
                <w:lang w:eastAsia="zh-CN"/>
                <w14:textFill>
                  <w14:solidFill>
                    <w14:schemeClr w14:val="tx1"/>
                  </w14:solidFill>
                </w14:textFill>
              </w:rPr>
              <w:t>。</w:t>
            </w:r>
          </w:p>
          <w:p w14:paraId="6DAEBE91">
            <w:pPr>
              <w:keepNext w:val="0"/>
              <w:keepLines w:val="0"/>
              <w:pageBreakBefore w:val="0"/>
              <w:widowControl w:val="0"/>
              <w:kinsoku/>
              <w:wordWrap/>
              <w:overflowPunct/>
              <w:topLinePunct w:val="0"/>
              <w:autoSpaceDE/>
              <w:autoSpaceDN/>
              <w:bidi w:val="0"/>
              <w:adjustRightInd/>
              <w:snapToGrid/>
              <w:spacing w:line="320" w:lineRule="exact"/>
              <w:ind w:left="0" w:firstLine="0" w:firstLineChars="0"/>
              <w:jc w:val="both"/>
              <w:textAlignment w:val="auto"/>
              <w:rPr>
                <w:sz w:val="24"/>
                <w:szCs w:val="24"/>
              </w:rPr>
            </w:pPr>
            <w:r>
              <w:rPr>
                <w:rFonts w:hint="eastAsia" w:ascii="宋体" w:hAnsi="宋体" w:cs="宋体"/>
                <w:color w:val="000000" w:themeColor="text1"/>
                <w:kern w:val="0"/>
                <w:sz w:val="24"/>
                <w:szCs w:val="24"/>
                <w:lang w:val="en-US" w:eastAsia="zh-CN"/>
                <w14:textFill>
                  <w14:solidFill>
                    <w14:schemeClr w14:val="tx1"/>
                  </w14:solidFill>
                </w14:textFill>
              </w:rPr>
              <w:t>该</w:t>
            </w:r>
            <w:r>
              <w:rPr>
                <w:rFonts w:hint="eastAsia" w:ascii="宋体" w:hAnsi="宋体" w:cs="宋体"/>
                <w:color w:val="000000" w:themeColor="text1"/>
                <w:kern w:val="0"/>
                <w:sz w:val="24"/>
                <w:szCs w:val="24"/>
                <w14:textFill>
                  <w14:solidFill>
                    <w14:schemeClr w14:val="tx1"/>
                  </w14:solidFill>
                </w14:textFill>
              </w:rPr>
              <w:t>系统支持多套辅助设备同时使用，</w:t>
            </w:r>
            <w:r>
              <w:rPr>
                <w:rFonts w:hint="eastAsia" w:ascii="宋体" w:hAnsi="宋体" w:cs="宋体"/>
                <w:color w:val="000000" w:themeColor="text1"/>
                <w:kern w:val="0"/>
                <w:sz w:val="24"/>
                <w:szCs w:val="24"/>
                <w:lang w:val="en-US" w:eastAsia="zh-CN"/>
                <w14:textFill>
                  <w14:solidFill>
                    <w14:schemeClr w14:val="tx1"/>
                  </w14:solidFill>
                </w14:textFill>
              </w:rPr>
              <w:t>甲方科室</w:t>
            </w:r>
            <w:r>
              <w:rPr>
                <w:rFonts w:hint="eastAsia" w:ascii="宋体" w:hAnsi="宋体" w:cs="宋体"/>
                <w:color w:val="000000" w:themeColor="text1"/>
                <w:kern w:val="0"/>
                <w:sz w:val="24"/>
                <w:szCs w:val="24"/>
                <w14:textFill>
                  <w14:solidFill>
                    <w14:schemeClr w14:val="tx1"/>
                  </w14:solidFill>
                </w14:textFill>
              </w:rPr>
              <w:t>可根据实际工作需要增加辅助设备。</w:t>
            </w:r>
          </w:p>
        </w:tc>
      </w:tr>
      <w:tr w14:paraId="121B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848" w:type="dxa"/>
            <w:vAlign w:val="center"/>
          </w:tcPr>
          <w:p w14:paraId="5A3D04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sz w:val="24"/>
                <w:szCs w:val="24"/>
                <w:lang w:val="en-US" w:eastAsia="zh-CN"/>
              </w:rPr>
            </w:pPr>
            <w:r>
              <w:rPr>
                <w:rFonts w:hint="eastAsia"/>
                <w:sz w:val="24"/>
                <w:szCs w:val="24"/>
                <w:lang w:val="en-US" w:eastAsia="zh-CN"/>
              </w:rPr>
              <w:t>2</w:t>
            </w:r>
          </w:p>
        </w:tc>
        <w:tc>
          <w:tcPr>
            <w:tcW w:w="2082" w:type="dxa"/>
            <w:vAlign w:val="center"/>
          </w:tcPr>
          <w:p w14:paraId="324A61D2">
            <w:pPr>
              <w:keepNext w:val="0"/>
              <w:keepLines w:val="0"/>
              <w:pageBreakBefore w:val="0"/>
              <w:widowControl w:val="0"/>
              <w:kinsoku/>
              <w:wordWrap/>
              <w:overflowPunct/>
              <w:topLinePunct w:val="0"/>
              <w:autoSpaceDE/>
              <w:autoSpaceDN/>
              <w:bidi w:val="0"/>
              <w:adjustRightInd/>
              <w:snapToGrid/>
              <w:spacing w:line="320" w:lineRule="exact"/>
              <w:ind w:left="420" w:leftChars="200" w:firstLine="120" w:firstLineChars="50"/>
              <w:jc w:val="both"/>
              <w:textAlignment w:val="auto"/>
              <w:rPr>
                <w:rFonts w:hint="eastAsia"/>
                <w:sz w:val="24"/>
                <w:szCs w:val="24"/>
              </w:rPr>
            </w:pPr>
            <w:r>
              <w:rPr>
                <w:rFonts w:hint="eastAsia" w:ascii="宋体" w:hAnsi="宋体" w:cs="宋体"/>
                <w:color w:val="000000" w:themeColor="text1"/>
                <w:kern w:val="0"/>
                <w:sz w:val="24"/>
                <w:szCs w:val="24"/>
                <w14:textFill>
                  <w14:solidFill>
                    <w14:schemeClr w14:val="tx1"/>
                  </w14:solidFill>
                </w14:textFill>
              </w:rPr>
              <w:t>辅助设备</w:t>
            </w:r>
          </w:p>
        </w:tc>
        <w:tc>
          <w:tcPr>
            <w:tcW w:w="1110" w:type="dxa"/>
            <w:vAlign w:val="center"/>
          </w:tcPr>
          <w:p w14:paraId="3D706E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宋体"/>
                <w:sz w:val="24"/>
                <w:szCs w:val="24"/>
                <w:lang w:val="en-US" w:eastAsia="zh-CN"/>
              </w:rPr>
            </w:pPr>
            <w:r>
              <w:rPr>
                <w:rFonts w:hint="eastAsia"/>
                <w:sz w:val="24"/>
                <w:szCs w:val="24"/>
                <w:lang w:val="en-US" w:eastAsia="zh-CN"/>
              </w:rPr>
              <w:t>2套</w:t>
            </w:r>
          </w:p>
        </w:tc>
        <w:tc>
          <w:tcPr>
            <w:tcW w:w="1395" w:type="dxa"/>
            <w:vAlign w:val="center"/>
          </w:tcPr>
          <w:p w14:paraId="5606D0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szCs w:val="24"/>
              </w:rPr>
            </w:pPr>
          </w:p>
        </w:tc>
        <w:tc>
          <w:tcPr>
            <w:tcW w:w="3719" w:type="dxa"/>
            <w:vAlign w:val="center"/>
          </w:tcPr>
          <w:p w14:paraId="503BD5C8">
            <w:pPr>
              <w:keepNext w:val="0"/>
              <w:keepLines w:val="0"/>
              <w:pageBreakBefore w:val="0"/>
              <w:widowControl w:val="0"/>
              <w:kinsoku/>
              <w:wordWrap/>
              <w:overflowPunct/>
              <w:topLinePunct w:val="0"/>
              <w:autoSpaceDE/>
              <w:autoSpaceDN/>
              <w:bidi w:val="0"/>
              <w:adjustRightInd/>
              <w:snapToGrid/>
              <w:spacing w:line="320" w:lineRule="exact"/>
              <w:ind w:left="0" w:firstLine="0" w:firstLineChars="0"/>
              <w:jc w:val="both"/>
              <w:textAlignment w:val="auto"/>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每套</w:t>
            </w:r>
            <w:r>
              <w:rPr>
                <w:rFonts w:hint="eastAsia" w:ascii="宋体" w:hAnsi="宋体" w:cs="宋体"/>
                <w:color w:val="000000" w:themeColor="text1"/>
                <w:kern w:val="0"/>
                <w:sz w:val="24"/>
                <w:szCs w:val="24"/>
                <w:lang w:val="en-US" w:eastAsia="zh-CN"/>
                <w14:textFill>
                  <w14:solidFill>
                    <w14:schemeClr w14:val="tx1"/>
                  </w14:solidFill>
                </w14:textFill>
              </w:rPr>
              <w:t>均</w:t>
            </w:r>
            <w:r>
              <w:rPr>
                <w:rFonts w:hint="eastAsia" w:ascii="宋体" w:hAnsi="宋体" w:cs="宋体"/>
                <w:color w:val="000000" w:themeColor="text1"/>
                <w:kern w:val="0"/>
                <w:sz w:val="24"/>
                <w:szCs w:val="24"/>
                <w14:textFill>
                  <w14:solidFill>
                    <w14:schemeClr w14:val="tx1"/>
                  </w14:solidFill>
                </w14:textFill>
              </w:rPr>
              <w:t>含脑波信号采集器、脑波灯、脑波数据接收器、遥控器、充电线。</w:t>
            </w:r>
          </w:p>
        </w:tc>
      </w:tr>
      <w:tr w14:paraId="2513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154" w:type="dxa"/>
            <w:gridSpan w:val="5"/>
            <w:vAlign w:val="center"/>
          </w:tcPr>
          <w:p w14:paraId="5B978A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szCs w:val="24"/>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168B0EA6">
      <w:pPr>
        <w:keepNext w:val="0"/>
        <w:keepLines w:val="0"/>
        <w:pageBreakBefore w:val="0"/>
        <w:widowControl w:val="0"/>
        <w:kinsoku/>
        <w:wordWrap w:val="0"/>
        <w:overflowPunct/>
        <w:topLinePunct/>
        <w:autoSpaceDE/>
        <w:autoSpaceDN/>
        <w:bidi w:val="0"/>
        <w:adjustRightInd/>
        <w:snapToGrid/>
        <w:spacing w:beforeAutospacing="0" w:afterAutospacing="0" w:line="480" w:lineRule="exact"/>
        <w:ind w:left="0" w:leftChars="0" w:firstLine="480" w:firstLineChars="200"/>
        <w:textAlignment w:val="auto"/>
        <w:rPr>
          <w:rFonts w:hint="eastAsia" w:ascii="宋体" w:hAnsi="宋体" w:eastAsia="宋体" w:cs="宋体"/>
          <w:sz w:val="24"/>
          <w:szCs w:val="24"/>
          <w:lang w:val="en-US" w:eastAsia="zh-CN"/>
        </w:rPr>
      </w:pPr>
    </w:p>
    <w:p w14:paraId="153412B2">
      <w:pPr>
        <w:keepNext w:val="0"/>
        <w:keepLines w:val="0"/>
        <w:pageBreakBefore w:val="0"/>
        <w:widowControl w:val="0"/>
        <w:kinsoku/>
        <w:wordWrap w:val="0"/>
        <w:overflowPunct/>
        <w:topLinePunct/>
        <w:autoSpaceDE/>
        <w:autoSpaceDN/>
        <w:bidi w:val="0"/>
        <w:adjustRightInd/>
        <w:snapToGrid/>
        <w:spacing w:beforeAutospacing="0" w:afterAutospacing="0" w:line="480" w:lineRule="exact"/>
        <w:ind w:left="0" w:leftChars="0" w:firstLine="480" w:firstLineChars="200"/>
        <w:textAlignment w:val="auto"/>
        <w:rPr>
          <w:rFonts w:hint="eastAsia" w:ascii="宋体" w:hAnsi="宋体" w:eastAsia="宋体" w:cs="宋体"/>
          <w:sz w:val="24"/>
          <w:szCs w:val="24"/>
          <w:lang w:val="en-US" w:eastAsia="zh-CN"/>
        </w:rPr>
      </w:pPr>
    </w:p>
    <w:p w14:paraId="0F5EDC98">
      <w:pPr>
        <w:keepNext w:val="0"/>
        <w:keepLines w:val="0"/>
        <w:pageBreakBefore w:val="0"/>
        <w:widowControl w:val="0"/>
        <w:kinsoku/>
        <w:wordWrap w:val="0"/>
        <w:overflowPunct/>
        <w:topLinePunct/>
        <w:autoSpaceDE/>
        <w:autoSpaceDN/>
        <w:bidi w:val="0"/>
        <w:adjustRightInd/>
        <w:snapToGrid/>
        <w:spacing w:beforeAutospacing="0" w:afterAutospacing="0" w:line="480" w:lineRule="exact"/>
        <w:ind w:left="0" w:leftChars="0" w:firstLine="480" w:firstLineChars="200"/>
        <w:textAlignment w:val="auto"/>
        <w:rPr>
          <w:rFonts w:hint="eastAsia" w:ascii="宋体" w:hAnsi="宋体" w:eastAsia="宋体" w:cs="宋体"/>
          <w:sz w:val="24"/>
          <w:szCs w:val="24"/>
          <w:lang w:val="en-US" w:eastAsia="zh-CN"/>
        </w:rPr>
      </w:pPr>
    </w:p>
    <w:p w14:paraId="1CC3D78E">
      <w:pPr>
        <w:keepNext w:val="0"/>
        <w:keepLines w:val="0"/>
        <w:pageBreakBefore w:val="0"/>
        <w:widowControl w:val="0"/>
        <w:kinsoku/>
        <w:wordWrap w:val="0"/>
        <w:overflowPunct/>
        <w:topLinePunct/>
        <w:autoSpaceDE/>
        <w:autoSpaceDN/>
        <w:bidi w:val="0"/>
        <w:adjustRightInd/>
        <w:snapToGrid/>
        <w:spacing w:beforeAutospacing="0" w:afterAutospacing="0" w:line="480" w:lineRule="exact"/>
        <w:ind w:left="0" w:leftChars="0" w:firstLine="480" w:firstLineChars="200"/>
        <w:textAlignment w:val="auto"/>
        <w:rPr>
          <w:rFonts w:hint="eastAsia" w:ascii="宋体" w:hAnsi="宋体" w:eastAsia="宋体" w:cs="宋体"/>
          <w:sz w:val="24"/>
          <w:szCs w:val="24"/>
          <w:lang w:val="en-US" w:eastAsia="zh-CN"/>
        </w:rPr>
      </w:pPr>
    </w:p>
    <w:p w14:paraId="09309349">
      <w:pPr>
        <w:keepNext w:val="0"/>
        <w:keepLines w:val="0"/>
        <w:pageBreakBefore w:val="0"/>
        <w:widowControl w:val="0"/>
        <w:kinsoku/>
        <w:wordWrap w:val="0"/>
        <w:overflowPunct/>
        <w:topLinePunct/>
        <w:autoSpaceDE/>
        <w:autoSpaceDN/>
        <w:bidi w:val="0"/>
        <w:adjustRightInd/>
        <w:snapToGrid/>
        <w:spacing w:beforeAutospacing="0" w:afterAutospacing="0" w:line="480" w:lineRule="exact"/>
        <w:ind w:left="0" w:leftChars="0" w:firstLine="480" w:firstLineChars="200"/>
        <w:textAlignment w:val="auto"/>
        <w:rPr>
          <w:rFonts w:hint="eastAsia" w:ascii="宋体" w:hAnsi="宋体" w:eastAsia="宋体" w:cs="宋体"/>
          <w:sz w:val="24"/>
          <w:szCs w:val="24"/>
          <w:lang w:val="en-US" w:eastAsia="zh-CN"/>
        </w:rPr>
      </w:pPr>
    </w:p>
    <w:p w14:paraId="119B9009">
      <w:pPr>
        <w:keepNext w:val="0"/>
        <w:keepLines w:val="0"/>
        <w:pageBreakBefore w:val="0"/>
        <w:widowControl w:val="0"/>
        <w:kinsoku/>
        <w:wordWrap w:val="0"/>
        <w:overflowPunct/>
        <w:topLinePunct/>
        <w:autoSpaceDE/>
        <w:autoSpaceDN/>
        <w:bidi w:val="0"/>
        <w:adjustRightInd/>
        <w:snapToGrid/>
        <w:spacing w:beforeAutospacing="0" w:afterAutospacing="0" w:line="480" w:lineRule="exact"/>
        <w:ind w:left="0" w:leftChars="0" w:firstLine="480" w:firstLineChars="200"/>
        <w:textAlignment w:val="auto"/>
        <w:rPr>
          <w:rFonts w:hint="eastAsia" w:ascii="宋体" w:hAnsi="宋体" w:eastAsia="宋体" w:cs="宋体"/>
          <w:sz w:val="24"/>
          <w:szCs w:val="24"/>
          <w:lang w:val="en-US" w:eastAsia="zh-CN"/>
        </w:rPr>
      </w:pPr>
    </w:p>
    <w:p w14:paraId="6958FCA1">
      <w:pPr>
        <w:keepNext w:val="0"/>
        <w:keepLines w:val="0"/>
        <w:pageBreakBefore w:val="0"/>
        <w:widowControl w:val="0"/>
        <w:kinsoku/>
        <w:wordWrap w:val="0"/>
        <w:overflowPunct/>
        <w:topLinePunct/>
        <w:autoSpaceDE/>
        <w:autoSpaceDN/>
        <w:bidi w:val="0"/>
        <w:adjustRightInd/>
        <w:snapToGrid/>
        <w:spacing w:beforeAutospacing="0" w:afterAutospacing="0" w:line="480" w:lineRule="exact"/>
        <w:ind w:left="0" w:leftChars="0" w:firstLine="480" w:firstLineChars="200"/>
        <w:textAlignment w:val="auto"/>
        <w:rPr>
          <w:rFonts w:hint="eastAsia" w:ascii="宋体" w:hAnsi="宋体" w:eastAsia="宋体" w:cs="宋体"/>
          <w:sz w:val="24"/>
          <w:szCs w:val="24"/>
          <w:lang w:val="en-US" w:eastAsia="zh-CN"/>
        </w:rPr>
      </w:pPr>
    </w:p>
    <w:p w14:paraId="64A69F00">
      <w:pPr>
        <w:keepNext w:val="0"/>
        <w:keepLines w:val="0"/>
        <w:pageBreakBefore w:val="0"/>
        <w:widowControl w:val="0"/>
        <w:kinsoku/>
        <w:wordWrap w:val="0"/>
        <w:overflowPunct/>
        <w:topLinePunct/>
        <w:autoSpaceDE/>
        <w:autoSpaceDN/>
        <w:bidi w:val="0"/>
        <w:adjustRightInd/>
        <w:snapToGrid/>
        <w:spacing w:beforeAutospacing="0" w:afterAutospacing="0" w:line="480" w:lineRule="exact"/>
        <w:ind w:left="0" w:leftChars="0" w:firstLine="480" w:firstLineChars="200"/>
        <w:textAlignment w:val="auto"/>
        <w:rPr>
          <w:rFonts w:hint="eastAsia" w:ascii="宋体" w:hAnsi="宋体" w:eastAsia="宋体" w:cs="宋体"/>
          <w:sz w:val="24"/>
          <w:szCs w:val="24"/>
          <w:lang w:val="en-US" w:eastAsia="zh-CN"/>
        </w:rPr>
      </w:pPr>
    </w:p>
    <w:p w14:paraId="111E21B2">
      <w:pPr>
        <w:keepNext w:val="0"/>
        <w:keepLines w:val="0"/>
        <w:pageBreakBefore w:val="0"/>
        <w:widowControl w:val="0"/>
        <w:kinsoku/>
        <w:wordWrap w:val="0"/>
        <w:overflowPunct/>
        <w:topLinePunct/>
        <w:autoSpaceDE/>
        <w:autoSpaceDN/>
        <w:bidi w:val="0"/>
        <w:adjustRightInd/>
        <w:snapToGrid/>
        <w:spacing w:beforeAutospacing="0" w:afterAutospacing="0" w:line="480" w:lineRule="exact"/>
        <w:ind w:left="0" w:leftChars="0" w:firstLine="480" w:firstLineChars="200"/>
        <w:textAlignment w:val="auto"/>
        <w:rPr>
          <w:rFonts w:hint="eastAsia" w:ascii="宋体" w:hAnsi="宋体" w:eastAsia="宋体" w:cs="宋体"/>
          <w:sz w:val="24"/>
          <w:szCs w:val="24"/>
          <w:lang w:val="en-US" w:eastAsia="zh-CN"/>
        </w:rPr>
      </w:pPr>
    </w:p>
    <w:p w14:paraId="0EA5DCBA">
      <w:pPr>
        <w:keepNext w:val="0"/>
        <w:keepLines w:val="0"/>
        <w:pageBreakBefore w:val="0"/>
        <w:widowControl w:val="0"/>
        <w:kinsoku/>
        <w:wordWrap w:val="0"/>
        <w:overflowPunct/>
        <w:topLinePunct/>
        <w:autoSpaceDE/>
        <w:autoSpaceDN/>
        <w:bidi w:val="0"/>
        <w:adjustRightInd/>
        <w:snapToGrid/>
        <w:spacing w:beforeAutospacing="0" w:afterAutospacing="0" w:line="480" w:lineRule="exact"/>
        <w:ind w:left="0" w:leftChars="0" w:firstLine="480" w:firstLineChars="200"/>
        <w:textAlignment w:val="auto"/>
        <w:rPr>
          <w:rFonts w:hint="eastAsia" w:ascii="宋体" w:hAnsi="宋体" w:eastAsia="宋体" w:cs="宋体"/>
          <w:sz w:val="24"/>
          <w:szCs w:val="24"/>
          <w:lang w:val="en-US" w:eastAsia="zh-CN"/>
        </w:rPr>
      </w:pPr>
    </w:p>
    <w:p w14:paraId="27C82B6F">
      <w:pPr>
        <w:keepNext w:val="0"/>
        <w:keepLines w:val="0"/>
        <w:pageBreakBefore w:val="0"/>
        <w:widowControl w:val="0"/>
        <w:kinsoku/>
        <w:wordWrap w:val="0"/>
        <w:overflowPunct/>
        <w:topLinePunct/>
        <w:autoSpaceDE/>
        <w:autoSpaceDN/>
        <w:bidi w:val="0"/>
        <w:adjustRightInd/>
        <w:snapToGrid/>
        <w:spacing w:beforeAutospacing="0" w:afterAutospacing="0" w:line="480" w:lineRule="exact"/>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1.2 本合同约定单价及价款</w:t>
      </w:r>
      <w:r>
        <w:rPr>
          <w:rFonts w:hint="eastAsia" w:ascii="宋体" w:hAnsi="宋体" w:eastAsia="宋体" w:cs="宋体"/>
          <w:color w:val="000000" w:themeColor="text1"/>
          <w:kern w:val="0"/>
          <w:sz w:val="24"/>
          <w:szCs w:val="24"/>
          <w:lang w:val="en-US" w:eastAsia="zh-CN"/>
          <w14:textFill>
            <w14:solidFill>
              <w14:schemeClr w14:val="tx1"/>
            </w14:solidFill>
          </w14:textFill>
        </w:rPr>
        <w:t>包括系统辅助设备费、软件使用费、1</w:t>
      </w:r>
      <w:r>
        <w:rPr>
          <w:rFonts w:hint="eastAsia" w:ascii="宋体" w:hAnsi="宋体" w:eastAsia="宋体" w:cs="宋体"/>
          <w:color w:val="000000" w:themeColor="text1"/>
          <w:kern w:val="0"/>
          <w:sz w:val="24"/>
          <w:szCs w:val="24"/>
          <w14:textFill>
            <w14:solidFill>
              <w14:schemeClr w14:val="tx1"/>
            </w14:solidFill>
          </w14:textFill>
        </w:rPr>
        <w:t>000次</w:t>
      </w:r>
      <w:r>
        <w:rPr>
          <w:rFonts w:hint="eastAsia" w:ascii="宋体" w:hAnsi="宋体" w:eastAsia="宋体" w:cs="宋体"/>
          <w:color w:val="000000" w:themeColor="text1"/>
          <w:kern w:val="0"/>
          <w:sz w:val="24"/>
          <w:szCs w:val="24"/>
          <w:lang w:val="en-US" w:eastAsia="zh-CN"/>
          <w14:textFill>
            <w14:solidFill>
              <w14:schemeClr w14:val="tx1"/>
            </w14:solidFill>
          </w14:textFill>
        </w:rPr>
        <w:t>在线</w:t>
      </w:r>
      <w:r>
        <w:rPr>
          <w:rFonts w:hint="eastAsia" w:ascii="宋体" w:hAnsi="宋体" w:eastAsia="宋体" w:cs="宋体"/>
          <w:color w:val="000000" w:themeColor="text1"/>
          <w:kern w:val="0"/>
          <w:sz w:val="24"/>
          <w:szCs w:val="24"/>
          <w14:textFill>
            <w14:solidFill>
              <w14:schemeClr w14:val="tx1"/>
            </w14:solidFill>
          </w14:textFill>
        </w:rPr>
        <w:t>评估</w:t>
      </w:r>
      <w:r>
        <w:rPr>
          <w:rFonts w:hint="eastAsia" w:ascii="宋体" w:hAnsi="宋体" w:eastAsia="宋体" w:cs="宋体"/>
          <w:color w:val="000000" w:themeColor="text1"/>
          <w:kern w:val="0"/>
          <w:sz w:val="24"/>
          <w:szCs w:val="24"/>
          <w:lang w:val="en-US" w:eastAsia="zh-CN"/>
          <w14:textFill>
            <w14:solidFill>
              <w14:schemeClr w14:val="tx1"/>
            </w14:solidFill>
          </w14:textFill>
        </w:rPr>
        <w:t>报告费、12000次在线</w:t>
      </w:r>
      <w:r>
        <w:rPr>
          <w:rFonts w:hint="eastAsia" w:ascii="宋体" w:hAnsi="宋体" w:eastAsia="宋体" w:cs="宋体"/>
          <w:color w:val="000000" w:themeColor="text1"/>
          <w:kern w:val="0"/>
          <w:sz w:val="24"/>
          <w:szCs w:val="24"/>
          <w14:textFill>
            <w14:solidFill>
              <w14:schemeClr w14:val="tx1"/>
            </w14:solidFill>
          </w14:textFill>
        </w:rPr>
        <w:t>训练</w:t>
      </w:r>
      <w:r>
        <w:rPr>
          <w:rFonts w:hint="eastAsia" w:ascii="宋体" w:hAnsi="宋体" w:eastAsia="宋体" w:cs="宋体"/>
          <w:color w:val="000000" w:themeColor="text1"/>
          <w:kern w:val="0"/>
          <w:sz w:val="24"/>
          <w:szCs w:val="24"/>
          <w:lang w:val="en-US" w:eastAsia="zh-CN"/>
          <w14:textFill>
            <w14:solidFill>
              <w14:schemeClr w14:val="tx1"/>
            </w14:solidFill>
          </w14:textFill>
        </w:rPr>
        <w:t>费、软硬件维护服务费、人工费、交通费、食宿费、软件升级费、培训费、税费、售后服务费等所有费用，甲方不再就本合同约定范围内的</w:t>
      </w:r>
      <w:r>
        <w:rPr>
          <w:rFonts w:hint="eastAsia" w:ascii="宋体" w:hAnsi="宋体" w:eastAsia="宋体" w:cs="宋体"/>
          <w:kern w:val="0"/>
          <w:sz w:val="24"/>
          <w:szCs w:val="24"/>
          <w:lang w:val="en-US" w:eastAsia="zh-CN" w:bidi="ar-SA"/>
        </w:rPr>
        <w:t>服务向乙方支付其他任何费用。</w:t>
      </w:r>
    </w:p>
    <w:p w14:paraId="305976F8">
      <w:pPr>
        <w:pStyle w:val="13"/>
        <w:keepNext w:val="0"/>
        <w:keepLines w:val="0"/>
        <w:pageBreakBefore w:val="0"/>
        <w:widowControl w:val="0"/>
        <w:kinsoku/>
        <w:wordWrap w:val="0"/>
        <w:overflowPunct/>
        <w:topLinePunct/>
        <w:autoSpaceDE/>
        <w:autoSpaceDN/>
        <w:bidi w:val="0"/>
        <w:snapToGrid/>
        <w:spacing w:after="0" w:line="480" w:lineRule="exact"/>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1.3 本合同约定辅助设备所有权归甲方，系统软件所有权归乙方，但甲方有权免费永久使用系统软件。</w:t>
      </w:r>
    </w:p>
    <w:p w14:paraId="597F8B3F">
      <w:pPr>
        <w:pStyle w:val="5"/>
        <w:keepNext w:val="0"/>
        <w:keepLines w:val="0"/>
        <w:pageBreakBefore w:val="0"/>
        <w:widowControl w:val="0"/>
        <w:kinsoku/>
        <w:wordWrap w:val="0"/>
        <w:overflowPunct/>
        <w:topLinePunct/>
        <w:autoSpaceDE/>
        <w:autoSpaceDN/>
        <w:bidi w:val="0"/>
        <w:snapToGrid/>
        <w:spacing w:line="48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1.4 本合同产品无需与甲方使用的信息系统对接。</w:t>
      </w:r>
    </w:p>
    <w:p w14:paraId="651BCE6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w:t>
      </w:r>
      <w:r>
        <w:rPr>
          <w:rFonts w:hint="default" w:ascii="宋体" w:hAnsi="宋体" w:eastAsia="宋体" w:cs="宋体"/>
          <w:b/>
          <w:bCs/>
          <w:color w:val="auto"/>
          <w:sz w:val="24"/>
          <w:szCs w:val="24"/>
          <w:highlight w:val="none"/>
          <w:lang w:val="en-US" w:eastAsia="zh-CN"/>
        </w:rPr>
        <w:t>交货时间、地点、运输</w:t>
      </w:r>
      <w:r>
        <w:rPr>
          <w:rFonts w:hint="eastAsia" w:ascii="宋体" w:hAnsi="宋体" w:eastAsia="宋体" w:cs="宋体"/>
          <w:b/>
          <w:bCs/>
          <w:color w:val="auto"/>
          <w:sz w:val="24"/>
          <w:szCs w:val="24"/>
          <w:highlight w:val="none"/>
          <w:lang w:val="en-US" w:eastAsia="zh-CN"/>
        </w:rPr>
        <w:t>、</w:t>
      </w:r>
      <w:r>
        <w:rPr>
          <w:rFonts w:hint="default" w:ascii="宋体" w:hAnsi="宋体" w:eastAsia="宋体" w:cs="宋体"/>
          <w:b/>
          <w:bCs/>
          <w:color w:val="auto"/>
          <w:sz w:val="24"/>
          <w:szCs w:val="24"/>
          <w:highlight w:val="none"/>
          <w:lang w:val="en-US" w:eastAsia="zh-CN"/>
        </w:rPr>
        <w:t>装卸</w:t>
      </w:r>
      <w:r>
        <w:rPr>
          <w:rFonts w:hint="eastAsia" w:ascii="宋体" w:hAnsi="宋体" w:eastAsia="宋体" w:cs="宋体"/>
          <w:b/>
          <w:bCs/>
          <w:color w:val="auto"/>
          <w:sz w:val="24"/>
          <w:szCs w:val="24"/>
          <w:highlight w:val="none"/>
          <w:lang w:val="en-US" w:eastAsia="zh-CN"/>
        </w:rPr>
        <w:t>、搬运</w:t>
      </w:r>
    </w:p>
    <w:p w14:paraId="68F8D33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lang w:val="en-US" w:eastAsia="zh-CN"/>
        </w:rPr>
        <w:t>系统硬件交付</w:t>
      </w:r>
    </w:p>
    <w:p w14:paraId="66D942D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lang w:val="en-US" w:eastAsia="zh-CN"/>
        </w:rPr>
        <w:t xml:space="preserve">2.1.1 </w:t>
      </w:r>
      <w:r>
        <w:rPr>
          <w:rFonts w:hint="eastAsia" w:ascii="宋体" w:hAnsi="宋体" w:eastAsia="宋体" w:cs="宋体"/>
          <w:color w:val="auto"/>
          <w:sz w:val="24"/>
          <w:szCs w:val="24"/>
          <w:highlight w:val="none"/>
          <w:u w:val="none"/>
          <w:lang w:val="en-US" w:eastAsia="zh-CN"/>
        </w:rPr>
        <w:t>乙方应在本合同签订之日起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7</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日内，将本合同约定的系统辅助设备送到甲方指定地点并经甲方到货验收合格。</w:t>
      </w:r>
    </w:p>
    <w:p w14:paraId="3E23B7D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2.1.2 </w:t>
      </w:r>
      <w:r>
        <w:rPr>
          <w:rFonts w:hint="eastAsia" w:ascii="宋体" w:hAnsi="宋体" w:eastAsia="宋体" w:cs="宋体"/>
          <w:color w:val="auto"/>
          <w:sz w:val="24"/>
          <w:szCs w:val="24"/>
          <w:highlight w:val="none"/>
          <w:lang w:val="en-US" w:eastAsia="zh-CN"/>
        </w:rPr>
        <w:t>甲方指定</w:t>
      </w:r>
      <w:r>
        <w:rPr>
          <w:rFonts w:hint="default" w:ascii="宋体" w:hAnsi="宋体" w:eastAsia="宋体" w:cs="宋体"/>
          <w:color w:val="auto"/>
          <w:sz w:val="24"/>
          <w:szCs w:val="24"/>
          <w:highlight w:val="none"/>
          <w:lang w:val="en-US" w:eastAsia="zh-CN"/>
        </w:rPr>
        <w:t>交</w:t>
      </w:r>
      <w:r>
        <w:rPr>
          <w:rFonts w:hint="eastAsia" w:ascii="宋体" w:hAnsi="宋体" w:eastAsia="宋体" w:cs="宋体"/>
          <w:color w:val="auto"/>
          <w:sz w:val="24"/>
          <w:szCs w:val="24"/>
          <w:highlight w:val="none"/>
          <w:lang w:val="en-US" w:eastAsia="zh-CN"/>
        </w:rPr>
        <w:t>付</w:t>
      </w:r>
      <w:r>
        <w:rPr>
          <w:rFonts w:hint="default" w:ascii="宋体" w:hAnsi="宋体" w:eastAsia="宋体" w:cs="宋体"/>
          <w:color w:val="auto"/>
          <w:sz w:val="24"/>
          <w:szCs w:val="24"/>
          <w:highlight w:val="none"/>
          <w:lang w:val="en-US" w:eastAsia="zh-CN"/>
        </w:rPr>
        <w:t>地点：湖南省娄底市</w:t>
      </w:r>
      <w:r>
        <w:rPr>
          <w:rFonts w:hint="eastAsia" w:ascii="宋体" w:hAnsi="宋体" w:eastAsia="宋体" w:cs="宋体"/>
          <w:color w:val="auto"/>
          <w:sz w:val="24"/>
          <w:szCs w:val="24"/>
          <w:highlight w:val="none"/>
          <w:lang w:val="en-US" w:eastAsia="zh-CN"/>
        </w:rPr>
        <w:t>娄星区</w:t>
      </w:r>
      <w:r>
        <w:rPr>
          <w:rFonts w:hint="default" w:ascii="宋体" w:hAnsi="宋体" w:eastAsia="宋体" w:cs="宋体"/>
          <w:color w:val="auto"/>
          <w:sz w:val="24"/>
          <w:szCs w:val="24"/>
          <w:highlight w:val="none"/>
          <w:lang w:val="en-US" w:eastAsia="zh-CN"/>
        </w:rPr>
        <w:t>长青中街51号</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 xml:space="preserve">娄底市中心医院。 </w:t>
      </w:r>
    </w:p>
    <w:p w14:paraId="627F65F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2.1.3 </w:t>
      </w:r>
      <w:r>
        <w:rPr>
          <w:rFonts w:hint="default" w:ascii="宋体" w:hAnsi="宋体" w:eastAsia="宋体" w:cs="宋体"/>
          <w:color w:val="auto"/>
          <w:sz w:val="24"/>
          <w:szCs w:val="24"/>
          <w:highlight w:val="none"/>
          <w:lang w:val="en-US" w:eastAsia="zh-CN"/>
        </w:rPr>
        <w:t>运输</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装卸</w:t>
      </w:r>
      <w:r>
        <w:rPr>
          <w:rFonts w:hint="eastAsia" w:ascii="宋体" w:hAnsi="宋体" w:eastAsia="宋体" w:cs="宋体"/>
          <w:color w:val="auto"/>
          <w:sz w:val="24"/>
          <w:szCs w:val="24"/>
          <w:highlight w:val="none"/>
          <w:lang w:val="en-US" w:eastAsia="zh-CN"/>
        </w:rPr>
        <w:t>、搬运</w:t>
      </w:r>
      <w:r>
        <w:rPr>
          <w:rFonts w:hint="default" w:ascii="宋体" w:hAnsi="宋体" w:eastAsia="宋体" w:cs="宋体"/>
          <w:color w:val="auto"/>
          <w:sz w:val="24"/>
          <w:szCs w:val="24"/>
          <w:highlight w:val="none"/>
          <w:lang w:val="en-US" w:eastAsia="zh-CN"/>
        </w:rPr>
        <w:t>：由乙方自备交通运输工具将</w:t>
      </w:r>
      <w:r>
        <w:rPr>
          <w:rFonts w:hint="eastAsia" w:ascii="宋体" w:hAnsi="宋体" w:eastAsia="宋体" w:cs="宋体"/>
          <w:color w:val="auto"/>
          <w:sz w:val="24"/>
          <w:szCs w:val="24"/>
          <w:highlight w:val="none"/>
          <w:u w:val="none"/>
          <w:lang w:val="en-US" w:eastAsia="zh-CN"/>
        </w:rPr>
        <w:t>辅助设备</w:t>
      </w:r>
      <w:r>
        <w:rPr>
          <w:rFonts w:hint="default" w:ascii="宋体" w:hAnsi="宋体" w:eastAsia="宋体" w:cs="宋体"/>
          <w:color w:val="auto"/>
          <w:sz w:val="24"/>
          <w:szCs w:val="24"/>
          <w:highlight w:val="none"/>
          <w:lang w:val="en-US" w:eastAsia="zh-CN"/>
        </w:rPr>
        <w:t>运至合同约定地点，并负责</w:t>
      </w:r>
      <w:r>
        <w:rPr>
          <w:rFonts w:hint="eastAsia" w:ascii="宋体" w:hAnsi="宋体" w:eastAsia="宋体" w:cs="宋体"/>
          <w:color w:val="auto"/>
          <w:sz w:val="24"/>
          <w:szCs w:val="24"/>
          <w:highlight w:val="none"/>
          <w:lang w:val="en-US" w:eastAsia="zh-CN"/>
        </w:rPr>
        <w:t>货物</w:t>
      </w:r>
      <w:r>
        <w:rPr>
          <w:rFonts w:hint="default" w:ascii="宋体" w:hAnsi="宋体" w:eastAsia="宋体" w:cs="宋体"/>
          <w:color w:val="auto"/>
          <w:sz w:val="24"/>
          <w:szCs w:val="24"/>
          <w:highlight w:val="none"/>
          <w:lang w:val="en-US" w:eastAsia="zh-CN"/>
        </w:rPr>
        <w:t>装卸</w:t>
      </w:r>
      <w:r>
        <w:rPr>
          <w:rFonts w:hint="eastAsia" w:ascii="宋体" w:hAnsi="宋体" w:eastAsia="宋体" w:cs="宋体"/>
          <w:color w:val="auto"/>
          <w:sz w:val="24"/>
          <w:szCs w:val="24"/>
          <w:highlight w:val="none"/>
          <w:lang w:val="en-US" w:eastAsia="zh-CN"/>
        </w:rPr>
        <w:t>、搬运的人工及费用</w:t>
      </w:r>
      <w:r>
        <w:rPr>
          <w:rFonts w:hint="default" w:ascii="宋体" w:hAnsi="宋体" w:eastAsia="宋体" w:cs="宋体"/>
          <w:color w:val="auto"/>
          <w:sz w:val="24"/>
          <w:szCs w:val="24"/>
          <w:highlight w:val="none"/>
          <w:lang w:val="en-US" w:eastAsia="zh-CN"/>
        </w:rPr>
        <w:t>。</w:t>
      </w:r>
    </w:p>
    <w:p w14:paraId="42EBBCB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2.2 </w:t>
      </w:r>
      <w:r>
        <w:rPr>
          <w:rFonts w:hint="eastAsia" w:ascii="宋体" w:hAnsi="宋体" w:eastAsia="宋体" w:cs="宋体"/>
          <w:color w:val="auto"/>
          <w:sz w:val="24"/>
          <w:szCs w:val="24"/>
          <w:highlight w:val="none"/>
          <w:lang w:val="en-US" w:eastAsia="zh-CN"/>
        </w:rPr>
        <w:t>系统软件交付</w:t>
      </w:r>
    </w:p>
    <w:p w14:paraId="0AFD6DC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乙方应在</w:t>
      </w:r>
      <w:r>
        <w:rPr>
          <w:rFonts w:hint="eastAsia" w:ascii="宋体" w:hAnsi="宋体" w:cs="宋体"/>
          <w:color w:val="auto"/>
          <w:sz w:val="24"/>
          <w:szCs w:val="24"/>
          <w:highlight w:val="none"/>
          <w:lang w:val="en-US" w:eastAsia="zh-CN"/>
        </w:rPr>
        <w:t>到货</w:t>
      </w:r>
      <w:r>
        <w:rPr>
          <w:rFonts w:hint="eastAsia" w:ascii="宋体" w:hAnsi="宋体" w:eastAsia="宋体" w:cs="宋体"/>
          <w:color w:val="auto"/>
          <w:sz w:val="24"/>
          <w:szCs w:val="24"/>
          <w:highlight w:val="none"/>
          <w:lang w:val="en-US" w:eastAsia="zh-CN"/>
        </w:rPr>
        <w:t>验收合格之日起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cs="宋体"/>
          <w:color w:val="auto"/>
          <w:sz w:val="24"/>
          <w:szCs w:val="24"/>
          <w:highlight w:val="none"/>
          <w:lang w:val="en-US" w:eastAsia="zh-CN"/>
        </w:rPr>
        <w:t>，到甲方</w:t>
      </w:r>
      <w:r>
        <w:rPr>
          <w:rFonts w:hint="eastAsia" w:ascii="宋体" w:hAnsi="宋体" w:eastAsia="宋体" w:cs="宋体"/>
          <w:color w:val="auto"/>
          <w:sz w:val="24"/>
          <w:szCs w:val="24"/>
          <w:highlight w:val="none"/>
          <w:lang w:val="en-US" w:eastAsia="zh-CN"/>
        </w:rPr>
        <w:t>完成</w:t>
      </w:r>
      <w:r>
        <w:rPr>
          <w:rFonts w:hint="eastAsia" w:ascii="宋体" w:hAnsi="宋体" w:eastAsia="宋体" w:cs="宋体"/>
          <w:color w:val="000000" w:themeColor="text1"/>
          <w:sz w:val="24"/>
          <w:szCs w:val="24"/>
          <w:highlight w:val="none"/>
          <w:lang w:val="en-US" w:eastAsia="zh-CN"/>
          <w14:textFill>
            <w14:solidFill>
              <w14:schemeClr w14:val="tx1"/>
            </w14:solidFill>
          </w14:textFill>
        </w:rPr>
        <w:t>软件系统安装、调试</w:t>
      </w:r>
      <w:r>
        <w:rPr>
          <w:rFonts w:hint="eastAsia" w:ascii="宋体" w:hAnsi="宋体" w:cs="宋体"/>
          <w:color w:val="000000" w:themeColor="text1"/>
          <w:sz w:val="24"/>
          <w:szCs w:val="24"/>
          <w:highlight w:val="none"/>
          <w:lang w:val="en-US" w:eastAsia="zh-CN"/>
          <w14:textFill>
            <w14:solidFill>
              <w14:schemeClr w14:val="tx1"/>
            </w14:solidFill>
          </w14:textFill>
        </w:rPr>
        <w:t>并经甲方总体验收合格后交付给甲方使用。</w:t>
      </w:r>
    </w:p>
    <w:p w14:paraId="1538C0B6">
      <w:pPr>
        <w:pStyle w:val="22"/>
        <w:keepNext w:val="0"/>
        <w:keepLines w:val="0"/>
        <w:pageBreakBefore w:val="0"/>
        <w:numPr>
          <w:ilvl w:val="0"/>
          <w:numId w:val="0"/>
        </w:numPr>
        <w:kinsoku/>
        <w:wordWrap/>
        <w:overflowPunct/>
        <w:topLinePunct w:val="0"/>
        <w:bidi w:val="0"/>
        <w:snapToGrid/>
        <w:spacing w:line="480" w:lineRule="exact"/>
        <w:ind w:left="0" w:leftChars="0" w:firstLine="482" w:firstLineChars="200"/>
        <w:textAlignment w:val="auto"/>
        <w:rPr>
          <w:rFonts w:hint="eastAsia"/>
          <w:b/>
          <w:bCs/>
          <w:sz w:val="24"/>
          <w:szCs w:val="24"/>
          <w:lang w:val="en-US" w:eastAsia="zh-CN"/>
        </w:rPr>
      </w:pPr>
      <w:r>
        <w:rPr>
          <w:rFonts w:hint="eastAsia"/>
          <w:b/>
          <w:bCs/>
          <w:sz w:val="24"/>
          <w:szCs w:val="24"/>
          <w:lang w:val="en-US" w:eastAsia="zh-CN"/>
        </w:rPr>
        <w:t>三、质量标准</w:t>
      </w:r>
    </w:p>
    <w:p w14:paraId="368C1885">
      <w:pPr>
        <w:pStyle w:val="22"/>
        <w:keepNext w:val="0"/>
        <w:keepLines w:val="0"/>
        <w:pageBreakBefore w:val="0"/>
        <w:numPr>
          <w:ilvl w:val="0"/>
          <w:numId w:val="0"/>
        </w:numPr>
        <w:kinsoku/>
        <w:wordWrap/>
        <w:overflowPunct/>
        <w:topLinePunct w:val="0"/>
        <w:bidi w:val="0"/>
        <w:snapToGrid/>
        <w:spacing w:line="48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乙方提供</w:t>
      </w:r>
      <w:r>
        <w:rPr>
          <w:rFonts w:hint="eastAsia" w:ascii="宋体" w:hAnsi="宋体" w:cs="宋体"/>
          <w:color w:val="auto"/>
          <w:kern w:val="2"/>
          <w:sz w:val="24"/>
          <w:szCs w:val="24"/>
          <w:highlight w:val="none"/>
          <w:lang w:val="en-US" w:eastAsia="zh-CN" w:bidi="ar-SA"/>
        </w:rPr>
        <w:t>产品</w:t>
      </w:r>
      <w:r>
        <w:rPr>
          <w:rFonts w:hint="eastAsia" w:ascii="宋体" w:hAnsi="宋体" w:eastAsia="宋体" w:cs="宋体"/>
          <w:color w:val="auto"/>
          <w:kern w:val="2"/>
          <w:sz w:val="24"/>
          <w:szCs w:val="24"/>
          <w:highlight w:val="none"/>
          <w:lang w:val="en-US" w:eastAsia="zh-CN" w:bidi="ar-SA"/>
        </w:rPr>
        <w:t>的质量、安装应符合或优于国家标准；如投标文件/响应文件中的技术参数和质量标准高于国家标准，则</w:t>
      </w:r>
      <w:r>
        <w:rPr>
          <w:rFonts w:hint="eastAsia" w:ascii="宋体" w:hAnsi="宋体" w:cs="宋体"/>
          <w:color w:val="auto"/>
          <w:kern w:val="2"/>
          <w:sz w:val="24"/>
          <w:szCs w:val="24"/>
          <w:highlight w:val="none"/>
          <w:lang w:val="en-US" w:eastAsia="zh-CN" w:bidi="ar-SA"/>
        </w:rPr>
        <w:t>产品</w:t>
      </w:r>
      <w:r>
        <w:rPr>
          <w:rFonts w:hint="eastAsia" w:ascii="宋体" w:hAnsi="宋体" w:eastAsia="宋体" w:cs="宋体"/>
          <w:color w:val="auto"/>
          <w:kern w:val="2"/>
          <w:sz w:val="24"/>
          <w:szCs w:val="24"/>
          <w:highlight w:val="none"/>
          <w:lang w:val="en-US" w:eastAsia="zh-CN" w:bidi="ar-SA"/>
        </w:rPr>
        <w:t>的技术参数和质量标准以投标文件/响应文件为准。</w:t>
      </w:r>
    </w:p>
    <w:p w14:paraId="5641822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b/>
          <w:bCs/>
          <w:sz w:val="24"/>
          <w:szCs w:val="24"/>
          <w:lang w:val="en-US" w:eastAsia="zh-CN"/>
        </w:rPr>
      </w:pPr>
      <w:r>
        <w:rPr>
          <w:rFonts w:hint="eastAsia"/>
          <w:b/>
          <w:bCs/>
          <w:sz w:val="24"/>
          <w:szCs w:val="24"/>
          <w:lang w:val="en-US" w:eastAsia="zh-CN"/>
        </w:rPr>
        <w:t>四、验收</w:t>
      </w:r>
    </w:p>
    <w:p w14:paraId="14E2D5BA">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4.1 </w:t>
      </w:r>
      <w:r>
        <w:rPr>
          <w:rFonts w:hint="eastAsia" w:ascii="宋体" w:hAnsi="宋体" w:eastAsia="宋体" w:cs="宋体"/>
          <w:color w:val="auto"/>
          <w:sz w:val="24"/>
          <w:szCs w:val="24"/>
          <w:highlight w:val="none"/>
          <w:lang w:val="en-US" w:eastAsia="zh-CN"/>
        </w:rPr>
        <w:t>到货验收：乙方将</w:t>
      </w:r>
      <w:r>
        <w:rPr>
          <w:rFonts w:hint="eastAsia" w:ascii="宋体" w:hAnsi="宋体" w:cs="宋体"/>
          <w:color w:val="auto"/>
          <w:sz w:val="24"/>
          <w:szCs w:val="24"/>
          <w:highlight w:val="none"/>
          <w:lang w:val="en-US" w:eastAsia="zh-CN"/>
        </w:rPr>
        <w:t>系统</w:t>
      </w:r>
      <w:r>
        <w:rPr>
          <w:rFonts w:hint="eastAsia" w:ascii="宋体" w:hAnsi="宋体" w:eastAsia="宋体" w:cs="宋体"/>
          <w:color w:val="auto"/>
          <w:sz w:val="24"/>
          <w:szCs w:val="24"/>
          <w:highlight w:val="none"/>
          <w:u w:val="none"/>
          <w:lang w:val="en-US" w:eastAsia="zh-CN"/>
        </w:rPr>
        <w:t>辅助设备</w:t>
      </w:r>
      <w:r>
        <w:rPr>
          <w:rFonts w:hint="eastAsia" w:ascii="宋体" w:hAnsi="宋体" w:eastAsia="宋体" w:cs="宋体"/>
          <w:color w:val="auto"/>
          <w:sz w:val="24"/>
          <w:szCs w:val="24"/>
          <w:highlight w:val="none"/>
          <w:lang w:val="en-US" w:eastAsia="zh-CN"/>
        </w:rPr>
        <w:t>运至甲方指定交货地点后，应通知甲方验货</w:t>
      </w:r>
      <w:r>
        <w:rPr>
          <w:rFonts w:hint="eastAsia" w:ascii="宋体" w:hAnsi="宋体" w:cs="宋体"/>
          <w:color w:val="auto"/>
          <w:sz w:val="24"/>
          <w:szCs w:val="24"/>
          <w:highlight w:val="none"/>
          <w:lang w:val="en-US" w:eastAsia="zh-CN"/>
        </w:rPr>
        <w:t>，并向甲方提供厂家标准资料文件（进口产品需提供真实有效的海关报关单，其他产品需提供产品合格证和售后质保承诺书）</w:t>
      </w:r>
      <w:r>
        <w:rPr>
          <w:rFonts w:hint="eastAsia" w:ascii="宋体" w:hAnsi="宋体" w:eastAsia="宋体" w:cs="宋体"/>
          <w:color w:val="auto"/>
          <w:sz w:val="24"/>
          <w:szCs w:val="24"/>
          <w:highlight w:val="none"/>
          <w:lang w:val="en-US" w:eastAsia="zh-CN"/>
        </w:rPr>
        <w:t>。甲方自接到乙方通知之日起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日内自行组织到货验收，验收合格后签署到货验收报告单。如经甲方验收不合格，乙方应在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日内无条件予以更换合格的产品并承担所有费用。</w:t>
      </w:r>
    </w:p>
    <w:p w14:paraId="0A780882">
      <w:pPr>
        <w:pStyle w:val="22"/>
        <w:keepNext w:val="0"/>
        <w:keepLines w:val="0"/>
        <w:pageBreakBefore w:val="0"/>
        <w:numPr>
          <w:ilvl w:val="0"/>
          <w:numId w:val="0"/>
        </w:numPr>
        <w:kinsoku/>
        <w:wordWrap/>
        <w:overflowPunct/>
        <w:topLinePunct w:val="0"/>
        <w:bidi w:val="0"/>
        <w:snapToGrid/>
        <w:spacing w:line="480" w:lineRule="exact"/>
        <w:ind w:left="0" w:leftChars="0" w:firstLine="480" w:firstLineChars="200"/>
        <w:textAlignment w:val="auto"/>
        <w:rPr>
          <w:rFonts w:hint="default"/>
          <w:b/>
          <w:bCs/>
          <w:sz w:val="24"/>
          <w:szCs w:val="24"/>
          <w:lang w:val="en-US" w:eastAsia="zh-CN"/>
        </w:rPr>
      </w:pPr>
      <w:r>
        <w:rPr>
          <w:rFonts w:hint="eastAsia" w:ascii="宋体" w:hAnsi="宋体" w:cs="宋体"/>
          <w:color w:val="000000" w:themeColor="text1"/>
          <w:sz w:val="24"/>
          <w:szCs w:val="24"/>
          <w:highlight w:val="none"/>
          <w:lang w:val="en-US" w:eastAsia="zh-CN"/>
          <w14:textFill>
            <w14:solidFill>
              <w14:schemeClr w14:val="tx1"/>
            </w14:solidFill>
          </w14:textFill>
        </w:rPr>
        <w:t>4.2 总体验收：乙方应在系统完成安装、调试确认符合合同约定标准后</w:t>
      </w:r>
      <w:r>
        <w:rPr>
          <w:rFonts w:hint="eastAsia" w:ascii="宋体" w:hAnsi="宋体" w:eastAsia="宋体" w:cs="宋体"/>
          <w:color w:val="000000" w:themeColor="text1"/>
          <w:sz w:val="24"/>
          <w:szCs w:val="24"/>
          <w:highlight w:val="none"/>
          <w:lang w:val="en-US" w:eastAsia="zh-CN"/>
          <w14:textFill>
            <w14:solidFill>
              <w14:schemeClr w14:val="tx1"/>
            </w14:solidFill>
          </w14:textFill>
        </w:rPr>
        <w:t>书面通知甲方</w:t>
      </w:r>
      <w:r>
        <w:rPr>
          <w:rFonts w:hint="eastAsia" w:ascii="宋体" w:hAnsi="宋体" w:cs="宋体"/>
          <w:color w:val="000000" w:themeColor="text1"/>
          <w:sz w:val="24"/>
          <w:szCs w:val="24"/>
          <w:highlight w:val="none"/>
          <w:lang w:val="en-US" w:eastAsia="zh-CN"/>
          <w14:textFill>
            <w14:solidFill>
              <w14:schemeClr w14:val="tx1"/>
            </w14:solidFill>
          </w14:textFill>
        </w:rPr>
        <w:t>组织总体验收</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。甲方收到乙方</w:t>
      </w:r>
      <w:r>
        <w:rPr>
          <w:rFonts w:hint="eastAsia" w:ascii="宋体" w:hAnsi="宋体" w:cs="宋体"/>
          <w:color w:val="000000" w:themeColor="text1"/>
          <w:sz w:val="24"/>
          <w:szCs w:val="24"/>
          <w:highlight w:val="none"/>
          <w:lang w:val="en-US" w:eastAsia="zh-CN"/>
          <w14:textFill>
            <w14:solidFill>
              <w14:schemeClr w14:val="tx1"/>
            </w14:solidFill>
          </w14:textFill>
        </w:rPr>
        <w:t>总体</w:t>
      </w:r>
      <w:r>
        <w:rPr>
          <w:rFonts w:hint="eastAsia" w:ascii="宋体" w:hAnsi="宋体" w:eastAsia="宋体" w:cs="宋体"/>
          <w:color w:val="000000" w:themeColor="text1"/>
          <w:sz w:val="24"/>
          <w:szCs w:val="24"/>
          <w:highlight w:val="none"/>
          <w:lang w:val="en-US" w:eastAsia="zh-CN"/>
          <w14:textFill>
            <w14:solidFill>
              <w14:schemeClr w14:val="tx1"/>
            </w14:solidFill>
          </w14:textFill>
        </w:rPr>
        <w:t>验收通知之日起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7  </w:t>
      </w:r>
      <w:r>
        <w:rPr>
          <w:rFonts w:hint="eastAsia" w:ascii="宋体" w:hAnsi="宋体" w:cs="宋体"/>
          <w:color w:val="000000" w:themeColor="text1"/>
          <w:sz w:val="24"/>
          <w:szCs w:val="24"/>
          <w:highlight w:val="none"/>
          <w:lang w:val="en-US" w:eastAsia="zh-CN"/>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内组织验收，</w:t>
      </w:r>
      <w:r>
        <w:rPr>
          <w:rFonts w:hint="eastAsia" w:ascii="宋体" w:hAnsi="宋体" w:cs="宋体"/>
          <w:color w:val="000000" w:themeColor="text1"/>
          <w:sz w:val="24"/>
          <w:szCs w:val="24"/>
          <w:highlight w:val="none"/>
          <w:lang w:val="en-US" w:eastAsia="zh-CN"/>
          <w14:textFill>
            <w14:solidFill>
              <w14:schemeClr w14:val="tx1"/>
            </w14:solidFill>
          </w14:textFill>
        </w:rPr>
        <w:t>如系统</w:t>
      </w:r>
      <w:r>
        <w:rPr>
          <w:rFonts w:hint="eastAsia" w:ascii="宋体" w:hAnsi="宋体" w:eastAsia="宋体" w:cs="宋体"/>
          <w:color w:val="000000" w:themeColor="text1"/>
          <w:sz w:val="24"/>
          <w:szCs w:val="24"/>
          <w:highlight w:val="none"/>
          <w:lang w:val="en-US" w:eastAsia="zh-CN"/>
          <w14:textFill>
            <w14:solidFill>
              <w14:schemeClr w14:val="tx1"/>
            </w14:solidFill>
          </w14:textFill>
        </w:rPr>
        <w:t>运行正常且满足甲方</w:t>
      </w: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lang w:val="en-US" w:eastAsia="zh-CN"/>
          <w14:textFill>
            <w14:solidFill>
              <w14:schemeClr w14:val="tx1"/>
            </w14:solidFill>
          </w14:textFill>
        </w:rPr>
        <w:t>需求为</w:t>
      </w:r>
      <w:r>
        <w:rPr>
          <w:rFonts w:hint="eastAsia" w:ascii="宋体" w:hAnsi="宋体" w:cs="宋体"/>
          <w:color w:val="000000" w:themeColor="text1"/>
          <w:sz w:val="24"/>
          <w:szCs w:val="24"/>
          <w:highlight w:val="none"/>
          <w:lang w:val="en-US" w:eastAsia="zh-CN"/>
          <w14:textFill>
            <w14:solidFill>
              <w14:schemeClr w14:val="tx1"/>
            </w14:solidFill>
          </w14:textFill>
        </w:rPr>
        <w:t>总体</w:t>
      </w:r>
      <w:r>
        <w:rPr>
          <w:rFonts w:hint="eastAsia" w:ascii="宋体" w:hAnsi="宋体" w:eastAsia="宋体" w:cs="宋体"/>
          <w:color w:val="000000" w:themeColor="text1"/>
          <w:sz w:val="24"/>
          <w:szCs w:val="24"/>
          <w:highlight w:val="none"/>
          <w:lang w:val="en-US" w:eastAsia="zh-CN"/>
          <w14:textFill>
            <w14:solidFill>
              <w14:schemeClr w14:val="tx1"/>
            </w14:solidFill>
          </w14:textFill>
        </w:rPr>
        <w:t>验收合格</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甲方签署总体验收报告单。如经甲方</w:t>
      </w:r>
      <w:r>
        <w:rPr>
          <w:rFonts w:hint="eastAsia" w:ascii="宋体" w:hAnsi="宋体" w:cs="宋体"/>
          <w:color w:val="000000" w:themeColor="text1"/>
          <w:sz w:val="24"/>
          <w:szCs w:val="24"/>
          <w:highlight w:val="none"/>
          <w:lang w:val="en-US" w:eastAsia="zh-CN"/>
          <w14:textFill>
            <w14:solidFill>
              <w14:schemeClr w14:val="tx1"/>
            </w14:solidFill>
          </w14:textFill>
        </w:rPr>
        <w:t>总体</w:t>
      </w:r>
      <w:r>
        <w:rPr>
          <w:rFonts w:hint="eastAsia" w:ascii="宋体" w:hAnsi="宋体" w:eastAsia="宋体" w:cs="宋体"/>
          <w:color w:val="000000" w:themeColor="text1"/>
          <w:sz w:val="24"/>
          <w:szCs w:val="24"/>
          <w:highlight w:val="none"/>
          <w:lang w:val="en-US" w:eastAsia="zh-CN"/>
          <w14:textFill>
            <w14:solidFill>
              <w14:schemeClr w14:val="tx1"/>
            </w14:solidFill>
          </w14:textFill>
        </w:rPr>
        <w:t>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7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日内无条件予以返工并确保总体验收合格，因此产生的违约责任和所有费用由乙方承担。</w:t>
      </w:r>
    </w:p>
    <w:p w14:paraId="509313F1">
      <w:pPr>
        <w:pStyle w:val="22"/>
        <w:keepNext w:val="0"/>
        <w:keepLines w:val="0"/>
        <w:pageBreakBefore w:val="0"/>
        <w:numPr>
          <w:ilvl w:val="0"/>
          <w:numId w:val="0"/>
        </w:numPr>
        <w:kinsoku/>
        <w:wordWrap/>
        <w:overflowPunct/>
        <w:topLinePunct w:val="0"/>
        <w:bidi w:val="0"/>
        <w:snapToGrid/>
        <w:spacing w:line="480" w:lineRule="exact"/>
        <w:ind w:left="0" w:leftChars="0" w:firstLine="482" w:firstLineChars="200"/>
        <w:textAlignment w:val="auto"/>
        <w:rPr>
          <w:b/>
          <w:bCs/>
          <w:sz w:val="24"/>
          <w:szCs w:val="24"/>
        </w:rPr>
      </w:pPr>
      <w:r>
        <w:rPr>
          <w:rFonts w:hint="eastAsia"/>
          <w:b/>
          <w:bCs/>
          <w:sz w:val="24"/>
          <w:szCs w:val="24"/>
          <w:lang w:val="en-US" w:eastAsia="zh-CN"/>
        </w:rPr>
        <w:t>五、双</w:t>
      </w:r>
      <w:r>
        <w:rPr>
          <w:rFonts w:hint="eastAsia"/>
          <w:b/>
          <w:bCs/>
          <w:sz w:val="24"/>
          <w:szCs w:val="24"/>
        </w:rPr>
        <w:t>方的</w:t>
      </w:r>
      <w:r>
        <w:rPr>
          <w:rFonts w:hint="eastAsia"/>
          <w:b/>
          <w:bCs/>
          <w:sz w:val="24"/>
          <w:szCs w:val="24"/>
          <w:lang w:val="en-US" w:eastAsia="zh-CN"/>
        </w:rPr>
        <w:t>其他</w:t>
      </w:r>
      <w:r>
        <w:rPr>
          <w:rFonts w:hint="eastAsia"/>
          <w:b/>
          <w:bCs/>
          <w:sz w:val="24"/>
          <w:szCs w:val="24"/>
        </w:rPr>
        <w:t>权利义务</w:t>
      </w:r>
    </w:p>
    <w:p w14:paraId="70D88825">
      <w:pPr>
        <w:pStyle w:val="22"/>
        <w:keepNext w:val="0"/>
        <w:keepLines w:val="0"/>
        <w:pageBreakBefore w:val="0"/>
        <w:numPr>
          <w:ilvl w:val="0"/>
          <w:numId w:val="0"/>
        </w:numPr>
        <w:kinsoku/>
        <w:wordWrap/>
        <w:overflowPunct/>
        <w:topLinePunct w:val="0"/>
        <w:bidi w:val="0"/>
        <w:snapToGrid/>
        <w:spacing w:line="480" w:lineRule="exact"/>
        <w:ind w:left="0" w:leftChars="0" w:firstLine="482"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 xml:space="preserve">5.1 </w:t>
      </w:r>
      <w:r>
        <w:rPr>
          <w:rFonts w:hint="eastAsia" w:ascii="宋体" w:hAnsi="宋体" w:eastAsia="宋体" w:cs="宋体"/>
          <w:b/>
          <w:bCs/>
          <w:color w:val="auto"/>
          <w:kern w:val="2"/>
          <w:sz w:val="24"/>
          <w:szCs w:val="24"/>
          <w:highlight w:val="none"/>
          <w:lang w:val="en-US" w:eastAsia="zh-CN" w:bidi="ar-SA"/>
        </w:rPr>
        <w:t>甲方其他权利义务</w:t>
      </w:r>
    </w:p>
    <w:p w14:paraId="5F8531AC">
      <w:pPr>
        <w:pStyle w:val="22"/>
        <w:keepNext w:val="0"/>
        <w:keepLines w:val="0"/>
        <w:pageBreakBefore w:val="0"/>
        <w:numPr>
          <w:ilvl w:val="0"/>
          <w:numId w:val="0"/>
        </w:numPr>
        <w:kinsoku/>
        <w:wordWrap/>
        <w:overflowPunct/>
        <w:topLinePunct w:val="0"/>
        <w:bidi w:val="0"/>
        <w:snapToGrid/>
        <w:spacing w:line="48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 xml:space="preserve">5.1.1 </w:t>
      </w:r>
      <w:r>
        <w:rPr>
          <w:rFonts w:hint="eastAsia" w:ascii="宋体" w:hAnsi="宋体" w:eastAsia="宋体" w:cs="宋体"/>
          <w:color w:val="auto"/>
          <w:kern w:val="2"/>
          <w:sz w:val="24"/>
          <w:szCs w:val="24"/>
          <w:highlight w:val="none"/>
          <w:lang w:val="en-US" w:eastAsia="zh-CN" w:bidi="ar-SA"/>
        </w:rPr>
        <w:t>确保计算机及网络系统和浏览器能正常工作，自行解决计算机及网络接入问题。</w:t>
      </w:r>
    </w:p>
    <w:p w14:paraId="3B57202A">
      <w:pPr>
        <w:pStyle w:val="22"/>
        <w:keepNext w:val="0"/>
        <w:keepLines w:val="0"/>
        <w:pageBreakBefore w:val="0"/>
        <w:numPr>
          <w:ilvl w:val="0"/>
          <w:numId w:val="0"/>
        </w:numPr>
        <w:kinsoku/>
        <w:wordWrap/>
        <w:overflowPunct/>
        <w:topLinePunct w:val="0"/>
        <w:bidi w:val="0"/>
        <w:snapToGrid/>
        <w:spacing w:line="48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 xml:space="preserve">5.1.2 </w:t>
      </w:r>
      <w:r>
        <w:rPr>
          <w:rFonts w:hint="eastAsia" w:ascii="宋体" w:hAnsi="宋体" w:eastAsia="宋体" w:cs="宋体"/>
          <w:color w:val="auto"/>
          <w:kern w:val="2"/>
          <w:sz w:val="24"/>
          <w:szCs w:val="24"/>
          <w:highlight w:val="none"/>
          <w:lang w:val="en-US" w:eastAsia="zh-CN" w:bidi="ar-SA"/>
        </w:rPr>
        <w:t>提供可以建立儿童认知评估干预的场所。</w:t>
      </w:r>
    </w:p>
    <w:p w14:paraId="3310A9A3">
      <w:pPr>
        <w:pStyle w:val="22"/>
        <w:keepNext w:val="0"/>
        <w:keepLines w:val="0"/>
        <w:pageBreakBefore w:val="0"/>
        <w:numPr>
          <w:ilvl w:val="0"/>
          <w:numId w:val="0"/>
        </w:numPr>
        <w:kinsoku/>
        <w:wordWrap/>
        <w:overflowPunct/>
        <w:topLinePunct w:val="0"/>
        <w:bidi w:val="0"/>
        <w:snapToGrid/>
        <w:spacing w:line="48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 xml:space="preserve">5.1.3 </w:t>
      </w:r>
      <w:r>
        <w:rPr>
          <w:rFonts w:hint="eastAsia" w:ascii="宋体" w:hAnsi="宋体" w:eastAsia="宋体" w:cs="宋体"/>
          <w:color w:val="auto"/>
          <w:kern w:val="2"/>
          <w:sz w:val="24"/>
          <w:szCs w:val="24"/>
          <w:highlight w:val="none"/>
          <w:lang w:val="en-US" w:eastAsia="zh-CN" w:bidi="ar-SA"/>
        </w:rPr>
        <w:t>应指定专人负责系统的操作，指定的使用人员参加《儿童认知评估训练系统》的使用培训。</w:t>
      </w:r>
    </w:p>
    <w:p w14:paraId="1BAF7A1E">
      <w:pPr>
        <w:pStyle w:val="22"/>
        <w:keepNext w:val="0"/>
        <w:keepLines w:val="0"/>
        <w:pageBreakBefore w:val="0"/>
        <w:numPr>
          <w:ilvl w:val="0"/>
          <w:numId w:val="0"/>
        </w:numPr>
        <w:kinsoku/>
        <w:wordWrap/>
        <w:overflowPunct/>
        <w:topLinePunct w:val="0"/>
        <w:bidi w:val="0"/>
        <w:snapToGrid/>
        <w:spacing w:line="48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 xml:space="preserve">5.1.4 </w:t>
      </w:r>
      <w:r>
        <w:rPr>
          <w:rFonts w:hint="eastAsia" w:ascii="宋体" w:hAnsi="宋体" w:eastAsia="宋体" w:cs="宋体"/>
          <w:color w:val="auto"/>
          <w:kern w:val="2"/>
          <w:sz w:val="24"/>
          <w:szCs w:val="24"/>
          <w:highlight w:val="none"/>
          <w:lang w:val="en-US" w:eastAsia="zh-CN" w:bidi="ar-SA"/>
        </w:rPr>
        <w:t>在遇到技术问题时，应及时跟乙方联系，如实向乙方描述故障现象，积极协助乙方解决问题。</w:t>
      </w:r>
    </w:p>
    <w:p w14:paraId="3F123700">
      <w:pPr>
        <w:pStyle w:val="22"/>
        <w:keepNext w:val="0"/>
        <w:keepLines w:val="0"/>
        <w:pageBreakBefore w:val="0"/>
        <w:numPr>
          <w:ilvl w:val="0"/>
          <w:numId w:val="0"/>
        </w:numPr>
        <w:kinsoku/>
        <w:wordWrap/>
        <w:overflowPunct/>
        <w:topLinePunct w:val="0"/>
        <w:bidi w:val="0"/>
        <w:snapToGrid/>
        <w:spacing w:line="480" w:lineRule="exact"/>
        <w:ind w:left="0" w:leftChars="0" w:firstLine="480" w:firstLineChars="200"/>
        <w:textAlignment w:val="auto"/>
        <w:rPr>
          <w:sz w:val="24"/>
          <w:szCs w:val="24"/>
        </w:rPr>
      </w:pPr>
      <w:r>
        <w:rPr>
          <w:rFonts w:hint="eastAsia" w:ascii="宋体" w:hAnsi="宋体" w:cs="宋体"/>
          <w:color w:val="auto"/>
          <w:kern w:val="2"/>
          <w:sz w:val="24"/>
          <w:szCs w:val="24"/>
          <w:highlight w:val="none"/>
          <w:lang w:val="en-US" w:eastAsia="zh-CN" w:bidi="ar-SA"/>
        </w:rPr>
        <w:t xml:space="preserve">5.1.5 </w:t>
      </w:r>
      <w:r>
        <w:rPr>
          <w:rFonts w:hint="eastAsia" w:ascii="宋体" w:hAnsi="宋体" w:eastAsia="宋体" w:cs="宋体"/>
          <w:color w:val="auto"/>
          <w:kern w:val="2"/>
          <w:sz w:val="24"/>
          <w:szCs w:val="24"/>
          <w:highlight w:val="none"/>
          <w:lang w:val="en-US" w:eastAsia="zh-CN" w:bidi="ar-SA"/>
        </w:rPr>
        <w:t>不能将《儿童认知评估训练系统》给第三方人员使用。</w:t>
      </w:r>
    </w:p>
    <w:p w14:paraId="27EB4A95">
      <w:pPr>
        <w:pStyle w:val="22"/>
        <w:keepNext w:val="0"/>
        <w:keepLines w:val="0"/>
        <w:pageBreakBefore w:val="0"/>
        <w:numPr>
          <w:ilvl w:val="0"/>
          <w:numId w:val="0"/>
        </w:numPr>
        <w:kinsoku/>
        <w:wordWrap/>
        <w:overflowPunct/>
        <w:topLinePunct w:val="0"/>
        <w:bidi w:val="0"/>
        <w:snapToGrid/>
        <w:spacing w:line="480" w:lineRule="exact"/>
        <w:ind w:left="0" w:leftChars="0" w:firstLine="482" w:firstLineChars="200"/>
        <w:textAlignment w:val="auto"/>
        <w:rPr>
          <w:b/>
          <w:bCs/>
          <w:sz w:val="24"/>
          <w:szCs w:val="24"/>
        </w:rPr>
      </w:pPr>
      <w:r>
        <w:rPr>
          <w:rFonts w:hint="eastAsia" w:ascii="宋体" w:hAnsi="宋体" w:cs="宋体"/>
          <w:b/>
          <w:bCs/>
          <w:color w:val="auto"/>
          <w:kern w:val="2"/>
          <w:sz w:val="24"/>
          <w:szCs w:val="24"/>
          <w:highlight w:val="none"/>
          <w:lang w:val="en-US" w:eastAsia="zh-CN" w:bidi="ar-SA"/>
        </w:rPr>
        <w:t>5.2 乙</w:t>
      </w:r>
      <w:r>
        <w:rPr>
          <w:rFonts w:hint="eastAsia"/>
          <w:b/>
          <w:bCs/>
          <w:sz w:val="24"/>
          <w:szCs w:val="24"/>
        </w:rPr>
        <w:t>方的</w:t>
      </w:r>
      <w:r>
        <w:rPr>
          <w:rFonts w:hint="eastAsia"/>
          <w:b/>
          <w:bCs/>
          <w:sz w:val="24"/>
          <w:szCs w:val="24"/>
          <w:lang w:val="en-US" w:eastAsia="zh-CN"/>
        </w:rPr>
        <w:t>其他</w:t>
      </w:r>
      <w:r>
        <w:rPr>
          <w:rFonts w:hint="eastAsia"/>
          <w:b/>
          <w:bCs/>
          <w:sz w:val="24"/>
          <w:szCs w:val="24"/>
        </w:rPr>
        <w:t>权利义务</w:t>
      </w:r>
    </w:p>
    <w:p w14:paraId="7FED8E76">
      <w:pPr>
        <w:pStyle w:val="22"/>
        <w:keepNext w:val="0"/>
        <w:keepLines w:val="0"/>
        <w:pageBreakBefore w:val="0"/>
        <w:numPr>
          <w:ilvl w:val="0"/>
          <w:numId w:val="0"/>
        </w:numPr>
        <w:kinsoku/>
        <w:wordWrap/>
        <w:overflowPunct/>
        <w:topLinePunct w:val="0"/>
        <w:bidi w:val="0"/>
        <w:snapToGrid/>
        <w:spacing w:line="480" w:lineRule="exact"/>
        <w:ind w:left="0" w:leftChars="0" w:firstLine="480" w:firstLineChars="200"/>
        <w:textAlignment w:val="auto"/>
        <w:rPr>
          <w:sz w:val="24"/>
          <w:szCs w:val="24"/>
        </w:rPr>
      </w:pPr>
      <w:r>
        <w:rPr>
          <w:rFonts w:hint="eastAsia" w:ascii="宋体" w:hAnsi="宋体" w:cs="宋体"/>
          <w:color w:val="auto"/>
          <w:kern w:val="2"/>
          <w:sz w:val="24"/>
          <w:szCs w:val="24"/>
          <w:highlight w:val="none"/>
          <w:lang w:val="en-US" w:eastAsia="zh-CN" w:bidi="ar-SA"/>
        </w:rPr>
        <w:t xml:space="preserve">5.2.1 </w:t>
      </w:r>
      <w:r>
        <w:rPr>
          <w:rFonts w:hint="eastAsia"/>
          <w:sz w:val="24"/>
          <w:szCs w:val="24"/>
        </w:rPr>
        <w:t>向甲方提供《</w:t>
      </w:r>
      <w:r>
        <w:rPr>
          <w:rFonts w:hint="eastAsia"/>
          <w:sz w:val="24"/>
          <w:szCs w:val="24"/>
          <w:lang w:eastAsia="zh-CN"/>
        </w:rPr>
        <w:t>儿童认知评估训练系统</w:t>
      </w:r>
      <w:r>
        <w:rPr>
          <w:rFonts w:hint="eastAsia"/>
          <w:sz w:val="24"/>
          <w:szCs w:val="24"/>
        </w:rPr>
        <w:t>》技术支持、并保证系统的正常运行（因不可抗力因素导致服务无法提供除外），但不包括对甲方网络系统、计算机硬件系统、操作系统、办公系统和各种其他终端设备的维护。</w:t>
      </w:r>
    </w:p>
    <w:p w14:paraId="02B14B18">
      <w:pPr>
        <w:pStyle w:val="22"/>
        <w:keepNext w:val="0"/>
        <w:keepLines w:val="0"/>
        <w:pageBreakBefore w:val="0"/>
        <w:numPr>
          <w:ilvl w:val="0"/>
          <w:numId w:val="0"/>
        </w:numPr>
        <w:kinsoku/>
        <w:wordWrap/>
        <w:overflowPunct/>
        <w:topLinePunct w:val="0"/>
        <w:bidi w:val="0"/>
        <w:snapToGrid/>
        <w:spacing w:line="480" w:lineRule="exact"/>
        <w:ind w:left="0" w:leftChars="0" w:firstLine="480" w:firstLineChars="200"/>
        <w:textAlignment w:val="auto"/>
        <w:rPr>
          <w:sz w:val="24"/>
          <w:szCs w:val="24"/>
        </w:rPr>
      </w:pPr>
      <w:r>
        <w:rPr>
          <w:rFonts w:hint="eastAsia" w:ascii="宋体" w:hAnsi="宋体" w:cs="宋体"/>
          <w:color w:val="auto"/>
          <w:kern w:val="2"/>
          <w:sz w:val="24"/>
          <w:szCs w:val="24"/>
          <w:highlight w:val="none"/>
          <w:lang w:val="en-US" w:eastAsia="zh-CN" w:bidi="ar-SA"/>
        </w:rPr>
        <w:t xml:space="preserve">5.2.2 </w:t>
      </w:r>
      <w:r>
        <w:rPr>
          <w:rFonts w:hint="eastAsia" w:eastAsia="宋体" w:cs="宋体"/>
          <w:sz w:val="24"/>
          <w:szCs w:val="24"/>
          <w:lang w:val="en-US" w:eastAsia="zh-CN"/>
        </w:rPr>
        <w:t>按甲方要求对甲方的操作人员进行</w:t>
      </w:r>
      <w:r>
        <w:rPr>
          <w:rFonts w:hint="eastAsia" w:cs="宋体"/>
          <w:sz w:val="24"/>
          <w:szCs w:val="24"/>
          <w:lang w:val="en-US" w:eastAsia="zh-CN"/>
        </w:rPr>
        <w:t>免费</w:t>
      </w:r>
      <w:r>
        <w:rPr>
          <w:rFonts w:hint="eastAsia" w:eastAsia="宋体" w:cs="宋体"/>
          <w:sz w:val="24"/>
          <w:szCs w:val="24"/>
          <w:lang w:val="en-US" w:eastAsia="zh-CN"/>
        </w:rPr>
        <w:t>培训</w:t>
      </w:r>
      <w:r>
        <w:rPr>
          <w:rFonts w:hint="eastAsia"/>
          <w:sz w:val="24"/>
          <w:szCs w:val="24"/>
        </w:rPr>
        <w:t>。</w:t>
      </w:r>
    </w:p>
    <w:p w14:paraId="48B3F38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eastAsia="宋体" w:cs="宋体"/>
          <w:sz w:val="24"/>
          <w:szCs w:val="24"/>
          <w:lang w:val="en-US" w:eastAsia="zh-CN"/>
        </w:rPr>
      </w:pPr>
      <w:r>
        <w:rPr>
          <w:rFonts w:hint="eastAsia" w:ascii="宋体" w:hAnsi="宋体" w:eastAsia="宋体" w:cs="宋体"/>
          <w:color w:val="auto"/>
          <w:kern w:val="2"/>
          <w:sz w:val="24"/>
          <w:szCs w:val="24"/>
          <w:highlight w:val="none"/>
          <w:lang w:val="en-US" w:eastAsia="zh-CN" w:bidi="ar-SA"/>
        </w:rPr>
        <w:t xml:space="preserve">5.2.3 </w:t>
      </w:r>
      <w:r>
        <w:rPr>
          <w:rFonts w:hint="eastAsia" w:eastAsia="宋体" w:cs="宋体"/>
          <w:sz w:val="24"/>
          <w:szCs w:val="24"/>
          <w:lang w:val="en-US" w:eastAsia="zh-CN"/>
        </w:rPr>
        <w:t>通过电话、邮件、微信等网络方式为甲方每周提供7天×24小时远程在线技术服务。</w:t>
      </w:r>
      <w:r>
        <w:rPr>
          <w:rFonts w:hint="eastAsia" w:ascii="宋体" w:hAnsi="宋体" w:eastAsia="宋体" w:cs="宋体"/>
          <w:b w:val="0"/>
          <w:bCs w:val="0"/>
          <w:color w:val="auto"/>
          <w:kern w:val="2"/>
          <w:sz w:val="24"/>
          <w:szCs w:val="24"/>
          <w:highlight w:val="none"/>
          <w:lang w:val="en-US" w:eastAsia="zh-CN" w:bidi="ar-SA"/>
        </w:rPr>
        <w:t>乙方指定联系人</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、联系电话：</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、电子邮箱</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b w:val="0"/>
          <w:bCs w:val="0"/>
          <w:color w:val="auto"/>
          <w:kern w:val="2"/>
          <w:sz w:val="24"/>
          <w:szCs w:val="24"/>
          <w:highlight w:val="none"/>
          <w:lang w:val="en-US" w:eastAsia="zh-CN" w:bidi="ar-SA"/>
        </w:rPr>
        <w:t>、微信号</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专</w:t>
      </w:r>
      <w:r>
        <w:rPr>
          <w:rFonts w:hint="eastAsia" w:eastAsia="宋体" w:cs="宋体"/>
          <w:sz w:val="24"/>
          <w:szCs w:val="24"/>
          <w:lang w:val="en-US" w:eastAsia="zh-CN"/>
        </w:rPr>
        <w:t>门负责与甲方联络售后服务，如人员及联系方式发生变动，应及时通知甲方。如未通知，由此导致的一切责任及损失由乙方承担。</w:t>
      </w:r>
    </w:p>
    <w:p w14:paraId="00BA262F">
      <w:pPr>
        <w:pStyle w:val="22"/>
        <w:keepNext w:val="0"/>
        <w:keepLines w:val="0"/>
        <w:pageBreakBefore w:val="0"/>
        <w:numPr>
          <w:ilvl w:val="0"/>
          <w:numId w:val="0"/>
        </w:numPr>
        <w:kinsoku/>
        <w:wordWrap/>
        <w:overflowPunct/>
        <w:topLinePunct w:val="0"/>
        <w:bidi w:val="0"/>
        <w:snapToGrid/>
        <w:spacing w:line="480" w:lineRule="exact"/>
        <w:ind w:left="0" w:leftChars="0" w:firstLine="480" w:firstLineChars="200"/>
        <w:textAlignment w:val="auto"/>
        <w:rPr>
          <w:rFonts w:hint="eastAsia"/>
          <w:b/>
          <w:bCs/>
          <w:sz w:val="24"/>
          <w:szCs w:val="24"/>
          <w:lang w:val="en-US" w:eastAsia="zh-CN"/>
        </w:rPr>
      </w:pPr>
      <w:r>
        <w:rPr>
          <w:rFonts w:hint="eastAsia" w:ascii="宋体" w:hAnsi="宋体" w:eastAsia="宋体" w:cs="宋体"/>
          <w:color w:val="auto"/>
          <w:kern w:val="2"/>
          <w:sz w:val="24"/>
          <w:szCs w:val="24"/>
          <w:highlight w:val="none"/>
          <w:lang w:val="en-US" w:eastAsia="zh-CN" w:bidi="ar-SA"/>
        </w:rPr>
        <w:t xml:space="preserve">5.2.4 </w:t>
      </w:r>
      <w:r>
        <w:rPr>
          <w:rFonts w:hint="eastAsia"/>
          <w:sz w:val="24"/>
          <w:szCs w:val="24"/>
        </w:rPr>
        <w:t>负责本系统</w:t>
      </w:r>
      <w:r>
        <w:rPr>
          <w:rFonts w:hint="eastAsia"/>
          <w:sz w:val="24"/>
          <w:szCs w:val="24"/>
          <w:lang w:val="en-US" w:eastAsia="zh-CN"/>
        </w:rPr>
        <w:t>软件终身</w:t>
      </w:r>
      <w:r>
        <w:rPr>
          <w:rFonts w:hint="eastAsia"/>
          <w:sz w:val="24"/>
          <w:szCs w:val="24"/>
        </w:rPr>
        <w:t>的升级维护，</w:t>
      </w:r>
      <w:r>
        <w:rPr>
          <w:rFonts w:hint="eastAsia"/>
          <w:sz w:val="24"/>
          <w:szCs w:val="24"/>
          <w:lang w:val="en-US" w:eastAsia="zh-CN"/>
        </w:rPr>
        <w:t>因此产生的费用由乙方承担</w:t>
      </w:r>
      <w:r>
        <w:rPr>
          <w:rFonts w:hint="eastAsia"/>
          <w:sz w:val="24"/>
          <w:szCs w:val="24"/>
        </w:rPr>
        <w:t>。</w:t>
      </w:r>
    </w:p>
    <w:p w14:paraId="0E565DAD">
      <w:pPr>
        <w:pStyle w:val="22"/>
        <w:keepNext w:val="0"/>
        <w:keepLines w:val="0"/>
        <w:pageBreakBefore w:val="0"/>
        <w:numPr>
          <w:ilvl w:val="0"/>
          <w:numId w:val="0"/>
        </w:numPr>
        <w:kinsoku/>
        <w:wordWrap/>
        <w:overflowPunct/>
        <w:topLinePunct w:val="0"/>
        <w:bidi w:val="0"/>
        <w:snapToGrid/>
        <w:spacing w:line="480" w:lineRule="exact"/>
        <w:ind w:left="0" w:leftChars="0" w:firstLine="482" w:firstLineChars="200"/>
        <w:textAlignment w:val="auto"/>
        <w:rPr>
          <w:rFonts w:hint="eastAsia"/>
          <w:b/>
          <w:bCs/>
          <w:sz w:val="24"/>
          <w:szCs w:val="24"/>
          <w:lang w:val="en-US" w:eastAsia="zh-CN"/>
        </w:rPr>
      </w:pPr>
      <w:r>
        <w:rPr>
          <w:rFonts w:hint="eastAsia"/>
          <w:b/>
          <w:bCs/>
          <w:sz w:val="24"/>
          <w:szCs w:val="24"/>
          <w:lang w:val="en-US" w:eastAsia="zh-CN"/>
        </w:rPr>
        <w:t>六、售后服务</w:t>
      </w:r>
    </w:p>
    <w:p w14:paraId="0E0283F6">
      <w:pPr>
        <w:pStyle w:val="22"/>
        <w:keepNext w:val="0"/>
        <w:keepLines w:val="0"/>
        <w:pageBreakBefore w:val="0"/>
        <w:numPr>
          <w:ilvl w:val="0"/>
          <w:numId w:val="0"/>
        </w:numPr>
        <w:kinsoku/>
        <w:wordWrap/>
        <w:overflowPunct/>
        <w:topLinePunct w:val="0"/>
        <w:bidi w:val="0"/>
        <w:snapToGrid/>
        <w:spacing w:line="480" w:lineRule="exact"/>
        <w:ind w:left="0" w:leftChars="0" w:firstLine="480" w:firstLineChars="200"/>
        <w:textAlignment w:val="auto"/>
        <w:rPr>
          <w:rFonts w:hint="eastAsia"/>
          <w:sz w:val="24"/>
          <w:szCs w:val="24"/>
          <w:lang w:val="en-US" w:eastAsia="zh-CN"/>
        </w:rPr>
      </w:pPr>
      <w:r>
        <w:rPr>
          <w:rFonts w:hint="eastAsia" w:ascii="宋体" w:hAnsi="宋体" w:eastAsia="宋体" w:cs="宋体"/>
          <w:color w:val="auto"/>
          <w:kern w:val="2"/>
          <w:sz w:val="24"/>
          <w:szCs w:val="24"/>
          <w:highlight w:val="none"/>
          <w:lang w:val="en-US" w:eastAsia="zh-CN" w:bidi="ar-SA"/>
        </w:rPr>
        <w:t xml:space="preserve">6.1 </w:t>
      </w:r>
      <w:r>
        <w:rPr>
          <w:rFonts w:hint="eastAsia"/>
          <w:sz w:val="24"/>
          <w:szCs w:val="24"/>
          <w:lang w:val="en-US" w:eastAsia="zh-CN"/>
        </w:rPr>
        <w:t>本合同约定辅助设备质保期为</w:t>
      </w:r>
      <w:r>
        <w:rPr>
          <w:rFonts w:hint="eastAsia"/>
          <w:sz w:val="24"/>
          <w:szCs w:val="24"/>
          <w:u w:val="single"/>
          <w:lang w:val="en-US" w:eastAsia="zh-CN"/>
        </w:rPr>
        <w:t xml:space="preserve"> 1 </w:t>
      </w:r>
      <w:r>
        <w:rPr>
          <w:rFonts w:hint="eastAsia"/>
          <w:sz w:val="24"/>
          <w:szCs w:val="24"/>
          <w:lang w:val="en-US" w:eastAsia="zh-CN"/>
        </w:rPr>
        <w:t>年，自总体验收合格之日起开始计算。</w:t>
      </w:r>
    </w:p>
    <w:p w14:paraId="06BFF71D">
      <w:pPr>
        <w:pStyle w:val="22"/>
        <w:keepNext w:val="0"/>
        <w:keepLines w:val="0"/>
        <w:pageBreakBefore w:val="0"/>
        <w:numPr>
          <w:ilvl w:val="0"/>
          <w:numId w:val="0"/>
        </w:numPr>
        <w:kinsoku/>
        <w:wordWrap/>
        <w:overflowPunct/>
        <w:topLinePunct w:val="0"/>
        <w:bidi w:val="0"/>
        <w:snapToGrid/>
        <w:spacing w:line="480" w:lineRule="exact"/>
        <w:ind w:left="0" w:leftChars="0" w:firstLine="480" w:firstLineChars="200"/>
        <w:textAlignment w:val="auto"/>
        <w:rPr>
          <w:rFonts w:hint="eastAsia"/>
          <w:sz w:val="24"/>
          <w:szCs w:val="24"/>
          <w:lang w:val="en-US" w:eastAsia="zh-CN"/>
        </w:rPr>
      </w:pPr>
      <w:r>
        <w:rPr>
          <w:rFonts w:hint="eastAsia" w:ascii="宋体" w:hAnsi="宋体" w:eastAsia="宋体" w:cs="宋体"/>
          <w:color w:val="auto"/>
          <w:kern w:val="2"/>
          <w:sz w:val="24"/>
          <w:szCs w:val="24"/>
          <w:highlight w:val="none"/>
          <w:lang w:val="en-US" w:eastAsia="zh-CN" w:bidi="ar-SA"/>
        </w:rPr>
        <w:t xml:space="preserve">6.2 </w:t>
      </w:r>
      <w:r>
        <w:rPr>
          <w:rFonts w:hint="eastAsia" w:ascii="宋体" w:hAnsi="宋体" w:eastAsia="宋体" w:cs="宋体"/>
          <w:color w:val="000000" w:themeColor="text1"/>
          <w:sz w:val="24"/>
          <w:szCs w:val="24"/>
          <w:highlight w:val="none"/>
          <w:lang w:val="en-US" w:eastAsia="zh-CN"/>
          <w14:textFill>
            <w14:solidFill>
              <w14:schemeClr w14:val="tx1"/>
            </w14:solidFill>
          </w14:textFill>
        </w:rPr>
        <w:t>质保期内乙方免费提供维修、更换服务</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auto"/>
          <w:kern w:val="2"/>
          <w:sz w:val="24"/>
          <w:szCs w:val="24"/>
          <w:highlight w:val="none"/>
          <w:lang w:val="en-US" w:eastAsia="zh-CN" w:bidi="ar-SA"/>
        </w:rPr>
        <w:t>在</w:t>
      </w:r>
      <w:r>
        <w:rPr>
          <w:rFonts w:hint="eastAsia"/>
          <w:sz w:val="24"/>
          <w:szCs w:val="24"/>
          <w:lang w:val="en-US" w:eastAsia="zh-CN"/>
        </w:rPr>
        <w:t>质保期内，如辅助设备出现质量问题，乙方应在接到甲方通知（包括电话通知）时起</w:t>
      </w:r>
      <w:r>
        <w:rPr>
          <w:rFonts w:hint="eastAsia"/>
          <w:sz w:val="24"/>
          <w:szCs w:val="24"/>
          <w:u w:val="single"/>
          <w:lang w:val="en-US" w:eastAsia="zh-CN"/>
        </w:rPr>
        <w:t xml:space="preserve">  1  </w:t>
      </w:r>
      <w:r>
        <w:rPr>
          <w:rFonts w:hint="eastAsia"/>
          <w:sz w:val="24"/>
          <w:szCs w:val="24"/>
          <w:lang w:val="en-US" w:eastAsia="zh-CN"/>
        </w:rPr>
        <w:t>小时内响应，响应后</w:t>
      </w:r>
      <w:r>
        <w:rPr>
          <w:rFonts w:hint="eastAsia"/>
          <w:sz w:val="24"/>
          <w:szCs w:val="24"/>
          <w:u w:val="single"/>
          <w:lang w:val="en-US" w:eastAsia="zh-CN"/>
        </w:rPr>
        <w:t xml:space="preserve">  12  </w:t>
      </w:r>
      <w:r>
        <w:rPr>
          <w:rFonts w:hint="eastAsia"/>
          <w:sz w:val="24"/>
          <w:szCs w:val="24"/>
          <w:lang w:val="en-US" w:eastAsia="zh-CN"/>
        </w:rPr>
        <w:t>小时内赶到甲方进行维修或更换全新辅助设备，相关费用由乙方承担。质保期届满后，辅助设备出现质量问题，乙方负责维修或更换设备产生的费用由甲方承担，但费用标准应不超过本合同约定的标准。</w:t>
      </w:r>
    </w:p>
    <w:p w14:paraId="57BFCE08">
      <w:pPr>
        <w:pStyle w:val="22"/>
        <w:keepNext w:val="0"/>
        <w:keepLines w:val="0"/>
        <w:pageBreakBefore w:val="0"/>
        <w:numPr>
          <w:ilvl w:val="0"/>
          <w:numId w:val="0"/>
        </w:numPr>
        <w:kinsoku/>
        <w:wordWrap/>
        <w:overflowPunct/>
        <w:topLinePunct w:val="0"/>
        <w:bidi w:val="0"/>
        <w:snapToGrid/>
        <w:spacing w:line="480" w:lineRule="exact"/>
        <w:ind w:left="0" w:leftChars="0" w:firstLine="480" w:firstLineChars="200"/>
        <w:textAlignment w:val="auto"/>
        <w:rPr>
          <w:rFonts w:hint="eastAsia"/>
          <w:sz w:val="24"/>
          <w:szCs w:val="24"/>
          <w:lang w:val="en-US" w:eastAsia="zh-CN"/>
        </w:rPr>
      </w:pPr>
      <w:r>
        <w:rPr>
          <w:rFonts w:hint="eastAsia" w:ascii="宋体" w:hAnsi="宋体" w:eastAsia="宋体" w:cs="宋体"/>
          <w:color w:val="auto"/>
          <w:kern w:val="2"/>
          <w:sz w:val="24"/>
          <w:szCs w:val="24"/>
          <w:highlight w:val="none"/>
          <w:lang w:val="en-US" w:eastAsia="zh-CN" w:bidi="ar-SA"/>
        </w:rPr>
        <w:t xml:space="preserve">6.3 </w:t>
      </w:r>
      <w:r>
        <w:rPr>
          <w:rFonts w:hint="eastAsia"/>
          <w:sz w:val="24"/>
          <w:szCs w:val="24"/>
          <w:lang w:val="en-US" w:eastAsia="zh-CN"/>
        </w:rPr>
        <w:t>乙方负责系统软件的终身免费维保。如系统发生故障，乙方自接到甲方故障通知后</w:t>
      </w:r>
      <w:r>
        <w:rPr>
          <w:rFonts w:hint="eastAsia"/>
          <w:sz w:val="24"/>
          <w:szCs w:val="24"/>
          <w:u w:val="single"/>
          <w:lang w:val="en-US" w:eastAsia="zh-CN"/>
        </w:rPr>
        <w:t xml:space="preserve"> 30 </w:t>
      </w:r>
      <w:r>
        <w:rPr>
          <w:rFonts w:hint="eastAsia"/>
          <w:sz w:val="24"/>
          <w:szCs w:val="24"/>
          <w:lang w:val="en-US" w:eastAsia="zh-CN"/>
        </w:rPr>
        <w:t>分钟内响应，并通过远程服务进行维护。如通过远程无法维护好时，乙方应在接到甲方通知后</w:t>
      </w:r>
      <w:r>
        <w:rPr>
          <w:rFonts w:hint="eastAsia"/>
          <w:sz w:val="24"/>
          <w:szCs w:val="24"/>
          <w:u w:val="single"/>
          <w:lang w:val="en-US" w:eastAsia="zh-CN"/>
        </w:rPr>
        <w:t xml:space="preserve"> 12 </w:t>
      </w:r>
      <w:r>
        <w:rPr>
          <w:rFonts w:hint="eastAsia"/>
          <w:sz w:val="24"/>
          <w:szCs w:val="24"/>
          <w:lang w:val="en-US" w:eastAsia="zh-CN"/>
        </w:rPr>
        <w:t>小时内赶到现场处理好。</w:t>
      </w:r>
    </w:p>
    <w:p w14:paraId="29FEB8D1">
      <w:pPr>
        <w:pStyle w:val="22"/>
        <w:keepNext w:val="0"/>
        <w:keepLines w:val="0"/>
        <w:pageBreakBefore w:val="0"/>
        <w:numPr>
          <w:ilvl w:val="0"/>
          <w:numId w:val="0"/>
        </w:numPr>
        <w:kinsoku/>
        <w:wordWrap/>
        <w:overflowPunct/>
        <w:topLinePunct w:val="0"/>
        <w:bidi w:val="0"/>
        <w:snapToGrid/>
        <w:spacing w:line="480" w:lineRule="exact"/>
        <w:ind w:left="0" w:leftChars="0" w:firstLine="480" w:firstLineChars="200"/>
        <w:textAlignment w:val="auto"/>
        <w:rPr>
          <w:rFonts w:hint="default"/>
          <w:sz w:val="24"/>
          <w:szCs w:val="24"/>
          <w:lang w:val="en-US" w:eastAsia="zh-CN"/>
        </w:rPr>
      </w:pPr>
      <w:r>
        <w:rPr>
          <w:rFonts w:hint="eastAsia" w:ascii="宋体" w:hAnsi="宋体" w:eastAsia="宋体" w:cs="宋体"/>
          <w:color w:val="auto"/>
          <w:kern w:val="2"/>
          <w:sz w:val="24"/>
          <w:szCs w:val="24"/>
          <w:highlight w:val="none"/>
          <w:lang w:val="en-US" w:eastAsia="zh-CN" w:bidi="ar-SA"/>
        </w:rPr>
        <w:t>6.4</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如乙方</w:t>
      </w:r>
      <w:r>
        <w:rPr>
          <w:rFonts w:hint="eastAsia" w:ascii="宋体" w:hAnsi="宋体" w:cs="宋体"/>
          <w:color w:val="000000" w:themeColor="text1"/>
          <w:sz w:val="24"/>
          <w:szCs w:val="24"/>
          <w:highlight w:val="none"/>
          <w:lang w:val="en-US" w:eastAsia="zh-CN"/>
          <w14:textFill>
            <w14:solidFill>
              <w14:schemeClr w14:val="tx1"/>
            </w14:solidFill>
          </w14:textFill>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及时</w:t>
      </w:r>
      <w:r>
        <w:rPr>
          <w:rFonts w:hint="eastAsia" w:ascii="宋体" w:hAnsi="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lang w:val="en-US" w:eastAsia="zh-CN"/>
          <w14:textFill>
            <w14:solidFill>
              <w14:schemeClr w14:val="tx1"/>
            </w14:solidFill>
          </w14:textFill>
        </w:rPr>
        <w:t>质保期内</w:t>
      </w:r>
      <w:r>
        <w:rPr>
          <w:rFonts w:hint="eastAsia" w:ascii="宋体" w:hAnsi="宋体" w:cs="宋体"/>
          <w:color w:val="000000" w:themeColor="text1"/>
          <w:sz w:val="24"/>
          <w:szCs w:val="24"/>
          <w:highlight w:val="none"/>
          <w:lang w:val="en-US" w:eastAsia="zh-CN"/>
          <w14:textFill>
            <w14:solidFill>
              <w14:schemeClr w14:val="tx1"/>
            </w14:solidFill>
          </w14:textFill>
        </w:rPr>
        <w:t>提供</w:t>
      </w:r>
      <w:r>
        <w:rPr>
          <w:rFonts w:hint="eastAsia"/>
          <w:sz w:val="24"/>
          <w:szCs w:val="24"/>
          <w:lang w:val="en-US" w:eastAsia="zh-CN"/>
        </w:rPr>
        <w:t>辅助设备的</w:t>
      </w:r>
      <w:r>
        <w:rPr>
          <w:rFonts w:hint="eastAsia" w:ascii="宋体" w:hAnsi="宋体" w:eastAsia="宋体" w:cs="宋体"/>
          <w:color w:val="000000" w:themeColor="text1"/>
          <w:sz w:val="24"/>
          <w:szCs w:val="24"/>
          <w:highlight w:val="none"/>
          <w:lang w:val="en-US" w:eastAsia="zh-CN"/>
          <w14:textFill>
            <w14:solidFill>
              <w14:schemeClr w14:val="tx1"/>
            </w14:solidFill>
          </w14:textFill>
        </w:rPr>
        <w:t>维修、更换</w:t>
      </w:r>
      <w:r>
        <w:rPr>
          <w:rFonts w:hint="eastAsia" w:ascii="宋体" w:hAnsi="宋体" w:cs="宋体"/>
          <w:color w:val="000000" w:themeColor="text1"/>
          <w:sz w:val="24"/>
          <w:szCs w:val="24"/>
          <w:highlight w:val="none"/>
          <w:lang w:val="en-US" w:eastAsia="zh-CN"/>
          <w14:textFill>
            <w14:solidFill>
              <w14:schemeClr w14:val="tx1"/>
            </w14:solidFill>
          </w14:textFill>
        </w:rPr>
        <w:t>服务或未及时提供系统软件的终身维保服务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，甲方有权委托第三方提供服务，由此产生的相关费用，甲方有权在应付款中扣除、不足部分由乙方另行补足，或要求乙方将第三方提供服务产生的相关费用直接支付给甲方。</w:t>
      </w:r>
    </w:p>
    <w:p w14:paraId="368BB4CB">
      <w:pPr>
        <w:pStyle w:val="22"/>
        <w:keepNext w:val="0"/>
        <w:keepLines w:val="0"/>
        <w:pageBreakBefore w:val="0"/>
        <w:numPr>
          <w:ilvl w:val="0"/>
          <w:numId w:val="0"/>
        </w:numPr>
        <w:kinsoku/>
        <w:wordWrap/>
        <w:overflowPunct/>
        <w:topLinePunct w:val="0"/>
        <w:bidi w:val="0"/>
        <w:snapToGrid/>
        <w:spacing w:line="480" w:lineRule="exact"/>
        <w:ind w:left="0" w:leftChars="0" w:firstLine="480" w:firstLineChars="200"/>
        <w:textAlignment w:val="auto"/>
        <w:rPr>
          <w:rFonts w:hint="default" w:ascii="宋体" w:hAnsi="宋体" w:eastAsia="宋体" w:cs="宋体"/>
          <w:color w:val="auto"/>
          <w:kern w:val="2"/>
          <w:sz w:val="24"/>
          <w:szCs w:val="24"/>
          <w:highlight w:val="yellow"/>
          <w:lang w:val="en-US" w:eastAsia="zh-CN" w:bidi="ar-SA"/>
        </w:rPr>
      </w:pPr>
      <w:r>
        <w:rPr>
          <w:rFonts w:hint="eastAsia" w:ascii="宋体" w:hAnsi="宋体" w:eastAsia="宋体" w:cs="宋体"/>
          <w:color w:val="auto"/>
          <w:kern w:val="2"/>
          <w:sz w:val="24"/>
          <w:szCs w:val="24"/>
          <w:highlight w:val="yellow"/>
          <w:lang w:val="en-US" w:eastAsia="zh-CN" w:bidi="ar-SA"/>
        </w:rPr>
        <w:t xml:space="preserve">6.5 </w:t>
      </w:r>
      <w:r>
        <w:rPr>
          <w:rFonts w:hint="eastAsia" w:ascii="宋体" w:hAnsi="宋体" w:cs="宋体"/>
          <w:color w:val="auto"/>
          <w:kern w:val="2"/>
          <w:sz w:val="24"/>
          <w:szCs w:val="24"/>
          <w:highlight w:val="yellow"/>
          <w:lang w:val="en-US" w:eastAsia="zh-CN" w:bidi="ar-SA"/>
        </w:rPr>
        <w:t>乙方承诺</w:t>
      </w:r>
      <w:r>
        <w:rPr>
          <w:rFonts w:hint="eastAsia"/>
          <w:sz w:val="24"/>
          <w:szCs w:val="24"/>
          <w:highlight w:val="yellow"/>
          <w:lang w:val="en-US" w:eastAsia="zh-CN"/>
        </w:rPr>
        <w:t>本合同约定评估报告、训练权限次数用完后，乙方将按在线评估报告不高于</w:t>
      </w:r>
      <w:r>
        <w:rPr>
          <w:rFonts w:hint="eastAsia"/>
          <w:sz w:val="24"/>
          <w:szCs w:val="24"/>
          <w:highlight w:val="yellow"/>
          <w:u w:val="single"/>
          <w:lang w:val="en-US" w:eastAsia="zh-CN"/>
        </w:rPr>
        <w:t xml:space="preserve">  48</w:t>
      </w:r>
      <w:r>
        <w:rPr>
          <w:rFonts w:hint="eastAsia"/>
          <w:sz w:val="24"/>
          <w:szCs w:val="24"/>
          <w:highlight w:val="yellow"/>
          <w:lang w:val="en-US" w:eastAsia="zh-CN"/>
        </w:rPr>
        <w:t>元/份（每次评估产生一份报告）、在线训练不高于</w:t>
      </w:r>
      <w:r>
        <w:rPr>
          <w:rFonts w:hint="eastAsia"/>
          <w:sz w:val="24"/>
          <w:szCs w:val="24"/>
          <w:highlight w:val="yellow"/>
          <w:u w:val="single"/>
          <w:lang w:val="en-US" w:eastAsia="zh-CN"/>
        </w:rPr>
        <w:t>36</w:t>
      </w:r>
      <w:r>
        <w:rPr>
          <w:rFonts w:hint="eastAsia"/>
          <w:sz w:val="24"/>
          <w:szCs w:val="24"/>
          <w:highlight w:val="yellow"/>
          <w:lang w:val="en-US" w:eastAsia="zh-CN"/>
        </w:rPr>
        <w:t>元/次（每次训练包括六个不同维度）的收费标准向甲方提供技术服务，前述标准包含软件使用费、维护费、升级费、税费等所有费用，除前述费用外，不再向甲方收取其他任何费用。甲、乙双方另行签订服务协议。</w:t>
      </w:r>
    </w:p>
    <w:p w14:paraId="4D366788">
      <w:pPr>
        <w:pStyle w:val="22"/>
        <w:keepNext w:val="0"/>
        <w:keepLines w:val="0"/>
        <w:pageBreakBefore w:val="0"/>
        <w:numPr>
          <w:ilvl w:val="0"/>
          <w:numId w:val="0"/>
        </w:numPr>
        <w:kinsoku/>
        <w:wordWrap/>
        <w:overflowPunct/>
        <w:topLinePunct w:val="0"/>
        <w:bidi w:val="0"/>
        <w:snapToGrid/>
        <w:spacing w:line="480" w:lineRule="exact"/>
        <w:ind w:left="0" w:leftChars="0" w:firstLine="482" w:firstLineChars="200"/>
        <w:textAlignment w:val="auto"/>
        <w:rPr>
          <w:sz w:val="24"/>
          <w:szCs w:val="24"/>
        </w:rPr>
      </w:pPr>
      <w:r>
        <w:rPr>
          <w:rFonts w:hint="eastAsia"/>
          <w:b/>
          <w:bCs/>
          <w:sz w:val="24"/>
          <w:szCs w:val="24"/>
          <w:lang w:val="en-US" w:eastAsia="zh-CN"/>
        </w:rPr>
        <w:t>七、付款时间及方式</w:t>
      </w:r>
    </w:p>
    <w:p w14:paraId="33513EB9">
      <w:pPr>
        <w:keepNext w:val="0"/>
        <w:keepLines w:val="0"/>
        <w:pageBreakBefore w:val="0"/>
        <w:widowControl w:val="0"/>
        <w:kinsoku/>
        <w:wordWrap w:val="0"/>
        <w:overflowPunct/>
        <w:topLinePunct/>
        <w:autoSpaceDE/>
        <w:autoSpaceDN/>
        <w:bidi w:val="0"/>
        <w:adjustRightInd/>
        <w:snapToGrid/>
        <w:spacing w:beforeAutospacing="0" w:afterAutospacing="0" w:line="480" w:lineRule="exact"/>
        <w:ind w:left="0" w:leftChars="0" w:firstLine="480" w:firstLineChars="200"/>
        <w:textAlignment w:val="auto"/>
        <w:rPr>
          <w:rFonts w:hint="eastAsia"/>
          <w:sz w:val="24"/>
          <w:szCs w:val="24"/>
          <w:lang w:val="en-US" w:eastAsia="zh-CN"/>
        </w:rPr>
      </w:pPr>
      <w:r>
        <w:rPr>
          <w:rFonts w:hint="eastAsia" w:ascii="宋体" w:hAnsi="宋体" w:cs="宋体"/>
          <w:color w:val="000000" w:themeColor="text1"/>
          <w:kern w:val="0"/>
          <w:sz w:val="24"/>
          <w:szCs w:val="24"/>
          <w:lang w:val="en-US" w:eastAsia="zh-CN" w:bidi="ar-SA"/>
          <w14:textFill>
            <w14:solidFill>
              <w14:schemeClr w14:val="tx1"/>
            </w14:solidFill>
          </w14:textFill>
        </w:rPr>
        <w:t>7.1 甲方通过银行转账方式向乙方指定银行账户支付款项：甲方在</w:t>
      </w:r>
      <w:r>
        <w:rPr>
          <w:rFonts w:hint="eastAsia" w:ascii="宋体" w:hAnsi="宋体" w:eastAsia="宋体" w:cs="宋体"/>
          <w:color w:val="000000" w:themeColor="text1"/>
          <w:sz w:val="24"/>
          <w:szCs w:val="24"/>
          <w:highlight w:val="none"/>
          <w:lang w:val="en-US" w:eastAsia="zh-CN"/>
          <w14:textFill>
            <w14:solidFill>
              <w14:schemeClr w14:val="tx1"/>
            </w14:solidFill>
          </w14:textFill>
        </w:rPr>
        <w:t>签署总体验收报告单</w:t>
      </w:r>
      <w:r>
        <w:rPr>
          <w:rFonts w:hint="eastAsia" w:ascii="宋体" w:hAnsi="宋体" w:cs="宋体"/>
          <w:color w:val="000000" w:themeColor="text1"/>
          <w:kern w:val="0"/>
          <w:sz w:val="24"/>
          <w:szCs w:val="24"/>
          <w:lang w:val="en-US" w:eastAsia="zh-CN" w:bidi="ar-SA"/>
          <w14:textFill>
            <w14:solidFill>
              <w14:schemeClr w14:val="tx1"/>
            </w14:solidFill>
          </w14:textFill>
        </w:rPr>
        <w:t>之日起4个月内，向乙方一次性支付合同约定总价款。</w:t>
      </w:r>
    </w:p>
    <w:p w14:paraId="5FE7FD52">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bidi="ar-SA"/>
          <w14:textFill>
            <w14:solidFill>
              <w14:schemeClr w14:val="tx1"/>
            </w14:solidFill>
          </w14:textFill>
        </w:rPr>
        <w:t xml:space="preserve">7.2 </w:t>
      </w:r>
      <w:r>
        <w:rPr>
          <w:rFonts w:hint="eastAsia" w:ascii="宋体" w:hAnsi="宋体" w:eastAsia="宋体" w:cs="宋体"/>
          <w:color w:val="000000" w:themeColor="text1"/>
          <w:kern w:val="0"/>
          <w:sz w:val="24"/>
          <w:szCs w:val="24"/>
          <w:lang w:val="en-US" w:eastAsia="zh-CN"/>
          <w14:textFill>
            <w14:solidFill>
              <w14:schemeClr w14:val="tx1"/>
            </w14:solidFill>
          </w14:textFill>
        </w:rPr>
        <w:t>乙方指定</w:t>
      </w:r>
      <w:r>
        <w:rPr>
          <w:rFonts w:hint="eastAsia" w:ascii="宋体" w:hAnsi="宋体" w:cs="宋体"/>
          <w:color w:val="000000" w:themeColor="text1"/>
          <w:kern w:val="0"/>
          <w:sz w:val="24"/>
          <w:szCs w:val="24"/>
          <w:lang w:val="en-US" w:eastAsia="zh-CN"/>
          <w14:textFill>
            <w14:solidFill>
              <w14:schemeClr w14:val="tx1"/>
            </w14:solidFill>
          </w14:textFill>
        </w:rPr>
        <w:t>收款银行</w:t>
      </w:r>
      <w:r>
        <w:rPr>
          <w:rFonts w:hint="eastAsia" w:ascii="宋体" w:hAnsi="宋体" w:eastAsia="宋体" w:cs="宋体"/>
          <w:color w:val="000000" w:themeColor="text1"/>
          <w:kern w:val="0"/>
          <w:sz w:val="24"/>
          <w:szCs w:val="24"/>
          <w:lang w:val="en-US" w:eastAsia="zh-CN"/>
          <w14:textFill>
            <w14:solidFill>
              <w14:schemeClr w14:val="tx1"/>
            </w14:solidFill>
          </w14:textFill>
        </w:rPr>
        <w:t>账户名称：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p w14:paraId="1D954B47">
      <w:pPr>
        <w:pStyle w:val="20"/>
        <w:keepNext w:val="0"/>
        <w:keepLines w:val="0"/>
        <w:pageBreakBefore w:val="0"/>
        <w:widowControl w:val="0"/>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sz w:val="24"/>
          <w:szCs w:val="24"/>
          <w:highlight w:val="none"/>
          <w:u w:val="none"/>
          <w:lang w:val="en-US" w:eastAsia="zh-CN"/>
          <w14:textFill>
            <w14:solidFill>
              <w14:schemeClr w14:val="tx1"/>
            </w14:solidFill>
          </w14:textFill>
        </w:rPr>
        <w:t xml:space="preserve">7.3 </w:t>
      </w:r>
      <w:r>
        <w:rPr>
          <w:rFonts w:hint="eastAsia" w:ascii="宋体" w:hAnsi="宋体" w:eastAsia="宋体" w:cs="宋体"/>
          <w:color w:val="000000" w:themeColor="text1"/>
          <w:kern w:val="0"/>
          <w:sz w:val="24"/>
          <w:szCs w:val="24"/>
          <w:lang w:val="en-US" w:eastAsia="zh-CN" w:bidi="ar-SA"/>
          <w14:textFill>
            <w14:solidFill>
              <w14:schemeClr w14:val="tx1"/>
            </w14:solidFill>
          </w14:textFill>
        </w:rPr>
        <w:t>乙方应在甲方</w:t>
      </w:r>
      <w:r>
        <w:rPr>
          <w:rFonts w:hint="eastAsia" w:ascii="宋体" w:hAnsi="宋体" w:cs="宋体"/>
          <w:color w:val="000000" w:themeColor="text1"/>
          <w:kern w:val="0"/>
          <w:sz w:val="24"/>
          <w:szCs w:val="24"/>
          <w:lang w:val="en-US" w:eastAsia="zh-CN" w:bidi="ar-SA"/>
          <w14:textFill>
            <w14:solidFill>
              <w14:schemeClr w14:val="tx1"/>
            </w14:solidFill>
          </w14:textFill>
        </w:rPr>
        <w:t>首次付款</w:t>
      </w:r>
      <w:r>
        <w:rPr>
          <w:rFonts w:hint="eastAsia" w:ascii="宋体" w:hAnsi="宋体" w:eastAsia="宋体" w:cs="宋体"/>
          <w:color w:val="000000" w:themeColor="text1"/>
          <w:kern w:val="0"/>
          <w:sz w:val="24"/>
          <w:szCs w:val="24"/>
          <w:u w:val="none"/>
          <w:lang w:val="en-US" w:eastAsia="zh-CN" w:bidi="ar-SA"/>
          <w14:textFill>
            <w14:solidFill>
              <w14:schemeClr w14:val="tx1"/>
            </w14:solidFill>
          </w14:textFill>
        </w:rPr>
        <w:t>前</w:t>
      </w:r>
      <w:r>
        <w:rPr>
          <w:rFonts w:hint="eastAsia" w:ascii="宋体" w:hAnsi="宋体" w:cs="宋体"/>
          <w:color w:val="FF0000"/>
          <w:kern w:val="0"/>
          <w:sz w:val="24"/>
          <w:szCs w:val="24"/>
          <w:highlight w:val="none"/>
          <w:u w:val="single"/>
          <w:lang w:val="en-US" w:eastAsia="zh-CN" w:bidi="ar-SA"/>
        </w:rPr>
        <w:t xml:space="preserve"> 15 </w:t>
      </w:r>
      <w:r>
        <w:rPr>
          <w:rFonts w:hint="eastAsia" w:ascii="宋体" w:hAnsi="宋体" w:cs="宋体"/>
          <w:color w:val="FF0000"/>
          <w:kern w:val="0"/>
          <w:sz w:val="24"/>
          <w:szCs w:val="24"/>
          <w:highlight w:val="none"/>
          <w:u w:val="none"/>
          <w:lang w:val="en-US" w:eastAsia="zh-CN" w:bidi="ar-SA"/>
        </w:rPr>
        <w:t>日</w:t>
      </w:r>
      <w:r>
        <w:rPr>
          <w:rFonts w:hint="eastAsia" w:ascii="宋体" w:hAnsi="宋体" w:eastAsia="宋体" w:cs="宋体"/>
          <w:color w:val="000000" w:themeColor="text1"/>
          <w:kern w:val="0"/>
          <w:sz w:val="24"/>
          <w:szCs w:val="24"/>
          <w:lang w:val="en-US" w:eastAsia="zh-CN" w:bidi="ar-SA"/>
          <w14:textFill>
            <w14:solidFill>
              <w14:schemeClr w14:val="tx1"/>
            </w14:solidFill>
          </w14:textFill>
        </w:rPr>
        <w:t>，向甲方提供以乙方自己名义开具的价税合计金额与付款金额等额的增值税普通发票；如乙方未按前述约定提供发票，甲方有权顺延付款，由此产生的责任均由乙方自行承担。</w:t>
      </w:r>
    </w:p>
    <w:p w14:paraId="1835A989">
      <w:pPr>
        <w:pStyle w:val="22"/>
        <w:keepNext w:val="0"/>
        <w:keepLines w:val="0"/>
        <w:pageBreakBefore w:val="0"/>
        <w:kinsoku/>
        <w:wordWrap/>
        <w:overflowPunct/>
        <w:topLinePunct w:val="0"/>
        <w:bidi w:val="0"/>
        <w:snapToGrid/>
        <w:spacing w:line="480" w:lineRule="exact"/>
        <w:ind w:left="0" w:leftChars="0" w:firstLine="480" w:firstLineChars="20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 xml:space="preserve">7.4 </w:t>
      </w:r>
      <w:r>
        <w:rPr>
          <w:rFonts w:hint="eastAsia" w:ascii="宋体" w:hAnsi="宋体" w:eastAsia="宋体" w:cs="宋体"/>
          <w:color w:val="000000" w:themeColor="text1"/>
          <w:kern w:val="0"/>
          <w:sz w:val="24"/>
          <w:szCs w:val="24"/>
          <w:lang w:val="en-US" w:eastAsia="zh-CN" w:bidi="ar-SA"/>
          <w14:textFill>
            <w14:solidFill>
              <w14:schemeClr w14:val="tx1"/>
            </w14:solidFill>
          </w14:textFill>
        </w:rPr>
        <w:t>如乙方需改变上述账户，应提前10日以书面方式通知甲方。如乙方未按本合同规定通知，由此给甲方造成的全部经济损失，由乙方自行承担。</w:t>
      </w:r>
    </w:p>
    <w:p w14:paraId="4EDA345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风险承担</w:t>
      </w:r>
    </w:p>
    <w:p w14:paraId="1FF53B0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eastAsia="zh-CN"/>
          <w14:textFill>
            <w14:solidFill>
              <w14:schemeClr w14:val="tx1"/>
            </w14:solidFill>
          </w14:textFill>
        </w:rPr>
        <w:t>.1 乙方履行本合同过程中发生事故，包括但不限于在运输、装卸、安装及调试过程中发生事故，给甲方、乙方或第三方人身、财产造成的所有损失，均由乙方负责处理和承担全部法律责任、经济赔偿。</w:t>
      </w:r>
    </w:p>
    <w:p w14:paraId="33A1B09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eastAsia="zh-CN"/>
          <w14:textFill>
            <w14:solidFill>
              <w14:schemeClr w14:val="tx1"/>
            </w14:solidFill>
          </w14:textFill>
        </w:rPr>
        <w:t>.2 本合同</w:t>
      </w:r>
      <w:r>
        <w:rPr>
          <w:rFonts w:hint="eastAsia" w:ascii="宋体" w:hAnsi="宋体" w:cs="宋体"/>
          <w:color w:val="000000" w:themeColor="text1"/>
          <w:sz w:val="24"/>
          <w:szCs w:val="24"/>
          <w:highlight w:val="none"/>
          <w:lang w:val="en-US" w:eastAsia="zh-CN"/>
          <w14:textFill>
            <w14:solidFill>
              <w14:schemeClr w14:val="tx1"/>
            </w14:solidFill>
          </w14:textFill>
        </w:rPr>
        <w:t>产品</w:t>
      </w:r>
      <w:r>
        <w:rPr>
          <w:rFonts w:hint="eastAsia" w:ascii="宋体" w:hAnsi="宋体" w:eastAsia="宋体" w:cs="宋体"/>
          <w:color w:val="000000" w:themeColor="text1"/>
          <w:sz w:val="24"/>
          <w:szCs w:val="24"/>
          <w:highlight w:val="none"/>
          <w:lang w:val="en-US" w:eastAsia="zh-CN"/>
          <w14:textFill>
            <w14:solidFill>
              <w14:schemeClr w14:val="tx1"/>
            </w14:solidFill>
          </w14:textFill>
        </w:rPr>
        <w:t>毁损、丢失的风险自甲方在</w:t>
      </w:r>
      <w:r>
        <w:rPr>
          <w:rFonts w:hint="eastAsia" w:ascii="宋体" w:hAnsi="宋体" w:cs="宋体"/>
          <w:color w:val="000000" w:themeColor="text1"/>
          <w:sz w:val="24"/>
          <w:szCs w:val="24"/>
          <w:highlight w:val="none"/>
          <w:lang w:val="en-US" w:eastAsia="zh-CN"/>
          <w14:textFill>
            <w14:solidFill>
              <w14:schemeClr w14:val="tx1"/>
            </w14:solidFill>
          </w14:textFill>
        </w:rPr>
        <w:t>总体</w:t>
      </w:r>
      <w:r>
        <w:rPr>
          <w:rFonts w:hint="eastAsia" w:ascii="宋体" w:hAnsi="宋体" w:eastAsia="宋体" w:cs="宋体"/>
          <w:color w:val="000000" w:themeColor="text1"/>
          <w:sz w:val="24"/>
          <w:szCs w:val="24"/>
          <w:highlight w:val="none"/>
          <w:lang w:val="en-US" w:eastAsia="zh-CN"/>
          <w14:textFill>
            <w14:solidFill>
              <w14:schemeClr w14:val="tx1"/>
            </w14:solidFill>
          </w14:textFill>
        </w:rPr>
        <w:t>验收报告单上签字确认合格后转移给甲方，此前</w:t>
      </w:r>
      <w:r>
        <w:rPr>
          <w:rFonts w:hint="eastAsia" w:ascii="宋体" w:hAnsi="宋体" w:cs="宋体"/>
          <w:color w:val="000000" w:themeColor="text1"/>
          <w:sz w:val="24"/>
          <w:szCs w:val="24"/>
          <w:highlight w:val="none"/>
          <w:lang w:val="en-US" w:eastAsia="zh-CN"/>
          <w14:textFill>
            <w14:solidFill>
              <w14:schemeClr w14:val="tx1"/>
            </w14:solidFill>
          </w14:textFill>
        </w:rPr>
        <w:t>产品</w:t>
      </w:r>
      <w:r>
        <w:rPr>
          <w:rFonts w:hint="eastAsia" w:ascii="宋体" w:hAnsi="宋体" w:eastAsia="宋体" w:cs="宋体"/>
          <w:color w:val="000000" w:themeColor="text1"/>
          <w:sz w:val="24"/>
          <w:szCs w:val="24"/>
          <w:highlight w:val="none"/>
          <w:lang w:val="en-US" w:eastAsia="zh-CN"/>
          <w14:textFill>
            <w14:solidFill>
              <w14:schemeClr w14:val="tx1"/>
            </w14:solidFill>
          </w14:textFill>
        </w:rPr>
        <w:t>的一切风险均由乙方承担。</w:t>
      </w:r>
    </w:p>
    <w:p w14:paraId="3A1077A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eastAsia="zh-CN"/>
          <w14:textFill>
            <w14:solidFill>
              <w14:schemeClr w14:val="tx1"/>
            </w14:solidFill>
          </w14:textFill>
        </w:rPr>
        <w:t>.3 如甲方因乙方</w:t>
      </w:r>
      <w:r>
        <w:rPr>
          <w:rFonts w:hint="eastAsia" w:ascii="宋体" w:hAnsi="宋体" w:cs="宋体"/>
          <w:color w:val="000000" w:themeColor="text1"/>
          <w:sz w:val="24"/>
          <w:szCs w:val="24"/>
          <w:highlight w:val="none"/>
          <w:lang w:val="en-US" w:eastAsia="zh-CN"/>
          <w14:textFill>
            <w14:solidFill>
              <w14:schemeClr w14:val="tx1"/>
            </w14:solidFill>
          </w14:textFill>
        </w:rPr>
        <w:t>产品</w:t>
      </w:r>
      <w:r>
        <w:rPr>
          <w:rFonts w:hint="eastAsia" w:ascii="宋体" w:hAnsi="宋体" w:eastAsia="宋体" w:cs="宋体"/>
          <w:color w:val="000000" w:themeColor="text1"/>
          <w:sz w:val="24"/>
          <w:szCs w:val="24"/>
          <w:highlight w:val="none"/>
          <w:lang w:val="en-US" w:eastAsia="zh-CN"/>
          <w14:textFill>
            <w14:solidFill>
              <w14:schemeClr w14:val="tx1"/>
            </w14:solidFill>
          </w14:textFill>
        </w:rPr>
        <w:t>、质保服务等原因涉及纠纷、诉讼或被处以行政处罚，由乙方承担甲方因纠纷、诉讼、罚款等造成的全部经济损失。</w:t>
      </w:r>
    </w:p>
    <w:p w14:paraId="1FBD3BA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九、</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廉洁条款</w:t>
      </w:r>
    </w:p>
    <w:p w14:paraId="728C4A1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default" w:ascii="宋体" w:hAnsi="宋体" w:eastAsia="宋体" w:cs="宋体"/>
          <w:color w:val="000000" w:themeColor="text1"/>
          <w:sz w:val="24"/>
          <w:szCs w:val="24"/>
          <w:highlight w:val="none"/>
          <w:lang w:val="en-US" w:eastAsia="zh-CN"/>
          <w14:textFill>
            <w14:solidFill>
              <w14:schemeClr w14:val="tx1"/>
            </w14:solidFill>
          </w14:textFill>
        </w:rPr>
        <w:t>.1 乙方应严格遵守国家相关法律法规，涉及合同的有关业务活动必须坚持公开、公平、公正、诚信原则，不得为获取不正当利益，损害国家、集体和甲方利益。</w:t>
      </w:r>
    </w:p>
    <w:p w14:paraId="471D2174">
      <w:pPr>
        <w:pStyle w:val="13"/>
        <w:keepNext w:val="0"/>
        <w:keepLines w:val="0"/>
        <w:pageBreakBefore w:val="0"/>
        <w:kinsoku/>
        <w:wordWrap/>
        <w:overflowPunct/>
        <w:topLinePunct w:val="0"/>
        <w:bidi w:val="0"/>
        <w:snapToGrid/>
        <w:spacing w:after="0" w:line="480" w:lineRule="exact"/>
        <w:ind w:left="0" w:leftChars="0" w:firstLine="482" w:firstLineChars="200"/>
        <w:textAlignment w:val="auto"/>
        <w:rPr>
          <w:rFonts w:hint="eastAsia"/>
          <w:sz w:val="24"/>
          <w:szCs w:val="24"/>
          <w:lang w:val="en-US" w:eastAsia="zh-CN"/>
        </w:rPr>
      </w:pPr>
      <w:r>
        <w:rPr>
          <w:rFonts w:hint="eastAsia" w:ascii="宋体" w:hAnsi="宋体" w:cs="宋体"/>
          <w:b/>
          <w:bCs/>
          <w:color w:val="000000" w:themeColor="text1"/>
          <w:sz w:val="24"/>
          <w:szCs w:val="24"/>
          <w:highlight w:val="none"/>
          <w:lang w:val="en-US" w:eastAsia="zh-CN"/>
          <w14:textFill>
            <w14:solidFill>
              <w14:schemeClr w14:val="tx1"/>
            </w14:solidFill>
          </w14:textFill>
        </w:rPr>
        <w:t>9</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7A775B99">
      <w:pPr>
        <w:keepNext w:val="0"/>
        <w:keepLines w:val="0"/>
        <w:pageBreakBefore w:val="0"/>
        <w:kinsoku/>
        <w:wordWrap/>
        <w:overflowPunct/>
        <w:topLinePunct w:val="0"/>
        <w:bidi w:val="0"/>
        <w:snapToGrid/>
        <w:spacing w:line="480" w:lineRule="exact"/>
        <w:ind w:left="0" w:leftChars="0" w:firstLine="482" w:firstLineChars="200"/>
        <w:textAlignment w:val="auto"/>
        <w:rPr>
          <w:b/>
          <w:bCs/>
          <w:sz w:val="24"/>
          <w:szCs w:val="24"/>
        </w:rPr>
      </w:pPr>
      <w:r>
        <w:rPr>
          <w:rFonts w:hint="eastAsia" w:ascii="宋体" w:hAnsi="宋体" w:cs="宋体"/>
          <w:b/>
          <w:bCs/>
          <w:color w:val="auto"/>
          <w:sz w:val="24"/>
          <w:szCs w:val="24"/>
          <w:lang w:val="en-US" w:eastAsia="zh-CN"/>
        </w:rPr>
        <w:t>十、</w:t>
      </w:r>
      <w:r>
        <w:rPr>
          <w:rFonts w:hint="eastAsia"/>
          <w:b/>
          <w:bCs/>
          <w:sz w:val="24"/>
          <w:szCs w:val="24"/>
        </w:rPr>
        <w:t>保密义务</w:t>
      </w:r>
    </w:p>
    <w:p w14:paraId="47F928E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 本合同订立、履行、变更等产生的研究、商讨、交流等信息，履行本合同获悉的甲方商业秘密、运营信息、工作人员信息、患陪个人信息等，均属保密信息。</w:t>
      </w:r>
    </w:p>
    <w:p w14:paraId="674F4AE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.2 乙方应对保密信息应当采取有效手段严格保密，不得用于非本合同之目的或向第三方泄露。如政府部门、法院或其他有权部门要求乙方提供保密信息，乙方应当立即向甲方通报。</w:t>
      </w:r>
    </w:p>
    <w:p w14:paraId="2F9110C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.3 因乙方未履行本合同保密义务造成甲方或第三方损失的，由乙方承担全部赔偿责任。</w:t>
      </w:r>
    </w:p>
    <w:p w14:paraId="2503A8C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.4 本合同保密条款在合同被认定无效、被撤销或终止、解除后仍然有效。</w:t>
      </w:r>
    </w:p>
    <w:p w14:paraId="059880AC">
      <w:pPr>
        <w:pStyle w:val="13"/>
        <w:keepNext w:val="0"/>
        <w:keepLines w:val="0"/>
        <w:pageBreakBefore w:val="0"/>
        <w:widowControl w:val="0"/>
        <w:kinsoku/>
        <w:wordWrap/>
        <w:overflowPunct/>
        <w:topLinePunct w:val="0"/>
        <w:bidi w:val="0"/>
        <w:snapToGrid/>
        <w:spacing w:after="0" w:line="480" w:lineRule="exact"/>
        <w:ind w:left="0" w:leftChars="0" w:firstLine="482" w:firstLineChars="200"/>
        <w:textAlignment w:val="auto"/>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十一、通知与送达</w:t>
      </w:r>
    </w:p>
    <w:p w14:paraId="6EAA7C45">
      <w:pPr>
        <w:pStyle w:val="13"/>
        <w:keepNext w:val="0"/>
        <w:keepLines w:val="0"/>
        <w:pageBreakBefore w:val="0"/>
        <w:widowControl w:val="0"/>
        <w:kinsoku/>
        <w:wordWrap/>
        <w:overflowPunct/>
        <w:topLinePunct w:val="0"/>
        <w:bidi w:val="0"/>
        <w:snapToGrid/>
        <w:spacing w:after="0" w:line="480" w:lineRule="exact"/>
        <w:ind w:left="0" w:leftChars="0" w:firstLine="480" w:firstLineChars="20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11.1 甲乙双方同意，与本合同有关的任何文书，应以书面方式送达本合同约定的联系方式。书面形式包括手机短信、微信、书面函件、电子邮件等形式。</w:t>
      </w:r>
    </w:p>
    <w:p w14:paraId="574DB127">
      <w:pPr>
        <w:pStyle w:val="13"/>
        <w:keepNext w:val="0"/>
        <w:keepLines w:val="0"/>
        <w:pageBreakBefore w:val="0"/>
        <w:widowControl w:val="0"/>
        <w:kinsoku/>
        <w:wordWrap/>
        <w:overflowPunct/>
        <w:topLinePunct w:val="0"/>
        <w:bidi w:val="0"/>
        <w:snapToGrid/>
        <w:spacing w:after="0" w:line="480" w:lineRule="exact"/>
        <w:ind w:left="0" w:leftChars="0" w:firstLine="480" w:firstLineChars="200"/>
        <w:jc w:val="both"/>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11.2 双方确认的文书（包括未来可能发生的诉讼或仲裁活动中法院或仲裁机构的送达法律文书）送达地址：</w:t>
      </w:r>
    </w:p>
    <w:p w14:paraId="6A229B72">
      <w:pPr>
        <w:pStyle w:val="13"/>
        <w:keepNext w:val="0"/>
        <w:keepLines w:val="0"/>
        <w:pageBreakBefore w:val="0"/>
        <w:widowControl w:val="0"/>
        <w:kinsoku/>
        <w:wordWrap/>
        <w:overflowPunct/>
        <w:topLinePunct w:val="0"/>
        <w:bidi w:val="0"/>
        <w:snapToGrid/>
        <w:spacing w:after="0" w:line="480" w:lineRule="exact"/>
        <w:ind w:left="0" w:leftChars="0" w:firstLine="480" w:firstLineChars="20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11.2.1 甲方的文书送达地址：湖南省娄底市娄星区长青街51号，收件人：彭罡 ，联系电话：13873869588。</w:t>
      </w:r>
      <w:bookmarkStart w:id="4" w:name="_GoBack"/>
      <w:bookmarkEnd w:id="4"/>
    </w:p>
    <w:p w14:paraId="17CADA9B">
      <w:pPr>
        <w:pStyle w:val="13"/>
        <w:keepNext w:val="0"/>
        <w:keepLines w:val="0"/>
        <w:pageBreakBefore w:val="0"/>
        <w:widowControl w:val="0"/>
        <w:kinsoku/>
        <w:wordWrap w:val="0"/>
        <w:overflowPunct/>
        <w:topLinePunct/>
        <w:autoSpaceDE/>
        <w:autoSpaceDN/>
        <w:bidi w:val="0"/>
        <w:adjustRightInd w:val="0"/>
        <w:snapToGrid/>
        <w:spacing w:after="0" w:line="480" w:lineRule="exact"/>
        <w:ind w:left="0" w:leftChars="0" w:firstLine="480" w:firstLineChars="200"/>
        <w:jc w:val="both"/>
        <w:textAlignment w:val="auto"/>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11.2.2 乙方的文书送达地址：                 ，收件人：       ，联系电话：        ，电子邮箱：            ，</w:t>
      </w:r>
      <w:r>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或</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微信号       。</w:t>
      </w:r>
    </w:p>
    <w:p w14:paraId="0DDA85E5">
      <w:pPr>
        <w:pStyle w:val="13"/>
        <w:keepNext w:val="0"/>
        <w:keepLines w:val="0"/>
        <w:pageBreakBefore w:val="0"/>
        <w:widowControl w:val="0"/>
        <w:kinsoku/>
        <w:wordWrap/>
        <w:overflowPunct/>
        <w:topLinePunct w:val="0"/>
        <w:bidi w:val="0"/>
        <w:snapToGrid/>
        <w:spacing w:after="0" w:line="480" w:lineRule="exact"/>
        <w:ind w:left="0" w:leftChars="0" w:firstLine="480" w:firstLineChars="20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11.3 上述通知应被视为在下列时间送达：以快递或专人发送的，在收件人签收之日或拒收之日；以挂号邮件发出的，在发出之日起7个工作日；以电子邮件发出的，在电子邮件进入收件方电子邮箱服务器之日。</w:t>
      </w:r>
    </w:p>
    <w:p w14:paraId="78EAA306">
      <w:pPr>
        <w:pStyle w:val="13"/>
        <w:keepNext w:val="0"/>
        <w:keepLines w:val="0"/>
        <w:pageBreakBefore w:val="0"/>
        <w:widowControl w:val="0"/>
        <w:kinsoku/>
        <w:wordWrap/>
        <w:overflowPunct/>
        <w:topLinePunct w:val="0"/>
        <w:bidi w:val="0"/>
        <w:snapToGrid/>
        <w:spacing w:after="0" w:line="480" w:lineRule="exact"/>
        <w:ind w:left="0" w:leftChars="0" w:firstLine="480" w:firstLineChars="20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11.4 以上地址和联系方式，任何一方发生变更应在变更之日起3个日历日内通知对方。如未通知，一方按原地址送达的书面资料被退回的，退回之日视为送达之日。任何一方按照确认地址送到另一方的书面资料被拒绝签收导致邮件被退回的，退回之日视为送达之日。</w:t>
      </w:r>
    </w:p>
    <w:p w14:paraId="02C9ADE0">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十二、</w:t>
      </w:r>
      <w:r>
        <w:rPr>
          <w:rFonts w:hint="eastAsia" w:ascii="宋体" w:hAnsi="宋体" w:eastAsia="宋体" w:cs="宋体"/>
          <w:b/>
          <w:bCs/>
          <w:color w:val="000000" w:themeColor="text1"/>
          <w:sz w:val="24"/>
          <w:highlight w:val="none"/>
          <w:lang w:val="en-US" w:eastAsia="zh-CN"/>
          <w14:textFill>
            <w14:solidFill>
              <w14:schemeClr w14:val="tx1"/>
            </w14:solidFill>
          </w14:textFill>
        </w:rPr>
        <w:t>合同的变更、解除</w:t>
      </w:r>
    </w:p>
    <w:p w14:paraId="38D9C7E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.1 本合同经双方协商一致后可以变更，双方应另行签订补充协议。</w:t>
      </w:r>
    </w:p>
    <w:p w14:paraId="0DD7C6C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2.2</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1F6B752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30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lang w:val="en-US" w:eastAsia="zh-CN"/>
          <w14:textFill>
            <w14:solidFill>
              <w14:schemeClr w14:val="tx1"/>
            </w14:solidFill>
          </w14:textFill>
        </w:rPr>
        <w:t>未通过总体验收的</w:t>
      </w:r>
      <w:r>
        <w:rPr>
          <w:rFonts w:hint="eastAsia" w:ascii="宋体" w:hAnsi="宋体" w:eastAsia="宋体" w:cs="宋体"/>
          <w:color w:val="000000" w:themeColor="text1"/>
          <w:sz w:val="24"/>
          <w:highlight w:val="none"/>
          <w14:textFill>
            <w14:solidFill>
              <w14:schemeClr w14:val="tx1"/>
            </w14:solidFill>
          </w14:textFill>
        </w:rPr>
        <w:t>；</w:t>
      </w:r>
    </w:p>
    <w:p w14:paraId="1E68A7A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.2 乙方提供的</w:t>
      </w:r>
      <w:r>
        <w:rPr>
          <w:rFonts w:hint="eastAsia" w:ascii="宋体" w:hAnsi="宋体" w:cs="宋体"/>
          <w:color w:val="000000" w:themeColor="text1"/>
          <w:sz w:val="24"/>
          <w:highlight w:val="none"/>
          <w:lang w:val="en-US" w:eastAsia="zh-CN"/>
          <w14:textFill>
            <w14:solidFill>
              <w14:schemeClr w14:val="tx1"/>
            </w14:solidFill>
          </w14:textFill>
        </w:rPr>
        <w:t>产品</w:t>
      </w:r>
      <w:r>
        <w:rPr>
          <w:rFonts w:hint="eastAsia" w:ascii="宋体" w:hAnsi="宋体" w:eastAsia="宋体" w:cs="宋体"/>
          <w:color w:val="000000" w:themeColor="text1"/>
          <w:sz w:val="24"/>
          <w:highlight w:val="none"/>
          <w14:textFill>
            <w14:solidFill>
              <w14:schemeClr w14:val="tx1"/>
            </w14:solidFill>
          </w14:textFill>
        </w:rPr>
        <w:t>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067D0F3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0754976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FAC02F8">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违约责任</w:t>
      </w:r>
    </w:p>
    <w:p w14:paraId="1A8F0DD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13.1</w:t>
      </w:r>
      <w:r>
        <w:rPr>
          <w:rFonts w:hint="eastAsia" w:ascii="宋体" w:hAnsi="宋体" w:eastAsia="宋体" w:cs="宋体"/>
          <w:color w:val="000000" w:themeColor="text1"/>
          <w:sz w:val="24"/>
          <w:highlight w:val="none"/>
          <w14:textFill>
            <w14:solidFill>
              <w14:schemeClr w14:val="tx1"/>
            </w14:solidFill>
          </w14:textFill>
        </w:rPr>
        <w:t xml:space="preserve"> 如乙方未在本合同约定时间内</w:t>
      </w:r>
      <w:r>
        <w:rPr>
          <w:rFonts w:hint="eastAsia" w:ascii="宋体" w:hAnsi="宋体" w:cs="宋体"/>
          <w:color w:val="000000" w:themeColor="text1"/>
          <w:sz w:val="24"/>
          <w:highlight w:val="none"/>
          <w:lang w:val="en-US" w:eastAsia="zh-CN"/>
          <w14:textFill>
            <w14:solidFill>
              <w14:schemeClr w14:val="tx1"/>
            </w14:solidFill>
          </w14:textFill>
        </w:rPr>
        <w:t>通过甲方总体验收</w:t>
      </w:r>
      <w:r>
        <w:rPr>
          <w:rFonts w:hint="eastAsia" w:ascii="宋体" w:hAnsi="宋体" w:eastAsia="宋体" w:cs="宋体"/>
          <w:color w:val="000000" w:themeColor="text1"/>
          <w:sz w:val="24"/>
          <w:highlight w:val="none"/>
          <w14:textFill>
            <w14:solidFill>
              <w14:schemeClr w14:val="tx1"/>
            </w14:solidFill>
          </w14:textFill>
        </w:rPr>
        <w:t>，除应赔偿甲方因此造成的损失外，每逾期一日，按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0FE3E4C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13.2</w:t>
      </w:r>
      <w:r>
        <w:rPr>
          <w:rFonts w:hint="eastAsia" w:ascii="宋体" w:hAnsi="宋体" w:eastAsia="宋体" w:cs="宋体"/>
          <w:color w:val="000000" w:themeColor="text1"/>
          <w:sz w:val="24"/>
          <w:highlight w:val="none"/>
          <w14:textFill>
            <w14:solidFill>
              <w14:schemeClr w14:val="tx1"/>
            </w14:solidFill>
          </w14:textFill>
        </w:rPr>
        <w:t xml:space="preserve"> 如乙方单方解除合同或甲方因</w:t>
      </w:r>
      <w:r>
        <w:rPr>
          <w:rFonts w:hint="eastAsia" w:ascii="宋体" w:hAnsi="宋体" w:cs="宋体"/>
          <w:color w:val="000000" w:themeColor="text1"/>
          <w:sz w:val="24"/>
          <w:highlight w:val="none"/>
          <w:lang w:val="en-US" w:eastAsia="zh-CN"/>
          <w14:textFill>
            <w14:solidFill>
              <w14:schemeClr w14:val="tx1"/>
            </w14:solidFill>
          </w14:textFill>
        </w:rPr>
        <w:t>12.2</w:t>
      </w:r>
      <w:r>
        <w:rPr>
          <w:rFonts w:hint="eastAsia" w:ascii="宋体" w:hAnsi="宋体" w:eastAsia="宋体" w:cs="宋体"/>
          <w:color w:val="000000" w:themeColor="text1"/>
          <w:sz w:val="24"/>
          <w:highlight w:val="none"/>
          <w:lang w:val="en-US" w:eastAsia="zh-CN"/>
          <w14:textFill>
            <w14:solidFill>
              <w14:schemeClr w14:val="tx1"/>
            </w14:solidFill>
          </w14:textFill>
        </w:rPr>
        <w:t>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321EB2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cs="宋体"/>
          <w:b/>
          <w:bCs/>
          <w:color w:val="000000" w:themeColor="text1"/>
          <w:sz w:val="24"/>
          <w:szCs w:val="24"/>
          <w:highlight w:val="none"/>
          <w:u w:val="single"/>
          <w:lang w:val="en-US" w:eastAsia="zh-CN"/>
          <w14:textFill>
            <w14:solidFill>
              <w14:schemeClr w14:val="tx1"/>
            </w14:solidFill>
          </w14:textFill>
        </w:rPr>
        <w:t>13.3</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 xml:space="preserve"> 无论甲方在任意时候（不限于本合同履行期间）发现存在违反本合同廉洁条款的行为，乙方均须向甲方一次性支付惩罚性违约金</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16000</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.00元。如乙方除需承担违反廉洁条款的违约责任外，同时存在其他违约行为，乙方仍须就其他违约行为承担相应违约责任。</w:t>
      </w:r>
    </w:p>
    <w:p w14:paraId="6896511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cs="宋体"/>
          <w:b/>
          <w:bCs/>
          <w:color w:val="000000" w:themeColor="text1"/>
          <w:sz w:val="24"/>
          <w:highlight w:val="none"/>
          <w:u w:val="single"/>
          <w:lang w:val="en-US" w:eastAsia="zh-CN"/>
          <w14:textFill>
            <w14:solidFill>
              <w14:schemeClr w14:val="tx1"/>
            </w14:solidFill>
          </w14:textFill>
        </w:rPr>
        <w:t>13.4</w:t>
      </w: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 xml:space="preserve"> 依据本合同约定乙方应支付给甲方的违约金，甲方有权在应支付给乙方的任意价款中直接予以扣除，如扣除部分不足，乙方应在接到甲方通知后3日内补足。</w:t>
      </w:r>
    </w:p>
    <w:p w14:paraId="392BB9E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eastAsia" w:eastAsia="宋体" w:cs="宋体"/>
          <w:b/>
          <w:bCs/>
          <w:sz w:val="24"/>
          <w:szCs w:val="24"/>
          <w:lang w:val="en-US" w:eastAsia="zh-CN"/>
        </w:rPr>
      </w:pPr>
      <w:r>
        <w:rPr>
          <w:rFonts w:hint="eastAsia" w:ascii="宋体" w:hAnsi="宋体" w:cs="宋体"/>
          <w:b/>
          <w:bCs/>
          <w:color w:val="auto"/>
          <w:kern w:val="2"/>
          <w:sz w:val="24"/>
          <w:szCs w:val="24"/>
          <w:lang w:val="en-US" w:eastAsia="zh-CN" w:bidi="ar-SA"/>
        </w:rPr>
        <w:t>十四</w:t>
      </w:r>
      <w:r>
        <w:rPr>
          <w:rFonts w:hint="eastAsia" w:ascii="宋体" w:hAnsi="宋体" w:eastAsia="宋体" w:cs="宋体"/>
          <w:b/>
          <w:bCs/>
          <w:color w:val="auto"/>
          <w:kern w:val="2"/>
          <w:sz w:val="24"/>
          <w:szCs w:val="24"/>
          <w:lang w:val="en-US" w:eastAsia="zh-CN" w:bidi="ar-SA"/>
        </w:rPr>
        <w:t>、</w:t>
      </w:r>
      <w:r>
        <w:rPr>
          <w:rFonts w:hint="eastAsia" w:eastAsia="宋体" w:cs="宋体"/>
          <w:b/>
          <w:bCs/>
          <w:sz w:val="24"/>
          <w:szCs w:val="24"/>
          <w:lang w:val="en-US" w:eastAsia="zh-CN"/>
        </w:rPr>
        <w:t>争议解决</w:t>
      </w:r>
    </w:p>
    <w:p w14:paraId="218DC5DB">
      <w:pPr>
        <w:pStyle w:val="20"/>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left="0" w:leftChars="0" w:firstLine="480" w:firstLineChars="200"/>
        <w:textAlignment w:val="auto"/>
        <w:rPr>
          <w:sz w:val="24"/>
          <w:szCs w:val="24"/>
        </w:rPr>
      </w:pPr>
      <w:r>
        <w:rPr>
          <w:rFonts w:hint="eastAsia" w:ascii="Calibri" w:hAnsi="Calibri" w:eastAsia="宋体" w:cs="宋体"/>
          <w:kern w:val="2"/>
          <w:sz w:val="24"/>
          <w:szCs w:val="24"/>
          <w:lang w:val="en-US" w:eastAsia="zh-CN" w:bidi="ar-SA"/>
        </w:rPr>
        <w:t>如双方在履行本合同过程中发生争议且经协商无法解决，任何一方可向</w:t>
      </w:r>
      <w:r>
        <w:rPr>
          <w:rFonts w:hint="eastAsia" w:cs="宋体"/>
          <w:kern w:val="2"/>
          <w:sz w:val="24"/>
          <w:szCs w:val="24"/>
          <w:lang w:val="en-US" w:eastAsia="zh-CN" w:bidi="ar-SA"/>
        </w:rPr>
        <w:t>甲</w:t>
      </w:r>
      <w:r>
        <w:rPr>
          <w:rFonts w:hint="eastAsia" w:ascii="Calibri" w:hAnsi="Calibri" w:eastAsia="宋体" w:cs="宋体"/>
          <w:kern w:val="2"/>
          <w:sz w:val="24"/>
          <w:szCs w:val="24"/>
          <w:lang w:val="en-US" w:eastAsia="zh-CN" w:bidi="ar-SA"/>
        </w:rPr>
        <w:t>方住所地有管辖权的人民法院提起诉讼。</w:t>
      </w:r>
    </w:p>
    <w:p w14:paraId="B76843D0">
      <w:pPr>
        <w:keepNext w:val="0"/>
        <w:keepLines w:val="0"/>
        <w:pageBreakBefore w:val="0"/>
        <w:widowControl/>
        <w:kinsoku/>
        <w:wordWrap/>
        <w:overflowPunct/>
        <w:topLinePunct w:val="0"/>
        <w:bidi w:val="0"/>
        <w:snapToGrid/>
        <w:spacing w:line="480" w:lineRule="exact"/>
        <w:ind w:left="0" w:leftChars="0" w:firstLine="482" w:firstLineChars="200"/>
        <w:jc w:val="left"/>
        <w:textAlignment w:val="auto"/>
        <w:rPr>
          <w:rFonts w:hint="default" w:eastAsia="宋体"/>
          <w:sz w:val="24"/>
          <w:szCs w:val="24"/>
          <w:lang w:val="en-US" w:eastAsia="zh-CN"/>
        </w:rPr>
      </w:pPr>
      <w:r>
        <w:rPr>
          <w:rFonts w:hint="eastAsia"/>
          <w:b/>
          <w:bCs/>
          <w:sz w:val="24"/>
          <w:szCs w:val="24"/>
        </w:rPr>
        <w:t>十</w:t>
      </w:r>
      <w:r>
        <w:rPr>
          <w:rFonts w:hint="eastAsia"/>
          <w:b/>
          <w:bCs/>
          <w:sz w:val="24"/>
          <w:szCs w:val="24"/>
          <w:lang w:val="en-US" w:eastAsia="zh-CN"/>
        </w:rPr>
        <w:t>五</w:t>
      </w:r>
      <w:r>
        <w:rPr>
          <w:rFonts w:hint="eastAsia"/>
          <w:b/>
          <w:bCs/>
          <w:sz w:val="24"/>
          <w:szCs w:val="24"/>
        </w:rPr>
        <w:t>、</w:t>
      </w:r>
      <w:r>
        <w:rPr>
          <w:rFonts w:hint="eastAsia"/>
          <w:b/>
          <w:bCs/>
          <w:sz w:val="24"/>
          <w:szCs w:val="24"/>
          <w:lang w:val="en-US" w:eastAsia="zh-CN"/>
        </w:rPr>
        <w:t>附则</w:t>
      </w:r>
    </w:p>
    <w:p w14:paraId="158D4A72">
      <w:pPr>
        <w:keepNext w:val="0"/>
        <w:keepLines w:val="0"/>
        <w:pageBreakBefore w:val="0"/>
        <w:widowControl/>
        <w:kinsoku/>
        <w:wordWrap/>
        <w:overflowPunct/>
        <w:topLinePunct w:val="0"/>
        <w:bidi w:val="0"/>
        <w:snapToGrid/>
        <w:spacing w:line="480" w:lineRule="exact"/>
        <w:ind w:left="0" w:leftChars="0" w:firstLine="480" w:firstLineChars="200"/>
        <w:jc w:val="left"/>
        <w:textAlignment w:val="auto"/>
        <w:rPr>
          <w:rFonts w:hint="default"/>
          <w:sz w:val="24"/>
          <w:szCs w:val="24"/>
          <w:lang w:val="en-US" w:eastAsia="zh-CN"/>
        </w:rPr>
      </w:pPr>
      <w:r>
        <w:rPr>
          <w:rFonts w:hint="eastAsia" w:ascii="宋体" w:hAnsi="宋体" w:cs="宋体"/>
          <w:b w:val="0"/>
          <w:bCs w:val="0"/>
          <w:color w:val="000000" w:themeColor="text1"/>
          <w:sz w:val="24"/>
          <w:highlight w:val="none"/>
          <w:u w:val="none"/>
          <w:lang w:val="en-US" w:eastAsia="zh-CN"/>
          <w14:textFill>
            <w14:solidFill>
              <w14:schemeClr w14:val="tx1"/>
            </w14:solidFill>
          </w14:textFill>
        </w:rPr>
        <w:t xml:space="preserve">15.1 </w:t>
      </w:r>
      <w:r>
        <w:rPr>
          <w:rFonts w:hint="eastAsia"/>
          <w:sz w:val="24"/>
          <w:szCs w:val="24"/>
          <w:lang w:val="en-US" w:eastAsia="zh-CN"/>
        </w:rPr>
        <w:t>本合同组成文件和优先解释顺序：乙方在履行本合同中作出的书面承诺；本合同补充协议；本合同及附件；中标通知书/成交通知书/议价结果公示/成交公告；投标文件/响应文件；招标文件/采购文件/采购需求；其他与本合同有关的资料。</w:t>
      </w:r>
    </w:p>
    <w:p w14:paraId="45EA6900">
      <w:pPr>
        <w:keepNext w:val="0"/>
        <w:keepLines w:val="0"/>
        <w:pageBreakBefore w:val="0"/>
        <w:widowControl/>
        <w:kinsoku/>
        <w:wordWrap/>
        <w:overflowPunct/>
        <w:topLinePunct w:val="0"/>
        <w:bidi w:val="0"/>
        <w:snapToGrid/>
        <w:spacing w:line="480" w:lineRule="exact"/>
        <w:ind w:left="0" w:leftChars="0" w:firstLine="480" w:firstLineChars="200"/>
        <w:jc w:val="left"/>
        <w:textAlignment w:val="auto"/>
        <w:rPr>
          <w:rFonts w:ascii="宋体" w:hAnsi="宋体"/>
          <w:sz w:val="24"/>
          <w:szCs w:val="24"/>
        </w:rPr>
      </w:pPr>
      <w:r>
        <w:rPr>
          <w:rFonts w:hint="eastAsia" w:ascii="宋体" w:hAnsi="宋体" w:cs="宋体"/>
          <w:b w:val="0"/>
          <w:bCs w:val="0"/>
          <w:color w:val="000000" w:themeColor="text1"/>
          <w:sz w:val="24"/>
          <w:highlight w:val="none"/>
          <w:u w:val="none"/>
          <w:lang w:val="en-US" w:eastAsia="zh-CN"/>
          <w14:textFill>
            <w14:solidFill>
              <w14:schemeClr w14:val="tx1"/>
            </w14:solidFill>
          </w14:textFill>
        </w:rPr>
        <w:t xml:space="preserve">15.2 </w:t>
      </w:r>
      <w:r>
        <w:rPr>
          <w:rFonts w:hint="eastAsia"/>
          <w:sz w:val="24"/>
          <w:szCs w:val="24"/>
        </w:rPr>
        <w:t>本合同一式</w:t>
      </w:r>
      <w:r>
        <w:rPr>
          <w:rFonts w:hint="eastAsia"/>
          <w:sz w:val="24"/>
          <w:szCs w:val="24"/>
          <w:lang w:val="en-US" w:eastAsia="zh-CN"/>
        </w:rPr>
        <w:t>伍</w:t>
      </w:r>
      <w:r>
        <w:rPr>
          <w:rFonts w:hint="eastAsia"/>
          <w:sz w:val="24"/>
          <w:szCs w:val="24"/>
        </w:rPr>
        <w:t>份，甲</w:t>
      </w:r>
      <w:r>
        <w:rPr>
          <w:rFonts w:hint="eastAsia"/>
          <w:sz w:val="24"/>
          <w:szCs w:val="24"/>
          <w:lang w:eastAsia="zh-CN"/>
        </w:rPr>
        <w:t>方</w:t>
      </w:r>
      <w:r>
        <w:rPr>
          <w:rFonts w:hint="eastAsia"/>
          <w:sz w:val="24"/>
          <w:szCs w:val="24"/>
        </w:rPr>
        <w:t>执</w:t>
      </w:r>
      <w:r>
        <w:rPr>
          <w:rFonts w:hint="eastAsia"/>
          <w:sz w:val="24"/>
          <w:szCs w:val="24"/>
          <w:lang w:val="en-US" w:eastAsia="zh-CN"/>
        </w:rPr>
        <w:t>肆</w:t>
      </w:r>
      <w:r>
        <w:rPr>
          <w:rFonts w:hint="eastAsia"/>
          <w:sz w:val="24"/>
          <w:szCs w:val="24"/>
        </w:rPr>
        <w:t>份</w:t>
      </w:r>
      <w:r>
        <w:rPr>
          <w:rFonts w:hint="eastAsia"/>
          <w:sz w:val="24"/>
          <w:szCs w:val="24"/>
          <w:lang w:eastAsia="zh-CN"/>
        </w:rPr>
        <w:t>、乙方执壹份，</w:t>
      </w:r>
      <w:r>
        <w:rPr>
          <w:rFonts w:hint="eastAsia"/>
          <w:sz w:val="24"/>
          <w:szCs w:val="24"/>
        </w:rPr>
        <w:t>具有同等法律效力，自甲、乙双方签字</w:t>
      </w:r>
      <w:r>
        <w:rPr>
          <w:rFonts w:hint="eastAsia"/>
          <w:sz w:val="24"/>
          <w:szCs w:val="24"/>
          <w:lang w:val="en-US" w:eastAsia="zh-CN"/>
        </w:rPr>
        <w:t>并</w:t>
      </w:r>
      <w:r>
        <w:rPr>
          <w:rFonts w:hint="eastAsia"/>
          <w:sz w:val="24"/>
          <w:szCs w:val="24"/>
        </w:rPr>
        <w:t>盖章之日起生效。</w:t>
      </w:r>
    </w:p>
    <w:p w14:paraId="42102FAB">
      <w:pPr>
        <w:keepNext w:val="0"/>
        <w:keepLines w:val="0"/>
        <w:pageBreakBefore w:val="0"/>
        <w:widowControl/>
        <w:kinsoku/>
        <w:wordWrap/>
        <w:overflowPunct/>
        <w:topLinePunct w:val="0"/>
        <w:bidi w:val="0"/>
        <w:snapToGrid/>
        <w:spacing w:line="480" w:lineRule="exact"/>
        <w:ind w:left="0" w:leftChars="0" w:firstLine="480" w:firstLineChars="200"/>
        <w:jc w:val="left"/>
        <w:textAlignment w:val="auto"/>
        <w:rPr>
          <w:rFonts w:hint="eastAsia"/>
          <w:sz w:val="24"/>
          <w:szCs w:val="24"/>
        </w:rPr>
      </w:pPr>
    </w:p>
    <w:p w14:paraId="3B28E203">
      <w:pPr>
        <w:keepNext w:val="0"/>
        <w:keepLines w:val="0"/>
        <w:pageBreakBefore w:val="0"/>
        <w:widowControl/>
        <w:kinsoku/>
        <w:wordWrap/>
        <w:overflowPunct/>
        <w:topLinePunct w:val="0"/>
        <w:autoSpaceDE/>
        <w:autoSpaceDN/>
        <w:bidi w:val="0"/>
        <w:adjustRightInd/>
        <w:snapToGrid/>
        <w:spacing w:line="480" w:lineRule="exact"/>
        <w:ind w:left="0" w:leftChars="0" w:firstLine="0" w:firstLineChars="0"/>
        <w:jc w:val="both"/>
        <w:textAlignment w:val="auto"/>
        <w:rPr>
          <w:rFonts w:hint="eastAsia"/>
          <w:sz w:val="24"/>
          <w:szCs w:val="24"/>
        </w:rPr>
      </w:pPr>
      <w:r>
        <w:rPr>
          <w:rFonts w:hint="eastAsia"/>
          <w:sz w:val="24"/>
          <w:szCs w:val="24"/>
        </w:rPr>
        <w:t>甲方：</w:t>
      </w:r>
      <w:r>
        <w:rPr>
          <w:rFonts w:hint="eastAsia"/>
          <w:sz w:val="24"/>
          <w:szCs w:val="24"/>
          <w:lang w:val="en-US" w:eastAsia="zh-Hans"/>
        </w:rPr>
        <w:t>娄底市中心医院</w:t>
      </w:r>
      <w:r>
        <w:rPr>
          <w:rFonts w:hint="eastAsia"/>
          <w:sz w:val="24"/>
          <w:szCs w:val="24"/>
          <w:lang w:val="en-US" w:eastAsia="zh-CN"/>
        </w:rPr>
        <w:t xml:space="preserve">              </w:t>
      </w:r>
      <w:r>
        <w:rPr>
          <w:rFonts w:hint="eastAsia"/>
          <w:sz w:val="24"/>
          <w:szCs w:val="24"/>
        </w:rPr>
        <w:t>乙方：</w:t>
      </w:r>
    </w:p>
    <w:p w14:paraId="2B785626">
      <w:pPr>
        <w:keepNext w:val="0"/>
        <w:keepLines w:val="0"/>
        <w:pageBreakBefore w:val="0"/>
        <w:widowControl/>
        <w:kinsoku/>
        <w:wordWrap/>
        <w:overflowPunct/>
        <w:topLinePunct w:val="0"/>
        <w:autoSpaceDE/>
        <w:autoSpaceDN/>
        <w:bidi w:val="0"/>
        <w:adjustRightInd/>
        <w:snapToGrid/>
        <w:spacing w:line="480" w:lineRule="exact"/>
        <w:ind w:left="0" w:leftChars="0" w:firstLine="0" w:firstLineChars="0"/>
        <w:jc w:val="both"/>
        <w:textAlignment w:val="auto"/>
        <w:rPr>
          <w:rFonts w:hint="eastAsia"/>
          <w:sz w:val="24"/>
          <w:szCs w:val="24"/>
        </w:rPr>
      </w:pPr>
    </w:p>
    <w:p w14:paraId="672F5BB0">
      <w:pPr>
        <w:keepNext w:val="0"/>
        <w:keepLines w:val="0"/>
        <w:pageBreakBefore w:val="0"/>
        <w:widowControl/>
        <w:kinsoku/>
        <w:wordWrap/>
        <w:overflowPunct/>
        <w:topLinePunct w:val="0"/>
        <w:autoSpaceDE/>
        <w:autoSpaceDN/>
        <w:bidi w:val="0"/>
        <w:adjustRightInd/>
        <w:snapToGrid/>
        <w:spacing w:line="480" w:lineRule="exact"/>
        <w:ind w:left="0" w:leftChars="0" w:firstLine="0" w:firstLineChars="0"/>
        <w:jc w:val="both"/>
        <w:textAlignment w:val="auto"/>
        <w:rPr>
          <w:rFonts w:hint="default"/>
          <w:sz w:val="24"/>
          <w:szCs w:val="24"/>
          <w:lang w:val="en-US" w:eastAsia="zh-CN"/>
        </w:rPr>
      </w:pPr>
      <w:r>
        <w:rPr>
          <w:rFonts w:hint="eastAsia"/>
          <w:sz w:val="24"/>
          <w:szCs w:val="24"/>
          <w:lang w:eastAsia="zh-CN"/>
        </w:rPr>
        <w:t>法定代表人（签字）：</w:t>
      </w:r>
      <w:r>
        <w:rPr>
          <w:rFonts w:hint="eastAsia"/>
          <w:sz w:val="24"/>
          <w:szCs w:val="24"/>
          <w:lang w:val="en-US" w:eastAsia="zh-CN"/>
        </w:rPr>
        <w:t xml:space="preserve">               </w:t>
      </w:r>
      <w:r>
        <w:rPr>
          <w:rFonts w:hint="eastAsia"/>
          <w:sz w:val="24"/>
          <w:szCs w:val="24"/>
          <w:lang w:eastAsia="zh-CN"/>
        </w:rPr>
        <w:t>法定代表人（签字）：</w:t>
      </w:r>
    </w:p>
    <w:p w14:paraId="31EBE4B5">
      <w:pPr>
        <w:keepNext w:val="0"/>
        <w:keepLines w:val="0"/>
        <w:pageBreakBefore w:val="0"/>
        <w:widowControl/>
        <w:kinsoku/>
        <w:wordWrap/>
        <w:overflowPunct/>
        <w:topLinePunct w:val="0"/>
        <w:autoSpaceDE/>
        <w:autoSpaceDN/>
        <w:bidi w:val="0"/>
        <w:adjustRightInd/>
        <w:snapToGrid/>
        <w:spacing w:line="480" w:lineRule="exact"/>
        <w:ind w:left="0" w:leftChars="0" w:firstLine="0" w:firstLineChars="0"/>
        <w:jc w:val="both"/>
        <w:textAlignment w:val="auto"/>
        <w:rPr>
          <w:rFonts w:hint="eastAsia"/>
          <w:sz w:val="24"/>
          <w:szCs w:val="24"/>
          <w:lang w:eastAsia="zh-CN"/>
        </w:rPr>
      </w:pPr>
    </w:p>
    <w:p w14:paraId="6A765FBB">
      <w:pPr>
        <w:keepNext w:val="0"/>
        <w:keepLines w:val="0"/>
        <w:pageBreakBefore w:val="0"/>
        <w:widowControl/>
        <w:kinsoku/>
        <w:wordWrap/>
        <w:overflowPunct/>
        <w:topLinePunct w:val="0"/>
        <w:autoSpaceDE/>
        <w:autoSpaceDN/>
        <w:bidi w:val="0"/>
        <w:adjustRightInd/>
        <w:snapToGrid/>
        <w:spacing w:line="480" w:lineRule="exact"/>
        <w:ind w:left="0" w:leftChars="0" w:firstLine="0" w:firstLineChars="0"/>
        <w:jc w:val="both"/>
        <w:textAlignment w:val="auto"/>
        <w:rPr>
          <w:rFonts w:hint="default"/>
          <w:sz w:val="24"/>
          <w:szCs w:val="24"/>
          <w:lang w:val="en-US" w:eastAsia="zh-CN"/>
        </w:rPr>
      </w:pPr>
      <w:r>
        <w:rPr>
          <w:rFonts w:hint="eastAsia"/>
          <w:sz w:val="24"/>
          <w:szCs w:val="24"/>
          <w:lang w:eastAsia="zh-CN"/>
        </w:rPr>
        <w:t>或委托代理人</w:t>
      </w:r>
      <w:r>
        <w:rPr>
          <w:rFonts w:hint="eastAsia"/>
          <w:sz w:val="24"/>
          <w:szCs w:val="24"/>
        </w:rPr>
        <w:t>（</w:t>
      </w:r>
      <w:r>
        <w:rPr>
          <w:rFonts w:hint="eastAsia"/>
          <w:sz w:val="24"/>
          <w:szCs w:val="24"/>
          <w:lang w:eastAsia="zh-CN"/>
        </w:rPr>
        <w:t>签字</w:t>
      </w:r>
      <w:r>
        <w:rPr>
          <w:rFonts w:hint="eastAsia"/>
          <w:sz w:val="24"/>
          <w:szCs w:val="24"/>
        </w:rPr>
        <w:t>）：</w:t>
      </w:r>
      <w:r>
        <w:rPr>
          <w:rFonts w:hint="eastAsia"/>
          <w:sz w:val="24"/>
          <w:szCs w:val="24"/>
          <w:lang w:val="en-US" w:eastAsia="zh-CN"/>
        </w:rPr>
        <w:t xml:space="preserve">             </w:t>
      </w:r>
      <w:r>
        <w:rPr>
          <w:rFonts w:hint="eastAsia"/>
          <w:sz w:val="24"/>
          <w:szCs w:val="24"/>
          <w:lang w:eastAsia="zh-CN"/>
        </w:rPr>
        <w:t>或委托代理人</w:t>
      </w:r>
      <w:r>
        <w:rPr>
          <w:rFonts w:hint="eastAsia"/>
          <w:sz w:val="24"/>
          <w:szCs w:val="24"/>
        </w:rPr>
        <w:t>（签字）：</w:t>
      </w:r>
    </w:p>
    <w:p w14:paraId="701FC78C">
      <w:pPr>
        <w:keepNext w:val="0"/>
        <w:keepLines w:val="0"/>
        <w:pageBreakBefore w:val="0"/>
        <w:widowControl/>
        <w:kinsoku/>
        <w:wordWrap/>
        <w:overflowPunct/>
        <w:topLinePunct w:val="0"/>
        <w:autoSpaceDE/>
        <w:autoSpaceDN/>
        <w:bidi w:val="0"/>
        <w:adjustRightInd/>
        <w:snapToGrid/>
        <w:spacing w:line="480" w:lineRule="exact"/>
        <w:ind w:left="0" w:leftChars="0" w:firstLine="0" w:firstLineChars="0"/>
        <w:jc w:val="both"/>
        <w:textAlignment w:val="auto"/>
        <w:rPr>
          <w:rFonts w:hint="eastAsia"/>
          <w:sz w:val="24"/>
          <w:szCs w:val="24"/>
          <w:lang w:eastAsia="zh-CN"/>
        </w:rPr>
      </w:pPr>
    </w:p>
    <w:p w14:paraId="9EF83B98">
      <w:pPr>
        <w:keepNext w:val="0"/>
        <w:keepLines w:val="0"/>
        <w:pageBreakBefore w:val="0"/>
        <w:widowControl/>
        <w:kinsoku/>
        <w:wordWrap/>
        <w:overflowPunct/>
        <w:topLinePunct w:val="0"/>
        <w:autoSpaceDE/>
        <w:autoSpaceDN/>
        <w:bidi w:val="0"/>
        <w:adjustRightInd/>
        <w:snapToGrid/>
        <w:spacing w:line="480" w:lineRule="exact"/>
        <w:ind w:left="0" w:leftChars="0" w:firstLine="0" w:firstLineChars="0"/>
        <w:jc w:val="both"/>
        <w:textAlignment w:val="auto"/>
        <w:rPr>
          <w:rFonts w:hint="eastAsia"/>
          <w:color w:val="FF0000"/>
          <w:sz w:val="24"/>
          <w:szCs w:val="24"/>
          <w:lang w:val="en-US" w:eastAsia="zh-CN"/>
        </w:rPr>
      </w:pPr>
      <w:r>
        <w:rPr>
          <w:rFonts w:hint="eastAsia"/>
          <w:sz w:val="24"/>
          <w:szCs w:val="24"/>
          <w:lang w:eastAsia="zh-CN"/>
        </w:rPr>
        <w:t>合同签订地、履行地：娄底市娄星区</w:t>
      </w:r>
      <w:r>
        <w:rPr>
          <w:rFonts w:hint="eastAsia"/>
          <w:sz w:val="24"/>
          <w:szCs w:val="24"/>
          <w:lang w:val="en-US" w:eastAsia="zh-CN"/>
        </w:rPr>
        <w:t xml:space="preserve">    签订</w:t>
      </w:r>
      <w:r>
        <w:rPr>
          <w:rFonts w:hint="eastAsia"/>
          <w:sz w:val="24"/>
          <w:szCs w:val="24"/>
        </w:rPr>
        <w:t>日期：</w:t>
      </w:r>
      <w:r>
        <w:rPr>
          <w:rFonts w:hint="eastAsia"/>
          <w:sz w:val="24"/>
          <w:szCs w:val="24"/>
          <w:lang w:val="en-US" w:eastAsia="zh-CN"/>
        </w:rPr>
        <w:t xml:space="preserve">    年  月  日</w:t>
      </w:r>
    </w:p>
    <w:p w14:paraId="7B0273D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lang w:val="en-US" w:eastAsia="zh-CN"/>
        </w:rPr>
      </w:pPr>
    </w:p>
    <w:p w14:paraId="040B4A6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color w:val="000000" w:themeColor="text1"/>
          <w:sz w:val="24"/>
          <w:szCs w:val="24"/>
          <w14:textFill>
            <w14:solidFill>
              <w14:schemeClr w14:val="tx1"/>
            </w14:solidFill>
          </w14:textFill>
        </w:rPr>
      </w:pPr>
    </w:p>
    <w:p w14:paraId="1FC661A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color w:val="auto"/>
          <w:sz w:val="24"/>
          <w:szCs w:val="24"/>
          <w:lang w:val="en-US" w:eastAsia="zh-CN"/>
        </w:rPr>
      </w:pPr>
    </w:p>
    <w:p w14:paraId="2B650945">
      <w:pPr>
        <w:rPr>
          <w:rFonts w:hint="default" w:ascii="宋体" w:hAnsi="宋体" w:eastAsia="宋体" w:cs="宋体"/>
          <w:color w:val="auto"/>
          <w:sz w:val="24"/>
          <w:szCs w:val="24"/>
          <w:lang w:val="en-US" w:eastAsia="zh-CN"/>
        </w:rPr>
      </w:pPr>
      <w:r>
        <w:rPr>
          <w:rFonts w:hint="eastAsia" w:ascii="黑体" w:hAnsi="黑体" w:eastAsia="黑体" w:cs="黑体"/>
          <w:sz w:val="32"/>
          <w:szCs w:val="32"/>
          <w:lang w:val="en-US" w:eastAsia="zh-CN"/>
        </w:rPr>
        <w:br w:type="page"/>
      </w:r>
    </w:p>
    <w:p w14:paraId="5884363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2E838F41">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42075ED1">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011AD09">
      <w:pPr>
        <w:rPr>
          <w:rFonts w:hint="eastAsia" w:ascii="宋体" w:hAnsi="宋体" w:cs="宋体"/>
          <w:color w:val="auto"/>
        </w:rPr>
      </w:pPr>
    </w:p>
    <w:bookmarkEnd w:id="1"/>
    <w:p w14:paraId="6B60CB95">
      <w:pPr>
        <w:rPr>
          <w:rFonts w:hint="eastAsia"/>
          <w:color w:val="auto"/>
        </w:rPr>
      </w:pPr>
    </w:p>
    <w:p w14:paraId="463F9F65">
      <w:pPr>
        <w:jc w:val="center"/>
        <w:rPr>
          <w:b/>
          <w:color w:val="auto"/>
          <w:sz w:val="24"/>
        </w:rPr>
      </w:pPr>
      <w:r>
        <w:rPr>
          <w:b/>
          <w:color w:val="auto"/>
          <w:sz w:val="28"/>
          <w:szCs w:val="28"/>
        </w:rPr>
        <w:t>第一部分、开标一览表</w:t>
      </w:r>
    </w:p>
    <w:p w14:paraId="40105E6A">
      <w:pPr>
        <w:jc w:val="center"/>
        <w:rPr>
          <w:b/>
          <w:color w:val="auto"/>
          <w:sz w:val="24"/>
        </w:rPr>
      </w:pPr>
    </w:p>
    <w:p w14:paraId="60B35180">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71CAD04D">
      <w:pPr>
        <w:pStyle w:val="21"/>
        <w:rPr>
          <w:color w:val="auto"/>
        </w:rPr>
      </w:pPr>
    </w:p>
    <w:p w14:paraId="66551667">
      <w:pPr>
        <w:adjustRightInd w:val="0"/>
        <w:snapToGrid w:val="0"/>
        <w:spacing w:line="360" w:lineRule="auto"/>
        <w:jc w:val="center"/>
        <w:rPr>
          <w:rFonts w:hint="eastAsia" w:ascii="宋体" w:hAnsi="宋体" w:cs="宋体"/>
          <w:b/>
          <w:color w:val="auto"/>
          <w:sz w:val="28"/>
          <w:szCs w:val="28"/>
        </w:rPr>
      </w:pPr>
    </w:p>
    <w:p w14:paraId="28166D50">
      <w:pPr>
        <w:adjustRightInd w:val="0"/>
        <w:snapToGrid w:val="0"/>
        <w:spacing w:line="360" w:lineRule="auto"/>
        <w:jc w:val="center"/>
        <w:rPr>
          <w:rFonts w:hint="eastAsia" w:ascii="宋体" w:hAnsi="宋体" w:cs="宋体"/>
          <w:b/>
          <w:color w:val="auto"/>
          <w:sz w:val="28"/>
          <w:szCs w:val="28"/>
        </w:rPr>
      </w:pPr>
    </w:p>
    <w:p w14:paraId="4E8B8904">
      <w:pPr>
        <w:adjustRightInd w:val="0"/>
        <w:snapToGrid w:val="0"/>
        <w:spacing w:line="360" w:lineRule="auto"/>
        <w:jc w:val="center"/>
        <w:rPr>
          <w:rFonts w:hint="eastAsia" w:ascii="宋体" w:hAnsi="宋体" w:cs="宋体"/>
          <w:b/>
          <w:color w:val="auto"/>
          <w:sz w:val="28"/>
          <w:szCs w:val="28"/>
        </w:rPr>
      </w:pPr>
    </w:p>
    <w:p w14:paraId="2945B527">
      <w:pPr>
        <w:adjustRightInd w:val="0"/>
        <w:snapToGrid w:val="0"/>
        <w:spacing w:line="360" w:lineRule="auto"/>
        <w:jc w:val="center"/>
        <w:rPr>
          <w:rFonts w:hint="eastAsia" w:ascii="宋体" w:hAnsi="宋体" w:cs="宋体"/>
          <w:b/>
          <w:color w:val="auto"/>
          <w:sz w:val="28"/>
          <w:szCs w:val="28"/>
        </w:rPr>
      </w:pPr>
    </w:p>
    <w:p w14:paraId="1FBF603D">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3D168BD">
      <w:pPr>
        <w:pStyle w:val="20"/>
        <w:rPr>
          <w:rFonts w:hint="eastAsia"/>
          <w:lang w:eastAsia="zh-CN"/>
        </w:rPr>
      </w:pPr>
    </w:p>
    <w:p w14:paraId="386689DC">
      <w:pPr>
        <w:adjustRightInd w:val="0"/>
        <w:snapToGrid w:val="0"/>
        <w:spacing w:line="360" w:lineRule="auto"/>
        <w:jc w:val="center"/>
        <w:rPr>
          <w:rFonts w:hint="eastAsia" w:ascii="宋体" w:hAnsi="宋体" w:cs="宋体"/>
          <w:b/>
          <w:color w:val="auto"/>
          <w:sz w:val="24"/>
          <w:szCs w:val="20"/>
        </w:rPr>
      </w:pPr>
    </w:p>
    <w:p w14:paraId="11F0F571">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64449AAA">
      <w:pPr>
        <w:adjustRightInd w:val="0"/>
        <w:snapToGrid w:val="0"/>
        <w:spacing w:line="360" w:lineRule="auto"/>
        <w:rPr>
          <w:rFonts w:hint="eastAsia" w:ascii="宋体" w:hAnsi="宋体" w:cs="宋体"/>
          <w:b/>
          <w:color w:val="auto"/>
          <w:sz w:val="28"/>
          <w:szCs w:val="28"/>
        </w:rPr>
      </w:pPr>
    </w:p>
    <w:p w14:paraId="540590FF">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381B1A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EF25468">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51BFDC15">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4F084AFC">
      <w:pPr>
        <w:adjustRightInd w:val="0"/>
        <w:snapToGrid w:val="0"/>
        <w:spacing w:line="360" w:lineRule="auto"/>
        <w:ind w:firstLine="480" w:firstLineChars="200"/>
        <w:rPr>
          <w:rFonts w:hint="eastAsia" w:ascii="宋体" w:hAnsi="宋体" w:cs="宋体"/>
          <w:color w:val="auto"/>
          <w:sz w:val="24"/>
        </w:rPr>
      </w:pPr>
    </w:p>
    <w:tbl>
      <w:tblPr>
        <w:tblStyle w:val="14"/>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C87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52076A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37D8040">
      <w:pPr>
        <w:adjustRightInd w:val="0"/>
        <w:snapToGrid w:val="0"/>
        <w:spacing w:line="360" w:lineRule="auto"/>
        <w:rPr>
          <w:rFonts w:hint="eastAsia" w:ascii="宋体" w:hAnsi="宋体" w:cs="宋体"/>
          <w:color w:val="auto"/>
          <w:sz w:val="24"/>
        </w:rPr>
      </w:pPr>
    </w:p>
    <w:tbl>
      <w:tblPr>
        <w:tblStyle w:val="14"/>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753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4C02A26">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73075C3">
      <w:pPr>
        <w:adjustRightInd w:val="0"/>
        <w:snapToGrid w:val="0"/>
        <w:spacing w:line="360" w:lineRule="auto"/>
        <w:rPr>
          <w:rFonts w:hint="eastAsia" w:ascii="宋体" w:hAnsi="宋体" w:cs="宋体"/>
          <w:color w:val="auto"/>
          <w:sz w:val="24"/>
        </w:rPr>
      </w:pPr>
    </w:p>
    <w:p w14:paraId="2BBB8A34">
      <w:pPr>
        <w:adjustRightInd w:val="0"/>
        <w:snapToGrid w:val="0"/>
        <w:spacing w:line="360" w:lineRule="auto"/>
        <w:rPr>
          <w:rFonts w:hint="eastAsia" w:ascii="宋体" w:hAnsi="宋体" w:cs="宋体"/>
          <w:color w:val="auto"/>
          <w:sz w:val="24"/>
        </w:rPr>
      </w:pPr>
    </w:p>
    <w:p w14:paraId="1A8CC709">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CA38E1D">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24E802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7E29138A">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8D29777">
      <w:pPr>
        <w:adjustRightInd w:val="0"/>
        <w:snapToGrid w:val="0"/>
        <w:spacing w:line="360" w:lineRule="auto"/>
        <w:rPr>
          <w:rFonts w:hint="eastAsia" w:ascii="宋体" w:hAnsi="宋体" w:cs="宋体"/>
          <w:b/>
          <w:color w:val="auto"/>
          <w:sz w:val="28"/>
          <w:szCs w:val="28"/>
        </w:rPr>
      </w:pPr>
    </w:p>
    <w:p w14:paraId="3F6A11CD">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3E86AAC0">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29B67D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5A64E7F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1867362">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CB02BF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64223B65">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0DFF17F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49A316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B61AC36">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763F31A9">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1D48A861">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671259A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3FCFA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B697C89">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3B055510">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3EF7C52F">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3446278">
      <w:pPr>
        <w:adjustRightInd w:val="0"/>
        <w:snapToGrid w:val="0"/>
        <w:spacing w:line="360" w:lineRule="auto"/>
        <w:jc w:val="center"/>
        <w:rPr>
          <w:rFonts w:hint="eastAsia" w:ascii="宋体" w:hAnsi="宋体" w:cs="宋体"/>
          <w:b/>
          <w:color w:val="auto"/>
          <w:sz w:val="24"/>
          <w:szCs w:val="20"/>
        </w:rPr>
      </w:pPr>
    </w:p>
    <w:p w14:paraId="1346884B">
      <w:pPr>
        <w:adjustRightInd w:val="0"/>
        <w:snapToGrid w:val="0"/>
        <w:spacing w:line="360" w:lineRule="auto"/>
        <w:rPr>
          <w:rFonts w:hint="eastAsia" w:ascii="宋体" w:hAnsi="宋体" w:cs="宋体"/>
          <w:b/>
          <w:color w:val="auto"/>
          <w:sz w:val="24"/>
          <w:szCs w:val="20"/>
        </w:rPr>
      </w:pPr>
    </w:p>
    <w:p w14:paraId="4F9273E1">
      <w:pPr>
        <w:adjustRightInd w:val="0"/>
        <w:snapToGrid w:val="0"/>
        <w:spacing w:line="360" w:lineRule="auto"/>
        <w:rPr>
          <w:rFonts w:hint="eastAsia" w:ascii="宋体" w:hAnsi="宋体" w:cs="宋体"/>
          <w:b/>
          <w:color w:val="auto"/>
          <w:sz w:val="24"/>
          <w:szCs w:val="20"/>
        </w:rPr>
      </w:pPr>
    </w:p>
    <w:p w14:paraId="2D2F2399">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BD0C8C8">
      <w:pPr>
        <w:adjustRightInd w:val="0"/>
        <w:snapToGrid w:val="0"/>
        <w:spacing w:line="360" w:lineRule="auto"/>
        <w:jc w:val="center"/>
        <w:rPr>
          <w:rFonts w:hint="eastAsia" w:ascii="宋体" w:hAnsi="宋体" w:cs="宋体"/>
          <w:b/>
          <w:color w:val="auto"/>
          <w:sz w:val="24"/>
          <w:szCs w:val="20"/>
        </w:rPr>
      </w:pPr>
    </w:p>
    <w:p w14:paraId="565506E4">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78C91FB">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851C70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86E030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39144592">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50CF0EAC">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7168109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9FD08FA">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753E4AC7">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575B8451">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32BCE7E4">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59336F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EB9AB22">
      <w:pPr>
        <w:jc w:val="left"/>
        <w:rPr>
          <w:rFonts w:hint="eastAsia" w:ascii="宋体" w:hAnsi="宋体" w:eastAsia="宋体" w:cs="Times New Roman"/>
          <w:b w:val="0"/>
          <w:bCs w:val="0"/>
          <w:color w:val="auto"/>
          <w:kern w:val="2"/>
          <w:sz w:val="24"/>
          <w:szCs w:val="24"/>
          <w:lang w:val="en-US" w:eastAsia="zh-CN" w:bidi="ar-SA"/>
        </w:rPr>
      </w:pPr>
    </w:p>
    <w:p w14:paraId="452F65D0">
      <w:pPr>
        <w:jc w:val="left"/>
        <w:rPr>
          <w:rFonts w:hint="eastAsia" w:ascii="宋体" w:hAnsi="宋体" w:eastAsia="宋体" w:cs="Times New Roman"/>
          <w:b w:val="0"/>
          <w:bCs w:val="0"/>
          <w:color w:val="auto"/>
          <w:kern w:val="2"/>
          <w:sz w:val="24"/>
          <w:szCs w:val="24"/>
          <w:lang w:val="en-US" w:eastAsia="zh-CN" w:bidi="ar-SA"/>
        </w:rPr>
      </w:pPr>
    </w:p>
    <w:p w14:paraId="16A0C581">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B1AE1FF">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3C2F2BC3">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6D90F51D">
      <w:pPr>
        <w:pStyle w:val="20"/>
        <w:rPr>
          <w:rFonts w:hint="eastAsia"/>
          <w:lang w:eastAsia="zh-CN"/>
        </w:rPr>
      </w:pPr>
    </w:p>
    <w:p w14:paraId="6BAEDE60">
      <w:pPr>
        <w:spacing w:before="120" w:beforeLines="50" w:after="120" w:afterLines="50" w:line="276" w:lineRule="auto"/>
        <w:jc w:val="center"/>
        <w:rPr>
          <w:b/>
          <w:color w:val="auto"/>
          <w:sz w:val="24"/>
        </w:rPr>
      </w:pPr>
      <w:r>
        <w:rPr>
          <w:b/>
          <w:color w:val="auto"/>
          <w:sz w:val="24"/>
        </w:rPr>
        <w:t>采购需求响应/偏离表</w:t>
      </w:r>
    </w:p>
    <w:p w14:paraId="3BCF85E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4"/>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572AF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684B6852">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4257CF67">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769CBF21">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09D4284B">
            <w:pPr>
              <w:adjustRightInd w:val="0"/>
              <w:snapToGrid w:val="0"/>
              <w:spacing w:before="50" w:line="360" w:lineRule="auto"/>
              <w:jc w:val="center"/>
              <w:rPr>
                <w:color w:val="auto"/>
              </w:rPr>
            </w:pPr>
            <w:r>
              <w:rPr>
                <w:color w:val="auto"/>
              </w:rPr>
              <w:t>投标文件应答</w:t>
            </w:r>
          </w:p>
        </w:tc>
        <w:tc>
          <w:tcPr>
            <w:tcW w:w="1513" w:type="dxa"/>
            <w:noWrap w:val="0"/>
            <w:vAlign w:val="center"/>
          </w:tcPr>
          <w:p w14:paraId="67C408D3">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333762B8">
            <w:pPr>
              <w:adjustRightInd w:val="0"/>
              <w:snapToGrid w:val="0"/>
              <w:spacing w:before="50" w:line="360" w:lineRule="auto"/>
              <w:ind w:left="-88" w:leftChars="-42"/>
              <w:jc w:val="center"/>
              <w:rPr>
                <w:color w:val="auto"/>
                <w:szCs w:val="21"/>
              </w:rPr>
            </w:pPr>
            <w:r>
              <w:rPr>
                <w:color w:val="auto"/>
                <w:szCs w:val="21"/>
              </w:rPr>
              <w:t>偏离说明</w:t>
            </w:r>
          </w:p>
        </w:tc>
      </w:tr>
      <w:tr w14:paraId="4E091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1E1580C">
            <w:pPr>
              <w:adjustRightInd w:val="0"/>
              <w:snapToGrid w:val="0"/>
              <w:spacing w:before="50" w:line="360" w:lineRule="auto"/>
              <w:ind w:left="-88" w:leftChars="-42"/>
              <w:jc w:val="center"/>
              <w:rPr>
                <w:color w:val="auto"/>
                <w:szCs w:val="21"/>
              </w:rPr>
            </w:pPr>
          </w:p>
        </w:tc>
        <w:tc>
          <w:tcPr>
            <w:tcW w:w="1877" w:type="dxa"/>
            <w:noWrap w:val="0"/>
            <w:vAlign w:val="center"/>
          </w:tcPr>
          <w:p w14:paraId="774A1D01">
            <w:pPr>
              <w:adjustRightInd w:val="0"/>
              <w:snapToGrid w:val="0"/>
              <w:spacing w:before="50" w:line="360" w:lineRule="auto"/>
              <w:ind w:left="-88" w:leftChars="-42"/>
              <w:jc w:val="center"/>
              <w:rPr>
                <w:color w:val="auto"/>
                <w:szCs w:val="21"/>
              </w:rPr>
            </w:pPr>
          </w:p>
        </w:tc>
        <w:tc>
          <w:tcPr>
            <w:tcW w:w="1671" w:type="dxa"/>
            <w:noWrap w:val="0"/>
            <w:vAlign w:val="center"/>
          </w:tcPr>
          <w:p w14:paraId="5CC39C1D">
            <w:pPr>
              <w:adjustRightInd w:val="0"/>
              <w:snapToGrid w:val="0"/>
              <w:spacing w:before="50" w:line="360" w:lineRule="auto"/>
              <w:ind w:left="-88" w:leftChars="-42"/>
              <w:jc w:val="center"/>
              <w:rPr>
                <w:color w:val="auto"/>
                <w:szCs w:val="21"/>
              </w:rPr>
            </w:pPr>
          </w:p>
        </w:tc>
        <w:tc>
          <w:tcPr>
            <w:tcW w:w="1608" w:type="dxa"/>
            <w:noWrap w:val="0"/>
            <w:vAlign w:val="center"/>
          </w:tcPr>
          <w:p w14:paraId="4C313990">
            <w:pPr>
              <w:adjustRightInd w:val="0"/>
              <w:snapToGrid w:val="0"/>
              <w:spacing w:before="50" w:line="360" w:lineRule="auto"/>
              <w:ind w:left="-88" w:leftChars="-42"/>
              <w:jc w:val="center"/>
              <w:rPr>
                <w:color w:val="auto"/>
                <w:szCs w:val="21"/>
              </w:rPr>
            </w:pPr>
          </w:p>
        </w:tc>
        <w:tc>
          <w:tcPr>
            <w:tcW w:w="1513" w:type="dxa"/>
            <w:noWrap w:val="0"/>
            <w:vAlign w:val="center"/>
          </w:tcPr>
          <w:p w14:paraId="3282AE5D">
            <w:pPr>
              <w:adjustRightInd w:val="0"/>
              <w:snapToGrid w:val="0"/>
              <w:spacing w:before="50" w:line="360" w:lineRule="auto"/>
              <w:ind w:left="-88" w:leftChars="-42"/>
              <w:jc w:val="center"/>
              <w:rPr>
                <w:color w:val="auto"/>
                <w:szCs w:val="21"/>
              </w:rPr>
            </w:pPr>
          </w:p>
        </w:tc>
        <w:tc>
          <w:tcPr>
            <w:tcW w:w="1061" w:type="dxa"/>
            <w:noWrap w:val="0"/>
            <w:vAlign w:val="center"/>
          </w:tcPr>
          <w:p w14:paraId="031F9831">
            <w:pPr>
              <w:adjustRightInd w:val="0"/>
              <w:snapToGrid w:val="0"/>
              <w:spacing w:before="50" w:line="360" w:lineRule="auto"/>
              <w:ind w:left="-88" w:leftChars="-42"/>
              <w:jc w:val="center"/>
              <w:rPr>
                <w:color w:val="auto"/>
                <w:szCs w:val="21"/>
              </w:rPr>
            </w:pPr>
          </w:p>
        </w:tc>
      </w:tr>
      <w:tr w14:paraId="00015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7AAB4EE">
            <w:pPr>
              <w:adjustRightInd w:val="0"/>
              <w:snapToGrid w:val="0"/>
              <w:spacing w:before="50" w:line="360" w:lineRule="auto"/>
              <w:ind w:left="-88" w:leftChars="-42"/>
              <w:jc w:val="center"/>
              <w:rPr>
                <w:color w:val="auto"/>
                <w:szCs w:val="21"/>
              </w:rPr>
            </w:pPr>
          </w:p>
        </w:tc>
        <w:tc>
          <w:tcPr>
            <w:tcW w:w="1877" w:type="dxa"/>
            <w:noWrap w:val="0"/>
            <w:vAlign w:val="center"/>
          </w:tcPr>
          <w:p w14:paraId="50AEF049">
            <w:pPr>
              <w:adjustRightInd w:val="0"/>
              <w:snapToGrid w:val="0"/>
              <w:spacing w:before="50" w:line="360" w:lineRule="auto"/>
              <w:ind w:left="-88" w:leftChars="-42"/>
              <w:jc w:val="center"/>
              <w:rPr>
                <w:color w:val="auto"/>
                <w:szCs w:val="21"/>
              </w:rPr>
            </w:pPr>
          </w:p>
        </w:tc>
        <w:tc>
          <w:tcPr>
            <w:tcW w:w="1671" w:type="dxa"/>
            <w:noWrap w:val="0"/>
            <w:vAlign w:val="center"/>
          </w:tcPr>
          <w:p w14:paraId="2A7B0A3E">
            <w:pPr>
              <w:adjustRightInd w:val="0"/>
              <w:snapToGrid w:val="0"/>
              <w:spacing w:before="50" w:line="360" w:lineRule="auto"/>
              <w:ind w:left="-88" w:leftChars="-42"/>
              <w:jc w:val="center"/>
              <w:rPr>
                <w:color w:val="auto"/>
                <w:szCs w:val="21"/>
              </w:rPr>
            </w:pPr>
          </w:p>
        </w:tc>
        <w:tc>
          <w:tcPr>
            <w:tcW w:w="1608" w:type="dxa"/>
            <w:noWrap w:val="0"/>
            <w:vAlign w:val="center"/>
          </w:tcPr>
          <w:p w14:paraId="4A601AAF">
            <w:pPr>
              <w:adjustRightInd w:val="0"/>
              <w:snapToGrid w:val="0"/>
              <w:spacing w:before="50" w:line="360" w:lineRule="auto"/>
              <w:ind w:left="-88" w:leftChars="-42"/>
              <w:jc w:val="center"/>
              <w:rPr>
                <w:color w:val="auto"/>
                <w:szCs w:val="21"/>
              </w:rPr>
            </w:pPr>
          </w:p>
        </w:tc>
        <w:tc>
          <w:tcPr>
            <w:tcW w:w="1513" w:type="dxa"/>
            <w:noWrap w:val="0"/>
            <w:vAlign w:val="center"/>
          </w:tcPr>
          <w:p w14:paraId="25C22211">
            <w:pPr>
              <w:adjustRightInd w:val="0"/>
              <w:snapToGrid w:val="0"/>
              <w:spacing w:before="50" w:line="360" w:lineRule="auto"/>
              <w:ind w:left="-88" w:leftChars="-42"/>
              <w:jc w:val="center"/>
              <w:rPr>
                <w:color w:val="auto"/>
                <w:szCs w:val="21"/>
              </w:rPr>
            </w:pPr>
          </w:p>
        </w:tc>
        <w:tc>
          <w:tcPr>
            <w:tcW w:w="1061" w:type="dxa"/>
            <w:noWrap w:val="0"/>
            <w:vAlign w:val="center"/>
          </w:tcPr>
          <w:p w14:paraId="571A0A5F">
            <w:pPr>
              <w:adjustRightInd w:val="0"/>
              <w:snapToGrid w:val="0"/>
              <w:spacing w:before="50" w:line="360" w:lineRule="auto"/>
              <w:ind w:left="-88" w:leftChars="-42"/>
              <w:jc w:val="center"/>
              <w:rPr>
                <w:color w:val="auto"/>
                <w:szCs w:val="21"/>
              </w:rPr>
            </w:pPr>
          </w:p>
        </w:tc>
      </w:tr>
      <w:tr w14:paraId="7492E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5A3B4144">
            <w:pPr>
              <w:adjustRightInd w:val="0"/>
              <w:snapToGrid w:val="0"/>
              <w:spacing w:before="50" w:line="360" w:lineRule="auto"/>
              <w:ind w:left="-88" w:leftChars="-42"/>
              <w:jc w:val="center"/>
              <w:rPr>
                <w:color w:val="auto"/>
                <w:szCs w:val="21"/>
              </w:rPr>
            </w:pPr>
          </w:p>
        </w:tc>
        <w:tc>
          <w:tcPr>
            <w:tcW w:w="1877" w:type="dxa"/>
            <w:noWrap w:val="0"/>
            <w:vAlign w:val="center"/>
          </w:tcPr>
          <w:p w14:paraId="5678C7D8">
            <w:pPr>
              <w:adjustRightInd w:val="0"/>
              <w:snapToGrid w:val="0"/>
              <w:spacing w:before="50" w:line="360" w:lineRule="auto"/>
              <w:ind w:left="-88" w:leftChars="-42"/>
              <w:jc w:val="center"/>
              <w:rPr>
                <w:color w:val="auto"/>
                <w:szCs w:val="21"/>
              </w:rPr>
            </w:pPr>
          </w:p>
        </w:tc>
        <w:tc>
          <w:tcPr>
            <w:tcW w:w="1671" w:type="dxa"/>
            <w:noWrap w:val="0"/>
            <w:vAlign w:val="center"/>
          </w:tcPr>
          <w:p w14:paraId="7AD96B66">
            <w:pPr>
              <w:adjustRightInd w:val="0"/>
              <w:snapToGrid w:val="0"/>
              <w:spacing w:before="50" w:line="360" w:lineRule="auto"/>
              <w:ind w:left="-88" w:leftChars="-42"/>
              <w:jc w:val="center"/>
              <w:rPr>
                <w:color w:val="auto"/>
                <w:szCs w:val="21"/>
              </w:rPr>
            </w:pPr>
          </w:p>
        </w:tc>
        <w:tc>
          <w:tcPr>
            <w:tcW w:w="1608" w:type="dxa"/>
            <w:noWrap w:val="0"/>
            <w:vAlign w:val="center"/>
          </w:tcPr>
          <w:p w14:paraId="368E095E">
            <w:pPr>
              <w:adjustRightInd w:val="0"/>
              <w:snapToGrid w:val="0"/>
              <w:spacing w:before="50" w:line="360" w:lineRule="auto"/>
              <w:ind w:left="-88" w:leftChars="-42"/>
              <w:jc w:val="center"/>
              <w:rPr>
                <w:color w:val="auto"/>
                <w:szCs w:val="21"/>
              </w:rPr>
            </w:pPr>
          </w:p>
        </w:tc>
        <w:tc>
          <w:tcPr>
            <w:tcW w:w="1513" w:type="dxa"/>
            <w:noWrap w:val="0"/>
            <w:vAlign w:val="center"/>
          </w:tcPr>
          <w:p w14:paraId="1E861332">
            <w:pPr>
              <w:adjustRightInd w:val="0"/>
              <w:snapToGrid w:val="0"/>
              <w:spacing w:before="50" w:line="360" w:lineRule="auto"/>
              <w:ind w:left="-88" w:leftChars="-42"/>
              <w:jc w:val="center"/>
              <w:rPr>
                <w:color w:val="auto"/>
                <w:szCs w:val="21"/>
              </w:rPr>
            </w:pPr>
          </w:p>
        </w:tc>
        <w:tc>
          <w:tcPr>
            <w:tcW w:w="1061" w:type="dxa"/>
            <w:noWrap w:val="0"/>
            <w:vAlign w:val="center"/>
          </w:tcPr>
          <w:p w14:paraId="1DDFBBC9">
            <w:pPr>
              <w:adjustRightInd w:val="0"/>
              <w:snapToGrid w:val="0"/>
              <w:spacing w:before="50" w:line="360" w:lineRule="auto"/>
              <w:ind w:left="-88" w:leftChars="-42"/>
              <w:jc w:val="center"/>
              <w:rPr>
                <w:color w:val="auto"/>
                <w:szCs w:val="21"/>
              </w:rPr>
            </w:pPr>
          </w:p>
        </w:tc>
      </w:tr>
      <w:tr w14:paraId="5ECFA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5564F7E0">
            <w:pPr>
              <w:rPr>
                <w:b/>
                <w:color w:val="auto"/>
              </w:rPr>
            </w:pPr>
          </w:p>
        </w:tc>
      </w:tr>
    </w:tbl>
    <w:p w14:paraId="58C809C7">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559CC36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5F3C4965">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38E3C596">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7546D202">
      <w:pPr>
        <w:pStyle w:val="21"/>
        <w:rPr>
          <w:color w:val="auto"/>
        </w:rPr>
      </w:pPr>
    </w:p>
    <w:p w14:paraId="5EEA99A1">
      <w:pPr>
        <w:pStyle w:val="20"/>
        <w:rPr>
          <w:rFonts w:hint="eastAsia"/>
          <w:lang w:eastAsia="zh-CN"/>
        </w:rPr>
      </w:pPr>
    </w:p>
    <w:p w14:paraId="4F73B9B6"/>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4F79">
    <w:pPr>
      <w:pStyle w:val="10"/>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333E6">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1333E6">
                    <w:pPr>
                      <w:pStyle w:val="10"/>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218840FB">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1645">
    <w:pPr>
      <w:pStyle w:val="10"/>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0F794">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F0F794">
                    <w:pPr>
                      <w:pStyle w:val="10"/>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7F2DAB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277D">
    <w:pPr>
      <w:pStyle w:val="11"/>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6F2E55"/>
    <w:rsid w:val="00AE556A"/>
    <w:rsid w:val="01350E35"/>
    <w:rsid w:val="02390242"/>
    <w:rsid w:val="03E43FAE"/>
    <w:rsid w:val="04653F41"/>
    <w:rsid w:val="04B72FC8"/>
    <w:rsid w:val="04F57A38"/>
    <w:rsid w:val="050719CA"/>
    <w:rsid w:val="056B0EF3"/>
    <w:rsid w:val="06934BAA"/>
    <w:rsid w:val="06E91EC4"/>
    <w:rsid w:val="07731DE6"/>
    <w:rsid w:val="086F75C9"/>
    <w:rsid w:val="09C0303A"/>
    <w:rsid w:val="0A3F4F3C"/>
    <w:rsid w:val="0A6D3244"/>
    <w:rsid w:val="0A8A74D4"/>
    <w:rsid w:val="0CAD77BD"/>
    <w:rsid w:val="0CD87BD4"/>
    <w:rsid w:val="0E331420"/>
    <w:rsid w:val="0E3A4761"/>
    <w:rsid w:val="0EBC028B"/>
    <w:rsid w:val="0EDD1643"/>
    <w:rsid w:val="0FB9029C"/>
    <w:rsid w:val="10897B23"/>
    <w:rsid w:val="10914EF9"/>
    <w:rsid w:val="10B8663C"/>
    <w:rsid w:val="12080B62"/>
    <w:rsid w:val="12994AC5"/>
    <w:rsid w:val="129F447F"/>
    <w:rsid w:val="12C86253"/>
    <w:rsid w:val="14E40477"/>
    <w:rsid w:val="15060AC8"/>
    <w:rsid w:val="15125EAE"/>
    <w:rsid w:val="15675A4C"/>
    <w:rsid w:val="15A25D35"/>
    <w:rsid w:val="15B67DFF"/>
    <w:rsid w:val="163301F0"/>
    <w:rsid w:val="17F91BB8"/>
    <w:rsid w:val="193E7D91"/>
    <w:rsid w:val="1943608F"/>
    <w:rsid w:val="19E40286"/>
    <w:rsid w:val="19E91315"/>
    <w:rsid w:val="1AF56B46"/>
    <w:rsid w:val="1CE412C7"/>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B626C7"/>
    <w:rsid w:val="27CF2BB7"/>
    <w:rsid w:val="2821285F"/>
    <w:rsid w:val="28501465"/>
    <w:rsid w:val="28E81B29"/>
    <w:rsid w:val="28FD390A"/>
    <w:rsid w:val="29B45A41"/>
    <w:rsid w:val="2A174DA9"/>
    <w:rsid w:val="2AB010A8"/>
    <w:rsid w:val="2AC66F99"/>
    <w:rsid w:val="2BD64A85"/>
    <w:rsid w:val="2C0A2E19"/>
    <w:rsid w:val="2C7642D0"/>
    <w:rsid w:val="2C8B7C6A"/>
    <w:rsid w:val="2CC97A35"/>
    <w:rsid w:val="2DD77C64"/>
    <w:rsid w:val="2DDA1E78"/>
    <w:rsid w:val="2DE00B8C"/>
    <w:rsid w:val="2EAC037F"/>
    <w:rsid w:val="2EB67A5C"/>
    <w:rsid w:val="302741D2"/>
    <w:rsid w:val="308B184D"/>
    <w:rsid w:val="309C1E01"/>
    <w:rsid w:val="30BB11DD"/>
    <w:rsid w:val="31F17CD1"/>
    <w:rsid w:val="324F4D43"/>
    <w:rsid w:val="33384C93"/>
    <w:rsid w:val="340F06E9"/>
    <w:rsid w:val="34146E09"/>
    <w:rsid w:val="34C12F54"/>
    <w:rsid w:val="34F140E5"/>
    <w:rsid w:val="366241E2"/>
    <w:rsid w:val="3662711A"/>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22229D"/>
    <w:rsid w:val="425629F5"/>
    <w:rsid w:val="4284152B"/>
    <w:rsid w:val="429A4992"/>
    <w:rsid w:val="435B161D"/>
    <w:rsid w:val="43B25DAC"/>
    <w:rsid w:val="44771DFD"/>
    <w:rsid w:val="45D569C3"/>
    <w:rsid w:val="479B74B7"/>
    <w:rsid w:val="48735221"/>
    <w:rsid w:val="48997E8F"/>
    <w:rsid w:val="49E92B05"/>
    <w:rsid w:val="4A354E62"/>
    <w:rsid w:val="4AEE1A11"/>
    <w:rsid w:val="4B7F39F4"/>
    <w:rsid w:val="4BAE646F"/>
    <w:rsid w:val="4C06451A"/>
    <w:rsid w:val="4CAC1559"/>
    <w:rsid w:val="4D754257"/>
    <w:rsid w:val="4DCD6AB3"/>
    <w:rsid w:val="4DDD6104"/>
    <w:rsid w:val="4EE7662F"/>
    <w:rsid w:val="50216DCD"/>
    <w:rsid w:val="50540C20"/>
    <w:rsid w:val="506258C6"/>
    <w:rsid w:val="50680152"/>
    <w:rsid w:val="51AC28BD"/>
    <w:rsid w:val="52183ACC"/>
    <w:rsid w:val="53B55872"/>
    <w:rsid w:val="544055F2"/>
    <w:rsid w:val="54AD4386"/>
    <w:rsid w:val="5587625E"/>
    <w:rsid w:val="55D8243C"/>
    <w:rsid w:val="56483C8F"/>
    <w:rsid w:val="56C77AA7"/>
    <w:rsid w:val="581A7C72"/>
    <w:rsid w:val="583A4BD7"/>
    <w:rsid w:val="59C74B1F"/>
    <w:rsid w:val="5A886F59"/>
    <w:rsid w:val="604D5946"/>
    <w:rsid w:val="611B6B1B"/>
    <w:rsid w:val="62030FF0"/>
    <w:rsid w:val="62C222C2"/>
    <w:rsid w:val="62DB090C"/>
    <w:rsid w:val="632D7C40"/>
    <w:rsid w:val="64133D6A"/>
    <w:rsid w:val="64245572"/>
    <w:rsid w:val="66C30AF5"/>
    <w:rsid w:val="678E4F5D"/>
    <w:rsid w:val="67F3562A"/>
    <w:rsid w:val="680E122C"/>
    <w:rsid w:val="68460EDC"/>
    <w:rsid w:val="6A4E1D63"/>
    <w:rsid w:val="6AB9152E"/>
    <w:rsid w:val="6B592423"/>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1301BD"/>
    <w:rsid w:val="755B2270"/>
    <w:rsid w:val="75E27514"/>
    <w:rsid w:val="7612420D"/>
    <w:rsid w:val="76920D75"/>
    <w:rsid w:val="76C47877"/>
    <w:rsid w:val="76DE48C7"/>
    <w:rsid w:val="77423DFF"/>
    <w:rsid w:val="783B5EA9"/>
    <w:rsid w:val="783D7269"/>
    <w:rsid w:val="79EB699D"/>
    <w:rsid w:val="7A104828"/>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Body Text"/>
    <w:basedOn w:val="1"/>
    <w:semiHidden/>
    <w:qFormat/>
    <w:uiPriority w:val="0"/>
    <w:rPr>
      <w:rFonts w:ascii="宋体" w:hAnsi="宋体" w:eastAsia="宋体" w:cs="宋体"/>
      <w:sz w:val="24"/>
      <w:szCs w:val="24"/>
      <w:lang w:val="en-US" w:eastAsia="en-US" w:bidi="ar-SA"/>
    </w:rPr>
  </w:style>
  <w:style w:type="paragraph" w:styleId="8">
    <w:name w:val="Body Text Indent"/>
    <w:basedOn w:val="1"/>
    <w:next w:val="1"/>
    <w:qFormat/>
    <w:uiPriority w:val="99"/>
    <w:pPr>
      <w:spacing w:line="400" w:lineRule="exact"/>
      <w:ind w:left="630"/>
    </w:pPr>
    <w:rPr>
      <w:rFonts w:ascii="楷体_GB2312"/>
      <w:sz w:val="30"/>
      <w:szCs w:val="30"/>
    </w:rPr>
  </w:style>
  <w:style w:type="paragraph" w:styleId="9">
    <w:name w:val="Date"/>
    <w:basedOn w:val="1"/>
    <w:next w:val="1"/>
    <w:qFormat/>
    <w:uiPriority w:val="0"/>
    <w:rPr>
      <w:color w:val="000000"/>
      <w:kern w:val="0"/>
      <w:sz w:val="30"/>
    </w:rPr>
  </w:style>
  <w:style w:type="paragraph" w:styleId="10">
    <w:name w:val="footer"/>
    <w:basedOn w:val="1"/>
    <w:qFormat/>
    <w:uiPriority w:val="0"/>
    <w:pPr>
      <w:tabs>
        <w:tab w:val="center" w:pos="4153"/>
        <w:tab w:val="right" w:pos="8306"/>
      </w:tabs>
      <w:snapToGrid w:val="0"/>
      <w:jc w:val="left"/>
    </w:pPr>
    <w:rPr>
      <w:kern w:val="0"/>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rPr>
      <w:sz w:val="24"/>
    </w:rPr>
  </w:style>
  <w:style w:type="paragraph" w:styleId="13">
    <w:name w:val="Body Text First Indent 2"/>
    <w:basedOn w:val="8"/>
    <w:next w:val="5"/>
    <w:qFormat/>
    <w:uiPriority w:val="0"/>
    <w:pPr>
      <w:overflowPunct w:val="0"/>
      <w:adjustRightInd w:val="0"/>
      <w:spacing w:line="500" w:lineRule="exact"/>
      <w:ind w:firstLine="420" w:firstLineChars="200"/>
      <w:textAlignment w:val="baseline"/>
    </w:pPr>
    <w:rPr>
      <w:rFonts w:eastAsia="仿宋_GB2312"/>
      <w:kern w:val="28"/>
      <w:sz w:val="2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9">
    <w:name w:val="大标题"/>
    <w:basedOn w:val="1"/>
    <w:next w:val="13"/>
    <w:qFormat/>
    <w:uiPriority w:val="0"/>
    <w:pPr>
      <w:jc w:val="center"/>
    </w:pPr>
    <w:rPr>
      <w:rFonts w:ascii="Arial" w:hAnsi="Arial" w:eastAsia="宋体"/>
      <w:b/>
      <w:sz w:val="28"/>
      <w:szCs w:val="24"/>
    </w:rPr>
  </w:style>
  <w:style w:type="paragraph" w:customStyle="1" w:styleId="20">
    <w:name w:val="列出段落1"/>
    <w:basedOn w:val="1"/>
    <w:qFormat/>
    <w:uiPriority w:val="99"/>
    <w:pPr>
      <w:ind w:firstLine="420" w:firstLineChars="200"/>
    </w:pPr>
  </w:style>
  <w:style w:type="paragraph" w:customStyle="1" w:styleId="21">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8515</Words>
  <Characters>8845</Characters>
  <Lines>0</Lines>
  <Paragraphs>0</Paragraphs>
  <TotalTime>4</TotalTime>
  <ScaleCrop>false</ScaleCrop>
  <LinksUpToDate>false</LinksUpToDate>
  <CharactersWithSpaces>9837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2026-05-20T02:26:40Z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693F405580CA4EF791A186399C2A22A8_13</vt:lpwstr>
  </property>
  <property fmtid="{D5CDD505-2E9C-101B-9397-08002B2CF9AE}" pid="4" name="KSOTemplateDocerSaveRecord">
    <vt:lpwstr>eyJoZGlkIjoiOWU3YmMxNGQ0NDE0NTRiYjQ3MWFkZjk1MWM2MTc2NWEiLCJ1c2VySWQiOiI0NDIzNjcyODQifQ==</vt:lpwstr>
  </property>
</Properties>
</file>