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部队医保报销规则接口</w:t>
      </w:r>
      <w:r>
        <w:rPr>
          <w:rFonts w:hint="eastAsia"/>
          <w:bCs/>
          <w:sz w:val="32"/>
          <w:szCs w:val="32"/>
        </w:rPr>
        <w:t>项目招标文件（院内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娄底市中心医院的部队医保报销规则接口项目（项目名称）项目进行单一来源采购，现邀请你单位（卫宁健康科技集团股份有限公司）参加协商。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项目名称：部队医保报销规则接口项目</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ED4575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部队医保报销规则接口项目</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1批</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561909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本次接口改造以精准落实部队人员就医结算规则为核心，实现HIS系统全流程身份核验、差异化计费、单据与报表规范化，具体目标如下：</w:t>
      </w:r>
    </w:p>
    <w:p w14:paraId="4B95566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一</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是完成HIS系统门诊、住院结算流程改造，结算环节完成身份比对识别，按人员类型执行对应结算规则，实现现役军人、文职军人就医费用医院全额垫付，军人家属就医费用全额自费；</w:t>
      </w:r>
    </w:p>
    <w:p w14:paraId="51B1B6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二</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是改造门诊挂号缴费流程，挂号结算同步完成军区人员身份核验，同步执行差异化收费规则；</w:t>
      </w:r>
    </w:p>
    <w:p w14:paraId="42C522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三</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是优化门诊挂号凭条、住院结算清单模板，同步新增医院垫付金额统计报表，支撑医院与部队线下费用结算、对账工作，全程保障业务流程闭环、数据精准可溯。</w:t>
      </w:r>
    </w:p>
    <w:p w14:paraId="3E58094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（四）系统需求说明：</w:t>
      </w:r>
    </w:p>
    <w:p w14:paraId="25FC3FF8">
      <w:pPr>
        <w:spacing w:line="360" w:lineRule="auto"/>
        <w:ind w:firstLine="482" w:firstLineChars="200"/>
        <w:rPr>
          <w:rFonts w:hint="eastAsia"/>
          <w:b/>
          <w:bCs/>
          <w:sz w:val="24"/>
          <w:szCs w:val="22"/>
        </w:rPr>
      </w:pPr>
      <w:r>
        <w:rPr>
          <w:rFonts w:hint="eastAsia"/>
          <w:b/>
          <w:bCs/>
          <w:sz w:val="24"/>
          <w:szCs w:val="22"/>
          <w:lang w:val="en-US" w:eastAsia="zh-CN"/>
        </w:rPr>
        <w:t>1、</w:t>
      </w:r>
      <w:r>
        <w:rPr>
          <w:rFonts w:hint="eastAsia"/>
          <w:b/>
          <w:bCs/>
          <w:sz w:val="24"/>
          <w:szCs w:val="22"/>
        </w:rPr>
        <w:t>菜单新增【军区人员管理菜单】</w:t>
      </w:r>
    </w:p>
    <w:p w14:paraId="3D2896A3">
      <w:pPr>
        <w:spacing w:line="360" w:lineRule="auto"/>
        <w:ind w:firstLine="480" w:firstLineChars="200"/>
        <w:rPr>
          <w:rFonts w:hint="eastAsia"/>
          <w:sz w:val="24"/>
          <w:szCs w:val="22"/>
        </w:rPr>
      </w:pPr>
      <w:r>
        <w:rPr>
          <w:rFonts w:hint="eastAsia"/>
          <w:sz w:val="24"/>
          <w:szCs w:val="22"/>
        </w:rPr>
        <w:t>列名：姓名、性别、年龄、证件类型、证件号、人员类别、状态；</w:t>
      </w:r>
    </w:p>
    <w:p w14:paraId="753FA0D2">
      <w:pPr>
        <w:spacing w:line="360" w:lineRule="auto"/>
        <w:ind w:firstLine="480" w:firstLineChars="200"/>
        <w:rPr>
          <w:rFonts w:hint="eastAsia"/>
          <w:sz w:val="24"/>
          <w:szCs w:val="22"/>
        </w:rPr>
      </w:pPr>
      <w:r>
        <w:rPr>
          <w:rFonts w:hint="eastAsia"/>
          <w:sz w:val="24"/>
          <w:szCs w:val="22"/>
        </w:rPr>
        <w:t>人员类别：现役军人、文职军人、军人家属；</w:t>
      </w:r>
    </w:p>
    <w:p w14:paraId="462FD810">
      <w:pPr>
        <w:spacing w:line="360" w:lineRule="auto"/>
        <w:ind w:firstLine="480" w:firstLineChars="200"/>
        <w:rPr>
          <w:rFonts w:hint="eastAsia" w:eastAsiaTheme="minorEastAsia"/>
          <w:sz w:val="24"/>
          <w:szCs w:val="22"/>
          <w:lang w:eastAsia="zh-CN"/>
        </w:rPr>
      </w:pPr>
      <w:r>
        <w:rPr>
          <w:rFonts w:hint="eastAsia"/>
          <w:sz w:val="24"/>
          <w:szCs w:val="22"/>
        </w:rPr>
        <w:t>界面操作优化：需要支持人员档案标准文档导入，状态批量修改</w:t>
      </w:r>
      <w:r>
        <w:rPr>
          <w:rFonts w:hint="eastAsia"/>
          <w:sz w:val="24"/>
          <w:szCs w:val="22"/>
          <w:lang w:eastAsia="zh-CN"/>
        </w:rPr>
        <w:t>。</w:t>
      </w:r>
    </w:p>
    <w:p w14:paraId="754F221F">
      <w:pPr>
        <w:spacing w:line="360" w:lineRule="auto"/>
        <w:ind w:firstLine="482" w:firstLineChars="200"/>
        <w:rPr>
          <w:rFonts w:hint="eastAsia"/>
          <w:b/>
          <w:bCs/>
          <w:sz w:val="24"/>
          <w:szCs w:val="22"/>
        </w:rPr>
      </w:pPr>
      <w:r>
        <w:rPr>
          <w:rFonts w:hint="eastAsia"/>
          <w:b/>
          <w:bCs/>
          <w:sz w:val="24"/>
          <w:szCs w:val="22"/>
          <w:lang w:val="en-US" w:eastAsia="zh-CN"/>
        </w:rPr>
        <w:t>2、</w:t>
      </w:r>
      <w:r>
        <w:rPr>
          <w:rFonts w:hint="eastAsia"/>
          <w:b/>
          <w:bCs/>
          <w:sz w:val="24"/>
          <w:szCs w:val="22"/>
        </w:rPr>
        <w:t>结算规则</w:t>
      </w:r>
    </w:p>
    <w:p w14:paraId="3F6FB1A0">
      <w:pPr>
        <w:spacing w:line="360" w:lineRule="auto"/>
        <w:ind w:firstLine="480" w:firstLineChars="200"/>
        <w:rPr>
          <w:rFonts w:hint="eastAsia"/>
          <w:sz w:val="24"/>
          <w:szCs w:val="22"/>
        </w:rPr>
      </w:pPr>
      <w:r>
        <w:rPr>
          <w:rFonts w:hint="eastAsia"/>
          <w:sz w:val="24"/>
          <w:szCs w:val="22"/>
        </w:rPr>
        <w:t>结算规则新增参数：是否启用军区人员结算新规（门诊,住院）-是，否；</w:t>
      </w:r>
    </w:p>
    <w:p w14:paraId="02654A61">
      <w:pPr>
        <w:spacing w:line="360" w:lineRule="auto"/>
        <w:ind w:firstLine="480" w:firstLineChars="200"/>
        <w:rPr>
          <w:rFonts w:hint="eastAsia" w:eastAsiaTheme="minorEastAsia"/>
          <w:sz w:val="24"/>
          <w:szCs w:val="22"/>
          <w:lang w:eastAsia="zh-CN"/>
        </w:rPr>
      </w:pPr>
      <w:r>
        <w:rPr>
          <w:rFonts w:hint="eastAsia"/>
          <w:sz w:val="24"/>
          <w:szCs w:val="22"/>
        </w:rPr>
        <w:t>结算清单列新增【医院垫付金额】：门诊/住院的费用明细中如有必要新增垫付金额或相关标记</w:t>
      </w:r>
      <w:r>
        <w:rPr>
          <w:rFonts w:hint="eastAsia"/>
          <w:sz w:val="24"/>
          <w:szCs w:val="22"/>
          <w:lang w:eastAsia="zh-CN"/>
        </w:rPr>
        <w:t>。</w:t>
      </w:r>
    </w:p>
    <w:p w14:paraId="189B893A">
      <w:pPr>
        <w:spacing w:line="360" w:lineRule="auto"/>
        <w:ind w:firstLine="482" w:firstLineChars="200"/>
        <w:rPr>
          <w:rFonts w:hint="eastAsia"/>
          <w:b/>
          <w:bCs/>
          <w:sz w:val="24"/>
          <w:szCs w:val="22"/>
          <w:lang w:eastAsia="zh-CN"/>
        </w:rPr>
      </w:pPr>
      <w:r>
        <w:rPr>
          <w:rFonts w:hint="eastAsia"/>
          <w:b/>
          <w:bCs/>
          <w:sz w:val="24"/>
          <w:szCs w:val="22"/>
          <w:lang w:val="en-US" w:eastAsia="zh-CN"/>
        </w:rPr>
        <w:t>3、</w:t>
      </w:r>
      <w:r>
        <w:rPr>
          <w:rFonts w:hint="eastAsia"/>
          <w:b/>
          <w:bCs/>
          <w:sz w:val="24"/>
          <w:szCs w:val="22"/>
          <w:lang w:eastAsia="zh-CN"/>
        </w:rPr>
        <w:t>军区人员结算规则</w:t>
      </w:r>
    </w:p>
    <w:p w14:paraId="16C6832C">
      <w:pPr>
        <w:spacing w:line="360" w:lineRule="auto"/>
        <w:ind w:firstLine="480" w:firstLineChars="200"/>
        <w:rPr>
          <w:rFonts w:hint="eastAsia"/>
          <w:sz w:val="24"/>
          <w:szCs w:val="22"/>
          <w:lang w:eastAsia="zh-CN"/>
        </w:rPr>
      </w:pPr>
      <w:r>
        <w:rPr>
          <w:rFonts w:hint="eastAsia"/>
          <w:sz w:val="24"/>
          <w:szCs w:val="22"/>
          <w:lang w:eastAsia="zh-CN"/>
        </w:rPr>
        <w:t>核心约束前提：所有军区人员走医保结算时，强制屏蔽医保卡余额支付渠道，仅允许医院垫付或自费现金/转账支付。</w:t>
      </w:r>
    </w:p>
    <w:tbl>
      <w:tblPr>
        <w:tblStyle w:val="18"/>
        <w:tblW w:w="8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332"/>
        <w:gridCol w:w="1822"/>
        <w:gridCol w:w="3848"/>
      </w:tblGrid>
      <w:tr w14:paraId="2751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2DD6A103">
            <w:pPr>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人员类型</w:t>
            </w:r>
          </w:p>
        </w:tc>
        <w:tc>
          <w:tcPr>
            <w:tcW w:w="1332" w:type="dxa"/>
            <w:tcBorders>
              <w:bottom w:val="single" w:color="auto" w:sz="4" w:space="0"/>
            </w:tcBorders>
            <w:noWrap w:val="0"/>
            <w:vAlign w:val="top"/>
          </w:tcPr>
          <w:p w14:paraId="7753727D">
            <w:pPr>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结算场景</w:t>
            </w:r>
          </w:p>
        </w:tc>
        <w:tc>
          <w:tcPr>
            <w:tcW w:w="1822" w:type="dxa"/>
            <w:tcBorders>
              <w:bottom w:val="single" w:color="auto" w:sz="4" w:space="0"/>
            </w:tcBorders>
            <w:noWrap w:val="0"/>
            <w:vAlign w:val="top"/>
          </w:tcPr>
          <w:p w14:paraId="23CC6C99">
            <w:pPr>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自费范围</w:t>
            </w:r>
          </w:p>
        </w:tc>
        <w:tc>
          <w:tcPr>
            <w:tcW w:w="3848" w:type="dxa"/>
            <w:tcBorders>
              <w:bottom w:val="single" w:color="auto" w:sz="4" w:space="0"/>
            </w:tcBorders>
            <w:noWrap w:val="0"/>
            <w:vAlign w:val="top"/>
          </w:tcPr>
          <w:p w14:paraId="5137C561">
            <w:pPr>
              <w:spacing w:line="40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报销/垫付规则</w:t>
            </w:r>
          </w:p>
        </w:tc>
      </w:tr>
      <w:tr w14:paraId="1ADA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3EC07B3F">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现役军人</w:t>
            </w:r>
          </w:p>
        </w:tc>
        <w:tc>
          <w:tcPr>
            <w:tcW w:w="1332" w:type="dxa"/>
            <w:tcBorders>
              <w:bottom w:val="single" w:color="auto" w:sz="4" w:space="0"/>
            </w:tcBorders>
            <w:noWrap w:val="0"/>
            <w:vAlign w:val="top"/>
          </w:tcPr>
          <w:p w14:paraId="750183B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门诊/住院</w:t>
            </w:r>
          </w:p>
        </w:tc>
        <w:tc>
          <w:tcPr>
            <w:tcW w:w="1822" w:type="dxa"/>
            <w:tcBorders>
              <w:bottom w:val="single" w:color="auto" w:sz="4" w:space="0"/>
            </w:tcBorders>
            <w:noWrap w:val="0"/>
            <w:vAlign w:val="top"/>
          </w:tcPr>
          <w:p w14:paraId="3C85D460">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丙类药品+丙类项目</w:t>
            </w:r>
          </w:p>
        </w:tc>
        <w:tc>
          <w:tcPr>
            <w:tcW w:w="3848" w:type="dxa"/>
            <w:tcBorders>
              <w:bottom w:val="single" w:color="auto" w:sz="4" w:space="0"/>
            </w:tcBorders>
            <w:noWrap w:val="0"/>
            <w:vAlign w:val="top"/>
          </w:tcPr>
          <w:p w14:paraId="053BAD5E">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1.仅允许自费结算</w:t>
            </w:r>
          </w:p>
          <w:p w14:paraId="45620C17">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2.丙类费用个人承担，其余费用医院全额垫付</w:t>
            </w:r>
          </w:p>
          <w:p w14:paraId="12A3A3C8">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3.结算单标注“现役军人垫付”</w:t>
            </w:r>
          </w:p>
        </w:tc>
      </w:tr>
      <w:tr w14:paraId="3D6F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68AE986E">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文职军人</w:t>
            </w:r>
          </w:p>
        </w:tc>
        <w:tc>
          <w:tcPr>
            <w:tcW w:w="1332" w:type="dxa"/>
            <w:tcBorders>
              <w:bottom w:val="single" w:color="auto" w:sz="4" w:space="0"/>
            </w:tcBorders>
            <w:noWrap w:val="0"/>
            <w:vAlign w:val="top"/>
          </w:tcPr>
          <w:p w14:paraId="6580F2BB">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w:t>
            </w:r>
          </w:p>
        </w:tc>
        <w:tc>
          <w:tcPr>
            <w:tcW w:w="1822" w:type="dxa"/>
            <w:tcBorders>
              <w:bottom w:val="single" w:color="auto" w:sz="4" w:space="0"/>
            </w:tcBorders>
            <w:noWrap w:val="0"/>
            <w:vAlign w:val="top"/>
          </w:tcPr>
          <w:p w14:paraId="389A5E32">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丙类药品+丙类项目</w:t>
            </w:r>
          </w:p>
        </w:tc>
        <w:tc>
          <w:tcPr>
            <w:tcW w:w="3848" w:type="dxa"/>
            <w:tcBorders>
              <w:bottom w:val="single" w:color="auto" w:sz="4" w:space="0"/>
            </w:tcBorders>
            <w:noWrap w:val="0"/>
            <w:vAlign w:val="top"/>
          </w:tcPr>
          <w:p w14:paraId="6AE5C92B">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1.走医保结算（屏蔽医保卡余额）</w:t>
            </w:r>
          </w:p>
          <w:p w14:paraId="587950EC">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2.丙类费用个人承担，其余医院垫付</w:t>
            </w:r>
          </w:p>
        </w:tc>
      </w:tr>
      <w:tr w14:paraId="2E55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266582C8">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文职军人</w:t>
            </w:r>
          </w:p>
        </w:tc>
        <w:tc>
          <w:tcPr>
            <w:tcW w:w="1332" w:type="dxa"/>
            <w:tcBorders>
              <w:bottom w:val="single" w:color="auto" w:sz="4" w:space="0"/>
            </w:tcBorders>
            <w:noWrap w:val="0"/>
            <w:vAlign w:val="top"/>
          </w:tcPr>
          <w:p w14:paraId="3BF276F9">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w:t>
            </w:r>
          </w:p>
        </w:tc>
        <w:tc>
          <w:tcPr>
            <w:tcW w:w="1822" w:type="dxa"/>
            <w:tcBorders>
              <w:bottom w:val="single" w:color="auto" w:sz="4" w:space="0"/>
            </w:tcBorders>
            <w:noWrap w:val="0"/>
            <w:vAlign w:val="top"/>
          </w:tcPr>
          <w:p w14:paraId="417BA3D6">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起付线+丙类药品+丙类项目</w:t>
            </w:r>
          </w:p>
        </w:tc>
        <w:tc>
          <w:tcPr>
            <w:tcW w:w="3848" w:type="dxa"/>
            <w:tcBorders>
              <w:bottom w:val="single" w:color="auto" w:sz="4" w:space="0"/>
            </w:tcBorders>
            <w:noWrap w:val="0"/>
            <w:vAlign w:val="top"/>
          </w:tcPr>
          <w:p w14:paraId="239D19C7">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1.走医保结算（屏蔽医保卡余额）</w:t>
            </w:r>
          </w:p>
          <w:p w14:paraId="12ACD419">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2.起付线+丙类费用个人承担，其余医院垫付</w:t>
            </w:r>
          </w:p>
        </w:tc>
      </w:tr>
      <w:tr w14:paraId="2CA1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27A3484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军人家属</w:t>
            </w:r>
          </w:p>
        </w:tc>
        <w:tc>
          <w:tcPr>
            <w:tcW w:w="1332" w:type="dxa"/>
            <w:tcBorders>
              <w:bottom w:val="single" w:color="auto" w:sz="4" w:space="0"/>
            </w:tcBorders>
            <w:noWrap w:val="0"/>
            <w:vAlign w:val="top"/>
          </w:tcPr>
          <w:p w14:paraId="3310D315">
            <w:pPr>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门诊（医保结算）</w:t>
            </w:r>
          </w:p>
        </w:tc>
        <w:tc>
          <w:tcPr>
            <w:tcW w:w="1822" w:type="dxa"/>
            <w:tcBorders>
              <w:bottom w:val="single" w:color="auto" w:sz="4" w:space="0"/>
            </w:tcBorders>
            <w:noWrap w:val="0"/>
            <w:vAlign w:val="top"/>
          </w:tcPr>
          <w:p w14:paraId="38E339F9">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丙类药品+丙类项目</w:t>
            </w:r>
          </w:p>
        </w:tc>
        <w:tc>
          <w:tcPr>
            <w:tcW w:w="3848" w:type="dxa"/>
            <w:tcBorders>
              <w:bottom w:val="single" w:color="auto" w:sz="4" w:space="0"/>
            </w:tcBorders>
            <w:noWrap w:val="0"/>
            <w:vAlign w:val="top"/>
          </w:tcPr>
          <w:p w14:paraId="29FF3D1D">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1.走医保结算（屏蔽医保卡余额）</w:t>
            </w:r>
          </w:p>
          <w:p w14:paraId="53FF7D77">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2.丙类费用个人承担，其余医院垫付</w:t>
            </w:r>
          </w:p>
        </w:tc>
      </w:tr>
      <w:tr w14:paraId="6CBF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0AF4CD44">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军人家属</w:t>
            </w:r>
          </w:p>
        </w:tc>
        <w:tc>
          <w:tcPr>
            <w:tcW w:w="1332" w:type="dxa"/>
            <w:tcBorders>
              <w:bottom w:val="single" w:color="auto" w:sz="4" w:space="0"/>
            </w:tcBorders>
            <w:noWrap w:val="0"/>
            <w:vAlign w:val="top"/>
          </w:tcPr>
          <w:p w14:paraId="5377611E">
            <w:pPr>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住院（医保结算）</w:t>
            </w:r>
          </w:p>
        </w:tc>
        <w:tc>
          <w:tcPr>
            <w:tcW w:w="1822" w:type="dxa"/>
            <w:tcBorders>
              <w:bottom w:val="single" w:color="auto" w:sz="4" w:space="0"/>
            </w:tcBorders>
            <w:noWrap w:val="0"/>
            <w:vAlign w:val="top"/>
          </w:tcPr>
          <w:p w14:paraId="408A50B0">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起付线+丙类药品+丙类项目</w:t>
            </w:r>
          </w:p>
        </w:tc>
        <w:tc>
          <w:tcPr>
            <w:tcW w:w="3848" w:type="dxa"/>
            <w:tcBorders>
              <w:bottom w:val="single" w:color="auto" w:sz="4" w:space="0"/>
            </w:tcBorders>
            <w:noWrap w:val="0"/>
            <w:vAlign w:val="top"/>
          </w:tcPr>
          <w:p w14:paraId="7AA7F4BA">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1.走医保结算（屏蔽医保卡余额）</w:t>
            </w:r>
          </w:p>
          <w:p w14:paraId="2844EEA1">
            <w:pPr>
              <w:numPr>
                <w:ilvl w:val="0"/>
                <w:numId w:val="0"/>
              </w:num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2.起付线+丙类费用个人承担，其余医院垫付</w:t>
            </w:r>
          </w:p>
        </w:tc>
      </w:tr>
      <w:tr w14:paraId="02D1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347" w:type="dxa"/>
            <w:tcBorders>
              <w:bottom w:val="single" w:color="auto" w:sz="4" w:space="0"/>
            </w:tcBorders>
            <w:noWrap w:val="0"/>
            <w:vAlign w:val="top"/>
          </w:tcPr>
          <w:p w14:paraId="48060827">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军人家属</w:t>
            </w:r>
          </w:p>
        </w:tc>
        <w:tc>
          <w:tcPr>
            <w:tcW w:w="1332" w:type="dxa"/>
            <w:tcBorders>
              <w:bottom w:val="single" w:color="auto" w:sz="4" w:space="0"/>
            </w:tcBorders>
            <w:noWrap w:val="0"/>
            <w:vAlign w:val="top"/>
          </w:tcPr>
          <w:p w14:paraId="1DB11984">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门诊/住院（自费结算）</w:t>
            </w:r>
          </w:p>
        </w:tc>
        <w:tc>
          <w:tcPr>
            <w:tcW w:w="1822" w:type="dxa"/>
            <w:tcBorders>
              <w:bottom w:val="single" w:color="auto" w:sz="4" w:space="0"/>
            </w:tcBorders>
            <w:noWrap w:val="0"/>
            <w:vAlign w:val="top"/>
          </w:tcPr>
          <w:p w14:paraId="1B85735C">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全额费用</w:t>
            </w:r>
          </w:p>
        </w:tc>
        <w:tc>
          <w:tcPr>
            <w:tcW w:w="3848" w:type="dxa"/>
            <w:tcBorders>
              <w:bottom w:val="single" w:color="auto" w:sz="4" w:space="0"/>
            </w:tcBorders>
            <w:noWrap w:val="0"/>
            <w:vAlign w:val="top"/>
          </w:tcPr>
          <w:p w14:paraId="172990A4">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1.个人全额自费支付</w:t>
            </w:r>
          </w:p>
          <w:p w14:paraId="0DB71CEB">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2.结算单标注“部队报销专用”，明细需完整</w:t>
            </w:r>
          </w:p>
        </w:tc>
      </w:tr>
    </w:tbl>
    <w:p w14:paraId="0F99D1BF">
      <w:pPr>
        <w:spacing w:line="360" w:lineRule="auto"/>
        <w:ind w:firstLine="482" w:firstLineChars="200"/>
        <w:rPr>
          <w:rFonts w:hint="default"/>
          <w:b/>
          <w:bCs/>
          <w:sz w:val="24"/>
          <w:szCs w:val="22"/>
          <w:lang w:val="en-US" w:eastAsia="zh-CN"/>
        </w:rPr>
      </w:pPr>
      <w:r>
        <w:rPr>
          <w:rFonts w:hint="eastAsia"/>
          <w:b/>
          <w:bCs/>
          <w:sz w:val="24"/>
          <w:szCs w:val="22"/>
          <w:lang w:val="en-US" w:eastAsia="zh-CN"/>
        </w:rPr>
        <w:t>4、业务报表改造或新增</w:t>
      </w:r>
    </w:p>
    <w:p w14:paraId="6B6134B1">
      <w:pPr>
        <w:numPr>
          <w:ilvl w:val="0"/>
          <w:numId w:val="0"/>
        </w:numPr>
        <w:spacing w:line="360" w:lineRule="auto"/>
        <w:ind w:firstLine="480" w:firstLineChars="200"/>
        <w:rPr>
          <w:rFonts w:hint="eastAsia"/>
          <w:sz w:val="24"/>
          <w:szCs w:val="22"/>
          <w:lang w:eastAsia="zh-CN"/>
        </w:rPr>
      </w:pPr>
      <w:r>
        <w:rPr>
          <w:rFonts w:hint="eastAsia"/>
          <w:sz w:val="24"/>
          <w:szCs w:val="22"/>
          <w:lang w:eastAsia="zh-CN"/>
        </w:rPr>
        <w:t>涉及结算的收费员日结报表改造、外挂报表改造或新增财务要求的关联报表。</w:t>
      </w:r>
    </w:p>
    <w:p w14:paraId="69F92B5C">
      <w:pPr>
        <w:spacing w:line="360" w:lineRule="auto"/>
        <w:ind w:firstLine="482" w:firstLineChars="200"/>
        <w:rPr>
          <w:rFonts w:hint="eastAsia"/>
          <w:b/>
          <w:bCs/>
          <w:sz w:val="24"/>
          <w:szCs w:val="22"/>
          <w:lang w:val="en-US" w:eastAsia="zh-CN"/>
        </w:rPr>
      </w:pPr>
      <w:r>
        <w:rPr>
          <w:rFonts w:hint="eastAsia"/>
          <w:b/>
          <w:bCs/>
          <w:sz w:val="24"/>
          <w:szCs w:val="22"/>
          <w:lang w:val="en-US" w:eastAsia="zh-CN"/>
        </w:rPr>
        <w:t>5、收费小项目设置</w:t>
      </w:r>
    </w:p>
    <w:p w14:paraId="77B06E98">
      <w:pPr>
        <w:numPr>
          <w:ilvl w:val="0"/>
          <w:numId w:val="0"/>
        </w:numPr>
        <w:spacing w:line="360" w:lineRule="auto"/>
        <w:ind w:left="0" w:leftChars="0" w:firstLine="480" w:firstLineChars="200"/>
        <w:rPr>
          <w:rFonts w:hint="eastAsia"/>
          <w:sz w:val="24"/>
          <w:szCs w:val="22"/>
          <w:lang w:eastAsia="zh-CN"/>
        </w:rPr>
      </w:pPr>
      <w:r>
        <w:rPr>
          <w:rFonts w:hint="eastAsia"/>
          <w:sz w:val="24"/>
          <w:szCs w:val="22"/>
          <w:lang w:eastAsia="zh-CN"/>
        </w:rPr>
        <w:t>增加列【医保属性】-甲乙丙属性。</w:t>
      </w:r>
    </w:p>
    <w:p w14:paraId="453EB0F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default" w:ascii="仿宋_GB2312" w:eastAsia="仿宋_GB2312" w:cs="仿宋_GB2312"/>
          <w:bCs/>
          <w:color w:val="auto"/>
          <w:kern w:val="0"/>
          <w:sz w:val="28"/>
          <w:szCs w:val="28"/>
          <w:lang w:val="en-US" w:eastAsia="zh-CN" w:bidi="ar-SA"/>
        </w:rPr>
      </w:pPr>
      <w:bookmarkStart w:id="4" w:name="_GoBack"/>
      <w:bookmarkEnd w:id="4"/>
    </w:p>
    <w:p w14:paraId="605014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6120B7CD">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479798AD">
      <w:pPr>
        <w:pStyle w:val="6"/>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eastAsia" w:ascii="仿宋" w:hAnsi="仿宋" w:eastAsia="仿宋" w:cs="仿宋"/>
          <w:sz w:val="24"/>
        </w:rPr>
      </w:pPr>
      <w:r>
        <w:rPr>
          <w:rFonts w:hint="eastAsia" w:ascii="仿宋_GB2312" w:eastAsia="仿宋_GB2312" w:cs="仿宋_GB2312"/>
          <w:bCs/>
          <w:color w:val="auto"/>
          <w:kern w:val="0"/>
          <w:sz w:val="28"/>
          <w:szCs w:val="28"/>
          <w:lang w:val="en-US" w:eastAsia="zh-CN" w:bidi="ar-SA"/>
        </w:rPr>
        <w:br w:type="page"/>
      </w:r>
    </w:p>
    <w:p w14:paraId="310156A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1"/>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6E861038">
      <w:pPr>
        <w:adjustRightInd w:val="0"/>
        <w:snapToGrid w:val="0"/>
        <w:spacing w:line="360" w:lineRule="auto"/>
        <w:jc w:val="center"/>
        <w:rPr>
          <w:rFonts w:hint="eastAsia" w:ascii="宋体" w:hAnsi="宋体" w:cs="宋体"/>
          <w:b/>
          <w:color w:val="auto"/>
          <w:sz w:val="28"/>
          <w:szCs w:val="28"/>
        </w:rPr>
      </w:pPr>
    </w:p>
    <w:p w14:paraId="016E7C72">
      <w:pPr>
        <w:adjustRightInd w:val="0"/>
        <w:snapToGrid w:val="0"/>
        <w:spacing w:line="360" w:lineRule="auto"/>
        <w:jc w:val="center"/>
        <w:rPr>
          <w:rFonts w:hint="eastAsia" w:ascii="宋体" w:hAnsi="宋体" w:cs="宋体"/>
          <w:b/>
          <w:color w:val="auto"/>
          <w:sz w:val="28"/>
          <w:szCs w:val="28"/>
        </w:rPr>
      </w:pPr>
    </w:p>
    <w:p w14:paraId="6B663503">
      <w:pPr>
        <w:adjustRightInd w:val="0"/>
        <w:snapToGrid w:val="0"/>
        <w:spacing w:line="360" w:lineRule="auto"/>
        <w:jc w:val="center"/>
        <w:rPr>
          <w:rFonts w:hint="eastAsia" w:ascii="宋体" w:hAnsi="宋体" w:cs="宋体"/>
          <w:b/>
          <w:color w:val="auto"/>
          <w:sz w:val="28"/>
          <w:szCs w:val="28"/>
        </w:rPr>
      </w:pPr>
    </w:p>
    <w:p w14:paraId="675508EA">
      <w:pPr>
        <w:adjustRightInd w:val="0"/>
        <w:snapToGrid w:val="0"/>
        <w:spacing w:line="360" w:lineRule="auto"/>
        <w:jc w:val="center"/>
        <w:rPr>
          <w:rFonts w:hint="eastAsia" w:ascii="宋体" w:hAnsi="宋体" w:cs="宋体"/>
          <w:b/>
          <w:color w:val="auto"/>
          <w:sz w:val="28"/>
          <w:szCs w:val="28"/>
        </w:rPr>
      </w:pPr>
    </w:p>
    <w:p w14:paraId="49D012BE">
      <w:pPr>
        <w:adjustRightInd w:val="0"/>
        <w:snapToGrid w:val="0"/>
        <w:spacing w:line="360" w:lineRule="auto"/>
        <w:jc w:val="center"/>
        <w:rPr>
          <w:rFonts w:hint="eastAsia" w:ascii="宋体" w:hAnsi="宋体" w:cs="宋体"/>
          <w:b/>
          <w:color w:val="auto"/>
          <w:sz w:val="28"/>
          <w:szCs w:val="28"/>
        </w:rPr>
      </w:pP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20"/>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303C4822">
      <w:pPr>
        <w:pStyle w:val="20"/>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D92F">
    <w:pPr>
      <w:pStyle w:val="11"/>
      <w:rPr>
        <w:rFonts w:hint="eastAsia" w:ascii="仿宋_GB2312" w:eastAsia="仿宋_GB2312"/>
        <w:bCs/>
        <w:u w:val="single"/>
        <w:lang w:eastAsia="zh-CN"/>
      </w:rPr>
    </w:pPr>
  </w:p>
  <w:p w14:paraId="343FFF2A">
    <w:pPr>
      <w:adjustRightInd w:val="0"/>
      <w:snapToGrid w:val="0"/>
      <w:spacing w:line="260" w:lineRule="atLeast"/>
      <w:ind w:left="482" w:hanging="482"/>
      <w:rPr>
        <w:rFonts w:hint="eastAsia" w:ascii="宋体" w:hAnsi="宋体"/>
        <w:kern w:val="0"/>
        <w:sz w:val="18"/>
        <w:szCs w:val="21"/>
      </w:rPr>
    </w:pPr>
  </w:p>
  <w:p w14:paraId="48F090E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1"/>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1"/>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80A233D"/>
    <w:rsid w:val="0CD76D15"/>
    <w:rsid w:val="0DE6784F"/>
    <w:rsid w:val="11D54941"/>
    <w:rsid w:val="1A994656"/>
    <w:rsid w:val="1AF44B94"/>
    <w:rsid w:val="1DED7D4A"/>
    <w:rsid w:val="1E42670E"/>
    <w:rsid w:val="1E6569FA"/>
    <w:rsid w:val="244F0832"/>
    <w:rsid w:val="24EC6239"/>
    <w:rsid w:val="29197D6C"/>
    <w:rsid w:val="2E4C6453"/>
    <w:rsid w:val="30335E85"/>
    <w:rsid w:val="306D2D50"/>
    <w:rsid w:val="30D86127"/>
    <w:rsid w:val="310A0554"/>
    <w:rsid w:val="31E2162D"/>
    <w:rsid w:val="31ED215A"/>
    <w:rsid w:val="362565DA"/>
    <w:rsid w:val="39A56847"/>
    <w:rsid w:val="41E0182A"/>
    <w:rsid w:val="49EE5740"/>
    <w:rsid w:val="4BF81337"/>
    <w:rsid w:val="4C4362B9"/>
    <w:rsid w:val="4F497B3F"/>
    <w:rsid w:val="52DF797D"/>
    <w:rsid w:val="531815DA"/>
    <w:rsid w:val="579266BB"/>
    <w:rsid w:val="5B06514F"/>
    <w:rsid w:val="5C6D699E"/>
    <w:rsid w:val="5E95175A"/>
    <w:rsid w:val="5FB1336B"/>
    <w:rsid w:val="664909F8"/>
    <w:rsid w:val="6946276E"/>
    <w:rsid w:val="6A1039F0"/>
    <w:rsid w:val="70E07E96"/>
    <w:rsid w:val="748B1A17"/>
    <w:rsid w:val="74B775E4"/>
    <w:rsid w:val="7666529B"/>
    <w:rsid w:val="76FA0E2C"/>
    <w:rsid w:val="7A086A6F"/>
    <w:rsid w:val="7DC94074"/>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5"/>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2515</Words>
  <Characters>2582</Characters>
  <Lines>0</Lines>
  <Paragraphs>0</Paragraphs>
  <TotalTime>0</TotalTime>
  <ScaleCrop>false</ScaleCrop>
  <LinksUpToDate>false</LinksUpToDate>
  <CharactersWithSpaces>2583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2026-05-28T03:31:01Z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