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5"/>
        <w:snapToGrid w:val="0"/>
        <w:jc w:val="center"/>
        <w:rPr>
          <w:rFonts w:hint="eastAsia" w:ascii="Arial" w:hAnsi="Arial" w:eastAsia="方正小标宋简体" w:cs="Arial"/>
          <w:color w:val="auto"/>
          <w:sz w:val="72"/>
          <w:szCs w:val="72"/>
        </w:rPr>
      </w:pPr>
      <w:bookmarkStart w:id="0" w:name="_Toc16523570"/>
    </w:p>
    <w:p w14:paraId="36822329">
      <w:pPr>
        <w:pStyle w:val="5"/>
        <w:snapToGrid w:val="0"/>
        <w:jc w:val="center"/>
        <w:rPr>
          <w:rFonts w:hint="eastAsia" w:ascii="Arial" w:hAnsi="Arial" w:eastAsia="方正小标宋简体" w:cs="Arial"/>
          <w:color w:val="auto"/>
          <w:sz w:val="72"/>
          <w:szCs w:val="72"/>
        </w:rPr>
      </w:pPr>
      <w:r>
        <w:rPr>
          <w:rFonts w:hint="eastAsia" w:ascii="Arial" w:hAnsi="Arial" w:eastAsia="方正小标宋简体" w:cs="Arial"/>
          <w:color w:val="auto"/>
          <w:sz w:val="72"/>
          <w:szCs w:val="72"/>
        </w:rPr>
        <w:t>娄底市中心医院</w:t>
      </w:r>
    </w:p>
    <w:p w14:paraId="735A3AC2">
      <w:pPr>
        <w:pStyle w:val="5"/>
        <w:snapToGrid w:val="0"/>
        <w:jc w:val="center"/>
        <w:rPr>
          <w:rFonts w:hint="eastAsia" w:ascii="Arial" w:hAnsi="Arial" w:eastAsia="方正小标宋简体" w:cs="Arial"/>
          <w:color w:val="auto"/>
          <w:sz w:val="72"/>
          <w:szCs w:val="72"/>
        </w:rPr>
      </w:pPr>
    </w:p>
    <w:p w14:paraId="3A869CB6">
      <w:pPr>
        <w:pStyle w:val="5"/>
        <w:snapToGrid w:val="0"/>
        <w:jc w:val="center"/>
        <w:rPr>
          <w:rFonts w:hint="eastAsia" w:ascii="Arial" w:hAnsi="Arial" w:eastAsia="方正小标宋简体" w:cs="Arial"/>
          <w:color w:val="auto"/>
          <w:sz w:val="72"/>
          <w:szCs w:val="72"/>
        </w:rPr>
      </w:pPr>
    </w:p>
    <w:p w14:paraId="6308C621">
      <w:pPr>
        <w:pStyle w:val="5"/>
        <w:snapToGrid w:val="0"/>
        <w:jc w:val="center"/>
        <w:rPr>
          <w:rFonts w:hint="eastAsia" w:ascii="Arial" w:hAnsi="Arial" w:eastAsia="方正小标宋简体" w:cs="Arial"/>
          <w:color w:val="auto"/>
          <w:sz w:val="72"/>
          <w:szCs w:val="72"/>
        </w:rPr>
      </w:pPr>
    </w:p>
    <w:p w14:paraId="77BAE459">
      <w:pPr>
        <w:pStyle w:val="5"/>
        <w:snapToGrid w:val="0"/>
        <w:jc w:val="center"/>
        <w:rPr>
          <w:rFonts w:ascii="Arial" w:hAnsi="Arial" w:eastAsia="方正小标宋简体" w:cs="Arial"/>
          <w:color w:val="auto"/>
          <w:sz w:val="36"/>
          <w:szCs w:val="36"/>
        </w:rPr>
      </w:pPr>
      <w:r>
        <w:rPr>
          <w:rFonts w:hint="eastAsia" w:ascii="Arial" w:hAnsi="Arial" w:eastAsia="方正小标宋简体" w:cs="Arial"/>
          <w:color w:val="auto"/>
          <w:sz w:val="72"/>
          <w:szCs w:val="72"/>
          <w:lang w:val="en-US" w:eastAsia="zh-CN"/>
        </w:rPr>
        <w:t>采购</w:t>
      </w:r>
      <w:r>
        <w:rPr>
          <w:rFonts w:ascii="Arial" w:hAnsi="Arial" w:eastAsia="方正小标宋简体" w:cs="Arial"/>
          <w:color w:val="auto"/>
          <w:sz w:val="72"/>
          <w:szCs w:val="72"/>
        </w:rPr>
        <w:t>文件</w:t>
      </w:r>
    </w:p>
    <w:p w14:paraId="347B5448">
      <w:pPr>
        <w:pStyle w:val="5"/>
        <w:snapToGrid w:val="0"/>
        <w:jc w:val="center"/>
        <w:rPr>
          <w:rFonts w:ascii="Arial" w:hAnsi="Arial" w:cs="Arial"/>
          <w:color w:val="auto"/>
          <w:sz w:val="32"/>
          <w:szCs w:val="32"/>
        </w:rPr>
      </w:pPr>
    </w:p>
    <w:p w14:paraId="2131F55F">
      <w:pPr>
        <w:pStyle w:val="6"/>
        <w:rPr>
          <w:rFonts w:ascii="Arial" w:hAnsi="Arial" w:cs="Arial"/>
          <w:color w:val="auto"/>
          <w:sz w:val="32"/>
          <w:szCs w:val="32"/>
        </w:rPr>
      </w:pPr>
    </w:p>
    <w:p w14:paraId="172E63A8">
      <w:pPr>
        <w:pStyle w:val="7"/>
        <w:rPr>
          <w:rFonts w:ascii="Arial" w:hAnsi="Arial" w:cs="Arial"/>
          <w:color w:val="auto"/>
          <w:sz w:val="32"/>
          <w:szCs w:val="32"/>
        </w:rPr>
      </w:pPr>
    </w:p>
    <w:p w14:paraId="36F01534">
      <w:pPr>
        <w:pStyle w:val="7"/>
        <w:rPr>
          <w:rFonts w:ascii="Arial" w:hAnsi="Arial" w:cs="Arial"/>
          <w:color w:val="auto"/>
          <w:sz w:val="32"/>
          <w:szCs w:val="32"/>
        </w:rPr>
      </w:pPr>
    </w:p>
    <w:p w14:paraId="4BCE7A98">
      <w:pPr>
        <w:pStyle w:val="7"/>
        <w:rPr>
          <w:rFonts w:ascii="Arial" w:hAnsi="Arial" w:cs="Arial"/>
          <w:color w:val="auto"/>
          <w:sz w:val="32"/>
          <w:szCs w:val="32"/>
        </w:rPr>
      </w:pPr>
    </w:p>
    <w:p w14:paraId="6C8100B0">
      <w:pPr>
        <w:pStyle w:val="7"/>
        <w:rPr>
          <w:rFonts w:ascii="Arial" w:hAnsi="Arial" w:cs="Arial"/>
          <w:color w:val="auto"/>
          <w:sz w:val="32"/>
          <w:szCs w:val="32"/>
        </w:rPr>
      </w:pPr>
    </w:p>
    <w:p w14:paraId="37C2D5A4">
      <w:pPr>
        <w:pStyle w:val="7"/>
        <w:rPr>
          <w:rFonts w:ascii="Arial" w:hAnsi="Arial" w:cs="Arial"/>
          <w:color w:val="auto"/>
          <w:sz w:val="32"/>
          <w:szCs w:val="32"/>
        </w:rPr>
      </w:pPr>
    </w:p>
    <w:p w14:paraId="7E1F68C4">
      <w:pPr>
        <w:pStyle w:val="7"/>
        <w:rPr>
          <w:rFonts w:ascii="Arial" w:hAnsi="Arial" w:cs="Arial"/>
          <w:color w:val="auto"/>
          <w:sz w:val="32"/>
          <w:szCs w:val="32"/>
        </w:rPr>
      </w:pPr>
    </w:p>
    <w:p w14:paraId="666BCD9A">
      <w:pPr>
        <w:pStyle w:val="7"/>
        <w:rPr>
          <w:rFonts w:ascii="Arial" w:hAnsi="Arial" w:cs="Arial"/>
          <w:color w:val="auto"/>
          <w:sz w:val="32"/>
          <w:szCs w:val="32"/>
        </w:rPr>
      </w:pPr>
    </w:p>
    <w:p w14:paraId="6CB66431">
      <w:pPr>
        <w:pStyle w:val="5"/>
        <w:snapToGrid w:val="0"/>
        <w:jc w:val="center"/>
        <w:rPr>
          <w:rFonts w:ascii="Arial" w:hAnsi="Arial" w:cs="Arial"/>
          <w:color w:val="auto"/>
          <w:sz w:val="32"/>
          <w:szCs w:val="32"/>
        </w:rPr>
      </w:pPr>
    </w:p>
    <w:p w14:paraId="2E420D01">
      <w:pPr>
        <w:pStyle w:val="5"/>
        <w:snapToGrid w:val="0"/>
        <w:jc w:val="center"/>
        <w:rPr>
          <w:rFonts w:ascii="Arial" w:hAnsi="Arial" w:cs="Arial"/>
          <w:color w:val="auto"/>
          <w:sz w:val="32"/>
          <w:szCs w:val="32"/>
        </w:rPr>
      </w:pPr>
    </w:p>
    <w:p w14:paraId="331534E3">
      <w:pPr>
        <w:spacing w:line="360" w:lineRule="auto"/>
        <w:rPr>
          <w:rFonts w:hint="eastAsia"/>
          <w:bCs/>
          <w:color w:val="auto"/>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娄底市中心医院设备科采购项目</w:t>
      </w:r>
    </w:p>
    <w:p w14:paraId="414399B7">
      <w:pPr>
        <w:pStyle w:val="12"/>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b/>
          <w:bCs/>
          <w:color w:val="auto"/>
          <w:kern w:val="44"/>
          <w:sz w:val="32"/>
          <w:szCs w:val="32"/>
          <w:lang w:val="en-US" w:eastAsia="zh-CN" w:bidi="ar-SA"/>
        </w:rPr>
      </w:pPr>
      <w:r>
        <w:rPr>
          <w:rFonts w:hint="eastAsia" w:ascii="Times New Roman" w:hAnsi="Times New Roman" w:eastAsia="宋体" w:cs="Times New Roman"/>
          <w:b/>
          <w:bCs/>
          <w:color w:val="auto"/>
          <w:kern w:val="44"/>
          <w:sz w:val="32"/>
          <w:szCs w:val="32"/>
          <w:lang w:val="en-US" w:eastAsia="zh-CN" w:bidi="ar-SA"/>
        </w:rPr>
        <w:t>（液氧罐采购安装项目医院公开挂网）</w:t>
      </w:r>
    </w:p>
    <w:p w14:paraId="01899626">
      <w:pPr>
        <w:spacing w:line="320" w:lineRule="exact"/>
        <w:jc w:val="left"/>
        <w:rPr>
          <w:color w:val="auto"/>
          <w:sz w:val="24"/>
        </w:rPr>
      </w:pPr>
    </w:p>
    <w:p w14:paraId="4C8F14D9">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2"/>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bCs/>
          <w:color w:val="auto"/>
          <w:sz w:val="24"/>
          <w:szCs w:val="24"/>
          <w:lang w:val="en-US" w:eastAsia="zh-CN"/>
        </w:rPr>
      </w:pPr>
      <w:r>
        <w:rPr>
          <w:color w:val="auto"/>
          <w:u w:val="single"/>
        </w:rPr>
        <w:t>液氧罐采购安装</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imes New Roman" w:hAnsi="Times New Roman" w:eastAsia="宋体" w:cs="Times New Roman"/>
          <w:color w:val="auto"/>
          <w:kern w:val="0"/>
          <w:sz w:val="24"/>
          <w:szCs w:val="24"/>
          <w:u w:val="single"/>
          <w:lang w:val="en-US" w:eastAsia="zh-CN" w:bidi="ar"/>
        </w:rPr>
        <w:t>：</w:t>
      </w:r>
      <w:r>
        <w:rPr>
          <w:rFonts w:ascii="Times New Roman" w:hAnsi="Times New Roman" w:eastAsia="宋体" w:cs="Times New Roman"/>
          <w:color w:val="auto"/>
          <w:kern w:val="0"/>
          <w:sz w:val="24"/>
          <w:szCs w:val="24"/>
          <w:u w:val="single"/>
          <w:lang w:val="en-US" w:eastAsia="zh-CN" w:bidi="ar"/>
        </w:rPr>
        <w:t>液氧罐采购安装</w:t>
      </w:r>
      <w:r>
        <w:rPr>
          <w:rFonts w:hint="eastAsia" w:ascii="Times New Roman" w:hAnsi="Times New Roman" w:eastAsia="宋体" w:cs="Times New Roman"/>
          <w:color w:val="auto"/>
          <w:kern w:val="0"/>
          <w:sz w:val="24"/>
          <w:szCs w:val="24"/>
          <w:u w:val="single"/>
          <w:lang w:val="en-US" w:eastAsia="zh-CN" w:bidi="ar"/>
        </w:rPr>
        <w:t>项目</w:t>
      </w:r>
    </w:p>
    <w:p w14:paraId="6554C114">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C1AAC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15F9971">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6、具备建设行政主管部门颁发的建筑机电安装工程专业</w:t>
      </w:r>
      <w:r>
        <w:rPr>
          <w:rFonts w:hint="eastAsia" w:asciiTheme="minorEastAsia" w:hAnsiTheme="minorEastAsia" w:eastAsiaTheme="minorEastAsia" w:cstheme="minorEastAsia"/>
          <w:b w:val="0"/>
          <w:bCs/>
          <w:color w:val="auto"/>
          <w:sz w:val="24"/>
          <w:szCs w:val="24"/>
          <w:highlight w:val="none"/>
          <w:lang w:val="en-US" w:eastAsia="zh-CN" w:bidi="ar-SA"/>
        </w:rPr>
        <w:t>承包（三级）及以</w:t>
      </w:r>
      <w:r>
        <w:rPr>
          <w:rFonts w:hint="eastAsia" w:asciiTheme="minorEastAsia" w:hAnsiTheme="minorEastAsia" w:eastAsiaTheme="minorEastAsia" w:cstheme="minorEastAsia"/>
          <w:b w:val="0"/>
          <w:bCs/>
          <w:color w:val="auto"/>
          <w:sz w:val="24"/>
          <w:szCs w:val="24"/>
          <w:lang w:val="en-US" w:eastAsia="zh-CN" w:bidi="ar-SA"/>
        </w:rPr>
        <w:t>上资质且证书处于有效期内，安全生产许可证处于有效期；并在人员、设备、资金等方面具备相应的施工能力。投标人须具备中华人民共和国特种设备安装改造维修许可证（压力管道）GC2 级或中华人民共和国特种设备生产许可证（压力管道）GC2 级及以上资质。</w:t>
      </w:r>
    </w:p>
    <w:p w14:paraId="16AC8546">
      <w:pPr>
        <w:pStyle w:val="6"/>
        <w:jc w:val="left"/>
        <w:rPr>
          <w:rFonts w:hint="default"/>
          <w:color w:val="auto"/>
          <w:lang w:val="en-US" w:eastAsia="zh-CN"/>
        </w:rPr>
      </w:pPr>
    </w:p>
    <w:p w14:paraId="26A80EA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6DC3C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6FD0A4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0857D07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3A8E88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bCs/>
          <w:color w:val="auto"/>
          <w:sz w:val="44"/>
          <w:szCs w:val="4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4475D31F">
      <w:pPr>
        <w:pStyle w:val="7"/>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7"/>
        <w:rPr>
          <w:rFonts w:hint="eastAsia"/>
          <w:color w:val="auto"/>
          <w:lang w:val="en-US" w:eastAsia="zh-CN"/>
        </w:rPr>
      </w:pPr>
    </w:p>
    <w:p w14:paraId="7DFCC22E">
      <w:pPr>
        <w:rPr>
          <w:rFonts w:hint="eastAsia"/>
          <w:color w:val="auto"/>
          <w:lang w:val="en-US" w:eastAsia="zh-CN"/>
        </w:rPr>
      </w:pPr>
      <w:r>
        <w:rPr>
          <w:rFonts w:hint="eastAsia"/>
          <w:color w:val="auto"/>
          <w:lang w:val="en-US" w:eastAsia="zh-CN"/>
        </w:rPr>
        <w:br w:type="page"/>
      </w:r>
    </w:p>
    <w:p w14:paraId="0DFAAEDB">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2" w:firstLineChars="200"/>
        <w:rPr>
          <w:rFonts w:hint="eastAsia" w:asciiTheme="minorEastAsia" w:hAnsiTheme="minorEastAsia" w:eastAsiaTheme="minorEastAsia" w:cstheme="minorEastAsia"/>
          <w:b/>
          <w:bCs w:val="0"/>
          <w:color w:val="auto"/>
          <w:kern w:val="0"/>
          <w:sz w:val="28"/>
          <w:szCs w:val="28"/>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14:paraId="243C2C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B3CD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7683CA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A8A2D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数量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color w:val="auto"/>
                <w:sz w:val="24"/>
                <w:szCs w:val="24"/>
              </w:rPr>
              <w:t>)</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E90410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9B5D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是否允许进口设备投标</w:t>
            </w:r>
          </w:p>
        </w:tc>
      </w:tr>
      <w:tr w14:paraId="740F5E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7A45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B85E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rPr>
              <w:t>液氧罐</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1A9A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06E77A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24</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742AB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否</w:t>
            </w:r>
          </w:p>
        </w:tc>
      </w:tr>
    </w:tbl>
    <w:p w14:paraId="4AEE83D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二、项目内容及要求</w:t>
      </w:r>
    </w:p>
    <w:p w14:paraId="00771C52">
      <w:pPr>
        <w:spacing w:line="360" w:lineRule="auto"/>
        <w:ind w:firstLine="482" w:firstLineChars="200"/>
        <w:rPr>
          <w:rFonts w:hint="eastAsia"/>
          <w:b/>
          <w:bCs/>
          <w:color w:val="auto"/>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(一)采购内容</w:t>
      </w:r>
      <w:r>
        <w:rPr>
          <w:rFonts w:hint="eastAsia"/>
          <w:b/>
          <w:bCs/>
          <w:color w:val="auto"/>
          <w:lang w:val="en-US" w:eastAsia="zh-CN"/>
        </w:rPr>
        <w:t>（此项内容需全部满足，否则视为无效投标）：</w:t>
      </w:r>
    </w:p>
    <w:tbl>
      <w:tblPr>
        <w:tblStyle w:val="13"/>
        <w:tblW w:w="8925"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3105"/>
        <w:gridCol w:w="3255"/>
        <w:gridCol w:w="1110"/>
        <w:gridCol w:w="1020"/>
      </w:tblGrid>
      <w:tr w14:paraId="5504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C3BE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C70B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w:t>
            </w:r>
            <w:r>
              <w:rPr>
                <w:rFonts w:hint="eastAsia" w:ascii="宋体" w:hAnsi="宋体" w:cs="宋体"/>
                <w:b/>
                <w:bCs/>
                <w:i w:val="0"/>
                <w:iCs w:val="0"/>
                <w:color w:val="auto"/>
                <w:kern w:val="0"/>
                <w:sz w:val="18"/>
                <w:szCs w:val="18"/>
                <w:u w:val="none"/>
                <w:lang w:val="en-US" w:eastAsia="zh-CN" w:bidi="ar"/>
              </w:rPr>
              <w:t>内容</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BCCD9">
            <w:pPr>
              <w:keepNext w:val="0"/>
              <w:keepLines w:val="0"/>
              <w:widowControl/>
              <w:suppressLineNumbers w:val="0"/>
              <w:ind w:firstLine="1446" w:firstLineChars="80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项目特征</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A56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计量单位</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C6A9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0CDD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9AFD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FA4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液氧罐</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FD6D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56856C4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1）、贮存介质:液态氧气</w:t>
            </w:r>
          </w:p>
          <w:p w14:paraId="68D8B2A6">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2）、设计压力: ≥</w:t>
            </w:r>
            <w:r>
              <w:rPr>
                <w:rFonts w:hint="eastAsia" w:ascii="宋体" w:hAnsi="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MPa</w:t>
            </w:r>
            <w:r>
              <w:rPr>
                <w:rFonts w:hint="eastAsia" w:ascii="宋体" w:hAnsi="宋体" w:cs="宋体"/>
                <w:i w:val="0"/>
                <w:iCs w:val="0"/>
                <w:color w:val="auto"/>
                <w:kern w:val="0"/>
                <w:sz w:val="24"/>
                <w:szCs w:val="24"/>
                <w:highlight w:val="none"/>
                <w:u w:val="none"/>
                <w:lang w:val="en-US" w:eastAsia="zh-CN" w:bidi="ar"/>
              </w:rPr>
              <w:t xml:space="preserve">    </w:t>
            </w:r>
          </w:p>
          <w:p w14:paraId="4559963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3）、工作压力: ≥</w:t>
            </w:r>
            <w:r>
              <w:rPr>
                <w:rFonts w:hint="eastAsia" w:ascii="宋体" w:hAnsi="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MPa</w:t>
            </w:r>
            <w:r>
              <w:rPr>
                <w:rFonts w:hint="eastAsia" w:ascii="宋体" w:hAnsi="宋体" w:cs="宋体"/>
                <w:i w:val="0"/>
                <w:iCs w:val="0"/>
                <w:color w:val="auto"/>
                <w:kern w:val="0"/>
                <w:sz w:val="24"/>
                <w:szCs w:val="24"/>
                <w:highlight w:val="none"/>
                <w:u w:val="none"/>
                <w:lang w:val="en-US" w:eastAsia="zh-CN" w:bidi="ar"/>
              </w:rPr>
              <w:t xml:space="preserve">    </w:t>
            </w:r>
          </w:p>
          <w:p w14:paraId="5E5D06C4">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 xml:space="preserve">4)、设计温度: ≥ </w:t>
            </w:r>
            <w:r>
              <w:rPr>
                <w:rFonts w:hint="eastAsia" w:ascii="宋体" w:hAnsi="宋体" w:cs="宋体"/>
                <w:i w:val="0"/>
                <w:iCs w:val="0"/>
                <w:color w:val="FF0000"/>
                <w:kern w:val="0"/>
                <w:sz w:val="24"/>
                <w:szCs w:val="24"/>
                <w:highlight w:val="none"/>
                <w:u w:val="none"/>
                <w:lang w:val="en-US" w:eastAsia="zh-CN" w:bidi="ar"/>
              </w:rPr>
              <w:t>-140</w:t>
            </w:r>
            <w:r>
              <w:rPr>
                <w:rFonts w:hint="eastAsia" w:ascii="宋体" w:hAnsi="宋体" w:eastAsia="宋体" w:cs="宋体"/>
                <w:i w:val="0"/>
                <w:iCs w:val="0"/>
                <w:color w:val="FF0000"/>
                <w:kern w:val="0"/>
                <w:sz w:val="24"/>
                <w:szCs w:val="24"/>
                <w:highlight w:val="none"/>
                <w:u w:val="none"/>
                <w:lang w:val="en-US" w:eastAsia="zh-CN" w:bidi="ar"/>
              </w:rPr>
              <w:t>°</w:t>
            </w:r>
          </w:p>
          <w:p w14:paraId="0EF3378F">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 xml:space="preserve">5)、工作温度: ≥ </w:t>
            </w:r>
            <w:r>
              <w:rPr>
                <w:rFonts w:hint="eastAsia" w:ascii="宋体" w:hAnsi="宋体" w:cs="宋体"/>
                <w:i w:val="0"/>
                <w:iCs w:val="0"/>
                <w:color w:val="FF0000"/>
                <w:kern w:val="0"/>
                <w:sz w:val="24"/>
                <w:szCs w:val="24"/>
                <w:highlight w:val="none"/>
                <w:u w:val="none"/>
                <w:lang w:val="en-US" w:eastAsia="zh-CN" w:bidi="ar"/>
              </w:rPr>
              <w:t>-140</w:t>
            </w:r>
            <w:r>
              <w:rPr>
                <w:rFonts w:hint="eastAsia" w:ascii="宋体" w:hAnsi="宋体" w:eastAsia="宋体" w:cs="宋体"/>
                <w:i w:val="0"/>
                <w:iCs w:val="0"/>
                <w:color w:val="FF0000"/>
                <w:kern w:val="0"/>
                <w:sz w:val="24"/>
                <w:szCs w:val="24"/>
                <w:highlight w:val="none"/>
                <w:u w:val="none"/>
                <w:lang w:val="en-US" w:eastAsia="zh-CN" w:bidi="ar"/>
              </w:rPr>
              <w:t>°</w:t>
            </w:r>
          </w:p>
          <w:p w14:paraId="71A0F0D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6)、主体材质:  S30408</w:t>
            </w:r>
          </w:p>
          <w:p w14:paraId="7CADC9A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7)、有效容积:≥</w:t>
            </w:r>
            <w:r>
              <w:rPr>
                <w:rFonts w:hint="eastAsia" w:ascii="宋体" w:hAnsi="宋体" w:cs="宋体"/>
                <w:i w:val="0"/>
                <w:iCs w:val="0"/>
                <w:color w:val="auto"/>
                <w:kern w:val="0"/>
                <w:sz w:val="24"/>
                <w:szCs w:val="24"/>
                <w:highlight w:val="none"/>
                <w:u w:val="none"/>
                <w:lang w:val="en-US" w:eastAsia="zh-CN" w:bidi="ar"/>
              </w:rPr>
              <w:t>4.99m³</w:t>
            </w:r>
            <w:r>
              <w:rPr>
                <w:rFonts w:hint="eastAsia" w:ascii="宋体" w:hAnsi="宋体" w:eastAsia="宋体" w:cs="宋体"/>
                <w:i w:val="0"/>
                <w:iCs w:val="0"/>
                <w:color w:val="auto"/>
                <w:kern w:val="0"/>
                <w:sz w:val="24"/>
                <w:szCs w:val="24"/>
                <w:highlight w:val="none"/>
                <w:u w:val="none"/>
                <w:lang w:val="en-US" w:eastAsia="zh-CN" w:bidi="ar"/>
              </w:rPr>
              <w:t xml:space="preserve"> </w:t>
            </w:r>
          </w:p>
          <w:p w14:paraId="385D718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8)、设计使用年限:  ≥</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年</w:t>
            </w:r>
          </w:p>
          <w:p w14:paraId="070EECE7">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DF0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C4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F7B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5BC8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2</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976B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拆除2台旧罐，</w:t>
            </w:r>
            <w:r>
              <w:rPr>
                <w:rFonts w:hint="eastAsia" w:ascii="宋体" w:hAnsi="宋体" w:eastAsia="宋体" w:cs="宋体"/>
                <w:i w:val="0"/>
                <w:iCs w:val="0"/>
                <w:color w:val="auto"/>
                <w:kern w:val="0"/>
                <w:sz w:val="24"/>
                <w:szCs w:val="24"/>
                <w:u w:val="none"/>
                <w:lang w:val="en-US" w:eastAsia="zh-CN" w:bidi="ar"/>
              </w:rPr>
              <w:t>运输、吊装</w:t>
            </w:r>
            <w:r>
              <w:rPr>
                <w:rFonts w:hint="eastAsia" w:ascii="宋体" w:hAnsi="宋体" w:cs="宋体"/>
                <w:i w:val="0"/>
                <w:iCs w:val="0"/>
                <w:color w:val="auto"/>
                <w:kern w:val="0"/>
                <w:sz w:val="24"/>
                <w:szCs w:val="24"/>
                <w:u w:val="none"/>
                <w:lang w:val="en-US" w:eastAsia="zh-CN" w:bidi="ar"/>
              </w:rPr>
              <w:t>、安装2台新罐并与院内氧气管道连接，同时根据安全需求，安装止回阀与减压阀等</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7EFF9">
            <w:pPr>
              <w:jc w:val="left"/>
              <w:rPr>
                <w:rFonts w:hint="eastAsia" w:ascii="宋体" w:hAnsi="宋体" w:eastAsia="宋体" w:cs="宋体"/>
                <w:i w:val="0"/>
                <w:iCs w:val="0"/>
                <w:color w:val="auto"/>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2B99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7A72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1</w:t>
            </w:r>
          </w:p>
        </w:tc>
      </w:tr>
      <w:tr w14:paraId="07AF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E80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437DC">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备用安全阀、压力表</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E0E4B">
            <w:pPr>
              <w:jc w:val="left"/>
              <w:rPr>
                <w:rFonts w:hint="eastAsia" w:ascii="宋体" w:hAnsi="宋体" w:eastAsia="宋体" w:cs="宋体"/>
                <w:i w:val="0"/>
                <w:iCs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D9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5B9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r>
    </w:tbl>
    <w:p w14:paraId="464695F7">
      <w:pPr>
        <w:pStyle w:val="4"/>
        <w:ind w:left="0" w:leftChars="0" w:firstLine="0" w:firstLineChars="0"/>
        <w:rPr>
          <w:rFonts w:hint="eastAsia"/>
          <w:color w:val="auto"/>
          <w:lang w:val="en-US" w:eastAsia="zh-CN"/>
        </w:rPr>
      </w:pPr>
    </w:p>
    <w:p w14:paraId="1C62D576">
      <w:pPr>
        <w:spacing w:line="360" w:lineRule="auto"/>
        <w:ind w:firstLine="482" w:firstLineChars="200"/>
        <w:rPr>
          <w:rFonts w:hint="eastAsia"/>
          <w:b/>
          <w:bCs/>
          <w:color w:val="auto"/>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(二)商务参数</w:t>
      </w:r>
      <w:r>
        <w:rPr>
          <w:rFonts w:hint="eastAsia"/>
          <w:b/>
          <w:bCs/>
          <w:color w:val="auto"/>
          <w:lang w:val="en-US" w:eastAsia="zh-CN"/>
        </w:rPr>
        <w:t>（此项内容需全部满足，否则视为无效投标）：</w:t>
      </w:r>
    </w:p>
    <w:p w14:paraId="0AFF82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w:t>
      </w:r>
      <w:r>
        <w:rPr>
          <w:rFonts w:hint="eastAsia" w:asciiTheme="minorEastAsia" w:hAnsiTheme="minorEastAsia" w:eastAsiaTheme="minorEastAsia" w:cstheme="minorEastAsia"/>
          <w:bCs/>
          <w:color w:val="auto"/>
          <w:kern w:val="0"/>
          <w:sz w:val="24"/>
          <w:szCs w:val="24"/>
          <w:lang w:val="en-US" w:eastAsia="zh-CN" w:bidi="ar-SA"/>
        </w:rPr>
        <w:t>吊</w:t>
      </w:r>
      <w:r>
        <w:rPr>
          <w:rFonts w:hint="default" w:asciiTheme="minorEastAsia" w:hAnsiTheme="minorEastAsia" w:eastAsiaTheme="minorEastAsia" w:cstheme="minorEastAsia"/>
          <w:bCs/>
          <w:color w:val="auto"/>
          <w:kern w:val="0"/>
          <w:sz w:val="24"/>
          <w:szCs w:val="24"/>
          <w:lang w:val="en-US" w:eastAsia="zh-CN" w:bidi="ar-SA"/>
        </w:rPr>
        <w:t>装、安装</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调试</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培训</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由中标人负责承担，最终通过使用科室、设备科及相关部门确认验收交付使用。</w:t>
      </w:r>
    </w:p>
    <w:p w14:paraId="08D7E5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14:paraId="5F10A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*3、中标人需负责办理</w:t>
      </w:r>
      <w:r>
        <w:rPr>
          <w:rFonts w:hint="eastAsia" w:asciiTheme="minorEastAsia" w:hAnsiTheme="minorEastAsia" w:eastAsiaTheme="minorEastAsia" w:cstheme="minorEastAsia"/>
          <w:bCs/>
          <w:color w:val="auto"/>
          <w:kern w:val="0"/>
          <w:sz w:val="24"/>
          <w:szCs w:val="24"/>
          <w:highlight w:val="none"/>
          <w:lang w:val="en-US" w:eastAsia="zh-CN" w:bidi="ar-SA"/>
        </w:rPr>
        <w:t>新液氧罐的</w:t>
      </w:r>
      <w:r>
        <w:rPr>
          <w:rFonts w:hint="default" w:asciiTheme="minorEastAsia" w:hAnsiTheme="minorEastAsia" w:eastAsiaTheme="minorEastAsia" w:cstheme="minorEastAsia"/>
          <w:bCs/>
          <w:color w:val="auto"/>
          <w:kern w:val="0"/>
          <w:sz w:val="24"/>
          <w:szCs w:val="24"/>
          <w:highlight w:val="none"/>
          <w:lang w:val="en-US" w:eastAsia="zh-CN" w:bidi="ar-SA"/>
        </w:rPr>
        <w:t>特种设备使用登记证，费用由中标人承担。</w:t>
      </w:r>
    </w:p>
    <w:p w14:paraId="14EAE3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*4</w:t>
      </w:r>
      <w:r>
        <w:rPr>
          <w:rFonts w:hint="eastAsia" w:asciiTheme="minorEastAsia" w:hAnsiTheme="minorEastAsia" w:eastAsiaTheme="minorEastAsia" w:cstheme="minorEastAsia"/>
          <w:bCs/>
          <w:color w:val="auto"/>
          <w:kern w:val="0"/>
          <w:sz w:val="24"/>
          <w:szCs w:val="24"/>
          <w:highlight w:val="none"/>
          <w:lang w:val="en-US" w:eastAsia="zh-CN" w:bidi="ar-SA"/>
        </w:rPr>
        <w:t>、</w:t>
      </w:r>
      <w:r>
        <w:rPr>
          <w:rFonts w:hint="default" w:asciiTheme="minorEastAsia" w:hAnsiTheme="minorEastAsia" w:eastAsiaTheme="minorEastAsia" w:cstheme="minorEastAsia"/>
          <w:bCs/>
          <w:color w:val="auto"/>
          <w:kern w:val="0"/>
          <w:sz w:val="24"/>
          <w:szCs w:val="24"/>
          <w:highlight w:val="none"/>
          <w:lang w:val="en-US" w:eastAsia="zh-CN" w:bidi="ar-SA"/>
        </w:rPr>
        <w:t>付款方式：设备安装使用、验收、取得特种设备使用登记证后，供应商将发票交到娄底市中心医院后30个工作日内支付货款98%，甲方在设备验收合格满2年后支付2%余款给乙方。</w:t>
      </w:r>
    </w:p>
    <w:p w14:paraId="35760D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*5、交货地点：娄底市中心医院。</w:t>
      </w:r>
    </w:p>
    <w:p w14:paraId="14533F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*6、质保与售后：</w:t>
      </w:r>
      <w:r>
        <w:rPr>
          <w:rFonts w:hint="eastAsia" w:asciiTheme="minorEastAsia" w:hAnsiTheme="minorEastAsia" w:eastAsiaTheme="minorEastAsia" w:cstheme="minorEastAsia"/>
          <w:bCs/>
          <w:color w:val="auto"/>
          <w:kern w:val="0"/>
          <w:sz w:val="24"/>
          <w:szCs w:val="24"/>
          <w:highlight w:val="none"/>
          <w:lang w:val="en-US" w:eastAsia="zh-CN" w:bidi="ar-SA"/>
        </w:rPr>
        <w:t>整体质保</w:t>
      </w:r>
      <w:r>
        <w:rPr>
          <w:rFonts w:hint="default" w:asciiTheme="minorEastAsia" w:hAnsiTheme="minorEastAsia" w:eastAsiaTheme="minorEastAsia" w:cstheme="minorEastAsia"/>
          <w:bCs/>
          <w:color w:val="auto"/>
          <w:kern w:val="0"/>
          <w:sz w:val="24"/>
          <w:szCs w:val="24"/>
          <w:highlight w:val="none"/>
          <w:lang w:val="en-US" w:eastAsia="zh-CN" w:bidi="ar-SA"/>
        </w:rPr>
        <w:t>2年。质保期内出现故障，24小时响应，响应后</w:t>
      </w:r>
      <w:r>
        <w:rPr>
          <w:rFonts w:hint="eastAsia" w:asciiTheme="minorEastAsia" w:hAnsiTheme="minorEastAsia" w:eastAsiaTheme="minorEastAsia" w:cstheme="minorEastAsia"/>
          <w:bCs/>
          <w:color w:val="auto"/>
          <w:kern w:val="0"/>
          <w:sz w:val="24"/>
          <w:szCs w:val="24"/>
          <w:highlight w:val="none"/>
          <w:lang w:val="en-US" w:eastAsia="zh-CN" w:bidi="ar-SA"/>
        </w:rPr>
        <w:t>派遣专业人员</w:t>
      </w:r>
      <w:r>
        <w:rPr>
          <w:rFonts w:hint="default" w:asciiTheme="minorEastAsia" w:hAnsiTheme="minorEastAsia" w:eastAsiaTheme="minorEastAsia" w:cstheme="minorEastAsia"/>
          <w:bCs/>
          <w:color w:val="auto"/>
          <w:kern w:val="0"/>
          <w:sz w:val="24"/>
          <w:szCs w:val="24"/>
          <w:highlight w:val="none"/>
          <w:lang w:val="en-US" w:eastAsia="zh-CN" w:bidi="ar-SA"/>
        </w:rPr>
        <w:t>4小时上门服务</w:t>
      </w:r>
      <w:r>
        <w:rPr>
          <w:rFonts w:hint="eastAsia" w:ascii="宋体" w:hAnsi="宋体" w:cs="宋体"/>
          <w:color w:val="auto"/>
          <w:sz w:val="24"/>
          <w:szCs w:val="24"/>
          <w:highlight w:val="none"/>
          <w:lang w:val="en-US" w:eastAsia="zh-CN"/>
        </w:rPr>
        <w:t>，质保期内</w:t>
      </w:r>
      <w:r>
        <w:rPr>
          <w:rFonts w:hint="eastAsia" w:ascii="宋体" w:hAnsi="宋体" w:eastAsia="宋体" w:cs="宋体"/>
          <w:color w:val="auto"/>
          <w:sz w:val="24"/>
          <w:szCs w:val="24"/>
          <w:highlight w:val="none"/>
          <w:lang w:val="en-US" w:eastAsia="zh-CN"/>
        </w:rPr>
        <w:t>每年至少对项目进行</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次巡检并免费保养</w:t>
      </w:r>
      <w:r>
        <w:rPr>
          <w:rFonts w:hint="default" w:asciiTheme="minorEastAsia" w:hAnsiTheme="minorEastAsia" w:eastAsiaTheme="minorEastAsia" w:cstheme="minorEastAsia"/>
          <w:bCs/>
          <w:color w:val="auto"/>
          <w:kern w:val="0"/>
          <w:sz w:val="24"/>
          <w:szCs w:val="24"/>
          <w:highlight w:val="none"/>
          <w:lang w:val="en-US" w:eastAsia="zh-CN" w:bidi="ar-SA"/>
        </w:rPr>
        <w:t>。</w:t>
      </w:r>
    </w:p>
    <w:p w14:paraId="156124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w:t>
      </w:r>
      <w:r>
        <w:rPr>
          <w:rFonts w:hint="eastAsia" w:asciiTheme="minorEastAsia" w:hAnsiTheme="minorEastAsia" w:eastAsiaTheme="minorEastAsia" w:cstheme="minorEastAsia"/>
          <w:bCs/>
          <w:color w:val="auto"/>
          <w:kern w:val="0"/>
          <w:sz w:val="24"/>
          <w:szCs w:val="24"/>
          <w:highlight w:val="none"/>
          <w:lang w:val="en-US" w:eastAsia="zh-CN" w:bidi="ar-SA"/>
        </w:rPr>
        <w:t>7</w:t>
      </w:r>
      <w:r>
        <w:rPr>
          <w:rFonts w:hint="default" w:asciiTheme="minorEastAsia" w:hAnsiTheme="minorEastAsia" w:eastAsiaTheme="minorEastAsia" w:cstheme="minorEastAsia"/>
          <w:bCs/>
          <w:color w:val="auto"/>
          <w:kern w:val="0"/>
          <w:sz w:val="24"/>
          <w:szCs w:val="24"/>
          <w:highlight w:val="none"/>
          <w:lang w:val="en-US" w:eastAsia="zh-CN" w:bidi="ar-SA"/>
        </w:rPr>
        <w:t>、在投标文件中必须提供相关佐证资料（加盖原厂公章的技术参数、技术白皮书、说明书、彩页），并在响应表中备注该条参数响应或正偏离的佐证资料所在页码。</w:t>
      </w:r>
    </w:p>
    <w:p w14:paraId="449922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w:t>
      </w:r>
      <w:r>
        <w:rPr>
          <w:rFonts w:hint="eastAsia" w:asciiTheme="minorEastAsia" w:hAnsiTheme="minorEastAsia" w:eastAsiaTheme="minorEastAsia" w:cstheme="minorEastAsia"/>
          <w:bCs/>
          <w:color w:val="auto"/>
          <w:kern w:val="0"/>
          <w:sz w:val="24"/>
          <w:szCs w:val="24"/>
          <w:highlight w:val="none"/>
          <w:lang w:val="en-US" w:eastAsia="zh-CN" w:bidi="ar-SA"/>
        </w:rPr>
        <w:t>8、旧液氧罐由中标人负责回收，折旧款1.5万元，在医院的支付货款中抵扣。</w:t>
      </w:r>
    </w:p>
    <w:p w14:paraId="5559BA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lang w:val="en-US" w:eastAsia="zh-CN" w:bidi="ar-SA"/>
        </w:rPr>
      </w:pPr>
    </w:p>
    <w:p w14:paraId="131AAD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Theme="minorEastAsia" w:hAnsiTheme="minorEastAsia" w:eastAsiaTheme="minorEastAsia" w:cstheme="minorEastAsia"/>
          <w:b/>
          <w:bCs w:val="0"/>
          <w:color w:val="auto"/>
          <w:kern w:val="0"/>
          <w:sz w:val="28"/>
          <w:szCs w:val="28"/>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三、标书要求</w:t>
      </w:r>
    </w:p>
    <w:p w14:paraId="21F7E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6591C2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2、“三证合一”或“五证合一”营业执照，相应专业证件（按法律规定提供证件）；</w:t>
      </w:r>
    </w:p>
    <w:p w14:paraId="4516B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1224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C481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08B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134A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3427A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10530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EFDD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27C21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59FFE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22092EEE">
      <w:pPr>
        <w:pStyle w:val="7"/>
        <w:rPr>
          <w:rFonts w:hint="default"/>
          <w:color w:val="auto"/>
          <w:lang w:val="en-US" w:eastAsia="zh-CN"/>
        </w:rPr>
      </w:pPr>
    </w:p>
    <w:p w14:paraId="7AFF750D">
      <w:pPr>
        <w:pStyle w:val="4"/>
        <w:rPr>
          <w:rFonts w:hint="eastAsia"/>
          <w:color w:val="auto"/>
          <w:lang w:val="en-US" w:eastAsia="zh-CN"/>
        </w:rPr>
      </w:pPr>
    </w:p>
    <w:p w14:paraId="1C9EC7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Theme="minorEastAsia" w:hAnsiTheme="minorEastAsia" w:eastAsiaTheme="minorEastAsia" w:cstheme="minorEastAsia"/>
          <w:bCs/>
          <w:color w:val="auto"/>
          <w:kern w:val="0"/>
          <w:sz w:val="28"/>
          <w:szCs w:val="28"/>
          <w:lang w:val="en-US" w:eastAsia="zh-CN" w:bidi="ar-SA"/>
        </w:rPr>
        <w:t>五、合同</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合同编号：</w:t>
      </w:r>
    </w:p>
    <w:p w14:paraId="73D046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液氧罐采购合同</w:t>
      </w:r>
    </w:p>
    <w:p w14:paraId="2646FE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lang w:val="en-US" w:eastAsia="zh-CN"/>
        </w:rPr>
      </w:pPr>
    </w:p>
    <w:p w14:paraId="28FFFC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w:t>
      </w:r>
      <w:r>
        <w:rPr>
          <w:rFonts w:hint="eastAsia" w:ascii="宋体" w:hAnsi="宋体" w:eastAsia="宋体" w:cs="宋体"/>
          <w:color w:val="auto"/>
          <w:sz w:val="24"/>
          <w:szCs w:val="24"/>
          <w:lang w:val="en-US" w:eastAsia="zh-CN"/>
        </w:rPr>
        <w:t>娄底市中心医院</w:t>
      </w:r>
    </w:p>
    <w:p w14:paraId="5541D3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法定代表人：杨吉军</w:t>
      </w:r>
    </w:p>
    <w:p w14:paraId="78692A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14:paraId="6B3A76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14:paraId="46F70B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14:paraId="1F3621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w:t>
      </w:r>
    </w:p>
    <w:p w14:paraId="752C05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法定代表人：</w:t>
      </w:r>
    </w:p>
    <w:p w14:paraId="449040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503A6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cs="宋体"/>
          <w:color w:val="auto"/>
          <w:sz w:val="24"/>
          <w:szCs w:val="24"/>
          <w:lang w:val="en-US" w:eastAsia="zh-CN"/>
        </w:rPr>
        <w:t>：</w:t>
      </w:r>
    </w:p>
    <w:p w14:paraId="4C4C3E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349B494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p>
    <w:p w14:paraId="29317151">
      <w:pPr>
        <w:keepNext w:val="0"/>
        <w:keepLines w:val="0"/>
        <w:pageBreakBefore w:val="0"/>
        <w:widowControl w:val="0"/>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w:t>
      </w:r>
      <w:r>
        <w:rPr>
          <w:rFonts w:hint="eastAsia" w:ascii="宋体" w:hAnsi="宋体" w:cs="宋体"/>
          <w:color w:val="auto"/>
          <w:sz w:val="24"/>
          <w:szCs w:val="24"/>
          <w:u w:val="single"/>
          <w:lang w:val="en-US" w:eastAsia="zh-CN"/>
        </w:rPr>
        <w:t xml:space="preserve">方式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液氧</w:t>
      </w:r>
      <w:r>
        <w:rPr>
          <w:rFonts w:hint="eastAsia" w:ascii="宋体" w:hAnsi="宋体" w:cs="宋体"/>
          <w:color w:val="auto"/>
          <w:sz w:val="24"/>
          <w:szCs w:val="24"/>
          <w:u w:val="single"/>
          <w:lang w:val="en-US" w:eastAsia="zh-CN"/>
        </w:rPr>
        <w:t xml:space="preserve">罐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，乙方为成交供应商。根据《中华人民共和国民法典》《中华人民共和国政府采购法》等相关法律规定，甲乙双方在采购项目确定的基础上，就乙方</w:t>
      </w:r>
      <w:r>
        <w:rPr>
          <w:rFonts w:hint="eastAsia" w:ascii="宋体" w:hAnsi="宋体" w:cs="宋体"/>
          <w:color w:val="auto"/>
          <w:sz w:val="24"/>
          <w:szCs w:val="24"/>
          <w:lang w:val="en-US" w:eastAsia="zh-CN"/>
        </w:rPr>
        <w:t>为</w:t>
      </w:r>
      <w:r>
        <w:rPr>
          <w:rFonts w:hint="eastAsia" w:ascii="宋体" w:hAnsi="宋体" w:eastAsia="宋体" w:cs="宋体"/>
          <w:color w:val="auto"/>
          <w:sz w:val="24"/>
          <w:szCs w:val="24"/>
          <w:lang w:val="en-US" w:eastAsia="zh-CN"/>
        </w:rPr>
        <w:t>甲方</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u w:val="single"/>
          <w:lang w:val="en-US" w:eastAsia="zh-CN"/>
        </w:rPr>
        <w:t xml:space="preserve"> 液氧</w:t>
      </w:r>
      <w:r>
        <w:rPr>
          <w:rFonts w:hint="eastAsia" w:ascii="宋体" w:hAnsi="宋体" w:cs="宋体"/>
          <w:color w:val="auto"/>
          <w:sz w:val="24"/>
          <w:szCs w:val="24"/>
          <w:u w:val="single"/>
          <w:lang w:val="en-US" w:eastAsia="zh-CN"/>
        </w:rPr>
        <w:t xml:space="preserve">罐 </w:t>
      </w:r>
      <w:r>
        <w:rPr>
          <w:rFonts w:hint="eastAsia" w:ascii="宋体" w:hAnsi="宋体" w:eastAsia="宋体" w:cs="宋体"/>
          <w:color w:val="auto"/>
          <w:sz w:val="24"/>
          <w:szCs w:val="24"/>
          <w:lang w:val="en-US" w:eastAsia="zh-CN"/>
        </w:rPr>
        <w:t>事宜协商一致，特订立本合同，以资共同遵守。</w:t>
      </w:r>
    </w:p>
    <w:p w14:paraId="7577EBE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第一条</w:t>
      </w:r>
      <w:r>
        <w:rPr>
          <w:rFonts w:hint="eastAsia" w:ascii="宋体" w:hAnsi="宋体" w:cs="宋体"/>
          <w:b/>
          <w:bCs/>
          <w:color w:val="auto"/>
          <w:kern w:val="2"/>
          <w:sz w:val="24"/>
          <w:szCs w:val="24"/>
          <w:lang w:val="en-US" w:eastAsia="zh-CN" w:bidi="ar-SA"/>
        </w:rPr>
        <w:t xml:space="preserve"> 采购内容</w:t>
      </w:r>
    </w:p>
    <w:p w14:paraId="1EAE6C2B">
      <w:pPr>
        <w:keepNext w:val="0"/>
        <w:keepLines w:val="0"/>
        <w:pageBreakBefore w:val="0"/>
        <w:widowControl w:val="0"/>
        <w:numPr>
          <w:ilvl w:val="1"/>
          <w:numId w:val="0"/>
        </w:numPr>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w:t>
      </w:r>
      <w:r>
        <w:rPr>
          <w:rFonts w:hint="eastAsia" w:ascii="宋体" w:hAnsi="宋体" w:cs="宋体"/>
          <w:color w:val="auto"/>
          <w:sz w:val="24"/>
          <w:szCs w:val="24"/>
          <w:lang w:val="en-US" w:eastAsia="zh-CN"/>
        </w:rPr>
        <w:t>为甲方采购液氧罐并负责安装</w:t>
      </w:r>
      <w:r>
        <w:rPr>
          <w:rFonts w:hint="eastAsia" w:ascii="宋体" w:hAnsi="宋体" w:eastAsia="宋体" w:cs="宋体"/>
          <w:color w:val="auto"/>
          <w:sz w:val="24"/>
          <w:szCs w:val="24"/>
          <w:lang w:val="en-US" w:eastAsia="zh-CN"/>
        </w:rPr>
        <w:t>，包括</w:t>
      </w:r>
      <w:r>
        <w:rPr>
          <w:rFonts w:hint="eastAsia" w:ascii="宋体" w:hAnsi="宋体" w:cs="宋体"/>
          <w:color w:val="auto"/>
          <w:sz w:val="24"/>
          <w:szCs w:val="24"/>
          <w:lang w:val="en-US" w:eastAsia="zh-CN"/>
        </w:rPr>
        <w:t>但不限于</w:t>
      </w:r>
      <w:r>
        <w:rPr>
          <w:rFonts w:hint="eastAsia" w:ascii="宋体" w:hAnsi="宋体" w:cs="宋体"/>
          <w:color w:val="auto"/>
          <w:sz w:val="24"/>
          <w:szCs w:val="24"/>
          <w:highlight w:val="none"/>
          <w:lang w:val="en-US" w:eastAsia="zh-CN"/>
        </w:rPr>
        <w:t>旧罐拆除回收、新罐运输、吊装、安装、调试、办理特种设备使用登记证等内容</w:t>
      </w:r>
      <w:r>
        <w:rPr>
          <w:rFonts w:hint="eastAsia" w:ascii="宋体" w:hAnsi="宋体" w:eastAsia="宋体" w:cs="宋体"/>
          <w:color w:val="auto"/>
          <w:sz w:val="24"/>
          <w:szCs w:val="24"/>
          <w:highlight w:val="none"/>
          <w:lang w:val="en-US" w:eastAsia="zh-CN"/>
        </w:rPr>
        <w:t>。</w:t>
      </w:r>
    </w:p>
    <w:p w14:paraId="721F837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第二条</w:t>
      </w:r>
      <w:r>
        <w:rPr>
          <w:rFonts w:hint="eastAsia" w:ascii="宋体" w:hAnsi="宋体" w:cs="宋体"/>
          <w:b/>
          <w:bCs/>
          <w:color w:val="auto"/>
          <w:kern w:val="2"/>
          <w:sz w:val="24"/>
          <w:szCs w:val="24"/>
          <w:lang w:val="en-US" w:eastAsia="zh-CN" w:bidi="ar-SA"/>
        </w:rPr>
        <w:t xml:space="preserve"> 交货</w:t>
      </w:r>
      <w:r>
        <w:rPr>
          <w:rFonts w:hint="eastAsia" w:ascii="宋体" w:hAnsi="宋体" w:cs="宋体"/>
          <w:b/>
          <w:bCs/>
          <w:color w:val="auto"/>
          <w:sz w:val="24"/>
          <w:szCs w:val="24"/>
          <w:highlight w:val="none"/>
          <w:lang w:val="en-US" w:eastAsia="zh-CN"/>
        </w:rPr>
        <w:t>期限、</w:t>
      </w:r>
      <w:r>
        <w:rPr>
          <w:rFonts w:hint="default" w:ascii="宋体" w:hAnsi="宋体" w:eastAsia="宋体" w:cs="宋体"/>
          <w:b/>
          <w:bCs/>
          <w:color w:val="auto"/>
          <w:sz w:val="24"/>
          <w:szCs w:val="24"/>
          <w:highlight w:val="none"/>
          <w:lang w:val="en-US" w:eastAsia="zh-CN"/>
        </w:rPr>
        <w:t>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5E101C5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2.1 交货期限：</w:t>
      </w:r>
      <w:r>
        <w:rPr>
          <w:rFonts w:hint="eastAsia" w:ascii="宋体" w:hAnsi="宋体" w:eastAsia="宋体" w:cs="宋体"/>
          <w:color w:val="auto"/>
          <w:sz w:val="24"/>
          <w:szCs w:val="24"/>
          <w:highlight w:val="none"/>
          <w:lang w:val="en-US" w:eastAsia="zh-CN"/>
        </w:rPr>
        <w:t>本合同</w:t>
      </w:r>
      <w:r>
        <w:rPr>
          <w:rFonts w:hint="eastAsia" w:ascii="宋体" w:hAnsi="宋体" w:cs="宋体"/>
          <w:color w:val="auto"/>
          <w:sz w:val="24"/>
          <w:szCs w:val="24"/>
          <w:highlight w:val="none"/>
          <w:lang w:val="en-US" w:eastAsia="zh-CN"/>
        </w:rPr>
        <w:t>期限</w:t>
      </w:r>
      <w:r>
        <w:rPr>
          <w:rFonts w:hint="eastAsia" w:ascii="宋体" w:hAnsi="宋体" w:eastAsia="宋体" w:cs="宋体"/>
          <w:color w:val="auto"/>
          <w:sz w:val="24"/>
          <w:szCs w:val="24"/>
          <w:highlight w:val="none"/>
          <w:lang w:val="en-US" w:eastAsia="zh-CN"/>
        </w:rPr>
        <w:t>共计</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none"/>
          <w:lang w:val="en-US" w:eastAsia="zh-CN"/>
        </w:rPr>
        <w:t>个</w:t>
      </w:r>
      <w:r>
        <w:rPr>
          <w:rFonts w:hint="eastAsia" w:ascii="宋体" w:hAnsi="宋体" w:eastAsia="宋体" w:cs="宋体"/>
          <w:color w:val="auto"/>
          <w:sz w:val="24"/>
          <w:szCs w:val="24"/>
          <w:lang w:val="en-US" w:eastAsia="zh-CN"/>
        </w:rPr>
        <w:t>日历天，自本合同签订之日起算。</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w:t>
      </w:r>
      <w:r>
        <w:rPr>
          <w:rFonts w:hint="eastAsia" w:ascii="宋体" w:hAnsi="宋体" w:cs="宋体"/>
          <w:color w:val="auto"/>
          <w:sz w:val="24"/>
          <w:szCs w:val="24"/>
          <w:lang w:val="en-US" w:eastAsia="zh-CN"/>
        </w:rPr>
        <w:t>设备（详见附件1）及所需的安装材料等</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本合同约定</w:t>
      </w:r>
      <w:r>
        <w:rPr>
          <w:rFonts w:hint="eastAsia" w:ascii="宋体" w:hAnsi="宋体" w:eastAsia="宋体" w:cs="宋体"/>
          <w:color w:val="auto"/>
          <w:sz w:val="24"/>
          <w:szCs w:val="24"/>
          <w:lang w:val="en-US" w:eastAsia="zh-CN"/>
        </w:rPr>
        <w:t>期限内</w:t>
      </w:r>
      <w:r>
        <w:rPr>
          <w:rFonts w:hint="default" w:ascii="宋体" w:hAnsi="宋体" w:eastAsia="宋体" w:cs="宋体"/>
          <w:color w:val="auto"/>
          <w:sz w:val="24"/>
          <w:szCs w:val="24"/>
          <w:lang w:val="en-US" w:eastAsia="zh-CN"/>
        </w:rPr>
        <w:t>完成</w:t>
      </w:r>
      <w:r>
        <w:rPr>
          <w:rFonts w:hint="eastAsia" w:ascii="宋体" w:hAnsi="宋体" w:cs="宋体"/>
          <w:color w:val="auto"/>
          <w:sz w:val="24"/>
          <w:szCs w:val="24"/>
          <w:lang w:val="en-US" w:eastAsia="zh-CN"/>
        </w:rPr>
        <w:t>拆除旧罐、</w:t>
      </w:r>
      <w:r>
        <w:rPr>
          <w:rFonts w:hint="eastAsia" w:ascii="宋体" w:hAnsi="宋体" w:cs="宋体"/>
          <w:color w:val="auto"/>
          <w:sz w:val="24"/>
          <w:szCs w:val="24"/>
          <w:highlight w:val="none"/>
          <w:lang w:val="en-US" w:eastAsia="zh-CN"/>
        </w:rPr>
        <w:t>新罐</w:t>
      </w:r>
      <w:r>
        <w:rPr>
          <w:rFonts w:hint="default" w:ascii="宋体" w:hAnsi="宋体" w:eastAsia="宋体" w:cs="宋体"/>
          <w:color w:val="auto"/>
          <w:sz w:val="24"/>
          <w:szCs w:val="24"/>
          <w:lang w:val="en-US" w:eastAsia="zh-CN"/>
        </w:rPr>
        <w:t>安装调试</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办理</w:t>
      </w:r>
      <w:r>
        <w:rPr>
          <w:rFonts w:hint="eastAsia" w:ascii="宋体" w:hAnsi="宋体" w:eastAsia="宋体" w:cs="宋体"/>
          <w:color w:val="auto"/>
          <w:sz w:val="24"/>
          <w:szCs w:val="24"/>
          <w:lang w:val="en-US" w:eastAsia="zh-CN"/>
        </w:rPr>
        <w:t>新液氧罐特种设备使用登记证</w:t>
      </w:r>
      <w:r>
        <w:rPr>
          <w:rFonts w:hint="eastAsia" w:ascii="宋体" w:hAnsi="宋体" w:cs="宋体"/>
          <w:color w:val="auto"/>
          <w:sz w:val="24"/>
          <w:szCs w:val="24"/>
          <w:lang w:val="en-US" w:eastAsia="zh-CN"/>
        </w:rPr>
        <w:t>及</w:t>
      </w:r>
      <w:r>
        <w:rPr>
          <w:rFonts w:hint="default" w:ascii="宋体" w:hAnsi="宋体" w:eastAsia="宋体" w:cs="宋体"/>
          <w:color w:val="auto"/>
          <w:sz w:val="24"/>
          <w:szCs w:val="24"/>
          <w:lang w:val="en-US" w:eastAsia="zh-CN"/>
        </w:rPr>
        <w:t>验收手续</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并交付甲方使用。</w:t>
      </w:r>
    </w:p>
    <w:p w14:paraId="09C4B25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甲方指定交货地点：湖南省娄底市娄星区长青中街51号 娄底市中心医院。 </w:t>
      </w:r>
    </w:p>
    <w:p w14:paraId="49ED5F6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运输、装卸、搬运：由乙方自备交通运输工具将</w:t>
      </w:r>
      <w:r>
        <w:rPr>
          <w:rFonts w:hint="eastAsia" w:ascii="宋体" w:hAnsi="宋体" w:cs="宋体"/>
          <w:color w:val="auto"/>
          <w:sz w:val="24"/>
          <w:szCs w:val="24"/>
          <w:lang w:val="en-US" w:eastAsia="zh-CN"/>
        </w:rPr>
        <w:t>设备及所需的安装材料等</w:t>
      </w:r>
      <w:r>
        <w:rPr>
          <w:rFonts w:hint="eastAsia" w:ascii="宋体" w:hAnsi="宋体" w:eastAsia="宋体" w:cs="宋体"/>
          <w:color w:val="auto"/>
          <w:sz w:val="24"/>
          <w:szCs w:val="24"/>
          <w:lang w:val="en-US" w:eastAsia="zh-CN"/>
        </w:rPr>
        <w:t>运至合同约定地点</w:t>
      </w:r>
      <w:r>
        <w:rPr>
          <w:rFonts w:hint="eastAsia" w:ascii="宋体" w:hAnsi="宋体" w:cs="宋体"/>
          <w:color w:val="auto"/>
          <w:sz w:val="24"/>
          <w:szCs w:val="24"/>
          <w:lang w:val="en-US" w:eastAsia="zh-CN"/>
        </w:rPr>
        <w:t>，并将拆除的旧罐运离甲方场地</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拆除旧罐、旧罐搬运、设备</w:t>
      </w:r>
      <w:r>
        <w:rPr>
          <w:rFonts w:hint="eastAsia" w:ascii="宋体" w:hAnsi="宋体" w:eastAsia="宋体" w:cs="宋体"/>
          <w:color w:val="auto"/>
          <w:sz w:val="24"/>
          <w:szCs w:val="24"/>
          <w:lang w:val="en-US" w:eastAsia="zh-CN"/>
        </w:rPr>
        <w:t>装卸、搬运的人工及费用</w:t>
      </w:r>
      <w:r>
        <w:rPr>
          <w:rFonts w:hint="eastAsia" w:ascii="宋体" w:hAnsi="宋体" w:cs="宋体"/>
          <w:color w:val="auto"/>
          <w:sz w:val="24"/>
          <w:szCs w:val="24"/>
          <w:lang w:val="en-US" w:eastAsia="zh-CN"/>
        </w:rPr>
        <w:t>均由乙方承担</w:t>
      </w:r>
      <w:r>
        <w:rPr>
          <w:rFonts w:hint="eastAsia" w:ascii="宋体" w:hAnsi="宋体" w:eastAsia="宋体" w:cs="宋体"/>
          <w:color w:val="auto"/>
          <w:sz w:val="24"/>
          <w:szCs w:val="24"/>
          <w:lang w:val="en-US" w:eastAsia="zh-CN"/>
        </w:rPr>
        <w:t>。</w:t>
      </w:r>
    </w:p>
    <w:p w14:paraId="5AD8A0A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第三条 质量标准</w:t>
      </w:r>
    </w:p>
    <w:p w14:paraId="20BC5BF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乙方提供设备材料及安装的质量、安装应符合国家标准、设计要求；如响应文件中的技术参数和质量标准高于国家标准，则技术参数和质量标准以响应文件为准。如乙方应交付的</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属于国产</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，则应保证该</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为交付时起近</w:t>
      </w:r>
      <w:r>
        <w:rPr>
          <w:rFonts w:hint="eastAsia" w:ascii="宋体" w:hAnsi="宋体" w:cs="宋体"/>
          <w:color w:val="auto"/>
          <w:sz w:val="24"/>
          <w:szCs w:val="24"/>
          <w:lang w:val="en-US" w:eastAsia="zh-CN"/>
        </w:rPr>
        <w:t>一年</w:t>
      </w:r>
      <w:r>
        <w:rPr>
          <w:rFonts w:hint="eastAsia" w:ascii="宋体" w:hAnsi="宋体" w:eastAsia="宋体" w:cs="宋体"/>
          <w:color w:val="auto"/>
          <w:sz w:val="24"/>
          <w:szCs w:val="24"/>
          <w:lang w:val="en-US" w:eastAsia="zh-CN"/>
        </w:rPr>
        <w:t>内生产的产</w:t>
      </w:r>
      <w:r>
        <w:rPr>
          <w:rFonts w:hint="eastAsia" w:ascii="宋体" w:hAnsi="宋体" w:cs="宋体"/>
          <w:color w:val="auto"/>
          <w:sz w:val="24"/>
          <w:szCs w:val="24"/>
          <w:lang w:val="en-US" w:eastAsia="zh-CN"/>
        </w:rPr>
        <w:t>品</w:t>
      </w:r>
      <w:r>
        <w:rPr>
          <w:rFonts w:hint="eastAsia" w:ascii="宋体" w:hAnsi="宋体" w:eastAsia="宋体" w:cs="宋体"/>
          <w:color w:val="auto"/>
          <w:sz w:val="24"/>
          <w:szCs w:val="24"/>
          <w:lang w:val="en-US" w:eastAsia="zh-CN"/>
        </w:rPr>
        <w:t>。</w:t>
      </w:r>
    </w:p>
    <w:p w14:paraId="74807CF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乙方必须严格按照安全技术规范、技术要求及现场情况，规范</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，使项目达到特种设备工程规范相关标准。</w:t>
      </w:r>
    </w:p>
    <w:p w14:paraId="1B48419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双方的权利义务</w:t>
      </w:r>
    </w:p>
    <w:p w14:paraId="3C70859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4.1 甲方的权利义务</w:t>
      </w:r>
    </w:p>
    <w:p w14:paraId="7120B5D1">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甲方负责协调现场事宜，指派</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）作为现场管理人员。</w:t>
      </w:r>
    </w:p>
    <w:p w14:paraId="477D9A2E">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4.1.2 保证乙方必要的项目环境，如水、电等基础性保障。</w:t>
      </w:r>
    </w:p>
    <w:p w14:paraId="279AC0B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 负责</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质量跟踪检查及质量监督。</w:t>
      </w:r>
    </w:p>
    <w:p w14:paraId="61D73C8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4.2 乙方的权利义务</w:t>
      </w:r>
    </w:p>
    <w:p w14:paraId="52C51B1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乙方须具有</w:t>
      </w:r>
      <w:r>
        <w:rPr>
          <w:rFonts w:hint="eastAsia" w:ascii="宋体" w:hAnsi="宋体" w:eastAsia="宋体" w:cs="宋体"/>
          <w:color w:val="auto"/>
          <w:sz w:val="24"/>
          <w:szCs w:val="24"/>
          <w:highlight w:val="none"/>
          <w:lang w:val="en-US" w:eastAsia="zh-CN"/>
        </w:rPr>
        <w:t>《中华人民共和国特种设备生产许可证》（</w:t>
      </w:r>
      <w:r>
        <w:rPr>
          <w:rFonts w:hint="eastAsia" w:ascii="宋体" w:hAnsi="宋体" w:cs="宋体"/>
          <w:color w:val="auto"/>
          <w:sz w:val="24"/>
          <w:szCs w:val="24"/>
          <w:highlight w:val="none"/>
          <w:lang w:val="en-US" w:eastAsia="zh-CN"/>
        </w:rPr>
        <w:t>承压类特种设备安装、修理、改造</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或</w:t>
      </w:r>
      <w:r>
        <w:rPr>
          <w:rFonts w:hint="eastAsia" w:asciiTheme="minorEastAsia" w:hAnsiTheme="minorEastAsia" w:eastAsiaTheme="minorEastAsia" w:cstheme="minorEastAsia"/>
          <w:b w:val="0"/>
          <w:bCs/>
          <w:color w:val="auto"/>
          <w:sz w:val="24"/>
          <w:szCs w:val="24"/>
          <w:lang w:val="en-US" w:eastAsia="zh-CN" w:bidi="ar-SA"/>
        </w:rPr>
        <w:t>中华人民共和国特种设备安装改造维修许可证（压力管道）GC2 级</w:t>
      </w:r>
      <w:r>
        <w:rPr>
          <w:rFonts w:hint="eastAsia" w:ascii="宋体" w:hAnsi="宋体" w:eastAsia="宋体" w:cs="宋体"/>
          <w:color w:val="auto"/>
          <w:sz w:val="24"/>
          <w:szCs w:val="24"/>
          <w:lang w:val="en-US" w:eastAsia="zh-CN"/>
        </w:rPr>
        <w:t>。乙方负责对工人进行安全技术交底，所有工人必须是熟练工人且须具备</w:t>
      </w:r>
      <w:r>
        <w:rPr>
          <w:rFonts w:hint="eastAsia" w:ascii="宋体" w:hAnsi="宋体" w:cs="宋体"/>
          <w:color w:val="auto"/>
          <w:sz w:val="24"/>
          <w:szCs w:val="24"/>
          <w:lang w:val="en-US" w:eastAsia="zh-CN"/>
        </w:rPr>
        <w:t>相应的</w:t>
      </w:r>
      <w:r>
        <w:rPr>
          <w:rFonts w:hint="eastAsia" w:ascii="宋体" w:hAnsi="宋体" w:eastAsia="宋体" w:cs="宋体"/>
          <w:color w:val="auto"/>
          <w:sz w:val="24"/>
          <w:szCs w:val="24"/>
          <w:lang w:val="en-US" w:eastAsia="zh-CN"/>
        </w:rPr>
        <w:t>《特种设备人员作业证》和特种焊工证，持证作业，相关证明提交甲方存档。</w:t>
      </w:r>
    </w:p>
    <w:p w14:paraId="16EC279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4.2.2 乙方必须严格按照压力容器安全技术规范进行安装、调试，如在安装过程中发现需要现有管路变换等，必须及时向甲方现场管理人员汇报，不得擅自更改。</w:t>
      </w:r>
    </w:p>
    <w:p w14:paraId="4028C48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 乙方人员的食宿、所有供应设备材料的运输、装卸</w:t>
      </w:r>
      <w:r>
        <w:rPr>
          <w:rFonts w:hint="eastAsia" w:ascii="宋体" w:hAnsi="宋体" w:cs="宋体"/>
          <w:color w:val="auto"/>
          <w:sz w:val="24"/>
          <w:szCs w:val="24"/>
          <w:lang w:val="en-US" w:eastAsia="zh-CN"/>
        </w:rPr>
        <w:t>全部由乙方自行负责并承担</w:t>
      </w:r>
      <w:r>
        <w:rPr>
          <w:rFonts w:hint="eastAsia" w:ascii="宋体" w:hAnsi="宋体" w:eastAsia="宋体" w:cs="宋体"/>
          <w:color w:val="auto"/>
          <w:sz w:val="24"/>
          <w:szCs w:val="24"/>
          <w:lang w:val="en-US" w:eastAsia="zh-CN"/>
        </w:rPr>
        <w:t>由此产生的</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费用，</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过程中所需的设施设备等均由乙方自行提供和保管，所有工农矛盾均由乙方负责处理</w:t>
      </w:r>
      <w:r>
        <w:rPr>
          <w:rFonts w:hint="eastAsia" w:ascii="宋体" w:hAnsi="宋体" w:cs="宋体"/>
          <w:color w:val="auto"/>
          <w:sz w:val="24"/>
          <w:szCs w:val="24"/>
          <w:lang w:val="en-US" w:eastAsia="zh-CN"/>
        </w:rPr>
        <w:t>并承担所有费用</w:t>
      </w:r>
      <w:r>
        <w:rPr>
          <w:rFonts w:hint="eastAsia" w:ascii="宋体" w:hAnsi="宋体" w:eastAsia="宋体" w:cs="宋体"/>
          <w:color w:val="auto"/>
          <w:sz w:val="24"/>
          <w:szCs w:val="24"/>
          <w:lang w:val="en-US" w:eastAsia="zh-CN"/>
        </w:rPr>
        <w:t>。</w:t>
      </w:r>
    </w:p>
    <w:p w14:paraId="1B2A536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 xml:space="preserve">4.2.4 </w:t>
      </w:r>
      <w:r>
        <w:rPr>
          <w:rFonts w:hint="default" w:ascii="宋体" w:hAnsi="宋体" w:eastAsia="宋体" w:cs="宋体"/>
          <w:color w:val="auto"/>
          <w:sz w:val="24"/>
          <w:szCs w:val="24"/>
          <w:highlight w:val="none"/>
          <w:lang w:val="en-US" w:eastAsia="zh-CN"/>
        </w:rPr>
        <w:t>如因停水停电、下雨、机械维修及其它不可抗力因素造成的误工，由此增加的费用由乙方负责。</w:t>
      </w:r>
    </w:p>
    <w:p w14:paraId="7BA83080">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4.2.5 乙方负责办理新液氧罐的特种设备使用登记证，费用由乙方承担。</w:t>
      </w:r>
    </w:p>
    <w:p w14:paraId="16B9327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安全责任及风险承担</w:t>
      </w:r>
    </w:p>
    <w:p w14:paraId="7DF5D4E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乙方履行本合同应尽到安全注意义务，做好安全防范预案，采取必要安全措施。乙方在履行本合同过程中发生的一切事故，给甲方、乙方（包括乙方指派履行本合同人员）或第三方的人身和财产造成的损失，均由乙方负责处理并承担所有费用和法律责任。</w:t>
      </w:r>
    </w:p>
    <w:p w14:paraId="6CE2161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本</w:t>
      </w:r>
      <w:r>
        <w:rPr>
          <w:rFonts w:hint="eastAsia" w:ascii="宋体" w:hAnsi="宋体" w:cs="宋体"/>
          <w:color w:val="auto"/>
          <w:sz w:val="24"/>
          <w:szCs w:val="24"/>
          <w:lang w:val="en-US" w:eastAsia="zh-CN"/>
        </w:rPr>
        <w:t>合同设备、</w:t>
      </w:r>
      <w:r>
        <w:rPr>
          <w:rFonts w:hint="eastAsia" w:ascii="宋体" w:hAnsi="宋体" w:eastAsia="宋体" w:cs="宋体"/>
          <w:color w:val="auto"/>
          <w:sz w:val="24"/>
          <w:szCs w:val="24"/>
          <w:lang w:val="en-US" w:eastAsia="zh-CN"/>
        </w:rPr>
        <w:t>材料毁损、丢失等风险自甲方在项目验收报告单上签字确认合格后转移给甲方，此前</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材料的一切风险均由乙方承担。</w:t>
      </w:r>
    </w:p>
    <w:p w14:paraId="4AE08B1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5.3 如甲方因乙方设备及材料、质保服务等原因涉及纠纷、诉讼或被处以行政处罚，由乙方承担甲方因纠纷、诉讼、罚款等造成的全部经济损失</w:t>
      </w:r>
    </w:p>
    <w:p w14:paraId="116277DB">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color w:val="auto"/>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第六条  验收</w:t>
      </w:r>
    </w:p>
    <w:p w14:paraId="7DAF4DF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6.1 </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材料到货验收：</w:t>
      </w:r>
    </w:p>
    <w:p w14:paraId="453447D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lang w:val="en-US" w:eastAsia="zh-CN"/>
        </w:rPr>
        <w:t>乙方提供的</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材料</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必须为原厂包装，外包装到货时应保证完好无损，否则甲方有权拒绝验收，由此造成的违约责任和一切经济损失全部由乙方承担。</w:t>
      </w:r>
    </w:p>
    <w:p w14:paraId="69C8C12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乙方将</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运至甲方指定地点后，应通知甲方，并向甲方提供特种设备生产许可证或特种设备安装改造维修许可证、操作人员特种设备人员作业证、</w:t>
      </w:r>
      <w:r>
        <w:rPr>
          <w:rFonts w:hint="eastAsia" w:ascii="宋体" w:hAnsi="宋体" w:eastAsia="宋体" w:cs="宋体"/>
          <w:color w:val="auto"/>
          <w:sz w:val="24"/>
          <w:szCs w:val="24"/>
          <w:lang w:val="en-US" w:eastAsia="zh-CN"/>
        </w:rPr>
        <w:t>特种焊工证、</w:t>
      </w:r>
      <w:r>
        <w:rPr>
          <w:rFonts w:hint="eastAsia" w:ascii="宋体" w:hAnsi="宋体" w:eastAsia="宋体" w:cs="宋体"/>
          <w:color w:val="auto"/>
          <w:sz w:val="24"/>
          <w:szCs w:val="24"/>
          <w:highlight w:val="none"/>
          <w:lang w:val="en-US" w:eastAsia="zh-CN"/>
        </w:rPr>
        <w:t>设备材料厂家标准资料文件（</w:t>
      </w:r>
      <w:r>
        <w:rPr>
          <w:rFonts w:hint="eastAsia" w:ascii="宋体" w:hAnsi="宋体" w:cs="宋体"/>
          <w:color w:val="auto"/>
          <w:sz w:val="24"/>
          <w:szCs w:val="24"/>
          <w:highlight w:val="none"/>
          <w:lang w:val="en-US" w:eastAsia="zh-CN"/>
        </w:rPr>
        <w:t>如</w:t>
      </w:r>
      <w:r>
        <w:rPr>
          <w:rFonts w:hint="eastAsia" w:ascii="宋体" w:hAnsi="宋体" w:eastAsia="宋体" w:cs="宋体"/>
          <w:color w:val="auto"/>
          <w:sz w:val="24"/>
          <w:szCs w:val="24"/>
          <w:highlight w:val="none"/>
          <w:lang w:val="en-US" w:eastAsia="zh-CN"/>
        </w:rPr>
        <w:t>产品合格证，氧气罐需提供生产许可证、产品合格证和质量保证证</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）。甲方自接到乙方通知之日起3日内组织人员对</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按合同约定及厂家出厂装箱单进行到货验收，经甲方验收合格后签署</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材料验收报告单，乙方方可进行现场拆包、安装、调试、培训、</w:t>
      </w:r>
      <w:r>
        <w:rPr>
          <w:rFonts w:hint="eastAsia" w:ascii="宋体" w:hAnsi="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。如经甲方验收不合格，乙方应在</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日内无条件予以更换。</w:t>
      </w:r>
    </w:p>
    <w:p w14:paraId="6D633E3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项目验收：乙方完工</w:t>
      </w:r>
      <w:r>
        <w:rPr>
          <w:rFonts w:hint="eastAsia" w:ascii="宋体" w:hAnsi="宋体" w:cs="宋体"/>
          <w:color w:val="auto"/>
          <w:sz w:val="24"/>
          <w:szCs w:val="24"/>
          <w:highlight w:val="none"/>
          <w:lang w:val="en-US" w:eastAsia="zh-CN"/>
        </w:rPr>
        <w:t>并为新液氧罐办理特种设备使用登记证</w:t>
      </w:r>
      <w:r>
        <w:rPr>
          <w:rFonts w:hint="eastAsia" w:ascii="宋体" w:hAnsi="宋体" w:eastAsia="宋体" w:cs="宋体"/>
          <w:color w:val="auto"/>
          <w:sz w:val="24"/>
          <w:szCs w:val="24"/>
          <w:highlight w:val="none"/>
          <w:lang w:val="en-US" w:eastAsia="zh-CN"/>
        </w:rPr>
        <w:t>后应及时通知甲方，甲方自接到乙方通知之日起7日内组织</w:t>
      </w:r>
      <w:r>
        <w:rPr>
          <w:rFonts w:hint="eastAsia" w:ascii="宋体" w:hAnsi="宋体" w:eastAsia="宋体" w:cs="宋体"/>
          <w:color w:val="auto"/>
          <w:sz w:val="24"/>
          <w:szCs w:val="24"/>
          <w:lang w:val="en-US" w:eastAsia="zh-CN"/>
        </w:rPr>
        <w:t>使用科室、设备科及相关部门</w:t>
      </w:r>
      <w:r>
        <w:rPr>
          <w:rFonts w:hint="eastAsia" w:ascii="宋体" w:hAnsi="宋体" w:eastAsia="宋体" w:cs="宋体"/>
          <w:color w:val="auto"/>
          <w:sz w:val="24"/>
          <w:szCs w:val="24"/>
          <w:highlight w:val="none"/>
          <w:lang w:val="en-US" w:eastAsia="zh-CN"/>
        </w:rPr>
        <w:t>进行总体验收，验收合格后签署项目验收报告单。如经甲方验收不合格，乙方应无条件返工（包括但不限于根据合同及甲方要求采取补足或更换等处理措施）直至验收合格为止，首次项目验收不合格时间至通过甲方项目验收时间不得超过7日。</w:t>
      </w:r>
    </w:p>
    <w:p w14:paraId="6E702E3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甲方验收时如发现乙方所交付、安装的设备以及</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质量不符合本合同约定，甲方应做出详尽的现场记录，由甲乙双方签署备忘录，该现场记录和备忘录作为乙方补交设备材料、更换不符标准设备材料以及返工的有效依据。</w:t>
      </w:r>
    </w:p>
    <w:p w14:paraId="23C04F4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质保期及保修服务</w:t>
      </w:r>
    </w:p>
    <w:p w14:paraId="347EBF26">
      <w:pPr>
        <w:keepNext w:val="0"/>
        <w:keepLines w:val="0"/>
        <w:pageBreakBefore w:val="0"/>
        <w:widowControl w:val="0"/>
        <w:numPr>
          <w:ilvl w:val="-1"/>
          <w:numId w:val="0"/>
        </w:numPr>
        <w:kinsoku/>
        <w:wordWrap w:val="0"/>
        <w:overflowPunct/>
        <w:topLinePunct/>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本合同</w:t>
      </w:r>
      <w:r>
        <w:rPr>
          <w:rFonts w:hint="eastAsia" w:ascii="宋体" w:hAnsi="宋体" w:cs="宋体"/>
          <w:color w:val="auto"/>
          <w:sz w:val="24"/>
          <w:szCs w:val="24"/>
          <w:lang w:val="en-US" w:eastAsia="zh-CN"/>
        </w:rPr>
        <w:t>设备及安装项目</w:t>
      </w:r>
      <w:r>
        <w:rPr>
          <w:rFonts w:hint="eastAsia" w:ascii="宋体" w:hAnsi="宋体" w:eastAsia="宋体" w:cs="宋体"/>
          <w:color w:val="auto"/>
          <w:sz w:val="24"/>
          <w:szCs w:val="24"/>
          <w:lang w:val="en-US" w:eastAsia="zh-CN"/>
        </w:rPr>
        <w:t>质保期为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年，自甲方在项目验收报告单上签字确认合格之日起算。</w:t>
      </w:r>
    </w:p>
    <w:p w14:paraId="58EEF98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auto"/>
          <w:sz w:val="24"/>
        </w:rPr>
        <w:t>乙方在质保期内免费提供</w:t>
      </w:r>
      <w:r>
        <w:rPr>
          <w:rFonts w:hint="eastAsia" w:ascii="宋体" w:hAnsi="宋体" w:eastAsia="宋体" w:cs="宋体"/>
          <w:color w:val="auto"/>
          <w:sz w:val="24"/>
          <w:lang w:val="en-US" w:eastAsia="zh-CN"/>
        </w:rPr>
        <w:t>含</w:t>
      </w:r>
      <w:r>
        <w:rPr>
          <w:rFonts w:hint="eastAsia" w:ascii="宋体" w:hAnsi="宋体" w:cs="宋体"/>
          <w:color w:val="auto"/>
          <w:sz w:val="24"/>
          <w:lang w:val="en-US" w:eastAsia="zh-CN"/>
        </w:rPr>
        <w:t>设备、</w:t>
      </w:r>
      <w:r>
        <w:rPr>
          <w:rFonts w:hint="eastAsia" w:ascii="宋体" w:hAnsi="宋体" w:eastAsia="宋体" w:cs="宋体"/>
          <w:color w:val="auto"/>
          <w:sz w:val="24"/>
          <w:lang w:val="en-US" w:eastAsia="zh-CN"/>
        </w:rPr>
        <w:t>材料在内的项目</w:t>
      </w:r>
      <w:r>
        <w:rPr>
          <w:rFonts w:hint="eastAsia" w:ascii="宋体" w:hAnsi="宋体" w:eastAsia="宋体" w:cs="宋体"/>
          <w:color w:val="auto"/>
          <w:sz w:val="24"/>
        </w:rPr>
        <w:t>维修、更换、保养、咨询等服务。</w:t>
      </w:r>
      <w:r>
        <w:rPr>
          <w:rFonts w:hint="eastAsia" w:ascii="宋体" w:hAnsi="宋体" w:eastAsia="宋体" w:cs="宋体"/>
          <w:color w:val="auto"/>
          <w:sz w:val="24"/>
          <w:szCs w:val="24"/>
          <w:lang w:val="en-US" w:eastAsia="zh-CN"/>
        </w:rPr>
        <w:t>如项目在</w:t>
      </w:r>
      <w:r>
        <w:rPr>
          <w:rFonts w:hint="eastAsia" w:ascii="宋体" w:hAnsi="宋体" w:eastAsia="宋体" w:cs="宋体"/>
          <w:color w:val="auto"/>
          <w:sz w:val="24"/>
        </w:rPr>
        <w:t>质</w:t>
      </w:r>
      <w:r>
        <w:rPr>
          <w:rFonts w:hint="eastAsia" w:ascii="宋体" w:hAnsi="宋体" w:eastAsia="宋体" w:cs="宋体"/>
          <w:color w:val="auto"/>
          <w:sz w:val="24"/>
          <w:szCs w:val="24"/>
          <w:lang w:val="en-US" w:eastAsia="zh-CN"/>
        </w:rPr>
        <w:t>保期内出现任何质量问题，乙方应在接到甲方通知（包括电话通知）后</w:t>
      </w:r>
      <w:r>
        <w:rPr>
          <w:rFonts w:hint="eastAsia" w:ascii="宋体" w:hAnsi="宋体" w:eastAsia="宋体" w:cs="宋体"/>
          <w:color w:val="auto"/>
          <w:sz w:val="24"/>
          <w:szCs w:val="24"/>
          <w:highlight w:val="none"/>
          <w:lang w:val="en-US" w:eastAsia="zh-CN"/>
        </w:rPr>
        <w:t>24小时响应，响应后派遣有相关特种设备作业资质的工作人员4小时上门服务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，相关费用由乙方承担。如乙方不及时履行保修义务，甲方有权委托第三方进行维修，由此产生的相关费用，在支付价款中予以扣除或要求乙方支付对应价款。</w:t>
      </w:r>
    </w:p>
    <w:p w14:paraId="398153A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质保期内，乙方每年至少对项目进行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p>
    <w:p w14:paraId="54A759D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质保期届满后，如</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出现问题，乙方应在接到甲方通知（包括电话通知）24小时响应，响应后4小时上门服务，相关费用由甲方承担。</w:t>
      </w:r>
    </w:p>
    <w:p w14:paraId="7F9EA23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14:paraId="3CCC24C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价款及付款方式</w:t>
      </w:r>
    </w:p>
    <w:p w14:paraId="19B6B3D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本合同为固定总价包干合同，合同金额总计人民币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w:t>
      </w:r>
      <w:r>
        <w:rPr>
          <w:rFonts w:hint="eastAsia" w:ascii="Arial" w:hAnsi="Arial" w:eastAsia="宋体" w:cs="Arial"/>
          <w:color w:val="auto"/>
          <w:sz w:val="24"/>
          <w:szCs w:val="24"/>
          <w:u w:val="none"/>
          <w:lang w:val="en-US" w:eastAsia="zh-CN"/>
        </w:rPr>
        <w:t>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包括且不限于设计费、设备费、</w:t>
      </w:r>
      <w:r>
        <w:rPr>
          <w:rFonts w:hint="eastAsia" w:ascii="宋体" w:hAnsi="宋体" w:cs="宋体"/>
          <w:color w:val="auto"/>
          <w:sz w:val="24"/>
          <w:szCs w:val="24"/>
          <w:lang w:val="en-US" w:eastAsia="zh-CN"/>
        </w:rPr>
        <w:t>特种设备使用登记证办理费、</w:t>
      </w:r>
      <w:r>
        <w:rPr>
          <w:rFonts w:hint="eastAsia" w:ascii="宋体" w:hAnsi="宋体" w:eastAsia="宋体" w:cs="宋体"/>
          <w:color w:val="auto"/>
          <w:sz w:val="24"/>
          <w:szCs w:val="24"/>
          <w:lang w:val="en-US" w:eastAsia="zh-CN"/>
        </w:rPr>
        <w:t>材料费、人工费、安装费、包装费、运输费、装卸费、调试费、检测、检验费、税费、保险费、售后服务费等在内所有费用。</w:t>
      </w:r>
    </w:p>
    <w:p w14:paraId="55AA939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 xml:space="preserve">2  </w:t>
      </w:r>
      <w:r>
        <w:rPr>
          <w:rFonts w:hint="eastAsia" w:ascii="宋体" w:hAnsi="宋体" w:eastAsia="宋体" w:cs="宋体"/>
          <w:color w:val="auto"/>
          <w:sz w:val="24"/>
          <w:szCs w:val="24"/>
          <w:lang w:val="en-US" w:eastAsia="zh-CN"/>
        </w:rPr>
        <w:t>甲方通过银行转账方式向乙方指定银行账户支付结算价款：自甲方在项目验收报告单上签字确认合格</w:t>
      </w:r>
      <w:r>
        <w:rPr>
          <w:rFonts w:hint="eastAsia" w:ascii="宋体" w:hAnsi="宋体" w:cs="宋体"/>
          <w:color w:val="auto"/>
          <w:sz w:val="24"/>
          <w:szCs w:val="24"/>
          <w:lang w:val="en-US" w:eastAsia="zh-CN"/>
        </w:rPr>
        <w:t>并取得</w:t>
      </w:r>
      <w:r>
        <w:rPr>
          <w:rFonts w:hint="default" w:asciiTheme="minorEastAsia" w:hAnsiTheme="minorEastAsia" w:eastAsiaTheme="minorEastAsia" w:cstheme="minorEastAsia"/>
          <w:bCs/>
          <w:color w:val="auto"/>
          <w:kern w:val="0"/>
          <w:sz w:val="24"/>
          <w:szCs w:val="24"/>
          <w:highlight w:val="none"/>
          <w:lang w:val="en-US" w:eastAsia="zh-CN" w:bidi="ar-SA"/>
        </w:rPr>
        <w:t>特种设备使用登记证</w:t>
      </w:r>
      <w:r>
        <w:rPr>
          <w:rFonts w:hint="eastAsia" w:ascii="宋体" w:hAnsi="宋体" w:eastAsia="宋体" w:cs="宋体"/>
          <w:color w:val="auto"/>
          <w:sz w:val="24"/>
          <w:szCs w:val="24"/>
          <w:lang w:val="en-US" w:eastAsia="zh-CN"/>
        </w:rPr>
        <w:t>之日起</w:t>
      </w:r>
      <w:r>
        <w:rPr>
          <w:rFonts w:hint="eastAsia" w:ascii="宋体" w:hAnsi="宋体" w:cs="宋体"/>
          <w:color w:val="auto"/>
          <w:sz w:val="24"/>
          <w:szCs w:val="24"/>
          <w:lang w:val="en-US" w:eastAsia="zh-CN"/>
        </w:rPr>
        <w:t>30个工作日</w:t>
      </w:r>
      <w:r>
        <w:rPr>
          <w:rFonts w:hint="eastAsia" w:ascii="宋体" w:hAnsi="宋体" w:eastAsia="宋体" w:cs="宋体"/>
          <w:color w:val="auto"/>
          <w:sz w:val="24"/>
          <w:szCs w:val="24"/>
          <w:lang w:val="en-US" w:eastAsia="zh-CN"/>
        </w:rPr>
        <w:t>内，支付</w:t>
      </w:r>
      <w:r>
        <w:rPr>
          <w:rFonts w:hint="eastAsia" w:ascii="宋体" w:hAnsi="宋体" w:cs="宋体"/>
          <w:color w:val="auto"/>
          <w:sz w:val="24"/>
          <w:szCs w:val="24"/>
          <w:lang w:val="en-US" w:eastAsia="zh-CN"/>
        </w:rPr>
        <w:t>合同</w:t>
      </w:r>
      <w:r>
        <w:rPr>
          <w:rFonts w:hint="eastAsia" w:ascii="宋体" w:hAnsi="宋体" w:eastAsia="宋体" w:cs="宋体"/>
          <w:color w:val="auto"/>
          <w:sz w:val="24"/>
          <w:szCs w:val="24"/>
          <w:lang w:val="en-US" w:eastAsia="zh-CN"/>
        </w:rPr>
        <w:t>总价款的9</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余款</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val="en-US" w:eastAsia="zh-CN"/>
        </w:rPr>
        <w:t>，</w:t>
      </w:r>
      <w:r>
        <w:rPr>
          <w:rFonts w:hint="eastAsia" w:ascii="宋体" w:hAnsi="宋体" w:eastAsia="宋体" w:cs="宋体"/>
          <w:color w:val="auto"/>
          <w:sz w:val="24"/>
        </w:rPr>
        <w:t>由甲方在</w:t>
      </w:r>
      <w:r>
        <w:rPr>
          <w:rFonts w:hint="eastAsia" w:ascii="宋体" w:hAnsi="宋体" w:eastAsia="宋体" w:cs="宋体"/>
          <w:color w:val="auto"/>
          <w:sz w:val="24"/>
          <w:lang w:val="en-US" w:eastAsia="zh-CN"/>
        </w:rPr>
        <w:t>两年质保期</w:t>
      </w:r>
      <w:r>
        <w:rPr>
          <w:rFonts w:hint="eastAsia" w:ascii="宋体" w:hAnsi="宋体" w:eastAsia="宋体" w:cs="宋体"/>
          <w:color w:val="auto"/>
          <w:sz w:val="24"/>
        </w:rPr>
        <w:t>届满且不存在需被扣除情形之日起</w:t>
      </w:r>
      <w:r>
        <w:rPr>
          <w:rFonts w:hint="eastAsia" w:ascii="宋体" w:hAnsi="宋体" w:eastAsia="宋体" w:cs="宋体"/>
          <w:color w:val="auto"/>
          <w:sz w:val="24"/>
          <w:lang w:val="en-US" w:eastAsia="zh-CN"/>
        </w:rPr>
        <w:t>1</w:t>
      </w:r>
      <w:r>
        <w:rPr>
          <w:rFonts w:hint="eastAsia" w:ascii="宋体" w:hAnsi="宋体" w:eastAsia="宋体" w:cs="宋体"/>
          <w:color w:val="auto"/>
          <w:sz w:val="24"/>
        </w:rPr>
        <w:t>0个工作日内，免息支付给乙方。</w:t>
      </w:r>
      <w:r>
        <w:rPr>
          <w:rFonts w:hint="eastAsia" w:ascii="宋体" w:hAnsi="宋体" w:eastAsia="宋体" w:cs="宋体"/>
          <w:color w:val="auto"/>
          <w:sz w:val="24"/>
          <w:szCs w:val="24"/>
          <w:highlight w:val="none"/>
          <w:lang w:val="en-US" w:eastAsia="zh-CN"/>
        </w:rPr>
        <w:t>如存在需扣除乙方款项情形，甲方扣除相应款项后将该次余款一次性支付给乙方。</w:t>
      </w:r>
    </w:p>
    <w:p w14:paraId="5B529FB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 xml:space="preserve">8.3  </w:t>
      </w:r>
      <w:r>
        <w:rPr>
          <w:rFonts w:hint="eastAsia" w:asciiTheme="minorEastAsia" w:hAnsiTheme="minorEastAsia" w:eastAsiaTheme="minorEastAsia" w:cstheme="minorEastAsia"/>
          <w:bCs/>
          <w:color w:val="auto"/>
          <w:kern w:val="0"/>
          <w:sz w:val="24"/>
          <w:szCs w:val="24"/>
          <w:highlight w:val="none"/>
          <w:lang w:val="en-US" w:eastAsia="zh-CN" w:bidi="ar-SA"/>
        </w:rPr>
        <w:t>旧液氧罐折旧价格为1.5万元，双方一致同意甲方在首次支付价款时抵扣对应金额的货款，甲方在抵扣后将剩余款项支付给乙方。</w:t>
      </w:r>
    </w:p>
    <w:p w14:paraId="149FC00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 xml:space="preserve">4  </w:t>
      </w:r>
      <w:r>
        <w:rPr>
          <w:rFonts w:hint="eastAsia" w:ascii="宋体" w:hAnsi="宋体" w:eastAsia="宋体" w:cs="宋体"/>
          <w:color w:val="auto"/>
          <w:sz w:val="24"/>
          <w:szCs w:val="24"/>
          <w:lang w:val="en-US" w:eastAsia="zh-CN"/>
        </w:rPr>
        <w:t>乙方应在甲方首次付款前，</w:t>
      </w:r>
      <w:r>
        <w:rPr>
          <w:rFonts w:hint="eastAsia" w:ascii="宋体" w:hAnsi="宋体" w:cs="宋体"/>
          <w:color w:val="auto"/>
          <w:sz w:val="24"/>
          <w:szCs w:val="24"/>
          <w:lang w:val="en-US" w:eastAsia="zh-CN"/>
        </w:rPr>
        <w:t>向甲方</w:t>
      </w:r>
      <w:r>
        <w:rPr>
          <w:rFonts w:hint="eastAsia" w:ascii="宋体" w:hAnsi="宋体" w:eastAsia="宋体" w:cs="宋体"/>
          <w:color w:val="auto"/>
          <w:sz w:val="24"/>
          <w:szCs w:val="24"/>
          <w:lang w:val="en-US" w:eastAsia="zh-CN"/>
        </w:rPr>
        <w:t>提供以自己名义开具的与结算价款</w:t>
      </w:r>
      <w:r>
        <w:rPr>
          <w:rFonts w:hint="eastAsia" w:ascii="宋体" w:hAnsi="宋体" w:cs="宋体"/>
          <w:color w:val="auto"/>
          <w:sz w:val="24"/>
          <w:szCs w:val="24"/>
          <w:lang w:val="en-US" w:eastAsia="zh-CN"/>
        </w:rPr>
        <w:t>金额等额</w:t>
      </w:r>
      <w:r>
        <w:rPr>
          <w:rFonts w:hint="eastAsia" w:ascii="宋体" w:hAnsi="宋体" w:eastAsia="宋体" w:cs="宋体"/>
          <w:color w:val="auto"/>
          <w:sz w:val="24"/>
          <w:szCs w:val="24"/>
          <w:lang w:val="en-US" w:eastAsia="zh-CN"/>
        </w:rPr>
        <w:t>的增值税普通发票，如因</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未及时提供发票</w:t>
      </w:r>
      <w:r>
        <w:rPr>
          <w:rFonts w:hint="eastAsia" w:ascii="宋体" w:hAnsi="宋体" w:cs="宋体"/>
          <w:color w:val="auto"/>
          <w:sz w:val="24"/>
          <w:szCs w:val="24"/>
          <w:lang w:val="en-US" w:eastAsia="zh-CN"/>
        </w:rPr>
        <w:t>，甲方有权拒绝付款且不视为</w:t>
      </w:r>
      <w:r>
        <w:rPr>
          <w:rFonts w:hint="eastAsia" w:ascii="宋体" w:hAnsi="宋体" w:eastAsia="宋体" w:cs="宋体"/>
          <w:color w:val="auto"/>
          <w:sz w:val="24"/>
          <w:szCs w:val="24"/>
          <w:lang w:val="en-US" w:eastAsia="zh-CN"/>
        </w:rPr>
        <w:t>逾期付款，</w:t>
      </w:r>
      <w:r>
        <w:rPr>
          <w:rFonts w:hint="eastAsia" w:ascii="宋体" w:hAnsi="宋体" w:cs="宋体"/>
          <w:color w:val="auto"/>
          <w:sz w:val="24"/>
          <w:szCs w:val="24"/>
          <w:lang w:val="en-US" w:eastAsia="zh-CN"/>
        </w:rPr>
        <w:t>由此产生的不利后果由</w:t>
      </w:r>
      <w:r>
        <w:rPr>
          <w:rFonts w:hint="eastAsia" w:ascii="宋体" w:hAnsi="宋体" w:eastAsia="宋体" w:cs="宋体"/>
          <w:color w:val="auto"/>
          <w:sz w:val="24"/>
          <w:szCs w:val="24"/>
          <w:lang w:val="en-US" w:eastAsia="zh-CN"/>
        </w:rPr>
        <w:t>乙方自行承担。</w:t>
      </w:r>
    </w:p>
    <w:p w14:paraId="0F4139D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  乙方指定账户</w:t>
      </w:r>
    </w:p>
    <w:p w14:paraId="1F983A6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14:paraId="72532BD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olor w:val="auto"/>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4"/>
          <w:szCs w:val="24"/>
          <w:u w:val="none"/>
          <w:lang w:val="en-US" w:eastAsia="zh-CN"/>
        </w:rPr>
        <w:t xml:space="preserve">       </w:t>
      </w:r>
    </w:p>
    <w:p w14:paraId="5A97043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olor w:val="auto"/>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auto"/>
          <w:sz w:val="28"/>
          <w:szCs w:val="28"/>
          <w:u w:val="none"/>
          <w:lang w:val="en-US" w:eastAsia="zh-CN"/>
        </w:rPr>
        <w:t xml:space="preserve"> </w:t>
      </w:r>
      <w:r>
        <w:rPr>
          <w:rFonts w:hint="eastAsia" w:ascii="宋体" w:hAnsi="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8"/>
          <w:szCs w:val="28"/>
          <w:u w:val="none"/>
          <w:lang w:val="en-US" w:eastAsia="zh-CN"/>
        </w:rPr>
        <w:t xml:space="preserve">   </w:t>
      </w:r>
    </w:p>
    <w:p w14:paraId="0262285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条 廉洁条款</w:t>
      </w:r>
    </w:p>
    <w:p w14:paraId="37C4565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.1 乙方应严格遵守国家相关法律法规，涉及合同的有关业务活动必须坚持公开、公平、公正、诚信原则，不得为获取不正当利益，损害国家、集体和甲方利益。</w:t>
      </w:r>
    </w:p>
    <w:p w14:paraId="1F742D8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 xml:space="preserve">.2 </w:t>
      </w:r>
      <w:r>
        <w:rPr>
          <w:rFonts w:hint="default" w:ascii="宋体" w:hAnsi="宋体" w:eastAsia="宋体" w:cs="宋体"/>
          <w:b/>
          <w:bCs/>
          <w:color w:val="auto"/>
          <w:sz w:val="24"/>
          <w:szCs w:val="24"/>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CB5EB13">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w:t>
      </w:r>
      <w:r>
        <w:rPr>
          <w:rFonts w:hint="eastAsia" w:ascii="宋体" w:hAnsi="宋体" w:cs="宋体"/>
          <w:b/>
          <w:bCs/>
          <w:color w:val="auto"/>
          <w:sz w:val="24"/>
          <w:highlight w:val="none"/>
          <w:lang w:val="en-US" w:eastAsia="zh-CN"/>
        </w:rPr>
        <w:t>十</w:t>
      </w:r>
      <w:r>
        <w:rPr>
          <w:rFonts w:hint="eastAsia" w:ascii="宋体" w:hAnsi="宋体" w:eastAsia="宋体" w:cs="宋体"/>
          <w:b/>
          <w:bCs/>
          <w:color w:val="auto"/>
          <w:sz w:val="24"/>
          <w:highlight w:val="none"/>
          <w:lang w:val="en-US" w:eastAsia="zh-CN"/>
        </w:rPr>
        <w:t>条 保密条款</w:t>
      </w:r>
    </w:p>
    <w:p w14:paraId="372E980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.1 本合同订立、履行、变更等产生的研究、商讨、交流等信息，履行本合同获悉的甲方商业秘密、运营信息、工作人员信息、患陪个人信息等，均属保密信息。</w:t>
      </w:r>
    </w:p>
    <w:p w14:paraId="564ED51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.2 乙方应对保密信息采取有效手段严格保密，不得用于非本合同之目的或向第三方泄露。如政府部门、法院或其他有权部门要求乙方提供保密信息，乙方应当立即向甲方通报。</w:t>
      </w:r>
    </w:p>
    <w:p w14:paraId="13C6DD5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.3 因乙方未履行本合同保密义务造成甲方或第三方损失的，由乙方承担全部赔偿责任。</w:t>
      </w:r>
    </w:p>
    <w:p w14:paraId="59E6818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.4 本合同保密条款在合同被认定无效、被撤销或终止、解除后仍然有效。</w:t>
      </w:r>
    </w:p>
    <w:p w14:paraId="1AC4ED3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十一</w:t>
      </w:r>
      <w:r>
        <w:rPr>
          <w:rFonts w:hint="eastAsia" w:ascii="宋体" w:hAnsi="宋体" w:eastAsia="宋体" w:cs="宋体"/>
          <w:b/>
          <w:bCs/>
          <w:color w:val="auto"/>
          <w:sz w:val="24"/>
          <w:szCs w:val="24"/>
          <w:lang w:val="en-US" w:eastAsia="zh-CN"/>
        </w:rPr>
        <w:t>条 通知和送达</w:t>
      </w:r>
    </w:p>
    <w:p w14:paraId="410E1B9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.1甲、乙双方同意，与本合同有关的任何文书，应以书面方式送达本合同约定的联系方式。书面形式包括手机短信、微信、书面函件、电子邮件等形式。</w:t>
      </w:r>
    </w:p>
    <w:p w14:paraId="413E9A4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双方确认的文书（包括未来可能发生的诉讼或仲裁活动中法院或仲裁机构的送达法律文书）送达地址：</w:t>
      </w:r>
    </w:p>
    <w:p w14:paraId="40B1DD0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.2.1 甲方的文书送达地址：湖南省娄底市娄星区长青中街51号娄底市中心医院设备科，收件人：朱振宇，联系电话：15673845559，电子邮箱：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14:paraId="142AEB8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 乙方的文书送达地址：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，收件人：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33FB15F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.3 上述通知应被视为在下列时间送达：以快递或专人发送的，在收件人签收之日或拒收之日；以挂号邮件发出的，在发出之日起7个工作日；以电子邮件发出的，在电子邮件进入收件方电子邮箱服务器之日。</w:t>
      </w:r>
    </w:p>
    <w:p w14:paraId="5A36B78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AFB10ED">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第十二条 合同的变更和解除</w:t>
      </w:r>
    </w:p>
    <w:p w14:paraId="3313111E">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本合同未尽事宜，双方另行协商签订补充协议。</w:t>
      </w:r>
    </w:p>
    <w:p w14:paraId="638F637C">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乙方出现以下违约情形之一的，甲方有权单方解除本合同并由乙方赔偿甲方因此造成的损失：</w:t>
      </w:r>
    </w:p>
    <w:p w14:paraId="7A1CAB85">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乙方</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eastAsia="zh-CN"/>
        </w:rPr>
        <w:t>本合同权利义务全部或部分转让给</w:t>
      </w:r>
      <w:r>
        <w:rPr>
          <w:rFonts w:hint="eastAsia" w:ascii="宋体" w:hAnsi="宋体" w:eastAsia="宋体" w:cs="宋体"/>
          <w:color w:val="auto"/>
          <w:sz w:val="24"/>
          <w:highlight w:val="none"/>
        </w:rPr>
        <w:t>第三方</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lang w:val="en-US" w:eastAsia="zh-CN"/>
        </w:rPr>
        <w:t>；</w:t>
      </w:r>
    </w:p>
    <w:p w14:paraId="3F394FCF">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乙方未在本合同约定期限通过项目验收，逾期7日以上的；</w:t>
      </w:r>
    </w:p>
    <w:p w14:paraId="004148C8">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12.2.3 乙方在安装过程中出现偷工减料或安装工序不符合质量要求，经甲方提出后3日内仍然拒不整改或整改2次后仍然不到位的；</w:t>
      </w:r>
    </w:p>
    <w:p w14:paraId="712206F5">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12.2.4 在质保期内，乙方承包项目出现质量问题，自接到甲方通知后未在约定期限完成检修、维护、修理超过3次的；</w:t>
      </w:r>
    </w:p>
    <w:p w14:paraId="21078644">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12.2.5其他根本违约的情形。</w:t>
      </w:r>
    </w:p>
    <w:p w14:paraId="52B78F1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条 违约责任</w:t>
      </w:r>
    </w:p>
    <w:p w14:paraId="706731B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.1如乙方未在本合同约定期限内完成项目并经甲方项目验收合格，每逾期一日，应向甲方支付违约金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u w:val="single"/>
          <w:lang w:val="en-US" w:eastAsia="zh-CN" w:bidi="ar-SA"/>
        </w:rPr>
        <w:t>900.00</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w:t>
      </w:r>
    </w:p>
    <w:p w14:paraId="78976B7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13.2 在质保期内，如乙方未按本合同</w:t>
      </w:r>
      <w:r>
        <w:rPr>
          <w:rFonts w:hint="eastAsia" w:ascii="宋体" w:hAnsi="宋体" w:eastAsia="宋体" w:cs="宋体"/>
          <w:color w:val="auto"/>
          <w:sz w:val="24"/>
          <w:szCs w:val="24"/>
          <w:lang w:val="en-US" w:eastAsia="zh-CN"/>
        </w:rPr>
        <w:t>约定完成检修、维护、修理</w:t>
      </w:r>
      <w:r>
        <w:rPr>
          <w:rFonts w:hint="eastAsia" w:ascii="宋体" w:hAnsi="宋体" w:cs="宋体"/>
          <w:color w:val="auto"/>
          <w:sz w:val="24"/>
          <w:szCs w:val="24"/>
          <w:lang w:val="en-US" w:eastAsia="zh-CN"/>
        </w:rPr>
        <w:t>的，每发生一次，应向甲方支付违约金900.00元。</w:t>
      </w:r>
    </w:p>
    <w:p w14:paraId="1543DEFF">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 xml:space="preserve"> 如乙方单方解除合同或甲方因</w:t>
      </w:r>
      <w:r>
        <w:rPr>
          <w:rFonts w:hint="eastAsia" w:ascii="宋体" w:hAnsi="宋体" w:cs="宋体"/>
          <w:color w:val="auto"/>
          <w:kern w:val="0"/>
          <w:sz w:val="24"/>
          <w:szCs w:val="24"/>
          <w:lang w:val="en-US" w:eastAsia="zh-CN" w:bidi="ar-SA"/>
        </w:rPr>
        <w:t>12.2</w:t>
      </w:r>
      <w:r>
        <w:rPr>
          <w:rFonts w:hint="eastAsia" w:ascii="宋体" w:hAnsi="宋体" w:eastAsia="宋体" w:cs="宋体"/>
          <w:color w:val="auto"/>
          <w:kern w:val="0"/>
          <w:sz w:val="24"/>
          <w:szCs w:val="24"/>
          <w:lang w:val="en-US" w:eastAsia="zh-CN" w:bidi="ar-SA"/>
        </w:rPr>
        <w:t>情形解除合同，乙方除赔偿甲方由此造成的全部损失（包括但不限于实际经济损失，因纠纷产生的律师费、诉讼费、差旅费等）外，还须向甲方支付违约金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u w:val="single"/>
          <w:lang w:val="en-US" w:eastAsia="zh-CN" w:bidi="ar-SA"/>
        </w:rPr>
        <w:t>90000.00</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元整。</w:t>
      </w:r>
    </w:p>
    <w:p w14:paraId="5C88629F">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cs="宋体"/>
          <w:b/>
          <w:bCs/>
          <w:color w:val="auto"/>
          <w:kern w:val="0"/>
          <w:sz w:val="24"/>
          <w:szCs w:val="24"/>
          <w:u w:val="single"/>
          <w:lang w:val="en-US" w:eastAsia="zh-CN" w:bidi="ar-SA"/>
        </w:rPr>
      </w:pPr>
      <w:r>
        <w:rPr>
          <w:rFonts w:hint="eastAsia" w:ascii="宋体" w:hAnsi="宋体" w:cs="宋体"/>
          <w:b/>
          <w:bCs/>
          <w:color w:val="auto"/>
          <w:kern w:val="0"/>
          <w:sz w:val="24"/>
          <w:szCs w:val="24"/>
          <w:u w:val="single"/>
          <w:lang w:val="en-US" w:eastAsia="zh-CN" w:bidi="ar-SA"/>
        </w:rPr>
        <w:t>13.4 无论甲方在任意时候（不限于本合同履行期间）发现存在违反本合同廉洁条款的行为，乙方须按本合同总费用10%的标准向甲方支付一次性惩罚性违约金。如乙方除需承担违反廉洁条款的违约责任外，同时存在其他违约行为，乙方仍须就其他违约行为承担相应违约责任。</w:t>
      </w:r>
    </w:p>
    <w:p w14:paraId="4CA5CC80">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cs="宋体"/>
          <w:color w:val="auto"/>
          <w:kern w:val="0"/>
          <w:sz w:val="24"/>
          <w:szCs w:val="24"/>
          <w:lang w:val="en-US" w:eastAsia="zh-CN" w:bidi="ar-SA"/>
        </w:rPr>
      </w:pPr>
      <w:r>
        <w:rPr>
          <w:rFonts w:hint="eastAsia" w:ascii="宋体" w:hAnsi="宋体" w:cs="宋体"/>
          <w:b/>
          <w:bCs/>
          <w:color w:val="auto"/>
          <w:kern w:val="0"/>
          <w:sz w:val="24"/>
          <w:szCs w:val="24"/>
          <w:u w:val="single"/>
          <w:lang w:val="en-US" w:eastAsia="zh-CN" w:bidi="ar-SA"/>
        </w:rPr>
        <w:t>13.5 依据本合同约定乙方应支付给甲方的违约金，甲方有权在应支付给乙方的任意价款中直接予以扣除，如扣除部分不足，乙方应在接到甲方通知后3日内补足。</w:t>
      </w:r>
    </w:p>
    <w:p w14:paraId="37005EE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条 争议解决</w:t>
      </w:r>
    </w:p>
    <w:p w14:paraId="1FA01E0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14:paraId="2CBB6B4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条 附则</w:t>
      </w:r>
    </w:p>
    <w:p w14:paraId="32CC138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.1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本项目乙方响应文件的报价表、安全技术规范要求的设计文件、技术资料、验收合格凭证、经双方签章确认的技术讨论纪要及乙方企业营业执照、安装资格资质证书、法定代表人身份证复印件或授权委托书和委托代理人身份证复印件等作为本合同附件。 </w:t>
      </w:r>
    </w:p>
    <w:p w14:paraId="0E1E262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本合同组成文件及解释顺序如下：</w:t>
      </w:r>
      <w:r>
        <w:rPr>
          <w:rFonts w:hint="eastAsia" w:ascii="宋体" w:hAnsi="宋体" w:eastAsia="宋体" w:cs="宋体"/>
          <w:color w:val="auto"/>
          <w:sz w:val="24"/>
          <w:highlight w:val="none"/>
          <w:lang w:eastAsia="zh-CN"/>
        </w:rPr>
        <w:t>乙方在履行本合同中作出的书面承诺；</w:t>
      </w:r>
      <w:r>
        <w:rPr>
          <w:rFonts w:hint="eastAsia" w:ascii="宋体" w:hAnsi="宋体" w:eastAsia="宋体" w:cs="宋体"/>
          <w:color w:val="auto"/>
          <w:sz w:val="24"/>
          <w:highlight w:val="none"/>
        </w:rPr>
        <w:t>本合同补充协议；本合同及附件；</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lang w:val="en-US" w:eastAsia="zh-CN"/>
        </w:rPr>
        <w:t>/成交通知书/</w:t>
      </w:r>
      <w:r>
        <w:rPr>
          <w:rFonts w:hint="eastAsia" w:ascii="宋体" w:hAnsi="宋体" w:eastAsia="宋体" w:cs="宋体"/>
          <w:color w:val="auto"/>
          <w:sz w:val="24"/>
          <w:highlight w:val="none"/>
        </w:rPr>
        <w:t>议价结果公示</w:t>
      </w:r>
      <w:r>
        <w:rPr>
          <w:rFonts w:hint="eastAsia" w:ascii="宋体" w:hAnsi="宋体" w:eastAsia="宋体" w:cs="宋体"/>
          <w:color w:val="auto"/>
          <w:sz w:val="24"/>
          <w:highlight w:val="none"/>
          <w:lang w:val="en-US" w:eastAsia="zh-CN"/>
        </w:rPr>
        <w:t>/成交公告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采购文件</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；其他与本合同有关的资料。</w:t>
      </w:r>
    </w:p>
    <w:p w14:paraId="20792A6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本合同一式</w:t>
      </w:r>
      <w:r>
        <w:rPr>
          <w:rFonts w:hint="eastAsia" w:ascii="宋体" w:hAnsi="宋体" w:eastAsia="宋体" w:cs="宋体"/>
          <w:color w:val="auto"/>
          <w:sz w:val="24"/>
          <w:highlight w:val="none"/>
        </w:rPr>
        <w:t>伍</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highlight w:val="none"/>
        </w:rPr>
        <w:t>甲方执肆份、乙方执壹份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highlight w:val="none"/>
        </w:rPr>
        <w:t>自双方签字并盖章</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w:t>
      </w:r>
    </w:p>
    <w:p w14:paraId="6BAEF867">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14:paraId="3BEAE6D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14:paraId="210543D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14:paraId="61AE2BCB">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14:paraId="2F36DADC">
      <w:pPr>
        <w:rPr>
          <w:rFonts w:hint="eastAsia"/>
          <w:color w:val="auto"/>
          <w:lang w:val="en-US" w:eastAsia="zh-CN"/>
        </w:rPr>
      </w:pPr>
      <w:r>
        <w:rPr>
          <w:rFonts w:hint="eastAsia"/>
          <w:color w:val="auto"/>
          <w:lang w:val="en-US" w:eastAsia="zh-CN"/>
        </w:rPr>
        <w:br w:type="page"/>
      </w:r>
    </w:p>
    <w:p w14:paraId="2B7888C8">
      <w:pPr>
        <w:pStyle w:val="2"/>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tbl>
      <w:tblPr>
        <w:tblStyle w:val="13"/>
        <w:tblpPr w:leftFromText="180" w:rightFromText="180" w:vertAnchor="text" w:horzAnchor="page" w:tblpX="1965" w:tblpY="148"/>
        <w:tblOverlap w:val="never"/>
        <w:tblW w:w="8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4104"/>
        <w:gridCol w:w="1800"/>
      </w:tblGrid>
      <w:tr w14:paraId="204C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02B84D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设备</w:t>
            </w:r>
            <w:r>
              <w:rPr>
                <w:rFonts w:hint="eastAsia" w:ascii="宋体" w:hAnsi="宋体" w:eastAsia="宋体" w:cs="宋体"/>
                <w:b/>
                <w:bCs/>
                <w:color w:val="auto"/>
                <w:kern w:val="0"/>
                <w:sz w:val="24"/>
                <w:szCs w:val="24"/>
                <w:highlight w:val="none"/>
              </w:rPr>
              <w:t>名称</w:t>
            </w:r>
          </w:p>
        </w:tc>
        <w:tc>
          <w:tcPr>
            <w:tcW w:w="4104" w:type="dxa"/>
            <w:noWrap w:val="0"/>
            <w:vAlign w:val="center"/>
          </w:tcPr>
          <w:p w14:paraId="65CD97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设备要求</w:t>
            </w:r>
          </w:p>
        </w:tc>
        <w:tc>
          <w:tcPr>
            <w:tcW w:w="1800" w:type="dxa"/>
            <w:noWrap w:val="0"/>
            <w:vAlign w:val="center"/>
          </w:tcPr>
          <w:p w14:paraId="704B44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63DF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5D084B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i w:val="0"/>
                <w:iCs w:val="0"/>
                <w:caps w:val="0"/>
                <w:color w:val="auto"/>
                <w:spacing w:val="0"/>
                <w:sz w:val="24"/>
                <w:szCs w:val="24"/>
                <w:shd w:val="clear" w:fill="FFFFFF"/>
              </w:rPr>
              <w:t>液氧罐</w:t>
            </w:r>
          </w:p>
        </w:tc>
        <w:tc>
          <w:tcPr>
            <w:tcW w:w="4104" w:type="dxa"/>
            <w:noWrap w:val="0"/>
            <w:vAlign w:val="center"/>
          </w:tcPr>
          <w:p w14:paraId="64E274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1）贮存介质:液态氧气</w:t>
            </w:r>
          </w:p>
          <w:p w14:paraId="57D9A1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2）设计压力: ≥1.6MPa</w:t>
            </w:r>
          </w:p>
          <w:p w14:paraId="3831229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3）工作压力: ≥1.6MPa</w:t>
            </w:r>
          </w:p>
          <w:p w14:paraId="6EBEBE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4)设计温度: ≥</w:t>
            </w:r>
            <w:r>
              <w:rPr>
                <w:rFonts w:ascii="宋体" w:hAnsi="宋体" w:eastAsia="宋体" w:cs="宋体"/>
                <w:i w:val="0"/>
                <w:iCs w:val="0"/>
                <w:caps w:val="0"/>
                <w:color w:val="0000FF"/>
                <w:spacing w:val="0"/>
                <w:sz w:val="21"/>
                <w:szCs w:val="21"/>
              </w:rPr>
              <w:t xml:space="preserve"> </w:t>
            </w:r>
            <w:r>
              <w:rPr>
                <w:rFonts w:hint="eastAsia" w:ascii="宋体" w:hAnsi="宋体" w:cs="宋体"/>
                <w:i w:val="0"/>
                <w:iCs w:val="0"/>
                <w:caps w:val="0"/>
                <w:color w:val="0000FF"/>
                <w:spacing w:val="0"/>
                <w:sz w:val="21"/>
                <w:szCs w:val="21"/>
                <w:lang w:val="en-US" w:eastAsia="zh-CN"/>
              </w:rPr>
              <w:t>-</w:t>
            </w:r>
            <w:r>
              <w:rPr>
                <w:rFonts w:ascii="宋体" w:hAnsi="宋体" w:eastAsia="宋体" w:cs="宋体"/>
                <w:i w:val="0"/>
                <w:iCs w:val="0"/>
                <w:caps w:val="0"/>
                <w:color w:val="0000FF"/>
                <w:spacing w:val="0"/>
                <w:sz w:val="21"/>
                <w:szCs w:val="21"/>
              </w:rPr>
              <w:t>140°</w:t>
            </w:r>
          </w:p>
          <w:p w14:paraId="78F837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 xml:space="preserve">5)工作温度: ≥ </w:t>
            </w:r>
            <w:r>
              <w:rPr>
                <w:rFonts w:hint="eastAsia" w:ascii="宋体" w:hAnsi="宋体" w:cs="宋体"/>
                <w:i w:val="0"/>
                <w:iCs w:val="0"/>
                <w:caps w:val="0"/>
                <w:color w:val="0000FF"/>
                <w:spacing w:val="0"/>
                <w:sz w:val="21"/>
                <w:szCs w:val="21"/>
                <w:lang w:val="en-US" w:eastAsia="zh-CN"/>
              </w:rPr>
              <w:t>-</w:t>
            </w:r>
            <w:r>
              <w:rPr>
                <w:rFonts w:ascii="宋体" w:hAnsi="宋体" w:eastAsia="宋体" w:cs="宋体"/>
                <w:i w:val="0"/>
                <w:iCs w:val="0"/>
                <w:caps w:val="0"/>
                <w:color w:val="0000FF"/>
                <w:spacing w:val="0"/>
                <w:sz w:val="21"/>
                <w:szCs w:val="21"/>
              </w:rPr>
              <w:t>140°</w:t>
            </w:r>
          </w:p>
          <w:p w14:paraId="1C2424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6)主体材质: S30408</w:t>
            </w:r>
          </w:p>
          <w:p w14:paraId="770A7D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7)有效容积:≥4.99m3</w:t>
            </w:r>
          </w:p>
          <w:p w14:paraId="2A4BF4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i w:val="0"/>
                <w:iCs w:val="0"/>
                <w:caps w:val="0"/>
                <w:color w:val="auto"/>
                <w:spacing w:val="0"/>
                <w:sz w:val="21"/>
                <w:szCs w:val="21"/>
              </w:rPr>
              <w:t>8)设计使用年限: ≥30年</w:t>
            </w:r>
          </w:p>
        </w:tc>
        <w:tc>
          <w:tcPr>
            <w:tcW w:w="1800" w:type="dxa"/>
            <w:noWrap w:val="0"/>
            <w:vAlign w:val="center"/>
          </w:tcPr>
          <w:p w14:paraId="4111BD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r>
      <w:tr w14:paraId="2760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2576CE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备用安全阀、压力表</w:t>
            </w:r>
          </w:p>
        </w:tc>
        <w:tc>
          <w:tcPr>
            <w:tcW w:w="4104" w:type="dxa"/>
            <w:noWrap w:val="0"/>
            <w:vAlign w:val="center"/>
          </w:tcPr>
          <w:p w14:paraId="11FF7AA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kern w:val="0"/>
                <w:sz w:val="24"/>
                <w:szCs w:val="24"/>
                <w:highlight w:val="none"/>
                <w:lang w:val="en-US" w:eastAsia="zh-CN"/>
              </w:rPr>
            </w:pPr>
          </w:p>
        </w:tc>
        <w:tc>
          <w:tcPr>
            <w:tcW w:w="1800" w:type="dxa"/>
            <w:noWrap w:val="0"/>
            <w:vAlign w:val="center"/>
          </w:tcPr>
          <w:p w14:paraId="730A75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r>
    </w:tbl>
    <w:p w14:paraId="7813AA83">
      <w:pPr>
        <w:rPr>
          <w:rFonts w:hint="default"/>
          <w:color w:val="auto"/>
          <w:lang w:val="en-US" w:eastAsia="zh-CN"/>
        </w:rPr>
      </w:pPr>
    </w:p>
    <w:p w14:paraId="42A52FB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p>
    <w:p w14:paraId="06772BD5">
      <w:pPr>
        <w:rPr>
          <w:rFonts w:hint="eastAsia" w:ascii="黑体" w:hAnsi="黑体" w:eastAsia="黑体" w:cs="黑体"/>
          <w:b w:val="0"/>
          <w:bCs/>
          <w:color w:val="auto"/>
          <w:sz w:val="32"/>
          <w:szCs w:val="32"/>
          <w:lang w:val="en-US" w:eastAsia="zh-CN"/>
        </w:rPr>
      </w:pPr>
    </w:p>
    <w:p w14:paraId="39B0D3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77290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BA38B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F8CC2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7AB9E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9C5E0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48904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84295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117D2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0F6DA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4D90B3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D8162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3E4700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61FD2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D0167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0E8259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7D505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405211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b w:val="0"/>
          <w:bCs/>
          <w:color w:val="auto"/>
          <w:sz w:val="32"/>
          <w:szCs w:val="32"/>
          <w:lang w:val="en-US" w:eastAsia="zh-CN"/>
        </w:rPr>
      </w:pPr>
      <w:bookmarkStart w:id="5" w:name="_GoBack"/>
      <w:bookmarkEnd w:id="5"/>
      <w:r>
        <w:rPr>
          <w:rFonts w:hint="eastAsia" w:ascii="黑体" w:hAnsi="黑体" w:eastAsia="黑体" w:cs="黑体"/>
          <w:b w:val="0"/>
          <w:bCs/>
          <w:color w:val="auto"/>
          <w:sz w:val="32"/>
          <w:szCs w:val="32"/>
          <w:lang w:val="en-US" w:eastAsia="zh-CN"/>
        </w:rPr>
        <w:t>附件2</w:t>
      </w:r>
    </w:p>
    <w:p w14:paraId="22D9FF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第三章</w:t>
      </w:r>
      <w:bookmarkStart w:id="1" w:name="_Toc16523573"/>
      <w:r>
        <w:rPr>
          <w:rFonts w:hint="eastAsia" w:ascii="方正小标宋简体" w:hAnsi="方正小标宋简体" w:eastAsia="方正小标宋简体" w:cs="方正小标宋简体"/>
          <w:color w:val="auto"/>
          <w:sz w:val="44"/>
          <w:szCs w:val="44"/>
          <w:lang w:val="en-US" w:eastAsia="zh-CN"/>
        </w:rPr>
        <w:t>评标方法及标准</w:t>
      </w:r>
      <w:bookmarkEnd w:id="1"/>
    </w:p>
    <w:p w14:paraId="1FF95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宋体" w:hAnsi="宋体" w:cs="宋体"/>
          <w:color w:val="auto"/>
          <w:sz w:val="28"/>
          <w:szCs w:val="28"/>
          <w:lang w:val="en-US" w:eastAsia="zh-CN"/>
        </w:rPr>
        <w:t>本项目采用综合评分法，评标方法及标准见下表：</w:t>
      </w:r>
    </w:p>
    <w:tbl>
      <w:tblPr>
        <w:tblStyle w:val="13"/>
        <w:tblW w:w="4993"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2073"/>
        <w:gridCol w:w="6105"/>
        <w:gridCol w:w="777"/>
      </w:tblGrid>
      <w:tr w14:paraId="6BD20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2" w:type="pct"/>
            <w:noWrap w:val="0"/>
            <w:vAlign w:val="center"/>
          </w:tcPr>
          <w:p w14:paraId="56FF877D">
            <w:pPr>
              <w:jc w:val="both"/>
              <w:rPr>
                <w:rFonts w:hint="eastAsia" w:ascii="宋体" w:hAnsi="宋体" w:cs="宋体"/>
                <w:color w:val="auto"/>
                <w:sz w:val="24"/>
                <w:szCs w:val="24"/>
              </w:rPr>
            </w:pPr>
            <w:r>
              <w:rPr>
                <w:rFonts w:hint="eastAsia" w:ascii="宋体" w:hAnsi="宋体" w:cs="宋体"/>
                <w:color w:val="auto"/>
                <w:sz w:val="24"/>
                <w:szCs w:val="24"/>
              </w:rPr>
              <w:t>序号</w:t>
            </w:r>
          </w:p>
        </w:tc>
        <w:tc>
          <w:tcPr>
            <w:tcW w:w="1078" w:type="pct"/>
            <w:noWrap w:val="0"/>
            <w:vAlign w:val="center"/>
          </w:tcPr>
          <w:p w14:paraId="41D4CFCD">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5" w:type="pct"/>
            <w:noWrap w:val="0"/>
            <w:vAlign w:val="center"/>
          </w:tcPr>
          <w:p w14:paraId="3CD45525">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4" w:type="pct"/>
            <w:noWrap w:val="0"/>
            <w:vAlign w:val="center"/>
          </w:tcPr>
          <w:p w14:paraId="6FAF3520">
            <w:pPr>
              <w:jc w:val="center"/>
              <w:rPr>
                <w:rFonts w:hint="eastAsia" w:ascii="宋体" w:hAnsi="宋体" w:cs="宋体"/>
                <w:color w:val="auto"/>
                <w:sz w:val="24"/>
                <w:szCs w:val="24"/>
              </w:rPr>
            </w:pPr>
            <w:r>
              <w:rPr>
                <w:rFonts w:hint="eastAsia" w:ascii="宋体" w:hAnsi="宋体" w:cs="宋体"/>
                <w:color w:val="auto"/>
                <w:sz w:val="24"/>
                <w:szCs w:val="24"/>
              </w:rPr>
              <w:t>分值</w:t>
            </w:r>
          </w:p>
        </w:tc>
      </w:tr>
      <w:tr w14:paraId="650D0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0" w:hRule="atLeast"/>
          <w:jc w:val="center"/>
        </w:trPr>
        <w:tc>
          <w:tcPr>
            <w:tcW w:w="342" w:type="pct"/>
            <w:noWrap w:val="0"/>
            <w:vAlign w:val="center"/>
          </w:tcPr>
          <w:p w14:paraId="636334B0">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noWrap w:val="0"/>
            <w:vAlign w:val="center"/>
          </w:tcPr>
          <w:p w14:paraId="7FBE5AA8">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45分</w:t>
            </w:r>
            <w:r>
              <w:rPr>
                <w:rFonts w:hint="eastAsia" w:ascii="宋体" w:hAnsi="宋体" w:cs="宋体"/>
                <w:color w:val="auto"/>
                <w:sz w:val="24"/>
                <w:szCs w:val="24"/>
                <w:lang w:eastAsia="zh-CN"/>
              </w:rPr>
              <w:t>）</w:t>
            </w:r>
          </w:p>
          <w:p w14:paraId="60011551">
            <w:pPr>
              <w:jc w:val="both"/>
              <w:rPr>
                <w:rFonts w:hint="eastAsia" w:ascii="宋体" w:hAnsi="宋体" w:cs="宋体"/>
                <w:color w:val="auto"/>
                <w:sz w:val="24"/>
                <w:szCs w:val="24"/>
              </w:rPr>
            </w:pPr>
          </w:p>
        </w:tc>
        <w:tc>
          <w:tcPr>
            <w:tcW w:w="3175" w:type="pct"/>
            <w:noWrap w:val="0"/>
            <w:vAlign w:val="center"/>
          </w:tcPr>
          <w:p w14:paraId="066DBF0A">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45</w:t>
            </w:r>
            <w:r>
              <w:rPr>
                <w:rFonts w:hint="eastAsia" w:ascii="宋体" w:hAnsi="宋体" w:eastAsia="宋体" w:cs="Times New Roman"/>
                <w:color w:val="auto"/>
                <w:sz w:val="24"/>
                <w:szCs w:val="24"/>
              </w:rPr>
              <w:t>。</w:t>
            </w:r>
          </w:p>
          <w:p w14:paraId="700F80D9">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4" w:type="pct"/>
            <w:noWrap w:val="0"/>
            <w:vAlign w:val="center"/>
          </w:tcPr>
          <w:p w14:paraId="59458F40">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45</w:t>
            </w:r>
          </w:p>
        </w:tc>
      </w:tr>
      <w:tr w14:paraId="42D91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2" w:type="pct"/>
            <w:noWrap w:val="0"/>
            <w:vAlign w:val="center"/>
          </w:tcPr>
          <w:p w14:paraId="4A08E069">
            <w:pPr>
              <w:jc w:val="center"/>
              <w:rPr>
                <w:rFonts w:hint="eastAsia" w:ascii="宋体" w:hAnsi="宋体" w:cs="宋体"/>
                <w:color w:val="auto"/>
                <w:sz w:val="24"/>
                <w:szCs w:val="24"/>
              </w:rPr>
            </w:pPr>
            <w:r>
              <w:rPr>
                <w:rFonts w:hint="eastAsia" w:ascii="宋体" w:hAnsi="宋体" w:cs="宋体"/>
                <w:color w:val="auto"/>
                <w:sz w:val="24"/>
                <w:szCs w:val="24"/>
              </w:rPr>
              <w:t>2</w:t>
            </w:r>
          </w:p>
        </w:tc>
        <w:tc>
          <w:tcPr>
            <w:tcW w:w="1078" w:type="pct"/>
            <w:noWrap w:val="0"/>
            <w:vAlign w:val="center"/>
          </w:tcPr>
          <w:p w14:paraId="676C217F">
            <w:pPr>
              <w:jc w:val="center"/>
              <w:rPr>
                <w:rFonts w:hint="eastAsia" w:ascii="宋体" w:hAnsi="宋体" w:eastAsia="宋体" w:cs="宋体"/>
                <w:color w:val="auto"/>
                <w:sz w:val="24"/>
                <w:szCs w:val="24"/>
                <w:lang w:eastAsia="zh-CN"/>
              </w:rPr>
            </w:pPr>
            <w:r>
              <w:rPr>
                <w:rFonts w:ascii="宋体" w:hAnsi="宋体"/>
                <w:color w:val="auto"/>
                <w:sz w:val="24"/>
                <w:szCs w:val="24"/>
              </w:rPr>
              <w:t>对招标文件的响应程度</w:t>
            </w:r>
            <w:r>
              <w:rPr>
                <w:rFonts w:hint="eastAsia" w:ascii="宋体" w:hAnsi="宋体"/>
                <w:color w:val="auto"/>
                <w:sz w:val="24"/>
                <w:szCs w:val="24"/>
                <w:lang w:eastAsia="zh-CN"/>
              </w:rPr>
              <w:t>（</w:t>
            </w:r>
            <w:r>
              <w:rPr>
                <w:rFonts w:hint="eastAsia" w:ascii="宋体" w:hAnsi="宋体"/>
                <w:color w:val="auto"/>
                <w:sz w:val="24"/>
                <w:szCs w:val="24"/>
                <w:lang w:val="en-US" w:eastAsia="zh-CN"/>
              </w:rPr>
              <w:t>5分</w:t>
            </w:r>
            <w:r>
              <w:rPr>
                <w:rFonts w:hint="eastAsia" w:ascii="宋体" w:hAnsi="宋体"/>
                <w:color w:val="auto"/>
                <w:sz w:val="24"/>
                <w:szCs w:val="24"/>
                <w:lang w:eastAsia="zh-CN"/>
              </w:rPr>
              <w:t>）</w:t>
            </w:r>
          </w:p>
          <w:p w14:paraId="276FE44C">
            <w:pPr>
              <w:jc w:val="center"/>
              <w:rPr>
                <w:rFonts w:hint="eastAsia" w:ascii="宋体" w:hAnsi="宋体" w:eastAsia="宋体" w:cs="宋体"/>
                <w:color w:val="auto"/>
                <w:sz w:val="24"/>
                <w:szCs w:val="24"/>
                <w:lang w:eastAsia="zh-CN"/>
              </w:rPr>
            </w:pPr>
          </w:p>
        </w:tc>
        <w:tc>
          <w:tcPr>
            <w:tcW w:w="3175" w:type="pct"/>
            <w:noWrap w:val="0"/>
            <w:vAlign w:val="center"/>
          </w:tcPr>
          <w:p w14:paraId="5FB0D7A1">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以招标文件格式为基础，根据投标文件制作的优劣，专家酌情打分，每有一处细微偏差扣1分，扣分最多不超过</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w:t>
            </w:r>
          </w:p>
        </w:tc>
        <w:tc>
          <w:tcPr>
            <w:tcW w:w="404" w:type="pct"/>
            <w:noWrap w:val="0"/>
            <w:vAlign w:val="center"/>
          </w:tcPr>
          <w:p w14:paraId="2FF4BB0C">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w:t>
            </w:r>
          </w:p>
        </w:tc>
      </w:tr>
      <w:tr w14:paraId="7D274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3" w:hRule="atLeast"/>
          <w:jc w:val="center"/>
        </w:trPr>
        <w:tc>
          <w:tcPr>
            <w:tcW w:w="342" w:type="pct"/>
            <w:noWrap w:val="0"/>
            <w:vAlign w:val="center"/>
          </w:tcPr>
          <w:p w14:paraId="17AC50E5">
            <w:pPr>
              <w:jc w:val="center"/>
              <w:rPr>
                <w:rFonts w:hint="eastAsia" w:ascii="宋体" w:hAnsi="宋体" w:cs="宋体"/>
                <w:color w:val="auto"/>
                <w:sz w:val="24"/>
                <w:szCs w:val="24"/>
              </w:rPr>
            </w:pPr>
            <w:r>
              <w:rPr>
                <w:rFonts w:hint="eastAsia" w:ascii="宋体" w:hAnsi="宋体" w:cs="宋体"/>
                <w:color w:val="auto"/>
                <w:sz w:val="24"/>
                <w:szCs w:val="24"/>
              </w:rPr>
              <w:t>3</w:t>
            </w:r>
          </w:p>
        </w:tc>
        <w:tc>
          <w:tcPr>
            <w:tcW w:w="1078" w:type="pct"/>
            <w:noWrap w:val="0"/>
            <w:vAlign w:val="center"/>
          </w:tcPr>
          <w:p w14:paraId="681A533F">
            <w:pPr>
              <w:jc w:val="center"/>
              <w:rPr>
                <w:rFonts w:hint="default" w:ascii="宋体" w:hAnsi="宋体" w:eastAsia="宋体"/>
                <w:color w:val="auto"/>
                <w:sz w:val="24"/>
                <w:szCs w:val="24"/>
                <w:lang w:val="en-US" w:eastAsia="zh-CN"/>
              </w:rPr>
            </w:pPr>
            <w:r>
              <w:rPr>
                <w:rFonts w:hint="eastAsia" w:ascii="宋体" w:hAnsi="宋体" w:eastAsia="宋体" w:cs="宋体"/>
                <w:color w:val="auto"/>
                <w:szCs w:val="21"/>
                <w:lang w:val="en-US" w:eastAsia="zh-CN"/>
              </w:rPr>
              <w:t>认证证书</w:t>
            </w:r>
            <w:r>
              <w:rPr>
                <w:rFonts w:hint="eastAsia" w:ascii="宋体" w:hAnsi="宋体" w:cs="宋体"/>
                <w:color w:val="auto"/>
                <w:szCs w:val="21"/>
                <w:lang w:val="en-US" w:eastAsia="zh-CN"/>
              </w:rPr>
              <w:t>（12分）</w:t>
            </w:r>
          </w:p>
        </w:tc>
        <w:tc>
          <w:tcPr>
            <w:tcW w:w="3175" w:type="pct"/>
            <w:noWrap w:val="0"/>
            <w:vAlign w:val="top"/>
          </w:tcPr>
          <w:p w14:paraId="68B3C673">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1、投标人具有职业健康安全管理体系认证证书、环境管理体系认证证书、质量管理体系认证证书（认证内容为承压类特种设备安装、修理、改造（公用管道安装GB1、工业管道安装GC2）得</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9分</w:t>
            </w:r>
            <w:r>
              <w:rPr>
                <w:rFonts w:hint="eastAsia" w:ascii="宋体" w:hAnsi="宋体" w:eastAsia="宋体" w:cs="Times New Roman"/>
                <w:color w:val="auto"/>
                <w:sz w:val="24"/>
                <w:szCs w:val="24"/>
              </w:rPr>
              <w:t>。</w:t>
            </w:r>
          </w:p>
          <w:p w14:paraId="0901F66A">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2、投标人具有GB/T19001-2016/ISO9001:2015质量管理体系认证证书，得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w:t>
            </w:r>
            <w:r>
              <w:rPr>
                <w:rFonts w:hint="eastAsia" w:ascii="宋体" w:hAnsi="宋体" w:cs="Times New Roman"/>
                <w:color w:val="auto"/>
                <w:sz w:val="24"/>
                <w:szCs w:val="24"/>
                <w:lang w:val="en-US" w:eastAsia="zh-CN"/>
              </w:rPr>
              <w:t>。</w:t>
            </w:r>
          </w:p>
          <w:p w14:paraId="29563B20">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投标文件中需提供相关证明材料复印件并加盖单位公章，证书处于有效期内，否则不计分。</w:t>
            </w:r>
          </w:p>
        </w:tc>
        <w:tc>
          <w:tcPr>
            <w:tcW w:w="404" w:type="pct"/>
            <w:noWrap w:val="0"/>
            <w:vAlign w:val="center"/>
          </w:tcPr>
          <w:p w14:paraId="635E9A1E">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0-12</w:t>
            </w:r>
          </w:p>
        </w:tc>
      </w:tr>
      <w:tr w14:paraId="17DAB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8" w:hRule="atLeast"/>
          <w:jc w:val="center"/>
        </w:trPr>
        <w:tc>
          <w:tcPr>
            <w:tcW w:w="342" w:type="pct"/>
            <w:noWrap w:val="0"/>
            <w:vAlign w:val="center"/>
          </w:tcPr>
          <w:p w14:paraId="302D06CF">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078" w:type="pct"/>
            <w:noWrap w:val="0"/>
            <w:vAlign w:val="center"/>
          </w:tcPr>
          <w:p w14:paraId="6DEE966E">
            <w:pPr>
              <w:jc w:val="center"/>
              <w:rPr>
                <w:rFonts w:hint="eastAsia" w:ascii="宋体" w:hAnsi="宋体" w:eastAsia="宋体" w:cs="宋体"/>
                <w:color w:val="auto"/>
                <w:szCs w:val="21"/>
                <w:lang w:val="en-US" w:eastAsia="zh-CN"/>
              </w:rPr>
            </w:pP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5" w:type="pct"/>
            <w:noWrap w:val="0"/>
            <w:vAlign w:val="top"/>
          </w:tcPr>
          <w:p w14:paraId="26122DE7">
            <w:pP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能提供投标人</w:t>
            </w:r>
            <w:r>
              <w:rPr>
                <w:rFonts w:hint="eastAsia" w:ascii="宋体" w:hAnsi="宋体" w:eastAsia="宋体" w:cs="Times New Roman"/>
                <w:color w:val="auto"/>
                <w:sz w:val="24"/>
                <w:szCs w:val="24"/>
                <w:lang w:eastAsia="zh-CN"/>
              </w:rPr>
              <w:t>投标货物的</w:t>
            </w:r>
            <w:r>
              <w:rPr>
                <w:rFonts w:hint="eastAsia" w:ascii="宋体" w:hAnsi="宋体" w:eastAsia="宋体" w:cs="Times New Roman"/>
                <w:color w:val="auto"/>
                <w:sz w:val="24"/>
                <w:szCs w:val="24"/>
              </w:rPr>
              <w:t>同类型合作业绩，</w:t>
            </w:r>
            <w:r>
              <w:rPr>
                <w:rFonts w:hint="eastAsia" w:ascii="宋体" w:hAnsi="宋体" w:eastAsia="宋体" w:cs="Times New Roman"/>
                <w:color w:val="auto"/>
                <w:sz w:val="24"/>
                <w:szCs w:val="24"/>
                <w:lang w:eastAsia="zh-CN"/>
              </w:rPr>
              <w:t>（自</w:t>
            </w:r>
            <w:r>
              <w:rPr>
                <w:rFonts w:hint="eastAsia" w:ascii="宋体" w:hAnsi="宋体" w:eastAsia="宋体" w:cs="Times New Roman"/>
                <w:color w:val="auto"/>
                <w:sz w:val="24"/>
                <w:szCs w:val="24"/>
                <w:lang w:val="en-US" w:eastAsia="zh-CN"/>
              </w:rPr>
              <w:t>202</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lang w:val="en-US" w:eastAsia="zh-CN"/>
              </w:rPr>
              <w:t>年1月至今</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每个</w:t>
            </w:r>
            <w:r>
              <w:rPr>
                <w:rFonts w:hint="eastAsia" w:ascii="宋体" w:hAnsi="宋体" w:eastAsia="宋体" w:cs="Times New Roman"/>
                <w:color w:val="auto"/>
                <w:sz w:val="24"/>
                <w:szCs w:val="24"/>
                <w:lang w:val="en-US" w:eastAsia="zh-CN"/>
              </w:rPr>
              <w:t>业绩</w:t>
            </w:r>
            <w:r>
              <w:rPr>
                <w:rFonts w:hint="eastAsia" w:ascii="宋体" w:hAnsi="宋体" w:eastAsia="宋体" w:cs="Times New Roman"/>
                <w:color w:val="auto"/>
                <w:sz w:val="24"/>
                <w:szCs w:val="24"/>
              </w:rPr>
              <w:t>计</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分（提供合作清单及联系人，并附合同或中标通知书复印件加盖投标人公章）。</w:t>
            </w:r>
          </w:p>
        </w:tc>
        <w:tc>
          <w:tcPr>
            <w:tcW w:w="404" w:type="pct"/>
            <w:noWrap w:val="0"/>
            <w:vAlign w:val="center"/>
          </w:tcPr>
          <w:p w14:paraId="6AF894F5">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r w14:paraId="73BBF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1" w:hRule="atLeast"/>
          <w:jc w:val="center"/>
        </w:trPr>
        <w:tc>
          <w:tcPr>
            <w:tcW w:w="342" w:type="pct"/>
            <w:noWrap w:val="0"/>
            <w:vAlign w:val="center"/>
          </w:tcPr>
          <w:p w14:paraId="46A551A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078" w:type="pct"/>
            <w:noWrap w:val="0"/>
            <w:vAlign w:val="center"/>
          </w:tcPr>
          <w:p w14:paraId="5936749A">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技术力量（</w:t>
            </w:r>
            <w:r>
              <w:rPr>
                <w:rFonts w:hint="eastAsia" w:ascii="宋体" w:hAnsi="宋体" w:cs="宋体"/>
                <w:color w:val="auto"/>
                <w:sz w:val="24"/>
                <w:szCs w:val="24"/>
                <w:lang w:val="en-US" w:eastAsia="zh-CN"/>
              </w:rPr>
              <w:t>14分</w:t>
            </w:r>
            <w:r>
              <w:rPr>
                <w:rFonts w:hint="eastAsia" w:ascii="宋体" w:hAnsi="宋体" w:cs="宋体"/>
                <w:color w:val="auto"/>
                <w:sz w:val="24"/>
                <w:szCs w:val="24"/>
                <w:lang w:eastAsia="zh-CN"/>
              </w:rPr>
              <w:t>）</w:t>
            </w:r>
          </w:p>
        </w:tc>
        <w:tc>
          <w:tcPr>
            <w:tcW w:w="3175" w:type="pct"/>
            <w:noWrap w:val="0"/>
            <w:vAlign w:val="top"/>
          </w:tcPr>
          <w:p w14:paraId="3441D6F6">
            <w:pP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拟任项目负责人（项目经理）为机电工程专业</w:t>
            </w:r>
            <w:r>
              <w:rPr>
                <w:rFonts w:hint="eastAsia" w:ascii="宋体" w:hAnsi="宋体" w:eastAsia="宋体" w:cs="Times New Roman"/>
                <w:color w:val="auto"/>
                <w:sz w:val="24"/>
                <w:szCs w:val="24"/>
                <w:lang w:val="en-US" w:eastAsia="zh-CN"/>
              </w:rPr>
              <w:t>二</w:t>
            </w:r>
            <w:r>
              <w:rPr>
                <w:rFonts w:hint="eastAsia" w:ascii="宋体" w:hAnsi="宋体" w:eastAsia="宋体" w:cs="Times New Roman"/>
                <w:color w:val="auto"/>
                <w:sz w:val="24"/>
                <w:szCs w:val="24"/>
                <w:lang w:eastAsia="zh-CN"/>
              </w:rPr>
              <w:t>级</w:t>
            </w:r>
            <w:r>
              <w:rPr>
                <w:rFonts w:hint="eastAsia" w:ascii="宋体" w:hAnsi="宋体" w:eastAsia="宋体" w:cs="Times New Roman"/>
                <w:color w:val="auto"/>
                <w:sz w:val="24"/>
                <w:szCs w:val="24"/>
                <w:lang w:val="en-US" w:eastAsia="zh-CN"/>
              </w:rPr>
              <w:t>及以上</w:t>
            </w:r>
            <w:r>
              <w:rPr>
                <w:rFonts w:hint="eastAsia" w:ascii="宋体" w:hAnsi="宋体" w:eastAsia="宋体" w:cs="Times New Roman"/>
                <w:color w:val="auto"/>
                <w:sz w:val="24"/>
                <w:szCs w:val="24"/>
              </w:rPr>
              <w:t>注册建造师执业资格，具备有效的B类安全生产考核合格证书，且无在建</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（需提供该负责人近</w:t>
            </w:r>
            <w:r>
              <w:rPr>
                <w:rFonts w:hint="eastAsia" w:ascii="宋体" w:hAnsi="宋体" w:eastAsia="宋体" w:cs="Times New Roman"/>
                <w:color w:val="auto"/>
                <w:sz w:val="24"/>
                <w:szCs w:val="24"/>
                <w:lang w:val="en-US" w:eastAsia="zh-CN"/>
              </w:rPr>
              <w:t>3月在投标供应商公司的社保证明并加盖公章</w:t>
            </w:r>
            <w:r>
              <w:rPr>
                <w:rFonts w:hint="eastAsia" w:ascii="宋体" w:hAnsi="宋体" w:eastAsia="宋体" w:cs="Times New Roman"/>
                <w:color w:val="auto"/>
                <w:sz w:val="24"/>
                <w:szCs w:val="24"/>
                <w:lang w:eastAsia="zh-CN"/>
              </w:rPr>
              <w:t>）；</w:t>
            </w:r>
          </w:p>
          <w:p w14:paraId="6CF6DCA1">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完全满足此项条件计8分，否则不得分。</w:t>
            </w:r>
          </w:p>
          <w:p w14:paraId="79BA99BA">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2、人员配备计划完整、科学的、合理的计6分，良好的计4分，一般的计2分。</w:t>
            </w:r>
          </w:p>
        </w:tc>
        <w:tc>
          <w:tcPr>
            <w:tcW w:w="404" w:type="pct"/>
            <w:noWrap w:val="0"/>
            <w:vAlign w:val="center"/>
          </w:tcPr>
          <w:p w14:paraId="6A96228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0-14</w:t>
            </w:r>
          </w:p>
        </w:tc>
      </w:tr>
      <w:tr w14:paraId="04716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96" w:hRule="atLeast"/>
          <w:jc w:val="center"/>
        </w:trPr>
        <w:tc>
          <w:tcPr>
            <w:tcW w:w="342" w:type="pct"/>
            <w:noWrap w:val="0"/>
            <w:vAlign w:val="center"/>
          </w:tcPr>
          <w:p w14:paraId="2BBAF1C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078" w:type="pct"/>
            <w:noWrap w:val="0"/>
            <w:vAlign w:val="center"/>
          </w:tcPr>
          <w:p w14:paraId="2B677807">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施工方案（</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5" w:type="pct"/>
            <w:noWrap w:val="0"/>
            <w:vAlign w:val="top"/>
          </w:tcPr>
          <w:p w14:paraId="055CBFA2">
            <w:pPr>
              <w:numPr>
                <w:ilvl w:val="0"/>
                <w:numId w:val="3"/>
              </w:numPr>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施工方案与技术措施完整、科学的、合理的计3分， 良好的计2分，一般的计1分。</w:t>
            </w:r>
          </w:p>
          <w:p w14:paraId="6D101A05">
            <w:pPr>
              <w:numPr>
                <w:ilvl w:val="0"/>
                <w:numId w:val="3"/>
              </w:numPr>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工程进度计划与保证措施完整、科学的、合理的计3分， 良好的计2分，一般的计1分。</w:t>
            </w:r>
          </w:p>
          <w:p w14:paraId="471809DF">
            <w:pPr>
              <w:numPr>
                <w:ilvl w:val="0"/>
                <w:numId w:val="3"/>
              </w:numPr>
              <w:ind w:left="0" w:leftChars="0" w:firstLine="0" w:firstLineChars="0"/>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安全管理体系与措施完整、科学的、合理的计3分， 良好的计2分，一般的计1分。</w:t>
            </w:r>
          </w:p>
          <w:p w14:paraId="1C59A286">
            <w:pPr>
              <w:numPr>
                <w:ilvl w:val="0"/>
                <w:numId w:val="3"/>
              </w:numPr>
              <w:ind w:left="0" w:leftChars="0" w:firstLine="0" w:firstLineChars="0"/>
              <w:rPr>
                <w:rFonts w:hint="eastAsia"/>
                <w:color w:val="auto"/>
                <w:lang w:val="en-US" w:eastAsia="zh-CN"/>
              </w:rPr>
            </w:pPr>
            <w:r>
              <w:rPr>
                <w:rFonts w:hint="eastAsia" w:ascii="宋体" w:hAnsi="宋体" w:eastAsia="宋体" w:cs="宋体"/>
                <w:b w:val="0"/>
                <w:color w:val="auto"/>
                <w:kern w:val="2"/>
                <w:sz w:val="24"/>
                <w:szCs w:val="28"/>
                <w:lang w:val="en-US" w:eastAsia="zh-CN" w:bidi="ar-SA"/>
              </w:rPr>
              <w:t>质量管理体系与措施完整、科学的、合理的计3分， 良好的计2分，一般的计1分。</w:t>
            </w:r>
          </w:p>
        </w:tc>
        <w:tc>
          <w:tcPr>
            <w:tcW w:w="404" w:type="pct"/>
            <w:noWrap w:val="0"/>
            <w:vAlign w:val="center"/>
          </w:tcPr>
          <w:p w14:paraId="1C52F14B">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bl>
    <w:p w14:paraId="18DE7E58">
      <w:pPr>
        <w:jc w:val="center"/>
        <w:rPr>
          <w:rFonts w:hint="eastAsia" w:ascii="仿宋" w:hAnsi="仿宋" w:eastAsia="仿宋" w:cs="仿宋"/>
          <w:color w:val="auto"/>
          <w:sz w:val="24"/>
          <w:szCs w:val="24"/>
        </w:rPr>
      </w:pPr>
    </w:p>
    <w:p w14:paraId="7974162D">
      <w:pPr>
        <w:jc w:val="center"/>
        <w:rPr>
          <w:rFonts w:hint="eastAsia" w:ascii="仿宋" w:hAnsi="仿宋" w:eastAsia="仿宋" w:cs="仿宋"/>
          <w:color w:val="auto"/>
          <w:sz w:val="24"/>
          <w:szCs w:val="24"/>
        </w:rPr>
      </w:pPr>
    </w:p>
    <w:p w14:paraId="02AEE61F">
      <w:pPr>
        <w:jc w:val="center"/>
        <w:rPr>
          <w:rFonts w:hint="eastAsia" w:ascii="仿宋" w:hAnsi="仿宋" w:eastAsia="仿宋" w:cs="仿宋"/>
          <w:color w:val="auto"/>
          <w:sz w:val="24"/>
          <w:szCs w:val="24"/>
        </w:rPr>
      </w:pPr>
    </w:p>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仿宋" w:hAnsi="仿宋" w:eastAsia="仿宋" w:cs="仿宋"/>
          <w:color w:val="auto"/>
          <w:sz w:val="24"/>
          <w:szCs w:val="24"/>
        </w:rPr>
        <w:br w:type="page"/>
      </w: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第四章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9"/>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8"/>
        <w:rPr>
          <w:rFonts w:hint="eastAsia"/>
          <w:color w:val="auto"/>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773B4516">
      <w:pPr>
        <w:rPr>
          <w:rFonts w:hint="eastAsia" w:ascii="宋体" w:hAnsi="宋体" w:cs="宋体"/>
          <w:b/>
          <w:color w:val="auto"/>
          <w:sz w:val="24"/>
          <w:szCs w:val="20"/>
        </w:rPr>
      </w:pPr>
      <w:r>
        <w:rPr>
          <w:rFonts w:hint="eastAsia" w:ascii="宋体" w:hAnsi="宋体" w:cs="宋体"/>
          <w:b/>
          <w:color w:val="auto"/>
          <w:sz w:val="24"/>
          <w:szCs w:val="20"/>
        </w:rPr>
        <w:br w:type="page"/>
      </w: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4AA0129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2B0C9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417"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55BCBFA4">
      <w:pPr>
        <w:pStyle w:val="18"/>
        <w:rPr>
          <w:rFonts w:hint="eastAsia"/>
          <w:color w:val="auto"/>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9"/>
        <w:rPr>
          <w:color w:val="auto"/>
        </w:rPr>
      </w:pPr>
    </w:p>
    <w:p w14:paraId="4317B66E">
      <w:pPr>
        <w:pStyle w:val="18"/>
        <w:rPr>
          <w:rFonts w:hint="eastAsia"/>
          <w:color w:val="auto"/>
          <w:lang w:eastAsia="zh-CN"/>
        </w:rPr>
      </w:pPr>
    </w:p>
    <w:p w14:paraId="490EA7F6">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7C1F601E"/>
    <w:multiLevelType w:val="singleLevel"/>
    <w:tmpl w:val="7C1F601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1F50B67"/>
    <w:rsid w:val="02390242"/>
    <w:rsid w:val="03E43FAE"/>
    <w:rsid w:val="04653F41"/>
    <w:rsid w:val="04B72FC8"/>
    <w:rsid w:val="04F57A38"/>
    <w:rsid w:val="050719CA"/>
    <w:rsid w:val="06934BAA"/>
    <w:rsid w:val="06E91EC4"/>
    <w:rsid w:val="07583825"/>
    <w:rsid w:val="086F75C9"/>
    <w:rsid w:val="09C0303A"/>
    <w:rsid w:val="09FFD9FE"/>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6E7537"/>
    <w:rsid w:val="1BE628B9"/>
    <w:rsid w:val="1C795D39"/>
    <w:rsid w:val="1CE412C7"/>
    <w:rsid w:val="1D5071B5"/>
    <w:rsid w:val="1DD7486D"/>
    <w:rsid w:val="1E79119D"/>
    <w:rsid w:val="1F334F58"/>
    <w:rsid w:val="1F796B24"/>
    <w:rsid w:val="1FC602A8"/>
    <w:rsid w:val="1FE73549"/>
    <w:rsid w:val="2038045E"/>
    <w:rsid w:val="208F6E7F"/>
    <w:rsid w:val="20AF0900"/>
    <w:rsid w:val="20B41DA7"/>
    <w:rsid w:val="20BC6B8B"/>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A202A5"/>
    <w:rsid w:val="31F17CD1"/>
    <w:rsid w:val="324F4D43"/>
    <w:rsid w:val="32E86B4C"/>
    <w:rsid w:val="33384C93"/>
    <w:rsid w:val="33EE6ABE"/>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3F7B3BBC"/>
    <w:rsid w:val="3FF8B4BB"/>
    <w:rsid w:val="403B4B34"/>
    <w:rsid w:val="40681D02"/>
    <w:rsid w:val="4140452A"/>
    <w:rsid w:val="414D7889"/>
    <w:rsid w:val="41BB0BAE"/>
    <w:rsid w:val="425629F5"/>
    <w:rsid w:val="4284152B"/>
    <w:rsid w:val="429A4992"/>
    <w:rsid w:val="435B161D"/>
    <w:rsid w:val="43B25DAC"/>
    <w:rsid w:val="44771DFD"/>
    <w:rsid w:val="45D569C3"/>
    <w:rsid w:val="470C3EE0"/>
    <w:rsid w:val="479B74B7"/>
    <w:rsid w:val="48735221"/>
    <w:rsid w:val="49E92B05"/>
    <w:rsid w:val="4A354E62"/>
    <w:rsid w:val="4AEE1A11"/>
    <w:rsid w:val="4B7F39F4"/>
    <w:rsid w:val="4BAE646F"/>
    <w:rsid w:val="4C4D6AA3"/>
    <w:rsid w:val="4CAC1559"/>
    <w:rsid w:val="4D754257"/>
    <w:rsid w:val="4DCD6AB3"/>
    <w:rsid w:val="4EE7662F"/>
    <w:rsid w:val="4FE3E1F7"/>
    <w:rsid w:val="4FF7C5CD"/>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5DFF1CB6"/>
    <w:rsid w:val="5EB75767"/>
    <w:rsid w:val="5FFF566E"/>
    <w:rsid w:val="604D5946"/>
    <w:rsid w:val="611B6B1B"/>
    <w:rsid w:val="6133560C"/>
    <w:rsid w:val="62C222C2"/>
    <w:rsid w:val="632D7C40"/>
    <w:rsid w:val="64133D6A"/>
    <w:rsid w:val="64245572"/>
    <w:rsid w:val="66C30AF5"/>
    <w:rsid w:val="672737CD"/>
    <w:rsid w:val="678E4F5D"/>
    <w:rsid w:val="67F3562A"/>
    <w:rsid w:val="680E122C"/>
    <w:rsid w:val="6A4E1D63"/>
    <w:rsid w:val="6AA026F2"/>
    <w:rsid w:val="6B592423"/>
    <w:rsid w:val="6B933190"/>
    <w:rsid w:val="6C3E0FF7"/>
    <w:rsid w:val="6C486FE4"/>
    <w:rsid w:val="6C973424"/>
    <w:rsid w:val="6CA409DF"/>
    <w:rsid w:val="6CED94EE"/>
    <w:rsid w:val="6DE375E4"/>
    <w:rsid w:val="6E8E5287"/>
    <w:rsid w:val="6FAC3B48"/>
    <w:rsid w:val="6FAD463B"/>
    <w:rsid w:val="6FBE332C"/>
    <w:rsid w:val="6FF5F45E"/>
    <w:rsid w:val="6FF7A685"/>
    <w:rsid w:val="70CE0BC9"/>
    <w:rsid w:val="71554367"/>
    <w:rsid w:val="71584067"/>
    <w:rsid w:val="71F26E91"/>
    <w:rsid w:val="72931CE4"/>
    <w:rsid w:val="72FE7FA0"/>
    <w:rsid w:val="732F3FEB"/>
    <w:rsid w:val="735201FF"/>
    <w:rsid w:val="736FB70C"/>
    <w:rsid w:val="737B50A4"/>
    <w:rsid w:val="73AB62A9"/>
    <w:rsid w:val="73F40E72"/>
    <w:rsid w:val="73FAD14C"/>
    <w:rsid w:val="74566F5C"/>
    <w:rsid w:val="747D7646"/>
    <w:rsid w:val="750117A8"/>
    <w:rsid w:val="755B2270"/>
    <w:rsid w:val="75E27514"/>
    <w:rsid w:val="7612420D"/>
    <w:rsid w:val="767D7510"/>
    <w:rsid w:val="76920D75"/>
    <w:rsid w:val="76C47877"/>
    <w:rsid w:val="76DF0684"/>
    <w:rsid w:val="76EBCC02"/>
    <w:rsid w:val="772BA5DA"/>
    <w:rsid w:val="77423DFF"/>
    <w:rsid w:val="775B3214"/>
    <w:rsid w:val="77F9A588"/>
    <w:rsid w:val="783B5EA9"/>
    <w:rsid w:val="793F8AE6"/>
    <w:rsid w:val="79EB699D"/>
    <w:rsid w:val="79F871CC"/>
    <w:rsid w:val="7A1D1657"/>
    <w:rsid w:val="7AFF5E62"/>
    <w:rsid w:val="7B0620DE"/>
    <w:rsid w:val="7BBF44BB"/>
    <w:rsid w:val="7BDF3E3A"/>
    <w:rsid w:val="7BEFF571"/>
    <w:rsid w:val="7BF15CE4"/>
    <w:rsid w:val="7C3A27E5"/>
    <w:rsid w:val="7D9727DD"/>
    <w:rsid w:val="7DCB30EB"/>
    <w:rsid w:val="7DFF2018"/>
    <w:rsid w:val="7E9F79F5"/>
    <w:rsid w:val="7EFB4F6E"/>
    <w:rsid w:val="7F164138"/>
    <w:rsid w:val="7F1A5E95"/>
    <w:rsid w:val="7F1FD6E3"/>
    <w:rsid w:val="7F922751"/>
    <w:rsid w:val="7FFB0877"/>
    <w:rsid w:val="7FFF594A"/>
    <w:rsid w:val="95B770E5"/>
    <w:rsid w:val="B5FF8E94"/>
    <w:rsid w:val="B75EA6C6"/>
    <w:rsid w:val="BEB40868"/>
    <w:rsid w:val="BFDAC7B1"/>
    <w:rsid w:val="BFFCC2E0"/>
    <w:rsid w:val="CD9D9EA6"/>
    <w:rsid w:val="DFF32547"/>
    <w:rsid w:val="DFF56052"/>
    <w:rsid w:val="E74FC7E2"/>
    <w:rsid w:val="ECEC3399"/>
    <w:rsid w:val="EDDB1670"/>
    <w:rsid w:val="EEF953CF"/>
    <w:rsid w:val="EFBFD66A"/>
    <w:rsid w:val="F4CD0FA9"/>
    <w:rsid w:val="F5B7BB86"/>
    <w:rsid w:val="FBFFEBDB"/>
    <w:rsid w:val="FECDD586"/>
    <w:rsid w:val="FF7F2D05"/>
    <w:rsid w:val="FFF8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paragraph" w:customStyle="1" w:styleId="1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8">
    <w:name w:val="列出段落1"/>
    <w:basedOn w:val="1"/>
    <w:qFormat/>
    <w:uiPriority w:val="99"/>
    <w:pPr>
      <w:ind w:firstLine="420" w:firstLineChars="200"/>
    </w:p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Text1I2"/>
    <w:basedOn w:val="22"/>
    <w:qFormat/>
    <w:uiPriority w:val="0"/>
    <w:pPr>
      <w:ind w:firstLine="420"/>
      <w:jc w:val="left"/>
    </w:pPr>
    <w:rPr>
      <w:rFonts w:ascii="Calibri" w:hAnsi="Calibri"/>
      <w:kern w:val="0"/>
    </w:rPr>
  </w:style>
  <w:style w:type="paragraph" w:customStyle="1" w:styleId="22">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11839</Words>
  <Characters>12587</Characters>
  <Lines>0</Lines>
  <Paragraphs>0</Paragraphs>
  <TotalTime>0</TotalTime>
  <ScaleCrop>false</ScaleCrop>
  <LinksUpToDate>false</LinksUpToDate>
  <CharactersWithSpaces>13526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2023-07-20T17:45:00Z</dcterms:created>
  <dc:creator>是小豹子</dc:creator>
  <cp:lastModifiedBy>沁sqr</cp:lastModifiedBy>
  <cp:lastPrinted>2026-01-09T15:57:00Z</cp:lastPrinted>
  <dcterms:modified xsi:type="dcterms:W3CDTF">2026-06-05T11:54:06Z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9F84B8301655191F61110D6A23CB0C00_43</vt:lpwstr>
  </property>
  <property fmtid="{D5CDD505-2E9C-101B-9397-08002B2CF9AE}" pid="4" name="KSOTemplateDocerSaveRecord">
    <vt:lpwstr>eyJoZGlkIjoiOWU3YmMxNGQ0NDE0NTRiYjQ3MWFkZjk1MWM2MTc2NWEiLCJ1c2VySWQiOiI0NDIzNjcyODQifQ==</vt:lpwstr>
  </property>
</Properties>
</file>