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7"/>
        <w:snapToGrid w:val="0"/>
        <w:jc w:val="center"/>
        <w:rPr>
          <w:rFonts w:hint="eastAsia" w:ascii="Arial" w:hAnsi="Arial" w:eastAsia="方正小标宋简体" w:cs="Arial"/>
          <w:sz w:val="72"/>
          <w:szCs w:val="72"/>
        </w:rPr>
      </w:pPr>
      <w:bookmarkStart w:id="0" w:name="_Toc16523570"/>
    </w:p>
    <w:p w14:paraId="1B95787E">
      <w:pPr>
        <w:pStyle w:val="7"/>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7"/>
        <w:snapToGrid w:val="0"/>
        <w:jc w:val="center"/>
        <w:rPr>
          <w:rFonts w:hint="eastAsia" w:ascii="Arial" w:hAnsi="Arial" w:eastAsia="方正小标宋简体" w:cs="Arial"/>
          <w:sz w:val="72"/>
          <w:szCs w:val="72"/>
        </w:rPr>
      </w:pPr>
    </w:p>
    <w:p w14:paraId="65C368DD">
      <w:pPr>
        <w:pStyle w:val="7"/>
        <w:snapToGrid w:val="0"/>
        <w:jc w:val="center"/>
        <w:rPr>
          <w:rFonts w:hint="eastAsia" w:ascii="Arial" w:hAnsi="Arial" w:eastAsia="方正小标宋简体" w:cs="Arial"/>
          <w:sz w:val="72"/>
          <w:szCs w:val="72"/>
        </w:rPr>
      </w:pPr>
    </w:p>
    <w:p w14:paraId="11616A47">
      <w:pPr>
        <w:pStyle w:val="7"/>
        <w:snapToGrid w:val="0"/>
        <w:jc w:val="center"/>
        <w:rPr>
          <w:rFonts w:hint="eastAsia" w:ascii="Arial" w:hAnsi="Arial" w:eastAsia="方正小标宋简体" w:cs="Arial"/>
          <w:sz w:val="72"/>
          <w:szCs w:val="72"/>
        </w:rPr>
      </w:pPr>
    </w:p>
    <w:p w14:paraId="39F8D380">
      <w:pPr>
        <w:pStyle w:val="7"/>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7"/>
        <w:snapToGrid w:val="0"/>
        <w:jc w:val="center"/>
        <w:rPr>
          <w:rFonts w:ascii="Arial" w:hAnsi="Arial" w:cs="Arial"/>
          <w:sz w:val="32"/>
          <w:szCs w:val="32"/>
        </w:rPr>
      </w:pPr>
    </w:p>
    <w:p w14:paraId="409EB72F">
      <w:pPr>
        <w:pStyle w:val="21"/>
        <w:rPr>
          <w:rFonts w:ascii="Arial" w:hAnsi="Arial" w:cs="Arial"/>
          <w:sz w:val="32"/>
          <w:szCs w:val="32"/>
        </w:rPr>
      </w:pPr>
    </w:p>
    <w:p w14:paraId="668BDAFE">
      <w:pPr>
        <w:pStyle w:val="15"/>
        <w:rPr>
          <w:rFonts w:ascii="Arial" w:hAnsi="Arial" w:cs="Arial"/>
          <w:sz w:val="32"/>
          <w:szCs w:val="32"/>
        </w:rPr>
      </w:pPr>
    </w:p>
    <w:p w14:paraId="30B28264">
      <w:pPr>
        <w:pStyle w:val="15"/>
        <w:rPr>
          <w:rFonts w:ascii="Arial" w:hAnsi="Arial" w:cs="Arial"/>
          <w:sz w:val="32"/>
          <w:szCs w:val="32"/>
        </w:rPr>
      </w:pPr>
    </w:p>
    <w:p w14:paraId="45C922C2">
      <w:pPr>
        <w:pStyle w:val="15"/>
        <w:rPr>
          <w:rFonts w:ascii="Arial" w:hAnsi="Arial" w:cs="Arial"/>
          <w:sz w:val="32"/>
          <w:szCs w:val="32"/>
        </w:rPr>
      </w:pPr>
    </w:p>
    <w:p w14:paraId="0233B328">
      <w:pPr>
        <w:pStyle w:val="15"/>
        <w:rPr>
          <w:rFonts w:ascii="Arial" w:hAnsi="Arial" w:cs="Arial"/>
          <w:sz w:val="32"/>
          <w:szCs w:val="32"/>
        </w:rPr>
      </w:pPr>
    </w:p>
    <w:p w14:paraId="65E4BC6C">
      <w:pPr>
        <w:pStyle w:val="15"/>
        <w:rPr>
          <w:rFonts w:ascii="Arial" w:hAnsi="Arial" w:cs="Arial"/>
          <w:sz w:val="32"/>
          <w:szCs w:val="32"/>
        </w:rPr>
      </w:pPr>
    </w:p>
    <w:p w14:paraId="7577245D">
      <w:pPr>
        <w:pStyle w:val="15"/>
        <w:rPr>
          <w:rFonts w:ascii="Arial" w:hAnsi="Arial" w:cs="Arial"/>
          <w:sz w:val="32"/>
          <w:szCs w:val="32"/>
        </w:rPr>
      </w:pPr>
    </w:p>
    <w:p w14:paraId="5337F494">
      <w:pPr>
        <w:pStyle w:val="15"/>
        <w:rPr>
          <w:rFonts w:ascii="Arial" w:hAnsi="Arial" w:cs="Arial"/>
          <w:sz w:val="32"/>
          <w:szCs w:val="32"/>
        </w:rPr>
      </w:pPr>
    </w:p>
    <w:p w14:paraId="0A4AE94E">
      <w:pPr>
        <w:pStyle w:val="7"/>
        <w:snapToGrid w:val="0"/>
        <w:jc w:val="center"/>
        <w:rPr>
          <w:rFonts w:ascii="Arial" w:hAnsi="Arial" w:cs="Arial"/>
          <w:sz w:val="32"/>
          <w:szCs w:val="32"/>
        </w:rPr>
      </w:pPr>
    </w:p>
    <w:p w14:paraId="13C7226F">
      <w:pPr>
        <w:pStyle w:val="7"/>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娄底市中心医院杀毒软件三年授权服务</w:t>
      </w:r>
      <w:r>
        <w:rPr>
          <w:rFonts w:hint="eastAsia"/>
          <w:bCs/>
          <w:sz w:val="32"/>
          <w:szCs w:val="32"/>
          <w:lang w:val="en-US" w:eastAsia="zh-CN"/>
        </w:rPr>
        <w:t>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7"/>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娄底市中心医院杀毒软件三年授权服务</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7"/>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7"/>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娄底市中心医院杀毒软件三年授权服务</w:t>
      </w:r>
      <w:r>
        <w:rPr>
          <w:rFonts w:hint="eastAsia" w:asciiTheme="minorEastAsia" w:hAnsiTheme="minorEastAsia" w:eastAsiaTheme="minorEastAsia" w:cstheme="minorEastAsia"/>
          <w:b w:val="0"/>
          <w:bCs/>
          <w:color w:val="auto"/>
          <w:sz w:val="24"/>
          <w:szCs w:val="24"/>
          <w:lang w:val="en-US" w:eastAsia="zh-CN"/>
        </w:rPr>
        <w:t>项目</w:t>
      </w:r>
    </w:p>
    <w:p w14:paraId="0CDBF21C">
      <w:pPr>
        <w:pStyle w:val="7"/>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D411BA9">
      <w:pPr>
        <w:pStyle w:val="21"/>
        <w:rPr>
          <w:rFonts w:hint="eastAsia"/>
          <w:lang w:val="en-US" w:eastAsia="zh-CN"/>
        </w:rPr>
      </w:pPr>
    </w:p>
    <w:p w14:paraId="7E250597">
      <w:pPr>
        <w:pStyle w:val="21"/>
        <w:jc w:val="both"/>
        <w:rPr>
          <w:rFonts w:hint="default"/>
          <w:lang w:val="en-US" w:eastAsia="zh-CN"/>
        </w:rPr>
      </w:pPr>
    </w:p>
    <w:p w14:paraId="22CD3DC2">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21"/>
        <w:rPr>
          <w:rFonts w:hint="eastAsia" w:ascii="宋体" w:hAnsi="宋体" w:cs="宋体"/>
          <w:b/>
          <w:bCs/>
          <w:color w:val="auto"/>
          <w:sz w:val="44"/>
          <w:szCs w:val="44"/>
          <w:lang w:val="en-US" w:eastAsia="zh-CN"/>
        </w:rPr>
      </w:pPr>
    </w:p>
    <w:p w14:paraId="6DFDBEAA">
      <w:pPr>
        <w:pStyle w:val="15"/>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2"/>
        <w:rPr>
          <w:rFonts w:hint="eastAsia"/>
          <w:lang w:val="en-US" w:eastAsia="zh-CN"/>
        </w:rPr>
      </w:pPr>
    </w:p>
    <w:p w14:paraId="04DC7BC4">
      <w:pPr>
        <w:pStyle w:val="3"/>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6"/>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项目</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服务年限（年）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娄底市中心医院杀毒软件三年授权服务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33.88</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tbl>
      <w:tblPr>
        <w:tblStyle w:val="17"/>
        <w:tblW w:w="9413"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957"/>
      </w:tblGrid>
      <w:tr w14:paraId="5A51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2AAFC57">
            <w:pPr>
              <w:keepNext/>
              <w:snapToGrid w:val="0"/>
              <w:jc w:val="center"/>
              <w:rPr>
                <w:rFonts w:hint="eastAsia" w:ascii="楷体" w:hAnsi="楷体" w:eastAsia="楷体" w:cs="楷体"/>
                <w:bCs/>
                <w:sz w:val="24"/>
                <w:szCs w:val="24"/>
              </w:rPr>
            </w:pPr>
            <w:bookmarkStart w:id="5" w:name="_GoBack"/>
            <w:bookmarkEnd w:id="5"/>
            <w:r>
              <w:rPr>
                <w:rFonts w:hint="eastAsia" w:ascii="楷体" w:hAnsi="楷体" w:eastAsia="楷体" w:cs="楷体"/>
                <w:bCs/>
                <w:sz w:val="24"/>
                <w:szCs w:val="24"/>
              </w:rPr>
              <w:t>1</w:t>
            </w:r>
          </w:p>
        </w:tc>
        <w:tc>
          <w:tcPr>
            <w:tcW w:w="8957" w:type="dxa"/>
            <w:vAlign w:val="center"/>
          </w:tcPr>
          <w:p w14:paraId="29A9631B">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提供</w:t>
            </w:r>
            <w:r>
              <w:rPr>
                <w:rFonts w:hint="eastAsia" w:ascii="楷体" w:hAnsi="楷体" w:eastAsia="楷体" w:cs="楷体"/>
                <w:bCs/>
                <w:sz w:val="24"/>
                <w:szCs w:val="24"/>
                <w:highlight w:val="yellow"/>
                <w:u w:val="single"/>
                <w:lang w:val="en-US" w:eastAsia="zh-CN"/>
              </w:rPr>
              <w:t>1900</w:t>
            </w:r>
            <w:r>
              <w:rPr>
                <w:rFonts w:hint="eastAsia" w:ascii="楷体" w:hAnsi="楷体" w:eastAsia="楷体" w:cs="楷体"/>
                <w:bCs/>
                <w:sz w:val="24"/>
                <w:szCs w:val="24"/>
              </w:rPr>
              <w:t>点</w:t>
            </w:r>
            <w:r>
              <w:rPr>
                <w:rFonts w:hint="eastAsia" w:ascii="楷体" w:hAnsi="楷体" w:eastAsia="楷体" w:cs="楷体"/>
                <w:bCs/>
                <w:sz w:val="24"/>
                <w:szCs w:val="24"/>
                <w:lang w:val="en-US" w:eastAsia="zh-CN"/>
              </w:rPr>
              <w:t>windows加</w:t>
            </w:r>
            <w:r>
              <w:rPr>
                <w:rFonts w:hint="eastAsia" w:ascii="楷体" w:hAnsi="楷体" w:eastAsia="楷体" w:cs="楷体"/>
                <w:bCs/>
                <w:sz w:val="24"/>
                <w:szCs w:val="24"/>
                <w:highlight w:val="yellow"/>
                <w:u w:val="single"/>
                <w:lang w:val="en-US" w:eastAsia="zh-CN"/>
              </w:rPr>
              <w:t>100</w:t>
            </w:r>
            <w:r>
              <w:rPr>
                <w:rFonts w:hint="eastAsia" w:ascii="楷体" w:hAnsi="楷体" w:eastAsia="楷体" w:cs="楷体"/>
                <w:bCs/>
                <w:sz w:val="24"/>
                <w:szCs w:val="24"/>
                <w:lang w:val="en-US" w:eastAsia="zh-CN"/>
              </w:rPr>
              <w:t>点国产化操作系统</w:t>
            </w:r>
            <w:r>
              <w:rPr>
                <w:rFonts w:hint="eastAsia" w:ascii="楷体" w:hAnsi="楷体" w:eastAsia="楷体" w:cs="楷体"/>
                <w:bCs/>
                <w:sz w:val="24"/>
                <w:szCs w:val="24"/>
              </w:rPr>
              <w:t>授权</w:t>
            </w:r>
            <w:r>
              <w:rPr>
                <w:rFonts w:hint="eastAsia" w:ascii="楷体" w:hAnsi="楷体" w:eastAsia="楷体" w:cs="楷体"/>
                <w:bCs/>
                <w:sz w:val="24"/>
                <w:szCs w:val="24"/>
                <w:lang w:val="en-US" w:eastAsia="zh-CN"/>
              </w:rPr>
              <w:t>和终端PC软件安装</w:t>
            </w:r>
            <w:r>
              <w:rPr>
                <w:rFonts w:hint="eastAsia" w:ascii="楷体" w:hAnsi="楷体" w:eastAsia="楷体" w:cs="楷体"/>
                <w:bCs/>
                <w:sz w:val="24"/>
                <w:szCs w:val="24"/>
              </w:rPr>
              <w:t>服务，支持一个授权多院区使用，可随时调整每个院区所需要的授权数无须经厂商重新发送授权文件以降低医院使用成本。提供最新杀毒版本号，包含三年免费版本升级、病毒库升级以及原厂售后服务。系统如发生故障，（如病毒库无法更新、控制台打不开、闪退等）10分钟内响应，电话指导无法解决时工程师需2小时内到达现场进行故障处理。软件必须为原厂官网直接使用授权信息登陆并确认被授权单位为我单位全称，不接受其他类似单位名称或投标人名称等任何非我单位全称的授权，产品验收时现场拨打品牌官方“400/800”服务电话，核对授权码，查询验证配置信息，不接受400/800查询不到信息的产品或授权，并在原厂官网登陆验证正版授权。</w:t>
            </w:r>
          </w:p>
        </w:tc>
      </w:tr>
      <w:tr w14:paraId="27E3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2AC4A1C">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2</w:t>
            </w:r>
          </w:p>
        </w:tc>
        <w:tc>
          <w:tcPr>
            <w:tcW w:w="8957" w:type="dxa"/>
            <w:vAlign w:val="center"/>
          </w:tcPr>
          <w:p w14:paraId="7E6C9E48">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控制中心支持 Windows Server 2008 R2及以上版本， Windows 7及以上版本， Ubuntu 16.04/ Ubuntu 22.04/ CentOS 7/ CentOS 8 / RedHat6.1/openSUSE 15 / UOS-20（统信）/ Kylin-v10-sp1 (麒麟)等。</w:t>
            </w:r>
          </w:p>
        </w:tc>
      </w:tr>
      <w:tr w14:paraId="6F16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676F80AA">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3</w:t>
            </w:r>
          </w:p>
        </w:tc>
        <w:tc>
          <w:tcPr>
            <w:tcW w:w="8957" w:type="dxa"/>
            <w:vAlign w:val="center"/>
          </w:tcPr>
          <w:p w14:paraId="42980395">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客户端支持Windows Server 2003 SP1及以上版本 / Windows XP（SP3）/ Windows Vista / Windows 7及以上版本、Linux终端需支持Ubuntu\SUSE\统信UOS\银河麒麟\中科红旗\优麒麟\深度\龙芯等。</w:t>
            </w:r>
          </w:p>
        </w:tc>
      </w:tr>
      <w:tr w14:paraId="1F42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51839919">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4</w:t>
            </w:r>
          </w:p>
        </w:tc>
        <w:tc>
          <w:tcPr>
            <w:tcW w:w="8957" w:type="dxa"/>
            <w:vAlign w:val="center"/>
          </w:tcPr>
          <w:p w14:paraId="54ABA550">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控制中心可展示全网终端安全概览：终端在线数量、防御事件、最新安全动态、CPU使用率、内存使用率、磁盘占用率、网络流量使用状况，终端操作系统概览等。</w:t>
            </w:r>
          </w:p>
        </w:tc>
      </w:tr>
      <w:tr w14:paraId="09A0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AB1DFD0">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5</w:t>
            </w:r>
          </w:p>
        </w:tc>
        <w:tc>
          <w:tcPr>
            <w:tcW w:w="8957" w:type="dxa"/>
            <w:vAlign w:val="center"/>
          </w:tcPr>
          <w:p w14:paraId="3213E5AF">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控制中心可启用SysLog日志导出功能，支持导出安全日志、升级日志、漏洞修复日志等。</w:t>
            </w:r>
          </w:p>
        </w:tc>
      </w:tr>
      <w:tr w14:paraId="2D5C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85D8B2F">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6</w:t>
            </w:r>
          </w:p>
        </w:tc>
        <w:tc>
          <w:tcPr>
            <w:tcW w:w="8957" w:type="dxa"/>
            <w:vAlign w:val="center"/>
          </w:tcPr>
          <w:p w14:paraId="560FEFE6">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控制中心可配置全局信任区可通过信任文件路径、信任文件校验和方法添加信任文件以及添加信任网址，对信任文件可信任该文件发起的动作。</w:t>
            </w:r>
          </w:p>
        </w:tc>
      </w:tr>
      <w:tr w14:paraId="3394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54E2385">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7</w:t>
            </w:r>
          </w:p>
        </w:tc>
        <w:tc>
          <w:tcPr>
            <w:tcW w:w="8957" w:type="dxa"/>
            <w:vAlign w:val="center"/>
          </w:tcPr>
          <w:p w14:paraId="17A36F4D">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控制中心可按照不同分组创建管理员且管理权限可按模块划分，控制中心服务端无操作自动登出设置，防止管理后台闲置时自动退出，避免频繁登录，支持管理员接收邮件预警。</w:t>
            </w:r>
          </w:p>
        </w:tc>
      </w:tr>
      <w:tr w14:paraId="795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E8A6FB4">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8</w:t>
            </w:r>
          </w:p>
        </w:tc>
        <w:tc>
          <w:tcPr>
            <w:tcW w:w="8957" w:type="dxa"/>
            <w:vAlign w:val="center"/>
          </w:tcPr>
          <w:p w14:paraId="44FB16ED">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控制中心具有安全自保性，支持设置管理员密码防止终端更改策略、退出；防卸载密码防止客户端自行卸载。</w:t>
            </w:r>
          </w:p>
        </w:tc>
      </w:tr>
      <w:tr w14:paraId="0DAD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69CBAD33">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9</w:t>
            </w:r>
          </w:p>
        </w:tc>
        <w:tc>
          <w:tcPr>
            <w:tcW w:w="8957" w:type="dxa"/>
            <w:vAlign w:val="center"/>
          </w:tcPr>
          <w:p w14:paraId="54BF64F6">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控制中心服务端远程桌面任务时可强制终端应答，不需要终端同意。</w:t>
            </w:r>
          </w:p>
        </w:tc>
      </w:tr>
      <w:tr w14:paraId="472C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34E38180">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10</w:t>
            </w:r>
          </w:p>
        </w:tc>
        <w:tc>
          <w:tcPr>
            <w:tcW w:w="8957" w:type="dxa"/>
            <w:vAlign w:val="center"/>
          </w:tcPr>
          <w:p w14:paraId="7A528DD3">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控制中心可按全网统计软件安装情况，包括软件名称、发布者、版本号、安装率；可对全网推送软件卸载任务且支持导出软件清单，按终端、按分组统计软件安装情况，可推送卸载任务。</w:t>
            </w:r>
          </w:p>
        </w:tc>
      </w:tr>
      <w:tr w14:paraId="7844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5E7D0716">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11</w:t>
            </w:r>
          </w:p>
        </w:tc>
        <w:tc>
          <w:tcPr>
            <w:tcW w:w="8957" w:type="dxa"/>
            <w:vAlign w:val="center"/>
          </w:tcPr>
          <w:p w14:paraId="04530D54">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控制中心可统计终端操作系统版本信息、安装时间、激活状态且具有操作系统占比可视化数据图。支持已安装的终端(Windows、Linux、Mac0s)对网段内进行扫描发现未安装杀软的终端，并支持导出扫描结果。</w:t>
            </w:r>
          </w:p>
        </w:tc>
      </w:tr>
      <w:tr w14:paraId="5F4E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63C24EAC">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12</w:t>
            </w:r>
          </w:p>
        </w:tc>
        <w:tc>
          <w:tcPr>
            <w:tcW w:w="8957" w:type="dxa"/>
            <w:vAlign w:val="center"/>
          </w:tcPr>
          <w:p w14:paraId="0C0699E7">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控制中心可统计终端硬件信息包括CPU、内存、硬盘、网卡、显卡、主板且支持硬件清单导出，支持全网终端硬件变更历史记录包括变更时间、变更硬件、操作。</w:t>
            </w:r>
          </w:p>
        </w:tc>
      </w:tr>
      <w:tr w14:paraId="2199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E652785">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13</w:t>
            </w:r>
          </w:p>
        </w:tc>
        <w:tc>
          <w:tcPr>
            <w:tcW w:w="8957" w:type="dxa"/>
            <w:vAlign w:val="center"/>
          </w:tcPr>
          <w:p w14:paraId="306B37C5">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控制中心支持展示终端基本信息：终端名称、计算机名称、本地IP、通信IP、MAC地址、终端类型、操作系统版本、病毒库版本、终端版本、上线时间等。</w:t>
            </w:r>
          </w:p>
        </w:tc>
      </w:tr>
      <w:tr w14:paraId="6348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26D53D67">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14</w:t>
            </w:r>
          </w:p>
        </w:tc>
        <w:tc>
          <w:tcPr>
            <w:tcW w:w="8957" w:type="dxa"/>
            <w:vAlign w:val="center"/>
          </w:tcPr>
          <w:p w14:paraId="71190B56">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windows客户端当文件被执行、生成、访问时，可以对相应文件进行扫描。用户可以根据自己需求配置不同的扫描策略，包括扫描时机等。</w:t>
            </w:r>
          </w:p>
        </w:tc>
      </w:tr>
      <w:tr w14:paraId="0F76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85EF310">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15</w:t>
            </w:r>
          </w:p>
        </w:tc>
        <w:tc>
          <w:tcPr>
            <w:tcW w:w="8957" w:type="dxa"/>
            <w:vAlign w:val="center"/>
          </w:tcPr>
          <w:p w14:paraId="1B2D0A37">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Windows客户端支持U盘或者光盘等移动存储设备接入电脑时自动扫描根目录下文件、自动扫描被病毒修改的项目。</w:t>
            </w:r>
          </w:p>
        </w:tc>
      </w:tr>
      <w:tr w14:paraId="2FFC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21D3D9EE">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16</w:t>
            </w:r>
          </w:p>
        </w:tc>
        <w:tc>
          <w:tcPr>
            <w:tcW w:w="8957" w:type="dxa"/>
            <w:vAlign w:val="center"/>
          </w:tcPr>
          <w:p w14:paraId="116BC32F">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Windows客户端可拦截高危远程漏洞攻击，从而阻止勒索病毒、黑客攻击等通过响应漏洞入侵，针对弱口令账号的有效防御手段。</w:t>
            </w:r>
          </w:p>
        </w:tc>
      </w:tr>
      <w:tr w14:paraId="31CB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A202DE0">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17</w:t>
            </w:r>
          </w:p>
        </w:tc>
        <w:tc>
          <w:tcPr>
            <w:tcW w:w="8957" w:type="dxa"/>
            <w:vAlign w:val="center"/>
          </w:tcPr>
          <w:p w14:paraId="01FF7199">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应支持勒索病毒诱捕，可在根目录生成txt、pem、sql、xlsx、mdb、jpg、rtf、xls、doc、docx等格式的诱捕文件，当出现勒索行为，对其进行捕获并进行隔离。</w:t>
            </w:r>
          </w:p>
        </w:tc>
      </w:tr>
      <w:tr w14:paraId="00ED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7B51B042">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18</w:t>
            </w:r>
          </w:p>
        </w:tc>
        <w:tc>
          <w:tcPr>
            <w:tcW w:w="8957" w:type="dxa"/>
            <w:vAlign w:val="center"/>
          </w:tcPr>
          <w:p w14:paraId="668719DC">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Windows客户端可对U盘（可限制读写权限）、便携设备、USB有线无线网卡、打印机、光驱、蓝牙等设备进行管控、并支持设置白名单放行个别U盘。</w:t>
            </w:r>
          </w:p>
        </w:tc>
      </w:tr>
      <w:tr w14:paraId="6B40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F921850">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19</w:t>
            </w:r>
          </w:p>
        </w:tc>
        <w:tc>
          <w:tcPr>
            <w:tcW w:w="8957" w:type="dxa"/>
            <w:vAlign w:val="center"/>
          </w:tcPr>
          <w:p w14:paraId="3C45E6B2">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Windows客户端支持漏洞集中修复、统一修复高危漏洞、统一修复所有漏洞，并展示以修复补丁和未修复补丁的信息。</w:t>
            </w:r>
          </w:p>
        </w:tc>
      </w:tr>
      <w:tr w14:paraId="3F31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3D08BC34">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20</w:t>
            </w:r>
          </w:p>
        </w:tc>
        <w:tc>
          <w:tcPr>
            <w:tcW w:w="8957" w:type="dxa"/>
            <w:vAlign w:val="center"/>
          </w:tcPr>
          <w:p w14:paraId="4377B0D6">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Windows客户端支持对终端违规外联的监控管理，可对违规外联的终端实行断网等保护性措施。</w:t>
            </w:r>
          </w:p>
        </w:tc>
      </w:tr>
      <w:tr w14:paraId="2328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2F24EB73">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21</w:t>
            </w:r>
          </w:p>
        </w:tc>
        <w:tc>
          <w:tcPr>
            <w:tcW w:w="8957" w:type="dxa"/>
            <w:vAlign w:val="center"/>
          </w:tcPr>
          <w:p w14:paraId="1AB85C41">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支持病毒查杀日志可按照时间、系统类型、终端名称、终端分组、本地IP、升级前版本、升级后版本、升级结果、操作描述、病毒ID、病毒名称、病毒路径、查杀类型、处理结果、病毒库版本等检索项进行检索且可导出。</w:t>
            </w:r>
          </w:p>
        </w:tc>
      </w:tr>
      <w:tr w14:paraId="0C37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C982D1F">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22</w:t>
            </w:r>
          </w:p>
        </w:tc>
        <w:tc>
          <w:tcPr>
            <w:tcW w:w="8957" w:type="dxa"/>
            <w:vAlign w:val="center"/>
          </w:tcPr>
          <w:p w14:paraId="019404F8">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Linux客户端带有文件实时监控功能，当文件修改、读取或执行时检测文件的安全性，保护终端不受病毒侵害；支持全盘查杀、自定义查杀、快速查杀。</w:t>
            </w:r>
          </w:p>
        </w:tc>
      </w:tr>
      <w:tr w14:paraId="3643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35A45BF8">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23</w:t>
            </w:r>
          </w:p>
        </w:tc>
        <w:tc>
          <w:tcPr>
            <w:tcW w:w="8957" w:type="dxa"/>
            <w:vAlign w:val="center"/>
          </w:tcPr>
          <w:p w14:paraId="6B4A5124">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Linux客户端支持终端信任区和隔离区功能，终端可添加信任文件或从隔离区恢复文件。</w:t>
            </w:r>
          </w:p>
        </w:tc>
      </w:tr>
      <w:tr w14:paraId="1778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758A995C">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24</w:t>
            </w:r>
          </w:p>
        </w:tc>
        <w:tc>
          <w:tcPr>
            <w:tcW w:w="8957" w:type="dxa"/>
            <w:vAlign w:val="center"/>
          </w:tcPr>
          <w:p w14:paraId="7F49BDBA">
            <w:pPr>
              <w:keepNext/>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控制中心应支持Ubuntu、SUSE、Deepin、中科红旗、银河麒麟、优麒麟、龙芯（loongnix）、统信UOS等版本。</w:t>
            </w:r>
          </w:p>
        </w:tc>
      </w:tr>
      <w:tr w14:paraId="0E64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5AB1264E">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25</w:t>
            </w:r>
          </w:p>
        </w:tc>
        <w:tc>
          <w:tcPr>
            <w:tcW w:w="8957" w:type="dxa"/>
            <w:vAlign w:val="center"/>
          </w:tcPr>
          <w:p w14:paraId="10837740">
            <w:pPr>
              <w:keepNext/>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控制中心应客户端安装后占用硬盘空间较少， 病毒库大小不超过10M，日常使用内存占用较小，有效节省电脑资源。</w:t>
            </w:r>
          </w:p>
        </w:tc>
      </w:tr>
      <w:tr w14:paraId="4AE4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D1A8BE5">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26</w:t>
            </w:r>
          </w:p>
        </w:tc>
        <w:tc>
          <w:tcPr>
            <w:tcW w:w="8957" w:type="dxa"/>
            <w:vAlign w:val="center"/>
          </w:tcPr>
          <w:p w14:paraId="1A6F65B3">
            <w:pPr>
              <w:keepNext/>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控制中心应支持展示全网终端安全概览：终端在线数量、最新安全动态、终端操作系统概览</w:t>
            </w:r>
          </w:p>
        </w:tc>
      </w:tr>
      <w:tr w14:paraId="538C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3DE54F51">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27</w:t>
            </w:r>
          </w:p>
        </w:tc>
        <w:tc>
          <w:tcPr>
            <w:tcW w:w="8957" w:type="dxa"/>
            <w:vAlign w:val="center"/>
          </w:tcPr>
          <w:p w14:paraId="082EB929">
            <w:pPr>
              <w:keepNext/>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控制中心应支持展示全网终端安全事件可视化数据：7/30天病毒查杀事件。</w:t>
            </w:r>
          </w:p>
        </w:tc>
      </w:tr>
      <w:tr w14:paraId="4E18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52D9369C">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28</w:t>
            </w:r>
          </w:p>
        </w:tc>
        <w:tc>
          <w:tcPr>
            <w:tcW w:w="8957" w:type="dxa"/>
            <w:vAlign w:val="center"/>
          </w:tcPr>
          <w:p w14:paraId="5912B5EE">
            <w:pPr>
              <w:keepNext/>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控制中心应支持监控中心服务器性能：CPU使用率、内存使用率、磁盘占用率、网络流量和备用中心使用状况。</w:t>
            </w:r>
          </w:p>
        </w:tc>
      </w:tr>
      <w:tr w14:paraId="4D0D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7E03A70D">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29</w:t>
            </w:r>
          </w:p>
        </w:tc>
        <w:tc>
          <w:tcPr>
            <w:tcW w:w="8957" w:type="dxa"/>
            <w:vAlign w:val="center"/>
          </w:tcPr>
          <w:p w14:paraId="16E05C6D">
            <w:pPr>
              <w:keepNext/>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控制中心应支持中心可启用SysLog日志导出功能，支持导出安全日志、升级日志。</w:t>
            </w:r>
          </w:p>
        </w:tc>
      </w:tr>
      <w:tr w14:paraId="1891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04FD5D2">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30</w:t>
            </w:r>
          </w:p>
        </w:tc>
        <w:tc>
          <w:tcPr>
            <w:tcW w:w="8957" w:type="dxa"/>
            <w:vAlign w:val="center"/>
          </w:tcPr>
          <w:p w14:paraId="4EA562F4">
            <w:pPr>
              <w:keepNext/>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控制中心应支持终端带有文件实时监控功能，当文件修改、读取或执行时检测文件的安全性，保护终端不受病毒侵害。</w:t>
            </w:r>
          </w:p>
        </w:tc>
      </w:tr>
      <w:tr w14:paraId="0D0E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955348D">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31</w:t>
            </w:r>
          </w:p>
        </w:tc>
        <w:tc>
          <w:tcPr>
            <w:tcW w:w="8957" w:type="dxa"/>
            <w:vAlign w:val="center"/>
          </w:tcPr>
          <w:p w14:paraId="37DCF056">
            <w:pPr>
              <w:keepNext/>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控制中心应支持统一设置桌面壁纸，锁屏壁纸，无操作自动锁屏时间。</w:t>
            </w:r>
          </w:p>
        </w:tc>
      </w:tr>
      <w:tr w14:paraId="74F9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5EB789D9">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32</w:t>
            </w:r>
          </w:p>
        </w:tc>
        <w:tc>
          <w:tcPr>
            <w:tcW w:w="8957" w:type="dxa"/>
            <w:vAlign w:val="center"/>
          </w:tcPr>
          <w:p w14:paraId="2B0713AC">
            <w:pPr>
              <w:keepNext/>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对终端下发快速查杀、全盘查杀、自定查杀任务且可设置不允许终端暂停或停止查杀任务以及查杀任务完成时自动关机；可推送终端升级、发送通知、同步防护策略、关机、重启等任务；支持将终端拉黑，避免占用授权点数。</w:t>
            </w:r>
          </w:p>
        </w:tc>
      </w:tr>
      <w:tr w14:paraId="1CED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295E689C">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33</w:t>
            </w:r>
          </w:p>
        </w:tc>
        <w:tc>
          <w:tcPr>
            <w:tcW w:w="8957" w:type="dxa"/>
            <w:vAlign w:val="center"/>
          </w:tcPr>
          <w:p w14:paraId="7CDB84F9">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控制中心应支持远程cmd功能，可通过命令行的形式操作目标终端，目标终端无感知。</w:t>
            </w:r>
          </w:p>
        </w:tc>
      </w:tr>
      <w:tr w14:paraId="7E45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01D78D5">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34</w:t>
            </w:r>
          </w:p>
        </w:tc>
        <w:tc>
          <w:tcPr>
            <w:tcW w:w="8957" w:type="dxa"/>
            <w:vAlign w:val="center"/>
          </w:tcPr>
          <w:p w14:paraId="2DA7C629">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控制中心应支持可预览终端系统用户信息、计划任务且支持对终端网络信息进行查看，可查看IP地址、DNS。</w:t>
            </w:r>
          </w:p>
        </w:tc>
      </w:tr>
      <w:tr w14:paraId="31E3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993C657">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35</w:t>
            </w:r>
          </w:p>
        </w:tc>
        <w:tc>
          <w:tcPr>
            <w:tcW w:w="8957" w:type="dxa"/>
            <w:vAlign w:val="center"/>
          </w:tcPr>
          <w:p w14:paraId="4D3D8278">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控制中心应支持可设置定时任务，支持快速查杀、全盘查杀、自定义查杀、终端升级、发送通知、关机、重启。</w:t>
            </w:r>
          </w:p>
        </w:tc>
      </w:tr>
      <w:tr w14:paraId="2C76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B2357E7">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36</w:t>
            </w:r>
          </w:p>
        </w:tc>
        <w:tc>
          <w:tcPr>
            <w:tcW w:w="8957" w:type="dxa"/>
            <w:vAlign w:val="center"/>
          </w:tcPr>
          <w:p w14:paraId="5E004957">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控制中心应支持可查看下发任务详情，包括任务执行状态、任务创建时间、过期时间且可终止已下发任务。</w:t>
            </w:r>
          </w:p>
        </w:tc>
      </w:tr>
      <w:tr w14:paraId="74BA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53E590C">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37</w:t>
            </w:r>
          </w:p>
        </w:tc>
        <w:tc>
          <w:tcPr>
            <w:tcW w:w="8957" w:type="dxa"/>
            <w:vAlign w:val="center"/>
          </w:tcPr>
          <w:p w14:paraId="5F172BA3">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管理中心应具有登陆二次验证功能，开启该功能后，通过登录中心时进行二次验证的方式，防止管理中心遭遇密码泄露、弱口令暴破、撞库等黑客破解行为。</w:t>
            </w:r>
            <w:r>
              <w:rPr>
                <w:rFonts w:hint="eastAsia" w:ascii="楷体" w:hAnsi="楷体" w:eastAsia="楷体" w:cs="楷体"/>
                <w:b/>
                <w:sz w:val="24"/>
                <w:szCs w:val="24"/>
              </w:rPr>
              <w:t>（提供功能截图并加盖</w:t>
            </w:r>
            <w:r>
              <w:rPr>
                <w:rFonts w:hint="eastAsia" w:ascii="楷体" w:hAnsi="楷体" w:eastAsia="楷体" w:cs="楷体"/>
                <w:b/>
                <w:sz w:val="24"/>
                <w:szCs w:val="24"/>
                <w:lang w:val="en-US" w:eastAsia="zh-CN"/>
              </w:rPr>
              <w:t>投标人投标专用</w:t>
            </w:r>
            <w:r>
              <w:rPr>
                <w:rFonts w:hint="eastAsia" w:ascii="楷体" w:hAnsi="楷体" w:eastAsia="楷体" w:cs="楷体"/>
                <w:b/>
                <w:sz w:val="24"/>
                <w:szCs w:val="24"/>
              </w:rPr>
              <w:t>章）</w:t>
            </w:r>
          </w:p>
        </w:tc>
      </w:tr>
      <w:tr w14:paraId="6074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427B755">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38</w:t>
            </w:r>
          </w:p>
        </w:tc>
        <w:tc>
          <w:tcPr>
            <w:tcW w:w="8957" w:type="dxa"/>
            <w:vAlign w:val="center"/>
          </w:tcPr>
          <w:p w14:paraId="5BE598F0">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控制中心应支持具有反病毒底层技术，反病毒引擎为本地反病毒引擎，不依赖云（联网时的病毒查杀能力与断网时的病毒查杀能力一致）具有轻量级的病毒库，却有较强的病毒查杀能力。</w:t>
            </w:r>
          </w:p>
        </w:tc>
      </w:tr>
      <w:tr w14:paraId="0813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E25E546">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39</w:t>
            </w:r>
          </w:p>
        </w:tc>
        <w:tc>
          <w:tcPr>
            <w:tcW w:w="8957" w:type="dxa"/>
            <w:vAlign w:val="center"/>
          </w:tcPr>
          <w:p w14:paraId="3D02A664">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控制中心应支持反病毒引擎具备全文哈希、分段哈希、局部敏感哈希、关键数据特征等扫描技术，可提取恶意代码中关键代码或数据片段来标识恶意代码。</w:t>
            </w:r>
          </w:p>
        </w:tc>
      </w:tr>
      <w:tr w14:paraId="123C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26F7712E">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40</w:t>
            </w:r>
          </w:p>
        </w:tc>
        <w:tc>
          <w:tcPr>
            <w:tcW w:w="8957" w:type="dxa"/>
            <w:vAlign w:val="center"/>
          </w:tcPr>
          <w:p w14:paraId="1DF1C843">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管理中心应支持容灾备份功能，当主中心计算机遭受如宕机、断电、硬件/软件故障等意外情况或人为操作错误导致主中心计算机无法正常使用时，备用中心将手动顶替宕机的主中心且同步数据。</w:t>
            </w:r>
          </w:p>
        </w:tc>
      </w:tr>
      <w:tr w14:paraId="1E7F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B4E34D4">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41</w:t>
            </w:r>
          </w:p>
        </w:tc>
        <w:tc>
          <w:tcPr>
            <w:tcW w:w="8957" w:type="dxa"/>
            <w:vAlign w:val="center"/>
          </w:tcPr>
          <w:p w14:paraId="7C9F1A02">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控制中心应支持具有脚本动态行为启发查杀，无需静态特征，在可控虚拟沙盒中还原脚本病毒执行逻辑并评估恶意性。</w:t>
            </w:r>
          </w:p>
        </w:tc>
      </w:tr>
      <w:tr w14:paraId="5A90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3D1B602E">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42</w:t>
            </w:r>
          </w:p>
        </w:tc>
        <w:tc>
          <w:tcPr>
            <w:tcW w:w="8957" w:type="dxa"/>
            <w:vAlign w:val="center"/>
          </w:tcPr>
          <w:p w14:paraId="484FC1D9">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控制中心应支持对各种加壳的病毒文件进行病毒查杀，包括病毒使用的自定义壳、代码混淆器在内的所有其他代码级对抗技术，均可解决。</w:t>
            </w:r>
          </w:p>
        </w:tc>
      </w:tr>
      <w:tr w14:paraId="3C5F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715DE5D0">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43</w:t>
            </w:r>
          </w:p>
        </w:tc>
        <w:tc>
          <w:tcPr>
            <w:tcW w:w="8957" w:type="dxa"/>
            <w:vAlign w:val="center"/>
          </w:tcPr>
          <w:p w14:paraId="7D8DE292">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支持管理员通过上级控制中心管理下级控制中心，至少支持五级以上级联部署，可帮助机构用户实现多级管理的需求，缓解单控制中心升级、打补丁压力，解决下属单位异地联动、多部门安全管理协同等管理难题。</w:t>
            </w:r>
          </w:p>
          <w:p w14:paraId="21B7FA3F">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p>
        </w:tc>
      </w:tr>
      <w:tr w14:paraId="71D5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67ED24EB">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44</w:t>
            </w:r>
          </w:p>
        </w:tc>
        <w:tc>
          <w:tcPr>
            <w:tcW w:w="8957" w:type="dxa"/>
            <w:vAlign w:val="center"/>
          </w:tcPr>
          <w:p w14:paraId="46172ADF">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控制中心以及终端(WindowsPC、Windows Server)都支持多因子认证，且不使用静态密码。</w:t>
            </w:r>
          </w:p>
        </w:tc>
      </w:tr>
      <w:tr w14:paraId="3DE2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59EF4111">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45</w:t>
            </w:r>
          </w:p>
        </w:tc>
        <w:tc>
          <w:tcPr>
            <w:tcW w:w="8957" w:type="dxa"/>
            <w:vAlign w:val="center"/>
          </w:tcPr>
          <w:p w14:paraId="2DAE4110">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控制中心的特征库应具备轻巧性，将特征高度复用、重组恶意代码 DNA 片段来描述不同的恶意代码，最大限度减少特征库中的冗余数据。</w:t>
            </w:r>
          </w:p>
        </w:tc>
      </w:tr>
      <w:tr w14:paraId="28E6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378BE91C">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46</w:t>
            </w:r>
          </w:p>
        </w:tc>
        <w:tc>
          <w:tcPr>
            <w:tcW w:w="8957" w:type="dxa"/>
            <w:vAlign w:val="center"/>
          </w:tcPr>
          <w:p w14:paraId="31EEEB1E">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定制防护策略以及策略细粒度配置，可根据不同分组需求定制不同的策略：（1）病毒防御（文件实时监控、恶意行为监控、内存防护、U盘保护、下载保护、邮件监控、Web扫描）；（2）系统防御（系统加固、应用加固、软件安装拦截、浏览器保护、摄像头防护）；（3）网络防御（网络入侵拦截、对外攻击拦截、恶意网站拦截、横向渗透防护、Web服务保护、暴破攻击防护、僵尸网络防护、远程登录防护）；（4）访问控制（IP协议控制、IP黑名单、联网控制、网站内容控制、程序执行控制、设备控制）；（5）行为管理（软件禁用、违规外联、桌面控制）；（6）安全工具（弹窗拦截和垃圾清理设置）。</w:t>
            </w:r>
            <w:r>
              <w:rPr>
                <w:rFonts w:hint="eastAsia" w:ascii="楷体" w:hAnsi="楷体" w:eastAsia="楷体" w:cs="楷体"/>
                <w:b/>
                <w:sz w:val="24"/>
                <w:szCs w:val="24"/>
              </w:rPr>
              <w:t>（提供功能截图并加盖</w:t>
            </w:r>
            <w:r>
              <w:rPr>
                <w:rFonts w:hint="eastAsia" w:ascii="楷体" w:hAnsi="楷体" w:eastAsia="楷体" w:cs="楷体"/>
                <w:b/>
                <w:sz w:val="24"/>
                <w:szCs w:val="24"/>
                <w:lang w:val="en-US" w:eastAsia="zh-CN"/>
              </w:rPr>
              <w:t>投标人投标专用</w:t>
            </w:r>
            <w:r>
              <w:rPr>
                <w:rFonts w:hint="eastAsia" w:ascii="楷体" w:hAnsi="楷体" w:eastAsia="楷体" w:cs="楷体"/>
                <w:b/>
                <w:sz w:val="24"/>
                <w:szCs w:val="24"/>
              </w:rPr>
              <w:t>章）</w:t>
            </w:r>
          </w:p>
        </w:tc>
      </w:tr>
      <w:tr w14:paraId="1B4D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65D38A6">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47</w:t>
            </w:r>
          </w:p>
        </w:tc>
        <w:tc>
          <w:tcPr>
            <w:tcW w:w="8957" w:type="dxa"/>
            <w:vAlign w:val="center"/>
          </w:tcPr>
          <w:p w14:paraId="27DE9156">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导出安全分析报告，对当前中心进行安全状况分析并生成分析报告，可按照最近7天、最近30天、最近一年等时间范围生成报告，也可自定义时间范围生成报告；安全报告支持邮件订阅功能，可给管理员配置订阅功能。</w:t>
            </w:r>
          </w:p>
        </w:tc>
      </w:tr>
      <w:tr w14:paraId="407F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78A93EAD">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48</w:t>
            </w:r>
          </w:p>
        </w:tc>
        <w:tc>
          <w:tcPr>
            <w:tcW w:w="8957" w:type="dxa"/>
            <w:vAlign w:val="center"/>
          </w:tcPr>
          <w:p w14:paraId="4C113F54">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违规外联设置，以及统一管理：探测终端用户是否有违规连接外部网络的行为，可对违规终端关机或者隔离；支持统一设置桌面壁纸，锁屏壁纸，无操作自动锁屏时间；支持设置终端允许或禁止连接Wi-Fi网络，并支持通过自定义SSID设置允许连接的Wi-Fi。</w:t>
            </w:r>
            <w:r>
              <w:rPr>
                <w:rFonts w:hint="eastAsia" w:ascii="楷体" w:hAnsi="楷体" w:eastAsia="楷体" w:cs="楷体"/>
                <w:b/>
                <w:sz w:val="24"/>
                <w:szCs w:val="24"/>
              </w:rPr>
              <w:t>（提供功能截图并加盖</w:t>
            </w:r>
            <w:r>
              <w:rPr>
                <w:rFonts w:hint="eastAsia" w:ascii="楷体" w:hAnsi="楷体" w:eastAsia="楷体" w:cs="楷体"/>
                <w:b/>
                <w:sz w:val="24"/>
                <w:szCs w:val="24"/>
                <w:lang w:val="en-US" w:eastAsia="zh-CN"/>
              </w:rPr>
              <w:t>投标人投标专用</w:t>
            </w:r>
            <w:r>
              <w:rPr>
                <w:rFonts w:hint="eastAsia" w:ascii="楷体" w:hAnsi="楷体" w:eastAsia="楷体" w:cs="楷体"/>
                <w:b/>
                <w:sz w:val="24"/>
                <w:szCs w:val="24"/>
              </w:rPr>
              <w:t>章）</w:t>
            </w:r>
          </w:p>
        </w:tc>
      </w:tr>
      <w:tr w14:paraId="62B7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242DF3E8">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49</w:t>
            </w:r>
          </w:p>
        </w:tc>
        <w:tc>
          <w:tcPr>
            <w:tcW w:w="8957" w:type="dxa"/>
            <w:vAlign w:val="center"/>
          </w:tcPr>
          <w:p w14:paraId="6471A164">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服务端支持对不同操作系统版本的客户端进行统一管控，包括Windows PC、Windows Server、Linux、 MacOS.支持与现有安全管理平台进行无缝对接与统一管理，实现用户、策略等核心数据的同步，实现全网一体化视图与集中化运维。</w:t>
            </w:r>
          </w:p>
        </w:tc>
      </w:tr>
      <w:tr w14:paraId="0143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40382F2">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50</w:t>
            </w:r>
          </w:p>
        </w:tc>
        <w:tc>
          <w:tcPr>
            <w:tcW w:w="8957" w:type="dxa"/>
            <w:vAlign w:val="center"/>
          </w:tcPr>
          <w:p w14:paraId="359AAD02">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支持与现有安全管理平台进行无缝对接与统一管理，实现用户、策略等核心数据的同步，实现全网一体化视图与集中化运维。</w:t>
            </w:r>
          </w:p>
        </w:tc>
      </w:tr>
      <w:tr w14:paraId="5304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6" w:type="dxa"/>
            <w:vAlign w:val="center"/>
          </w:tcPr>
          <w:p w14:paraId="33E81709">
            <w:pPr>
              <w:keepNext/>
              <w:snapToGrid w:val="0"/>
              <w:jc w:val="center"/>
              <w:rPr>
                <w:rFonts w:hint="eastAsia" w:ascii="楷体" w:hAnsi="楷体" w:eastAsia="楷体" w:cs="楷体"/>
                <w:bCs/>
                <w:sz w:val="24"/>
                <w:szCs w:val="24"/>
              </w:rPr>
            </w:pPr>
            <w:r>
              <w:rPr>
                <w:rFonts w:hint="eastAsia" w:ascii="楷体" w:hAnsi="楷体" w:eastAsia="楷体" w:cs="楷体"/>
                <w:bCs/>
                <w:sz w:val="24"/>
                <w:szCs w:val="24"/>
              </w:rPr>
              <w:t>51</w:t>
            </w:r>
          </w:p>
        </w:tc>
        <w:tc>
          <w:tcPr>
            <w:tcW w:w="8957" w:type="dxa"/>
            <w:vAlign w:val="center"/>
          </w:tcPr>
          <w:p w14:paraId="30AA6EE9">
            <w:pPr>
              <w:keepNext/>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投标人承诺验收时提供原厂商对本项目出具的三年质保及售后服务承诺函。</w:t>
            </w:r>
          </w:p>
        </w:tc>
      </w:tr>
    </w:tbl>
    <w:p w14:paraId="707D4E7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249AEC8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color w:val="000000" w:themeColor="text1"/>
          <w:highlight w:val="none"/>
          <w:lang w:val="en-US" w:eastAsia="zh-CN"/>
          <w14:textFill>
            <w14:solidFill>
              <w14:schemeClr w14:val="tx1"/>
            </w14:solidFill>
          </w14:textFill>
        </w:rPr>
      </w:pPr>
    </w:p>
    <w:p w14:paraId="5A87345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002EA66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8BAD36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BEDE949">
      <w:pPr>
        <w:keepNext w:val="0"/>
        <w:keepLines w:val="0"/>
        <w:pageBreakBefore w:val="0"/>
        <w:widowControl w:val="0"/>
        <w:kinsoku/>
        <w:wordWrap/>
        <w:overflowPunct/>
        <w:topLinePunct w:val="0"/>
        <w:autoSpaceDE/>
        <w:autoSpaceDN/>
        <w:bidi w:val="0"/>
        <w:adjustRightInd/>
        <w:snapToGrid/>
        <w:spacing w:line="380" w:lineRule="exact"/>
        <w:textAlignment w:val="auto"/>
        <w:rPr>
          <w:highlight w:val="none"/>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s="仿宋_GB2312"/>
          <w:bCs/>
          <w:kern w:val="0"/>
          <w:sz w:val="28"/>
          <w:szCs w:val="28"/>
          <w:highlight w:val="none"/>
        </w:rPr>
        <w:t xml:space="preserve">  </w:t>
      </w:r>
    </w:p>
    <w:p w14:paraId="70FC43E8">
      <w:pPr>
        <w:pStyle w:val="7"/>
        <w:keepNext w:val="0"/>
        <w:keepLines w:val="0"/>
        <w:pageBreakBefore w:val="0"/>
        <w:widowControl w:val="0"/>
        <w:kinsoku/>
        <w:wordWrap/>
        <w:overflowPunct/>
        <w:topLinePunct w:val="0"/>
        <w:bidi w:val="0"/>
        <w:snapToGrid/>
        <w:spacing w:line="520" w:lineRule="exact"/>
        <w:jc w:val="center"/>
        <w:textAlignment w:val="auto"/>
        <w:rPr>
          <w:rFonts w:hint="default" w:ascii="仿宋_GB2312" w:hAnsi="Times New Roman" w:eastAsia="仿宋_GB2312" w:cs="仿宋_GB2312"/>
          <w:bCs/>
          <w:color w:val="auto"/>
          <w:kern w:val="0"/>
          <w:sz w:val="28"/>
          <w:szCs w:val="28"/>
          <w:lang w:val="en-US" w:eastAsia="zh-CN" w:bidi="ar-SA"/>
        </w:rPr>
      </w:pPr>
      <w:r>
        <w:rPr>
          <w:rFonts w:hint="eastAsia" w:cs="仿宋_GB2312"/>
          <w:bCs/>
          <w:color w:val="auto"/>
          <w:kern w:val="0"/>
          <w:sz w:val="28"/>
          <w:szCs w:val="28"/>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合同编号：</w:t>
      </w:r>
    </w:p>
    <w:p w14:paraId="65524CC9">
      <w:pPr>
        <w:keepNext w:val="0"/>
        <w:keepLines w:val="0"/>
        <w:pageBreakBefore w:val="0"/>
        <w:widowControl w:val="0"/>
        <w:kinsoku/>
        <w:wordWrap/>
        <w:overflowPunct/>
        <w:topLinePunct w:val="0"/>
        <w:bidi w:val="0"/>
        <w:snapToGrid/>
        <w:spacing w:line="520" w:lineRule="exact"/>
        <w:ind w:firstLine="883" w:firstLineChars="200"/>
        <w:jc w:val="center"/>
        <w:textAlignment w:val="auto"/>
        <w:rPr>
          <w:rFonts w:hint="eastAsia" w:ascii="仿宋_GB2312" w:hAnsi="Times New Roman" w:eastAsia="仿宋_GB2312" w:cs="仿宋_GB2312"/>
          <w:b/>
          <w:bCs w:val="0"/>
          <w:color w:val="auto"/>
          <w:kern w:val="0"/>
          <w:sz w:val="44"/>
          <w:szCs w:val="44"/>
          <w:lang w:val="en-US" w:eastAsia="zh-CN" w:bidi="ar-SA"/>
        </w:rPr>
      </w:pPr>
      <w:r>
        <w:rPr>
          <w:rFonts w:hint="eastAsia" w:ascii="仿宋_GB2312" w:hAnsi="Times New Roman" w:eastAsia="仿宋_GB2312" w:cs="仿宋_GB2312"/>
          <w:b/>
          <w:bCs w:val="0"/>
          <w:color w:val="auto"/>
          <w:kern w:val="0"/>
          <w:sz w:val="44"/>
          <w:szCs w:val="44"/>
          <w:lang w:val="en-US" w:eastAsia="zh-CN" w:bidi="ar-SA"/>
        </w:rPr>
        <w:t>技术服务合同</w:t>
      </w:r>
    </w:p>
    <w:p w14:paraId="64DBD70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p>
    <w:p w14:paraId="0A34044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甲方（采购方）：</w:t>
      </w:r>
      <w:r>
        <w:rPr>
          <w:rFonts w:hint="eastAsia" w:ascii="仿宋_GB2312" w:hAnsi="Times New Roman" w:eastAsia="仿宋_GB2312" w:cs="仿宋_GB2312"/>
          <w:bCs/>
          <w:color w:val="auto"/>
          <w:kern w:val="0"/>
          <w:sz w:val="28"/>
          <w:szCs w:val="28"/>
          <w:lang w:val="en-US" w:eastAsia="zh-CN" w:bidi="ar-SA"/>
        </w:rPr>
        <w:t>娄底市中心医院</w:t>
      </w:r>
    </w:p>
    <w:p w14:paraId="7C167B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法定代表人：杨吉军</w:t>
      </w:r>
    </w:p>
    <w:p w14:paraId="08B2D1F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统一社会信用代码：12431300447162073W</w:t>
      </w:r>
    </w:p>
    <w:p w14:paraId="4FDB9B6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地址：湖南省娄底市娄星区长青中街51号</w:t>
      </w:r>
    </w:p>
    <w:p w14:paraId="758C6B4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项目联系人：  肖硕旻                                    </w:t>
      </w:r>
    </w:p>
    <w:p w14:paraId="36593B4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联系方式 ： 18073843787 </w:t>
      </w:r>
    </w:p>
    <w:p w14:paraId="260A592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p>
    <w:p w14:paraId="1F51001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乙方（受托方）：</w:t>
      </w:r>
    </w:p>
    <w:p w14:paraId="3E059A9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法定代表人：</w:t>
      </w:r>
    </w:p>
    <w:p w14:paraId="762C16D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统一社会信用代码：</w:t>
      </w:r>
    </w:p>
    <w:p w14:paraId="7C21B67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地址：</w:t>
      </w:r>
    </w:p>
    <w:p w14:paraId="514D1BF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项目联系人：                                     </w:t>
      </w:r>
    </w:p>
    <w:p w14:paraId="6229F30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联系方式 ：</w:t>
      </w:r>
    </w:p>
    <w:p w14:paraId="02AEAE7C">
      <w:pPr>
        <w:pStyle w:val="8"/>
        <w:keepNext w:val="0"/>
        <w:keepLines w:val="0"/>
        <w:pageBreakBefore w:val="0"/>
        <w:widowControl w:val="0"/>
        <w:kinsoku/>
        <w:wordWrap/>
        <w:overflowPunct/>
        <w:topLinePunct w:val="0"/>
        <w:autoSpaceDE/>
        <w:autoSpaceDN/>
        <w:bidi w:val="0"/>
        <w:snapToGrid/>
        <w:spacing w:before="0" w:after="0" w:line="460" w:lineRule="exact"/>
        <w:ind w:left="0" w:firstLine="480" w:firstLineChars="200"/>
        <w:jc w:val="both"/>
        <w:rPr>
          <w:rFonts w:hint="eastAsia"/>
          <w:lang w:val="en-US" w:eastAsia="zh-CN"/>
        </w:rPr>
      </w:pPr>
    </w:p>
    <w:p w14:paraId="6F9B0496">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宋体" w:hAnsi="宋体" w:eastAsia="宋体" w:cs="宋体"/>
          <w:color w:val="auto"/>
          <w:sz w:val="24"/>
          <w:szCs w:val="24"/>
          <w:highlight w:val="none"/>
          <w:lang w:val="en-US" w:eastAsia="zh-CN"/>
        </w:rPr>
      </w:pPr>
      <w:r>
        <w:rPr>
          <w:rFonts w:hint="eastAsia" w:ascii="仿宋_GB2312" w:hAnsi="Times New Roman" w:eastAsia="仿宋_GB2312" w:cs="仿宋_GB2312"/>
          <w:bCs/>
          <w:color w:val="auto"/>
          <w:kern w:val="0"/>
          <w:sz w:val="28"/>
          <w:szCs w:val="28"/>
          <w:lang w:val="en-US" w:eastAsia="zh-CN" w:bidi="ar-SA"/>
        </w:rPr>
        <w:t>甲方通过医院公开挂网方式采购</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0000FF"/>
          <w:kern w:val="0"/>
          <w:sz w:val="28"/>
          <w:szCs w:val="28"/>
          <w:u w:val="single"/>
          <w:lang w:val="en-US" w:eastAsia="zh-CN" w:bidi="ar-SA"/>
        </w:rPr>
        <w:t xml:space="preserve">娄底市中心医院杀毒软件三年授权服务 </w:t>
      </w:r>
      <w:r>
        <w:rPr>
          <w:rFonts w:hint="eastAsia" w:ascii="仿宋_GB2312" w:hAnsi="Times New Roman" w:eastAsia="仿宋_GB2312" w:cs="仿宋_GB2312"/>
          <w:bCs/>
          <w:color w:val="auto"/>
          <w:kern w:val="0"/>
          <w:sz w:val="28"/>
          <w:szCs w:val="28"/>
          <w:lang w:val="en-US" w:eastAsia="zh-CN" w:bidi="ar-SA"/>
        </w:rPr>
        <w:t>，乙方为中标/中选供应商，项目编号：</w:t>
      </w:r>
      <w:r>
        <w:rPr>
          <w:rFonts w:hint="eastAsia" w:ascii="仿宋_GB2312" w:hAnsi="Times New Roman" w:eastAsia="仿宋_GB2312" w:cs="仿宋_GB2312"/>
          <w:bCs/>
          <w:color w:val="auto"/>
          <w:kern w:val="0"/>
          <w:sz w:val="28"/>
          <w:szCs w:val="28"/>
          <w:u w:val="single"/>
          <w:lang w:val="en-US" w:eastAsia="zh-CN" w:bidi="ar-SA"/>
        </w:rPr>
        <w:t xml:space="preserve"> / </w:t>
      </w:r>
      <w:r>
        <w:rPr>
          <w:rFonts w:hint="eastAsia" w:ascii="仿宋_GB2312" w:hAnsi="Times New Roman" w:eastAsia="仿宋_GB2312" w:cs="仿宋_GB2312"/>
          <w:bCs/>
          <w:color w:val="auto"/>
          <w:kern w:val="0"/>
          <w:sz w:val="28"/>
          <w:szCs w:val="28"/>
          <w:lang w:val="en-US" w:eastAsia="zh-CN" w:bidi="ar-SA"/>
        </w:rPr>
        <w:t>。根据《中华人民共和国民法典》《中华人民共和国政府采购法》等相关法律规定，甲乙双方在采购项目确定的基础上，就采购</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0000FF"/>
          <w:kern w:val="0"/>
          <w:sz w:val="28"/>
          <w:szCs w:val="28"/>
          <w:u w:val="single"/>
          <w:lang w:val="en-US" w:eastAsia="zh-CN" w:bidi="ar-SA"/>
        </w:rPr>
        <w:t xml:space="preserve">娄底市中心医院杀毒软件三年授权服务 </w:t>
      </w:r>
      <w:r>
        <w:rPr>
          <w:rFonts w:hint="eastAsia" w:ascii="仿宋_GB2312" w:hAnsi="Times New Roman" w:eastAsia="仿宋_GB2312" w:cs="仿宋_GB2312"/>
          <w:bCs/>
          <w:color w:val="auto"/>
          <w:kern w:val="0"/>
          <w:sz w:val="28"/>
          <w:szCs w:val="28"/>
          <w:lang w:val="en-US" w:eastAsia="zh-CN" w:bidi="ar-SA"/>
        </w:rPr>
        <w:t>相关事宜平等、自愿、公平、诚信协商，达成一致，特订立本合同，以资共同遵守。</w:t>
      </w:r>
    </w:p>
    <w:p w14:paraId="245F5BC1">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eastAsia" w:ascii="仿宋_GB2312" w:hAnsi="Times New Roman" w:eastAsia="仿宋_GB2312" w:cs="仿宋_GB2312"/>
          <w:b/>
          <w:bCs w:val="0"/>
          <w:color w:val="auto"/>
          <w:kern w:val="0"/>
          <w:sz w:val="28"/>
          <w:szCs w:val="28"/>
          <w:lang w:val="en-US" w:eastAsia="zh-CN" w:bidi="ar-SA"/>
        </w:rPr>
      </w:pPr>
      <w:bookmarkStart w:id="1" w:name="_Hlk39763631"/>
      <w:r>
        <w:rPr>
          <w:rFonts w:hint="eastAsia" w:ascii="仿宋_GB2312" w:eastAsia="仿宋_GB2312" w:cs="仿宋_GB2312"/>
          <w:b/>
          <w:bCs w:val="0"/>
          <w:color w:val="auto"/>
          <w:kern w:val="0"/>
          <w:sz w:val="28"/>
          <w:szCs w:val="28"/>
          <w:lang w:val="en-US" w:eastAsia="zh-CN" w:bidi="ar-SA"/>
        </w:rPr>
        <w:t xml:space="preserve">第一条 </w:t>
      </w:r>
      <w:r>
        <w:rPr>
          <w:rFonts w:hint="eastAsia" w:ascii="仿宋_GB2312" w:hAnsi="Times New Roman" w:eastAsia="仿宋_GB2312" w:cs="仿宋_GB2312"/>
          <w:b/>
          <w:bCs w:val="0"/>
          <w:color w:val="auto"/>
          <w:kern w:val="0"/>
          <w:sz w:val="28"/>
          <w:szCs w:val="28"/>
          <w:lang w:val="en-US" w:eastAsia="zh-CN" w:bidi="ar-SA"/>
        </w:rPr>
        <w:t>服务内容</w:t>
      </w:r>
      <w:bookmarkEnd w:id="1"/>
      <w:r>
        <w:rPr>
          <w:rFonts w:hint="eastAsia" w:ascii="仿宋_GB2312" w:hAnsi="Times New Roman" w:eastAsia="仿宋_GB2312" w:cs="仿宋_GB2312"/>
          <w:b/>
          <w:bCs w:val="0"/>
          <w:color w:val="auto"/>
          <w:kern w:val="0"/>
          <w:sz w:val="28"/>
          <w:szCs w:val="28"/>
          <w:lang w:val="en-US" w:eastAsia="zh-CN" w:bidi="ar-SA"/>
        </w:rPr>
        <w:t>及服务期限</w:t>
      </w:r>
    </w:p>
    <w:p w14:paraId="5A1D5B36">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1.1 </w:t>
      </w:r>
      <w:r>
        <w:rPr>
          <w:rFonts w:hint="eastAsia" w:ascii="仿宋_GB2312" w:eastAsia="仿宋_GB2312" w:cs="仿宋_GB2312"/>
          <w:bCs/>
          <w:color w:val="auto"/>
          <w:kern w:val="0"/>
          <w:sz w:val="28"/>
          <w:szCs w:val="28"/>
          <w:lang w:val="en-US" w:eastAsia="zh-CN" w:bidi="ar-SA"/>
        </w:rPr>
        <w:t>服务内容</w:t>
      </w:r>
    </w:p>
    <w:p w14:paraId="7CFB61EF">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0000FF"/>
          <w:kern w:val="0"/>
          <w:sz w:val="28"/>
          <w:szCs w:val="28"/>
          <w:highlight w:val="none"/>
          <w:lang w:val="en-US" w:eastAsia="zh-CN" w:bidi="ar-SA"/>
        </w:rPr>
        <w:t>乙方为甲方提供</w:t>
      </w:r>
      <w:r>
        <w:rPr>
          <w:rFonts w:hint="eastAsia" w:ascii="仿宋_GB2312" w:eastAsia="仿宋_GB2312" w:cs="仿宋_GB2312"/>
          <w:bCs/>
          <w:color w:val="0000FF"/>
          <w:kern w:val="0"/>
          <w:sz w:val="28"/>
          <w:szCs w:val="28"/>
          <w:highlight w:val="none"/>
          <w:lang w:val="en-US" w:eastAsia="zh-CN" w:bidi="ar-SA"/>
        </w:rPr>
        <w:t>杀毒软件</w:t>
      </w:r>
      <w:r>
        <w:rPr>
          <w:rFonts w:hint="eastAsia" w:ascii="仿宋_GB2312" w:hAnsi="Times New Roman" w:eastAsia="仿宋_GB2312" w:cs="仿宋_GB2312"/>
          <w:bCs/>
          <w:color w:val="0000FF"/>
          <w:kern w:val="0"/>
          <w:sz w:val="28"/>
          <w:szCs w:val="28"/>
          <w:highlight w:val="none"/>
          <w:lang w:val="en-US" w:eastAsia="zh-CN" w:bidi="ar-SA"/>
        </w:rPr>
        <w:t>，完成该软件的</w:t>
      </w:r>
      <w:r>
        <w:rPr>
          <w:rFonts w:hint="eastAsia" w:ascii="仿宋_GB2312" w:eastAsia="仿宋_GB2312" w:cs="仿宋_GB2312"/>
          <w:bCs/>
          <w:color w:val="ED7D31" w:themeColor="accent2"/>
          <w:kern w:val="0"/>
          <w:sz w:val="28"/>
          <w:szCs w:val="28"/>
          <w:highlight w:val="none"/>
          <w:lang w:val="en-US" w:eastAsia="zh-CN" w:bidi="ar-SA"/>
          <w14:textFill>
            <w14:solidFill>
              <w14:schemeClr w14:val="accent2"/>
            </w14:solidFill>
          </w14:textFill>
        </w:rPr>
        <w:t>服务端和客户端的</w:t>
      </w:r>
      <w:r>
        <w:rPr>
          <w:rFonts w:hint="eastAsia" w:ascii="仿宋_GB2312" w:hAnsi="Times New Roman" w:eastAsia="仿宋_GB2312" w:cs="仿宋_GB2312"/>
          <w:bCs/>
          <w:color w:val="0000FF"/>
          <w:kern w:val="0"/>
          <w:sz w:val="28"/>
          <w:szCs w:val="28"/>
          <w:highlight w:val="none"/>
          <w:lang w:val="en-US" w:eastAsia="zh-CN" w:bidi="ar-SA"/>
        </w:rPr>
        <w:t>安装、调试，并确保经甲方验收合格且能正常使用，自该</w:t>
      </w:r>
      <w:r>
        <w:rPr>
          <w:rFonts w:hint="eastAsia" w:ascii="仿宋_GB2312" w:eastAsia="仿宋_GB2312" w:cs="仿宋_GB2312"/>
          <w:bCs/>
          <w:color w:val="0000FF"/>
          <w:kern w:val="0"/>
          <w:sz w:val="28"/>
          <w:szCs w:val="28"/>
          <w:highlight w:val="none"/>
          <w:lang w:val="en-US" w:eastAsia="zh-CN" w:bidi="ar-SA"/>
        </w:rPr>
        <w:t>软件</w:t>
      </w:r>
      <w:r>
        <w:rPr>
          <w:rFonts w:hint="eastAsia" w:ascii="仿宋_GB2312" w:hAnsi="Times New Roman" w:eastAsia="仿宋_GB2312" w:cs="仿宋_GB2312"/>
          <w:bCs/>
          <w:color w:val="0000FF"/>
          <w:kern w:val="0"/>
          <w:sz w:val="28"/>
          <w:szCs w:val="28"/>
          <w:highlight w:val="none"/>
          <w:lang w:val="en-US" w:eastAsia="zh-CN" w:bidi="ar-SA"/>
        </w:rPr>
        <w:t>通过甲方验收之日起，甲方拥有该软件的永久使用权（</w:t>
      </w:r>
      <w:r>
        <w:rPr>
          <w:rFonts w:hint="eastAsia" w:ascii="仿宋_GB2312" w:eastAsia="仿宋_GB2312" w:cs="仿宋_GB2312"/>
          <w:bCs/>
          <w:color w:val="0000FF"/>
          <w:kern w:val="0"/>
          <w:sz w:val="28"/>
          <w:szCs w:val="28"/>
          <w:highlight w:val="none"/>
          <w:lang w:val="en-US" w:eastAsia="zh-CN" w:bidi="ar-SA"/>
        </w:rPr>
        <w:t>含软件内功能服务使用权）；乙方向</w:t>
      </w:r>
      <w:r>
        <w:rPr>
          <w:rFonts w:hint="eastAsia" w:ascii="仿宋_GB2312" w:hAnsi="Times New Roman" w:eastAsia="仿宋_GB2312" w:cs="仿宋_GB2312"/>
          <w:bCs/>
          <w:color w:val="auto"/>
          <w:kern w:val="0"/>
          <w:sz w:val="28"/>
          <w:szCs w:val="28"/>
          <w:lang w:val="en-US" w:eastAsia="zh-CN" w:bidi="ar-SA"/>
        </w:rPr>
        <w:t>甲方提供</w:t>
      </w:r>
      <w:r>
        <w:rPr>
          <w:rFonts w:hint="eastAsia" w:ascii="仿宋_GB2312" w:eastAsia="仿宋_GB2312" w:cs="仿宋_GB2312"/>
          <w:bCs/>
          <w:color w:val="auto"/>
          <w:kern w:val="0"/>
          <w:sz w:val="28"/>
          <w:szCs w:val="28"/>
          <w:lang w:val="en-US" w:eastAsia="zh-CN" w:bidi="ar-SA"/>
        </w:rPr>
        <w:t>1900个windows</w:t>
      </w:r>
      <w:r>
        <w:rPr>
          <w:rFonts w:hint="eastAsia" w:ascii="仿宋_GB2312" w:hAnsi="Times New Roman" w:eastAsia="仿宋_GB2312" w:cs="仿宋_GB2312"/>
          <w:bCs/>
          <w:color w:val="auto"/>
          <w:kern w:val="0"/>
          <w:sz w:val="28"/>
          <w:szCs w:val="28"/>
          <w:lang w:val="en-US" w:eastAsia="zh-CN" w:bidi="ar-SA"/>
        </w:rPr>
        <w:t>点位</w:t>
      </w:r>
      <w:r>
        <w:rPr>
          <w:rFonts w:hint="eastAsia" w:ascii="仿宋_GB2312" w:eastAsia="仿宋_GB2312" w:cs="仿宋_GB2312"/>
          <w:bCs/>
          <w:color w:val="auto"/>
          <w:kern w:val="0"/>
          <w:sz w:val="28"/>
          <w:szCs w:val="28"/>
          <w:lang w:val="en-US" w:eastAsia="zh-CN" w:bidi="ar-SA"/>
        </w:rPr>
        <w:t>和100个国产化操作系统点位</w:t>
      </w:r>
      <w:r>
        <w:rPr>
          <w:rFonts w:hint="eastAsia" w:ascii="仿宋_GB2312" w:hAnsi="Times New Roman" w:eastAsia="仿宋_GB2312" w:cs="仿宋_GB2312"/>
          <w:bCs/>
          <w:color w:val="auto"/>
          <w:kern w:val="0"/>
          <w:sz w:val="28"/>
          <w:szCs w:val="28"/>
          <w:lang w:val="en-US" w:eastAsia="zh-CN" w:bidi="ar-SA"/>
        </w:rPr>
        <w:t>的软件授权序列号和密码；</w:t>
      </w:r>
      <w:r>
        <w:rPr>
          <w:rFonts w:hint="eastAsia" w:ascii="仿宋_GB2312" w:hAnsi="Times New Roman" w:eastAsia="仿宋_GB2312" w:cs="仿宋_GB2312"/>
          <w:bCs/>
          <w:color w:val="0000FF"/>
          <w:kern w:val="0"/>
          <w:sz w:val="28"/>
          <w:szCs w:val="28"/>
          <w:highlight w:val="none"/>
          <w:lang w:val="en-US" w:eastAsia="zh-CN" w:bidi="ar-SA"/>
        </w:rPr>
        <w:t>乙方在服务期限内为甲方</w:t>
      </w:r>
      <w:r>
        <w:rPr>
          <w:rFonts w:hint="eastAsia" w:ascii="仿宋_GB2312" w:hAnsi="Times New Roman" w:eastAsia="仿宋_GB2312" w:cs="仿宋_GB2312"/>
          <w:bCs/>
          <w:color w:val="auto"/>
          <w:kern w:val="0"/>
          <w:sz w:val="28"/>
          <w:szCs w:val="28"/>
          <w:lang w:val="en-US" w:eastAsia="zh-CN" w:bidi="ar-SA"/>
        </w:rPr>
        <w:t>提供</w:t>
      </w:r>
      <w:r>
        <w:rPr>
          <w:rFonts w:hint="eastAsia" w:ascii="仿宋_GB2312" w:eastAsia="仿宋_GB2312" w:cs="仿宋_GB2312"/>
          <w:bCs/>
          <w:color w:val="0000FF"/>
          <w:kern w:val="0"/>
          <w:sz w:val="28"/>
          <w:szCs w:val="28"/>
          <w:highlight w:val="none"/>
          <w:lang w:val="en-US" w:eastAsia="zh-CN" w:bidi="ar-SA"/>
        </w:rPr>
        <w:t>杀毒软件</w:t>
      </w:r>
      <w:r>
        <w:rPr>
          <w:rFonts w:hint="eastAsia" w:ascii="仿宋_GB2312" w:hAnsi="Times New Roman" w:eastAsia="仿宋_GB2312" w:cs="仿宋_GB2312"/>
          <w:bCs/>
          <w:color w:val="auto"/>
          <w:kern w:val="0"/>
          <w:sz w:val="28"/>
          <w:szCs w:val="28"/>
          <w:lang w:val="en-US" w:eastAsia="zh-CN" w:bidi="ar-SA"/>
        </w:rPr>
        <w:t>技术服务，包括软件咨询、培训、升级、维护、改造等技术服务。</w:t>
      </w:r>
    </w:p>
    <w:p w14:paraId="5E72E181">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1.1.1</w:t>
      </w:r>
      <w:r>
        <w:rPr>
          <w:rFonts w:hint="eastAsia" w:ascii="仿宋_GB2312" w:eastAsia="仿宋_GB2312" w:cs="仿宋_GB2312"/>
          <w:bCs/>
          <w:color w:val="0000FF"/>
          <w:kern w:val="0"/>
          <w:sz w:val="28"/>
          <w:szCs w:val="28"/>
          <w:highlight w:val="none"/>
          <w:lang w:val="en-US" w:eastAsia="zh-CN" w:bidi="ar-SA"/>
        </w:rPr>
        <w:t>杀毒软件</w:t>
      </w:r>
      <w:r>
        <w:rPr>
          <w:rFonts w:hint="eastAsia" w:ascii="仿宋_GB2312" w:hAnsi="Times New Roman" w:eastAsia="仿宋_GB2312" w:cs="仿宋_GB2312"/>
          <w:bCs/>
          <w:color w:val="auto"/>
          <w:kern w:val="0"/>
          <w:sz w:val="28"/>
          <w:szCs w:val="28"/>
          <w:lang w:val="en-US" w:eastAsia="zh-CN" w:bidi="ar-SA"/>
        </w:rPr>
        <w:t>要求：</w:t>
      </w:r>
    </w:p>
    <w:p w14:paraId="1EF6D30F">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1.1.1.1</w:t>
      </w:r>
      <w:r>
        <w:rPr>
          <w:rFonts w:hint="eastAsia" w:ascii="仿宋_GB2312" w:hAnsi="Times New Roman" w:eastAsia="仿宋_GB2312" w:cs="仿宋_GB2312"/>
          <w:bCs/>
          <w:color w:val="auto"/>
          <w:kern w:val="0"/>
          <w:sz w:val="28"/>
          <w:szCs w:val="28"/>
          <w:lang w:val="en-US" w:eastAsia="zh-CN" w:bidi="ar-SA"/>
        </w:rPr>
        <w:t>支持服务：乙方通过线下支持、电话或者邮件、微信、VPN远程、网站信息服务等形式提供如下技术支持：</w:t>
      </w:r>
    </w:p>
    <w:p w14:paraId="58265F3F">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a)对</w:t>
      </w:r>
      <w:r>
        <w:rPr>
          <w:rFonts w:hint="eastAsia" w:ascii="仿宋_GB2312" w:eastAsia="仿宋_GB2312" w:cs="仿宋_GB2312"/>
          <w:bCs/>
          <w:color w:val="FF0000"/>
          <w:kern w:val="0"/>
          <w:sz w:val="28"/>
          <w:szCs w:val="28"/>
          <w:lang w:val="en-US" w:eastAsia="zh-CN" w:bidi="ar-SA"/>
        </w:rPr>
        <w:t>甲方</w:t>
      </w:r>
      <w:r>
        <w:rPr>
          <w:rFonts w:hint="eastAsia" w:ascii="仿宋_GB2312" w:hAnsi="Times New Roman" w:eastAsia="仿宋_GB2312" w:cs="仿宋_GB2312"/>
          <w:bCs/>
          <w:color w:val="auto"/>
          <w:kern w:val="0"/>
          <w:sz w:val="28"/>
          <w:szCs w:val="28"/>
          <w:lang w:val="en-US" w:eastAsia="zh-CN" w:bidi="ar-SA"/>
        </w:rPr>
        <w:t>在产品使用中出现的问题进行电话支持并提供解决方案，按需派遣工程师来现场解决；</w:t>
      </w:r>
    </w:p>
    <w:p w14:paraId="605DAE9A">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b)对</w:t>
      </w:r>
      <w:r>
        <w:rPr>
          <w:rFonts w:hint="eastAsia" w:ascii="仿宋_GB2312" w:eastAsia="仿宋_GB2312" w:cs="仿宋_GB2312"/>
          <w:bCs/>
          <w:color w:val="FF0000"/>
          <w:kern w:val="0"/>
          <w:sz w:val="28"/>
          <w:szCs w:val="28"/>
          <w:lang w:val="en-US" w:eastAsia="zh-CN" w:bidi="ar-SA"/>
        </w:rPr>
        <w:t>甲方</w:t>
      </w:r>
      <w:r>
        <w:rPr>
          <w:rFonts w:hint="eastAsia" w:ascii="仿宋_GB2312" w:hAnsi="Times New Roman" w:eastAsia="仿宋_GB2312" w:cs="仿宋_GB2312"/>
          <w:bCs/>
          <w:color w:val="auto"/>
          <w:kern w:val="0"/>
          <w:sz w:val="28"/>
          <w:szCs w:val="28"/>
          <w:lang w:val="en-US" w:eastAsia="zh-CN" w:bidi="ar-SA"/>
        </w:rPr>
        <w:t>在服务期内出现的病毒问题进行电话支持并提供解决方案；</w:t>
      </w:r>
    </w:p>
    <w:p w14:paraId="541DD8E8">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c)对</w:t>
      </w:r>
      <w:r>
        <w:rPr>
          <w:rFonts w:hint="eastAsia" w:ascii="仿宋_GB2312" w:eastAsia="仿宋_GB2312" w:cs="仿宋_GB2312"/>
          <w:bCs/>
          <w:color w:val="FF0000"/>
          <w:kern w:val="0"/>
          <w:sz w:val="28"/>
          <w:szCs w:val="28"/>
          <w:lang w:val="en-US" w:eastAsia="zh-CN" w:bidi="ar-SA"/>
        </w:rPr>
        <w:t>甲方</w:t>
      </w:r>
      <w:r>
        <w:rPr>
          <w:rFonts w:hint="eastAsia" w:ascii="仿宋_GB2312" w:hAnsi="Times New Roman" w:eastAsia="仿宋_GB2312" w:cs="仿宋_GB2312"/>
          <w:bCs/>
          <w:color w:val="auto"/>
          <w:kern w:val="0"/>
          <w:sz w:val="28"/>
          <w:szCs w:val="28"/>
          <w:lang w:val="en-US" w:eastAsia="zh-CN" w:bidi="ar-SA"/>
        </w:rPr>
        <w:t>早期没有确认解决的问题进行跟踪回访；</w:t>
      </w:r>
    </w:p>
    <w:p w14:paraId="018B8315">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d)不定期电话回访</w:t>
      </w:r>
      <w:r>
        <w:rPr>
          <w:rFonts w:hint="eastAsia" w:ascii="仿宋_GB2312" w:eastAsia="仿宋_GB2312" w:cs="仿宋_GB2312"/>
          <w:bCs/>
          <w:color w:val="FF0000"/>
          <w:kern w:val="0"/>
          <w:sz w:val="28"/>
          <w:szCs w:val="28"/>
          <w:lang w:val="en-US" w:eastAsia="zh-CN" w:bidi="ar-SA"/>
        </w:rPr>
        <w:t>甲方</w:t>
      </w:r>
      <w:r>
        <w:rPr>
          <w:rFonts w:hint="eastAsia" w:ascii="仿宋_GB2312" w:hAnsi="Times New Roman" w:eastAsia="仿宋_GB2312" w:cs="仿宋_GB2312"/>
          <w:bCs/>
          <w:color w:val="auto"/>
          <w:kern w:val="0"/>
          <w:sz w:val="28"/>
          <w:szCs w:val="28"/>
          <w:lang w:val="en-US" w:eastAsia="zh-CN" w:bidi="ar-SA"/>
        </w:rPr>
        <w:t>，了解</w:t>
      </w:r>
      <w:r>
        <w:rPr>
          <w:rFonts w:hint="eastAsia" w:ascii="仿宋_GB2312" w:eastAsia="仿宋_GB2312" w:cs="仿宋_GB2312"/>
          <w:bCs/>
          <w:color w:val="FF0000"/>
          <w:kern w:val="0"/>
          <w:sz w:val="28"/>
          <w:szCs w:val="28"/>
          <w:lang w:val="en-US" w:eastAsia="zh-CN" w:bidi="ar-SA"/>
        </w:rPr>
        <w:t>甲方</w:t>
      </w:r>
      <w:r>
        <w:rPr>
          <w:rFonts w:hint="eastAsia" w:ascii="仿宋_GB2312" w:hAnsi="Times New Roman" w:eastAsia="仿宋_GB2312" w:cs="仿宋_GB2312"/>
          <w:bCs/>
          <w:color w:val="auto"/>
          <w:kern w:val="0"/>
          <w:sz w:val="28"/>
          <w:szCs w:val="28"/>
          <w:lang w:val="en-US" w:eastAsia="zh-CN" w:bidi="ar-SA"/>
        </w:rPr>
        <w:t>使用情况和需求；</w:t>
      </w:r>
    </w:p>
    <w:p w14:paraId="415F6981">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e)技术资料下载；</w:t>
      </w:r>
    </w:p>
    <w:p w14:paraId="271F0774">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f)病毒样本提取和处理。</w:t>
      </w:r>
    </w:p>
    <w:p w14:paraId="64E3DAF2">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1.1.1.2</w:t>
      </w:r>
      <w:r>
        <w:rPr>
          <w:rFonts w:hint="eastAsia" w:ascii="仿宋_GB2312" w:hAnsi="Times New Roman" w:eastAsia="仿宋_GB2312" w:cs="仿宋_GB2312"/>
          <w:bCs/>
          <w:color w:val="auto"/>
          <w:kern w:val="0"/>
          <w:sz w:val="28"/>
          <w:szCs w:val="28"/>
          <w:lang w:val="en-US" w:eastAsia="zh-CN" w:bidi="ar-SA"/>
        </w:rPr>
        <w:t>软件正确性维护：在使用乙方提供的产品过程中</w:t>
      </w:r>
      <w:r>
        <w:rPr>
          <w:rFonts w:hint="eastAsia" w:ascii="仿宋_GB2312" w:eastAsia="仿宋_GB2312" w:cs="仿宋_GB2312"/>
          <w:bCs/>
          <w:color w:val="auto"/>
          <w:kern w:val="0"/>
          <w:sz w:val="28"/>
          <w:szCs w:val="28"/>
          <w:lang w:val="en-US" w:eastAsia="zh-CN" w:bidi="ar-SA"/>
        </w:rPr>
        <w:t>，</w:t>
      </w:r>
      <w:r>
        <w:rPr>
          <w:rFonts w:hint="eastAsia" w:ascii="仿宋_GB2312" w:eastAsia="仿宋_GB2312" w:cs="仿宋_GB2312"/>
          <w:bCs/>
          <w:color w:val="FF0000"/>
          <w:kern w:val="0"/>
          <w:sz w:val="28"/>
          <w:szCs w:val="28"/>
          <w:lang w:val="en-US" w:eastAsia="zh-CN" w:bidi="ar-SA"/>
        </w:rPr>
        <w:t>甲方</w:t>
      </w:r>
      <w:r>
        <w:rPr>
          <w:rFonts w:hint="eastAsia" w:ascii="仿宋_GB2312" w:eastAsia="仿宋_GB2312" w:cs="仿宋_GB2312"/>
          <w:bCs/>
          <w:color w:val="0000FF"/>
          <w:kern w:val="0"/>
          <w:sz w:val="28"/>
          <w:szCs w:val="28"/>
          <w:lang w:val="en-US" w:eastAsia="zh-CN" w:bidi="ar-SA"/>
        </w:rPr>
        <w:t>发现</w:t>
      </w:r>
      <w:r>
        <w:rPr>
          <w:rFonts w:hint="eastAsia" w:ascii="仿宋_GB2312" w:hAnsi="Times New Roman" w:eastAsia="仿宋_GB2312" w:cs="仿宋_GB2312"/>
          <w:bCs/>
          <w:color w:val="auto"/>
          <w:kern w:val="0"/>
          <w:sz w:val="28"/>
          <w:szCs w:val="28"/>
          <w:lang w:val="en-US" w:eastAsia="zh-CN" w:bidi="ar-SA"/>
        </w:rPr>
        <w:t>因软件本身程序错误而造成的质量问题</w:t>
      </w:r>
      <w:r>
        <w:rPr>
          <w:rFonts w:hint="eastAsia" w:ascii="仿宋_GB2312" w:eastAsia="仿宋_GB2312" w:cs="仿宋_GB2312"/>
          <w:bCs/>
          <w:color w:val="0000FF"/>
          <w:kern w:val="0"/>
          <w:sz w:val="28"/>
          <w:szCs w:val="28"/>
          <w:lang w:val="en-US" w:eastAsia="zh-CN" w:bidi="ar-SA"/>
        </w:rPr>
        <w:t>应及时反馈给乙方</w:t>
      </w:r>
      <w:r>
        <w:rPr>
          <w:rFonts w:hint="eastAsia" w:ascii="仿宋_GB2312" w:hAnsi="Times New Roman" w:eastAsia="仿宋_GB2312" w:cs="仿宋_GB2312"/>
          <w:bCs/>
          <w:color w:val="auto"/>
          <w:kern w:val="0"/>
          <w:sz w:val="28"/>
          <w:szCs w:val="28"/>
          <w:lang w:val="en-US" w:eastAsia="zh-CN" w:bidi="ar-SA"/>
        </w:rPr>
        <w:t>，乙方将积极配合甲方进行相应的改动，达到甲方的使用要求，同时向甲方提供软件维护</w:t>
      </w:r>
      <w:r>
        <w:rPr>
          <w:rFonts w:hint="eastAsia" w:ascii="仿宋_GB2312" w:eastAsia="仿宋_GB2312" w:cs="仿宋_GB2312"/>
          <w:bCs/>
          <w:color w:val="auto"/>
          <w:kern w:val="0"/>
          <w:sz w:val="28"/>
          <w:szCs w:val="28"/>
          <w:lang w:val="en-US" w:eastAsia="zh-CN" w:bidi="ar-SA"/>
        </w:rPr>
        <w:t>、</w:t>
      </w:r>
      <w:r>
        <w:rPr>
          <w:rFonts w:hint="eastAsia" w:ascii="仿宋_GB2312" w:eastAsia="仿宋_GB2312" w:cs="仿宋_GB2312"/>
          <w:bCs/>
          <w:color w:val="0000FF"/>
          <w:kern w:val="0"/>
          <w:sz w:val="28"/>
          <w:szCs w:val="28"/>
          <w:lang w:val="en-US" w:eastAsia="zh-CN" w:bidi="ar-SA"/>
        </w:rPr>
        <w:t>软件质量问题</w:t>
      </w:r>
      <w:r>
        <w:rPr>
          <w:rFonts w:hint="eastAsia" w:ascii="仿宋_GB2312" w:eastAsia="仿宋_GB2312" w:cs="仿宋_GB2312"/>
          <w:bCs/>
          <w:color w:val="auto"/>
          <w:kern w:val="0"/>
          <w:sz w:val="28"/>
          <w:szCs w:val="28"/>
          <w:lang w:val="en-US" w:eastAsia="zh-CN" w:bidi="ar-SA"/>
        </w:rPr>
        <w:t>说明。</w:t>
      </w:r>
      <w:r>
        <w:rPr>
          <w:rFonts w:hint="eastAsia" w:ascii="仿宋_GB2312" w:hAnsi="Times New Roman" w:eastAsia="仿宋_GB2312" w:cs="仿宋_GB2312"/>
          <w:bCs/>
          <w:color w:val="auto"/>
          <w:kern w:val="0"/>
          <w:sz w:val="28"/>
          <w:szCs w:val="28"/>
          <w:lang w:val="en-US" w:eastAsia="zh-CN" w:bidi="ar-SA"/>
        </w:rPr>
        <w:t>如因此系统BUG给甲方</w:t>
      </w:r>
      <w:r>
        <w:rPr>
          <w:rFonts w:hint="eastAsia" w:ascii="仿宋_GB2312" w:hAnsi="Times New Roman" w:eastAsia="仿宋_GB2312" w:cs="仿宋_GB2312"/>
          <w:bCs/>
          <w:color w:val="0000FF"/>
          <w:kern w:val="0"/>
          <w:sz w:val="28"/>
          <w:szCs w:val="28"/>
          <w:lang w:val="en-US" w:eastAsia="zh-CN" w:bidi="ar-SA"/>
        </w:rPr>
        <w:t>或第三方</w:t>
      </w:r>
      <w:r>
        <w:rPr>
          <w:rFonts w:hint="eastAsia" w:ascii="仿宋_GB2312" w:hAnsi="Times New Roman" w:eastAsia="仿宋_GB2312" w:cs="仿宋_GB2312"/>
          <w:bCs/>
          <w:color w:val="auto"/>
          <w:kern w:val="0"/>
          <w:sz w:val="28"/>
          <w:szCs w:val="28"/>
          <w:lang w:val="en-US" w:eastAsia="zh-CN" w:bidi="ar-SA"/>
        </w:rPr>
        <w:t>造成了损失，由乙方</w:t>
      </w:r>
      <w:r>
        <w:rPr>
          <w:rFonts w:hint="eastAsia" w:ascii="仿宋_GB2312" w:hAnsi="Times New Roman" w:eastAsia="仿宋_GB2312" w:cs="仿宋_GB2312"/>
          <w:bCs/>
          <w:color w:val="0000FF"/>
          <w:kern w:val="0"/>
          <w:sz w:val="28"/>
          <w:szCs w:val="28"/>
          <w:lang w:val="en-US" w:eastAsia="zh-CN" w:bidi="ar-SA"/>
        </w:rPr>
        <w:t>负责处理</w:t>
      </w:r>
      <w:r>
        <w:rPr>
          <w:rFonts w:hint="eastAsia" w:ascii="仿宋_GB2312" w:eastAsia="仿宋_GB2312" w:cs="仿宋_GB2312"/>
          <w:bCs/>
          <w:color w:val="0000FF"/>
          <w:kern w:val="0"/>
          <w:sz w:val="28"/>
          <w:szCs w:val="28"/>
          <w:lang w:val="en-US" w:eastAsia="zh-CN" w:bidi="ar-SA"/>
        </w:rPr>
        <w:t>和</w:t>
      </w:r>
      <w:r>
        <w:rPr>
          <w:rFonts w:hint="eastAsia" w:ascii="仿宋_GB2312" w:hAnsi="Times New Roman" w:eastAsia="仿宋_GB2312" w:cs="仿宋_GB2312"/>
          <w:bCs/>
          <w:color w:val="0000FF"/>
          <w:kern w:val="0"/>
          <w:sz w:val="28"/>
          <w:szCs w:val="28"/>
          <w:lang w:val="en-US" w:eastAsia="zh-CN" w:bidi="ar-SA"/>
        </w:rPr>
        <w:t>承担全部法律责任、经济赔偿。</w:t>
      </w:r>
    </w:p>
    <w:p w14:paraId="1D74BBAE">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1.1.1.3</w:t>
      </w:r>
      <w:r>
        <w:rPr>
          <w:rFonts w:hint="eastAsia" w:ascii="仿宋_GB2312" w:eastAsia="仿宋_GB2312" w:cs="仿宋_GB2312"/>
          <w:bCs/>
          <w:color w:val="FF0000"/>
          <w:kern w:val="0"/>
          <w:sz w:val="28"/>
          <w:szCs w:val="28"/>
          <w:lang w:val="en-US" w:eastAsia="zh-CN" w:bidi="ar-SA"/>
        </w:rPr>
        <w:t>甲方</w:t>
      </w:r>
      <w:r>
        <w:rPr>
          <w:rFonts w:hint="eastAsia" w:ascii="仿宋_GB2312" w:hAnsi="Times New Roman" w:eastAsia="仿宋_GB2312" w:cs="仿宋_GB2312"/>
          <w:bCs/>
          <w:color w:val="auto"/>
          <w:kern w:val="0"/>
          <w:sz w:val="28"/>
          <w:szCs w:val="28"/>
          <w:lang w:val="en-US" w:eastAsia="zh-CN" w:bidi="ar-SA"/>
        </w:rPr>
        <w:t>培训：乙方负责软件更改后造成软件操作变化的使用培训，培训对象为甲方的医生、护士、技术工程师、业务科室的关键</w:t>
      </w:r>
      <w:r>
        <w:rPr>
          <w:rFonts w:hint="eastAsia" w:ascii="仿宋_GB2312" w:eastAsia="仿宋_GB2312" w:cs="仿宋_GB2312"/>
          <w:bCs/>
          <w:color w:val="auto"/>
          <w:kern w:val="0"/>
          <w:sz w:val="28"/>
          <w:szCs w:val="28"/>
          <w:lang w:val="en-US" w:eastAsia="zh-CN" w:bidi="ar-SA"/>
        </w:rPr>
        <w:t>用户</w:t>
      </w:r>
      <w:r>
        <w:rPr>
          <w:rFonts w:hint="eastAsia" w:ascii="仿宋_GB2312" w:hAnsi="Times New Roman" w:eastAsia="仿宋_GB2312" w:cs="仿宋_GB2312"/>
          <w:bCs/>
          <w:color w:val="auto"/>
          <w:kern w:val="0"/>
          <w:sz w:val="28"/>
          <w:szCs w:val="28"/>
          <w:lang w:val="en-US" w:eastAsia="zh-CN" w:bidi="ar-SA"/>
        </w:rPr>
        <w:t>。乙方同时向甲方提供新功能使用说明和电子版操作手册。</w:t>
      </w:r>
    </w:p>
    <w:p w14:paraId="62404048">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1.1.1.4</w:t>
      </w:r>
      <w:r>
        <w:rPr>
          <w:rFonts w:hint="eastAsia" w:ascii="仿宋_GB2312" w:hAnsi="Times New Roman" w:eastAsia="仿宋_GB2312" w:cs="仿宋_GB2312"/>
          <w:bCs/>
          <w:color w:val="auto"/>
          <w:kern w:val="0"/>
          <w:sz w:val="28"/>
          <w:szCs w:val="28"/>
          <w:lang w:val="en-US" w:eastAsia="zh-CN" w:bidi="ar-SA"/>
        </w:rPr>
        <w:t>需求的更新：在服务期内，乙方将免费提供病毒库和产品功能的升级。</w:t>
      </w:r>
    </w:p>
    <w:p w14:paraId="39B65137">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1.1.1.5</w:t>
      </w:r>
      <w:r>
        <w:rPr>
          <w:rFonts w:hint="eastAsia" w:ascii="仿宋_GB2312" w:hAnsi="Times New Roman" w:eastAsia="仿宋_GB2312" w:cs="仿宋_GB2312"/>
          <w:bCs/>
          <w:color w:val="auto"/>
          <w:kern w:val="0"/>
          <w:sz w:val="28"/>
          <w:szCs w:val="28"/>
          <w:lang w:val="en-US" w:eastAsia="zh-CN" w:bidi="ar-SA"/>
        </w:rPr>
        <w:t>系统建设建议：系统在运行过程中，乙方不定期地向甲方提供科室软件建设建议方案。</w:t>
      </w:r>
    </w:p>
    <w:p w14:paraId="105B1AF5">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1.1.1.6客户回应承诺：在</w:t>
      </w:r>
      <w:r>
        <w:rPr>
          <w:rFonts w:hint="eastAsia" w:ascii="仿宋_GB2312" w:eastAsia="仿宋_GB2312" w:cs="仿宋_GB2312"/>
          <w:bCs/>
          <w:color w:val="0000FF"/>
          <w:kern w:val="0"/>
          <w:sz w:val="28"/>
          <w:szCs w:val="28"/>
          <w:lang w:val="en-US" w:eastAsia="zh-CN" w:bidi="ar-SA"/>
        </w:rPr>
        <w:t>服务</w:t>
      </w:r>
      <w:r>
        <w:rPr>
          <w:rFonts w:hint="eastAsia" w:ascii="仿宋_GB2312" w:hAnsi="Times New Roman" w:eastAsia="仿宋_GB2312" w:cs="仿宋_GB2312"/>
          <w:bCs/>
          <w:color w:val="auto"/>
          <w:kern w:val="0"/>
          <w:sz w:val="28"/>
          <w:szCs w:val="28"/>
          <w:lang w:val="en-US" w:eastAsia="zh-CN" w:bidi="ar-SA"/>
        </w:rPr>
        <w:t>期内，如软件系统故障（如病毒库无法更新、控制台打不开、闪退等），乙方需在接到甲方书面或电话通知后10分钟内予以响应并远程服务维护处理</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如前述远程服务无法解决，乙方应在接到甲方故障通知时起2小时内到达现场进行故障处理</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并在接到甲方故障通知时起24小时内解决故障。如甲方因需求修改要求工程师现场维护的，乙方应在24小时内予以回应，给出具体解决方案和时间表，经甲方批准后，遵照方案、时间表及本合同约定执行。</w:t>
      </w:r>
    </w:p>
    <w:p w14:paraId="19FE6177">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1.1.1.7</w:t>
      </w:r>
      <w:r>
        <w:rPr>
          <w:rFonts w:hint="eastAsia" w:ascii="仿宋_GB2312" w:hAnsi="Times New Roman" w:eastAsia="仿宋_GB2312" w:cs="仿宋_GB2312"/>
          <w:bCs/>
          <w:color w:val="auto"/>
          <w:kern w:val="0"/>
          <w:sz w:val="28"/>
          <w:szCs w:val="28"/>
          <w:lang w:val="en-US" w:eastAsia="zh-CN" w:bidi="ar-SA"/>
        </w:rPr>
        <w:t>文档管理：提供和完善相关服务工作文档（软件更新的内容说明和常见问题的解决方法说明）。</w:t>
      </w:r>
    </w:p>
    <w:p w14:paraId="4E2EF234">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default"/>
          <w:lang w:val="en-US" w:eastAsia="zh-CN"/>
        </w:rPr>
      </w:pPr>
      <w:r>
        <w:rPr>
          <w:rFonts w:hint="eastAsia" w:ascii="仿宋_GB2312" w:eastAsia="仿宋_GB2312" w:cs="仿宋_GB2312"/>
          <w:bCs/>
          <w:color w:val="auto"/>
          <w:kern w:val="0"/>
          <w:sz w:val="28"/>
          <w:szCs w:val="28"/>
          <w:lang w:val="en-US" w:eastAsia="zh-CN" w:bidi="ar-SA"/>
        </w:rPr>
        <w:t>1.1.1.8技术参数详见附件。</w:t>
      </w:r>
    </w:p>
    <w:p w14:paraId="20D3447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firstLine="560" w:firstLineChars="200"/>
        <w:jc w:val="both"/>
        <w:textAlignment w:val="auto"/>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1.2 </w:t>
      </w:r>
      <w:r>
        <w:rPr>
          <w:rFonts w:hint="eastAsia" w:ascii="仿宋_GB2312" w:eastAsia="仿宋_GB2312" w:cs="仿宋_GB2312"/>
          <w:bCs/>
          <w:color w:val="auto"/>
          <w:kern w:val="0"/>
          <w:sz w:val="28"/>
          <w:szCs w:val="28"/>
          <w:lang w:val="en-US" w:eastAsia="zh-CN" w:bidi="ar-SA"/>
        </w:rPr>
        <w:t>服务期限</w:t>
      </w:r>
    </w:p>
    <w:p w14:paraId="61FC19B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本合同服务期限为</w:t>
      </w:r>
      <w:r>
        <w:rPr>
          <w:rFonts w:hint="eastAsia" w:ascii="仿宋_GB2312" w:hAnsi="Times New Roman" w:eastAsia="仿宋_GB2312" w:cs="仿宋_GB2312"/>
          <w:bCs/>
          <w:color w:val="auto"/>
          <w:kern w:val="0"/>
          <w:sz w:val="28"/>
          <w:szCs w:val="28"/>
          <w:u w:val="single"/>
          <w:lang w:val="en-US" w:eastAsia="zh-CN" w:bidi="ar-SA"/>
        </w:rPr>
        <w:t xml:space="preserve"> 3 </w:t>
      </w:r>
      <w:r>
        <w:rPr>
          <w:rFonts w:hint="eastAsia" w:ascii="仿宋_GB2312" w:hAnsi="Times New Roman" w:eastAsia="仿宋_GB2312" w:cs="仿宋_GB2312"/>
          <w:bCs/>
          <w:color w:val="auto"/>
          <w:kern w:val="0"/>
          <w:sz w:val="28"/>
          <w:szCs w:val="28"/>
          <w:lang w:val="en-US" w:eastAsia="zh-CN" w:bidi="ar-SA"/>
        </w:rPr>
        <w:t>年，自甲方在</w:t>
      </w:r>
      <w:r>
        <w:rPr>
          <w:rFonts w:hint="eastAsia" w:ascii="仿宋_GB2312" w:eastAsia="仿宋_GB2312" w:cs="仿宋_GB2312"/>
          <w:bCs/>
          <w:color w:val="0000FF"/>
          <w:kern w:val="0"/>
          <w:sz w:val="28"/>
          <w:szCs w:val="28"/>
          <w:highlight w:val="none"/>
          <w:lang w:val="en-US" w:eastAsia="zh-CN" w:bidi="ar-SA"/>
        </w:rPr>
        <w:t>杀毒软件</w:t>
      </w:r>
      <w:r>
        <w:rPr>
          <w:rFonts w:hint="eastAsia" w:ascii="仿宋_GB2312" w:hAnsi="Times New Roman" w:eastAsia="仿宋_GB2312" w:cs="仿宋_GB2312"/>
          <w:bCs/>
          <w:color w:val="auto"/>
          <w:kern w:val="0"/>
          <w:sz w:val="28"/>
          <w:szCs w:val="28"/>
          <w:lang w:val="en-US" w:eastAsia="zh-CN" w:bidi="ar-SA"/>
        </w:rPr>
        <w:t>安装、调试验收单上签字确认验收合格之日起算。</w:t>
      </w:r>
    </w:p>
    <w:p w14:paraId="1AF153CE">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eastAsia" w:ascii="仿宋_GB2312" w:eastAsia="仿宋_GB2312" w:cs="仿宋_GB2312"/>
          <w:b/>
          <w:bCs w:val="0"/>
          <w:color w:val="auto"/>
          <w:kern w:val="0"/>
          <w:sz w:val="28"/>
          <w:szCs w:val="28"/>
          <w:lang w:val="en-US" w:eastAsia="zh-CN" w:bidi="ar-SA"/>
        </w:rPr>
      </w:pPr>
      <w:r>
        <w:rPr>
          <w:rFonts w:hint="eastAsia" w:ascii="仿宋_GB2312" w:eastAsia="仿宋_GB2312" w:cs="仿宋_GB2312"/>
          <w:b/>
          <w:bCs w:val="0"/>
          <w:color w:val="auto"/>
          <w:kern w:val="0"/>
          <w:sz w:val="28"/>
          <w:szCs w:val="28"/>
          <w:lang w:val="en-US" w:eastAsia="zh-CN" w:bidi="ar-SA"/>
        </w:rPr>
        <w:t>第二条 验收方式</w:t>
      </w:r>
    </w:p>
    <w:p w14:paraId="11806AD0">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2.1 自本合同签订之日起15个工作日内，乙方</w:t>
      </w:r>
      <w:r>
        <w:rPr>
          <w:rFonts w:hint="eastAsia" w:ascii="仿宋_GB2312" w:hAnsi="Times New Roman" w:eastAsia="仿宋_GB2312" w:cs="仿宋_GB2312"/>
          <w:bCs/>
          <w:color w:val="0000FF"/>
          <w:kern w:val="0"/>
          <w:sz w:val="28"/>
          <w:szCs w:val="28"/>
          <w:highlight w:val="none"/>
          <w:lang w:val="en-US" w:eastAsia="zh-CN" w:bidi="ar-SA"/>
        </w:rPr>
        <w:t>完成该软件</w:t>
      </w:r>
      <w:r>
        <w:rPr>
          <w:rFonts w:hint="eastAsia" w:ascii="仿宋_GB2312" w:eastAsia="仿宋_GB2312" w:cs="仿宋_GB2312"/>
          <w:bCs/>
          <w:color w:val="ED7D31" w:themeColor="accent2"/>
          <w:kern w:val="0"/>
          <w:sz w:val="28"/>
          <w:szCs w:val="28"/>
          <w:highlight w:val="none"/>
          <w:lang w:val="en-US" w:eastAsia="zh-CN" w:bidi="ar-SA"/>
          <w14:textFill>
            <w14:solidFill>
              <w14:schemeClr w14:val="accent2"/>
            </w14:solidFill>
          </w14:textFill>
        </w:rPr>
        <w:t>服务端和客户端</w:t>
      </w:r>
      <w:r>
        <w:rPr>
          <w:rFonts w:hint="eastAsia" w:ascii="仿宋_GB2312" w:hAnsi="Times New Roman" w:eastAsia="仿宋_GB2312" w:cs="仿宋_GB2312"/>
          <w:bCs/>
          <w:color w:val="0000FF"/>
          <w:kern w:val="0"/>
          <w:sz w:val="28"/>
          <w:szCs w:val="28"/>
          <w:highlight w:val="none"/>
          <w:lang w:val="en-US" w:eastAsia="zh-CN" w:bidi="ar-SA"/>
        </w:rPr>
        <w:t>的安装、调试，</w:t>
      </w:r>
      <w:r>
        <w:rPr>
          <w:rFonts w:hint="eastAsia" w:ascii="仿宋_GB2312" w:hAnsi="Times New Roman" w:eastAsia="仿宋_GB2312" w:cs="仿宋_GB2312"/>
          <w:bCs/>
          <w:color w:val="auto"/>
          <w:kern w:val="0"/>
          <w:sz w:val="28"/>
          <w:szCs w:val="28"/>
          <w:lang w:val="en-US" w:eastAsia="zh-CN" w:bidi="ar-SA"/>
        </w:rPr>
        <w:t>通过书面形式将甲方所需全部点位的软件授权序列号和密码交付甲方，</w:t>
      </w:r>
      <w:r>
        <w:rPr>
          <w:rFonts w:hint="eastAsia" w:ascii="仿宋_GB2312" w:hAnsi="Times New Roman" w:eastAsia="仿宋_GB2312" w:cs="仿宋_GB2312"/>
          <w:bCs/>
          <w:color w:val="0000FF"/>
          <w:kern w:val="0"/>
          <w:sz w:val="28"/>
          <w:szCs w:val="28"/>
          <w:lang w:val="en-US" w:eastAsia="zh-CN" w:bidi="ar-SA"/>
        </w:rPr>
        <w:t>并通过甲方验收</w:t>
      </w:r>
      <w:r>
        <w:rPr>
          <w:rFonts w:hint="eastAsia" w:ascii="仿宋_GB2312" w:hAnsi="Times New Roman" w:eastAsia="仿宋_GB2312" w:cs="仿宋_GB2312"/>
          <w:bCs/>
          <w:color w:val="auto"/>
          <w:kern w:val="0"/>
          <w:sz w:val="28"/>
          <w:szCs w:val="28"/>
          <w:lang w:val="en-US" w:eastAsia="zh-CN" w:bidi="ar-SA"/>
        </w:rPr>
        <w:t>。</w:t>
      </w:r>
    </w:p>
    <w:p w14:paraId="771AC1F0">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 如甲方对收到的软件授权序列号和密码有异议，应在自接收到该书面文件之日起3个工作日内，向乙方提出异议，乙方应立即配合解决相关问题。</w:t>
      </w:r>
    </w:p>
    <w:p w14:paraId="44C7F6B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2.3 甲方自接到乙方验收通知之日起7日内按国家、行业规范标准、《娄底市中心医院信息化项目验收清单》及本合同约定进行验收。如验收通过，甲方签署验收报告单；如验收未通过，乙方须无条件返工到位。</w:t>
      </w:r>
    </w:p>
    <w:p w14:paraId="0547D502">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eastAsia" w:ascii="仿宋_GB2312" w:eastAsia="仿宋_GB2312" w:cs="仿宋_GB2312"/>
          <w:b/>
          <w:bCs w:val="0"/>
          <w:color w:val="auto"/>
          <w:kern w:val="0"/>
          <w:sz w:val="28"/>
          <w:szCs w:val="28"/>
          <w:lang w:val="en-US" w:eastAsia="zh-CN" w:bidi="ar-SA"/>
        </w:rPr>
      </w:pPr>
      <w:r>
        <w:rPr>
          <w:rFonts w:hint="eastAsia" w:ascii="仿宋_GB2312" w:eastAsia="仿宋_GB2312" w:cs="仿宋_GB2312"/>
          <w:b/>
          <w:bCs w:val="0"/>
          <w:color w:val="auto"/>
          <w:kern w:val="0"/>
          <w:sz w:val="28"/>
          <w:szCs w:val="28"/>
          <w:lang w:val="en-US" w:eastAsia="zh-CN" w:bidi="ar-SA"/>
        </w:rPr>
        <w:t>第三条 乙方的责任和义务</w:t>
      </w:r>
    </w:p>
    <w:p w14:paraId="6089C0AF">
      <w:pPr>
        <w:keepNext w:val="0"/>
        <w:keepLines w:val="0"/>
        <w:pageBreakBefore w:val="0"/>
        <w:widowControl w:val="0"/>
        <w:kinsoku/>
        <w:wordWrap/>
        <w:overflowPunct/>
        <w:topLinePunct/>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u w:val="single"/>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.1</w:t>
      </w:r>
      <w:r>
        <w:rPr>
          <w:rFonts w:hint="eastAsia" w:ascii="仿宋_GB2312" w:eastAsia="仿宋_GB2312" w:cs="仿宋_GB2312"/>
          <w:bCs/>
          <w:color w:val="auto"/>
          <w:kern w:val="0"/>
          <w:sz w:val="28"/>
          <w:szCs w:val="28"/>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 xml:space="preserve">技术服务地点： </w:t>
      </w:r>
      <w:r>
        <w:rPr>
          <w:rFonts w:hint="eastAsia" w:ascii="仿宋_GB2312" w:hAnsi="Times New Roman" w:eastAsia="仿宋_GB2312" w:cs="仿宋_GB2312"/>
          <w:bCs/>
          <w:color w:val="auto"/>
          <w:kern w:val="0"/>
          <w:sz w:val="28"/>
          <w:szCs w:val="28"/>
          <w:u w:val="single"/>
          <w:lang w:val="en-US" w:eastAsia="zh-CN" w:bidi="ar-SA"/>
        </w:rPr>
        <w:t>根据甲方实际需求提供远程或现场服务</w:t>
      </w:r>
      <w:r>
        <w:rPr>
          <w:rFonts w:hint="eastAsia" w:ascii="仿宋_GB2312" w:eastAsia="仿宋_GB2312" w:cs="仿宋_GB2312"/>
          <w:bCs/>
          <w:color w:val="auto"/>
          <w:kern w:val="0"/>
          <w:sz w:val="28"/>
          <w:szCs w:val="28"/>
          <w:u w:val="none"/>
          <w:lang w:val="en-US" w:eastAsia="zh-CN" w:bidi="ar-SA"/>
        </w:rPr>
        <w:t>。</w:t>
      </w:r>
    </w:p>
    <w:p w14:paraId="7D14DB52">
      <w:pPr>
        <w:keepNext w:val="0"/>
        <w:keepLines w:val="0"/>
        <w:pageBreakBefore w:val="0"/>
        <w:widowControl w:val="0"/>
        <w:kinsoku/>
        <w:wordWrap/>
        <w:overflowPunct/>
        <w:topLinePunct/>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w:t>
      </w:r>
      <w:r>
        <w:rPr>
          <w:rFonts w:hint="eastAsia" w:ascii="仿宋_GB2312" w:eastAsia="仿宋_GB2312" w:cs="仿宋_GB2312"/>
          <w:bCs/>
          <w:color w:val="auto"/>
          <w:kern w:val="0"/>
          <w:sz w:val="28"/>
          <w:szCs w:val="28"/>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技术服务质量要求：</w:t>
      </w:r>
    </w:p>
    <w:p w14:paraId="0A3F33EE">
      <w:pPr>
        <w:keepNext w:val="0"/>
        <w:keepLines w:val="0"/>
        <w:pageBreakBefore w:val="0"/>
        <w:widowControl w:val="0"/>
        <w:kinsoku/>
        <w:wordWrap/>
        <w:overflowPunct/>
        <w:topLinePunct/>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.2.1 乙方通过电话、邮件、微信等网络方式为甲方提供每周7天×24小时软件远程在线技术服务，指定联系人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仿宋_GB2312" w:hAnsi="Times New Roman" w:eastAsia="仿宋_GB2312" w:cs="仿宋_GB2312"/>
          <w:bCs/>
          <w:color w:val="auto"/>
          <w:kern w:val="0"/>
          <w:sz w:val="28"/>
          <w:szCs w:val="28"/>
          <w:lang w:val="en-US" w:eastAsia="zh-CN" w:bidi="ar-SA"/>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eastAsia="zh-CN"/>
        </w:rPr>
        <w:t>，</w:t>
      </w:r>
      <w:r>
        <w:rPr>
          <w:rFonts w:hint="eastAsia" w:ascii="仿宋_GB2312" w:hAnsi="Times New Roman" w:eastAsia="仿宋_GB2312" w:cs="仿宋_GB2312"/>
          <w:bCs/>
          <w:color w:val="auto"/>
          <w:kern w:val="0"/>
          <w:sz w:val="28"/>
          <w:szCs w:val="28"/>
          <w:lang w:val="en-US" w:eastAsia="zh-CN" w:bidi="ar-SA"/>
        </w:rPr>
        <w:t xml:space="preserve">电子邮箱：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w:t>
      </w:r>
      <w:r>
        <w:rPr>
          <w:rFonts w:hint="eastAsia" w:ascii="仿宋_GB2312" w:hAnsi="Times New Roman" w:eastAsia="仿宋_GB2312" w:cs="仿宋_GB2312"/>
          <w:bCs/>
          <w:color w:val="auto"/>
          <w:kern w:val="0"/>
          <w:sz w:val="28"/>
          <w:szCs w:val="28"/>
          <w:lang w:val="en-US" w:eastAsia="zh-CN" w:bidi="ar-SA"/>
        </w:rPr>
        <w:t>微信号：</w:t>
      </w:r>
      <w:r>
        <w:rPr>
          <w:rFonts w:hint="eastAsia" w:ascii="宋体" w:hAnsi="宋体" w:eastAsia="宋体" w:cs="宋体"/>
          <w:color w:val="auto"/>
          <w:sz w:val="24"/>
          <w:szCs w:val="24"/>
          <w:u w:val="single"/>
          <w:lang w:val="en-US" w:eastAsia="zh-CN"/>
        </w:rPr>
        <w:t xml:space="preserve">      </w:t>
      </w:r>
      <w:r>
        <w:rPr>
          <w:rFonts w:hint="eastAsia" w:ascii="仿宋_GB2312" w:hAnsi="Times New Roman" w:eastAsia="仿宋_GB2312" w:cs="仿宋_GB2312"/>
          <w:bCs/>
          <w:color w:val="auto"/>
          <w:kern w:val="0"/>
          <w:sz w:val="28"/>
          <w:szCs w:val="28"/>
          <w:lang w:val="en-US" w:eastAsia="zh-CN" w:bidi="ar-SA"/>
        </w:rPr>
        <w:t>）专门负责与甲方联络。</w:t>
      </w:r>
    </w:p>
    <w:p w14:paraId="032D89C9">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.2.2 乙方承诺按照本合同约定的服务范围</w:t>
      </w:r>
      <w:r>
        <w:rPr>
          <w:rFonts w:hint="eastAsia" w:ascii="仿宋_GB2312" w:eastAsia="仿宋_GB2312" w:cs="仿宋_GB2312"/>
          <w:bCs/>
          <w:color w:val="0000FF"/>
          <w:kern w:val="0"/>
          <w:sz w:val="28"/>
          <w:szCs w:val="28"/>
          <w:lang w:val="en-US" w:eastAsia="zh-CN" w:bidi="ar-SA"/>
        </w:rPr>
        <w:t>和内容</w:t>
      </w:r>
      <w:r>
        <w:rPr>
          <w:rFonts w:hint="eastAsia" w:ascii="仿宋_GB2312" w:hAnsi="Times New Roman" w:eastAsia="仿宋_GB2312" w:cs="仿宋_GB2312"/>
          <w:bCs/>
          <w:color w:val="auto"/>
          <w:kern w:val="0"/>
          <w:sz w:val="28"/>
          <w:szCs w:val="28"/>
          <w:lang w:val="en-US" w:eastAsia="zh-CN" w:bidi="ar-SA"/>
        </w:rPr>
        <w:t>响应甲方的服务请求，并确保对甲方提供服务的质量。</w:t>
      </w:r>
    </w:p>
    <w:p w14:paraId="29B30045">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.2.3 乙方须对履行本合同产生的全部甲方数据进行备份，确保甲方数据的存贮安全；本合同履行期间，如发生甲方数据丢失情况，乙方负责在 30 日内免费恢复到位。</w:t>
      </w:r>
    </w:p>
    <w:p w14:paraId="20C1F01F">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w:t>
      </w: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 xml:space="preserve"> 乙方应确保软件安装、调试、升级、维护等需遵守《中华人民共和国个人信息保护法》《中华人民共和国数据安全法》《中华人民共和国网络安全法》等相关法律制度。不存在任何安全隐患，在提供软件技术服务中不得设置任何恶意内容，不得植入任何病毒、非法脚本或进行其他损害网络安全的行为，否则乙方须赔偿给甲方造成的全部经济损失，并承担法律责任。如乙方在现场服务过程中要使用自带电脑或其他移动存储设备，必须在甲方现场作防病毒处理。甲方负责对此过程进行监督确认。</w:t>
      </w:r>
    </w:p>
    <w:p w14:paraId="775AED43">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w:t>
      </w: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 xml:space="preserve"> 乙方保证已拥有合同软件自主知识产权，不会引发任何知识产权纠纷，如甲方因使用软件引发知识产权纠纷、诉讼，乙方承担全部法律责任和经济赔偿。</w:t>
      </w:r>
    </w:p>
    <w:p w14:paraId="4526721E">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w:t>
      </w: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 xml:space="preserve"> 若甲方对乙方工作人员的现场支持服务工作不满意，可进行投诉，乙方将认真对待，严肃处理，并将处理结果书面通报甲方。若此次服务为本合同技术服务范围外的单次收费项目，则该次现场支持服务免费。</w:t>
      </w:r>
    </w:p>
    <w:p w14:paraId="742BAFF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firstLine="560" w:firstLineChars="200"/>
        <w:jc w:val="both"/>
        <w:textAlignment w:val="auto"/>
        <w:rPr>
          <w:rFonts w:hint="eastAsia" w:ascii="宋体" w:hAnsi="宋体" w:eastAsia="宋体" w:cs="宋体"/>
          <w:color w:val="auto"/>
          <w:sz w:val="24"/>
          <w:szCs w:val="24"/>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w:t>
      </w:r>
      <w:r>
        <w:rPr>
          <w:rFonts w:hint="eastAsia" w:ascii="仿宋_GB2312" w:eastAsia="仿宋_GB2312" w:cs="仿宋_GB2312"/>
          <w:bCs/>
          <w:color w:val="auto"/>
          <w:kern w:val="0"/>
          <w:sz w:val="28"/>
          <w:szCs w:val="28"/>
          <w:lang w:val="en-US" w:eastAsia="zh-CN" w:bidi="ar-SA"/>
        </w:rPr>
        <w:t>7</w:t>
      </w:r>
      <w:r>
        <w:rPr>
          <w:rFonts w:hint="eastAsia" w:ascii="仿宋_GB2312" w:hAnsi="Times New Roman" w:eastAsia="仿宋_GB2312" w:cs="仿宋_GB2312"/>
          <w:bCs/>
          <w:color w:val="auto"/>
          <w:kern w:val="0"/>
          <w:sz w:val="28"/>
          <w:szCs w:val="28"/>
          <w:lang w:val="en-US" w:eastAsia="zh-CN" w:bidi="ar-SA"/>
        </w:rPr>
        <w:t xml:space="preserve"> 乙方及指派人员履行本合同必须符合国家法律法规、行业技术规范要求，严格遵守甲方制度，确保服务不存在任何网络安全及其他安全隐患，否则由乙方承担全部法律责任和经济赔偿。 </w:t>
      </w:r>
    </w:p>
    <w:p w14:paraId="163F2191">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w:t>
      </w:r>
      <w:r>
        <w:rPr>
          <w:rFonts w:hint="eastAsia" w:ascii="仿宋_GB2312" w:eastAsia="仿宋_GB2312" w:cs="仿宋_GB2312"/>
          <w:bCs/>
          <w:color w:val="auto"/>
          <w:kern w:val="0"/>
          <w:sz w:val="28"/>
          <w:szCs w:val="28"/>
          <w:lang w:val="en-US" w:eastAsia="zh-CN" w:bidi="ar-SA"/>
        </w:rPr>
        <w:t>8</w:t>
      </w:r>
      <w:r>
        <w:rPr>
          <w:rFonts w:hint="eastAsia" w:ascii="仿宋_GB2312" w:hAnsi="Times New Roman" w:eastAsia="仿宋_GB2312" w:cs="仿宋_GB2312"/>
          <w:bCs/>
          <w:color w:val="auto"/>
          <w:kern w:val="0"/>
          <w:sz w:val="28"/>
          <w:szCs w:val="28"/>
          <w:lang w:val="en-US" w:eastAsia="zh-CN" w:bidi="ar-SA"/>
        </w:rPr>
        <w:t xml:space="preserve"> 如果合同软件在服务期内出现不符合合同或产品说明书所述软件功能标准的问题，乙方应免费修复软件缺陷。对于缺陷软件，甲方有权要求乙方采用补丁软件进行修复或提供升级软件予以更换或以退货方式进行处理。</w:t>
      </w:r>
    </w:p>
    <w:p w14:paraId="701D1790">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w:t>
      </w: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乙方保证其所生产的软件产品：</w:t>
      </w:r>
    </w:p>
    <w:p w14:paraId="182CD635">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3.2.9.1</w:t>
      </w:r>
      <w:r>
        <w:rPr>
          <w:rFonts w:hint="eastAsia" w:ascii="仿宋_GB2312" w:hAnsi="Times New Roman" w:eastAsia="仿宋_GB2312" w:cs="仿宋_GB2312"/>
          <w:bCs/>
          <w:color w:val="auto"/>
          <w:kern w:val="0"/>
          <w:sz w:val="28"/>
          <w:szCs w:val="28"/>
          <w:lang w:val="en-US" w:eastAsia="zh-CN" w:bidi="ar-SA"/>
        </w:rPr>
        <w:t>为全新的并未曾使用过;</w:t>
      </w:r>
    </w:p>
    <w:p w14:paraId="379E6841">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3.2.9.2</w:t>
      </w:r>
      <w:r>
        <w:rPr>
          <w:rFonts w:hint="eastAsia" w:ascii="仿宋_GB2312" w:hAnsi="Times New Roman" w:eastAsia="仿宋_GB2312" w:cs="仿宋_GB2312"/>
          <w:bCs/>
          <w:color w:val="auto"/>
          <w:kern w:val="0"/>
          <w:sz w:val="28"/>
          <w:szCs w:val="28"/>
          <w:lang w:val="en-US" w:eastAsia="zh-CN" w:bidi="ar-SA"/>
        </w:rPr>
        <w:t>无病毒、无明显错误；</w:t>
      </w:r>
    </w:p>
    <w:p w14:paraId="53D52339">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3.2.9.3</w:t>
      </w:r>
      <w:r>
        <w:rPr>
          <w:rFonts w:hint="eastAsia" w:ascii="仿宋_GB2312" w:hAnsi="Times New Roman" w:eastAsia="仿宋_GB2312" w:cs="仿宋_GB2312"/>
          <w:bCs/>
          <w:color w:val="auto"/>
          <w:kern w:val="0"/>
          <w:sz w:val="28"/>
          <w:szCs w:val="28"/>
          <w:lang w:val="en-US" w:eastAsia="zh-CN" w:bidi="ar-SA"/>
        </w:rPr>
        <w:t>达到国家和行业有关此类产品的质量标准；</w:t>
      </w:r>
    </w:p>
    <w:p w14:paraId="48AC6D1E">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3.2.9.4</w:t>
      </w:r>
      <w:r>
        <w:rPr>
          <w:rFonts w:hint="eastAsia" w:ascii="仿宋_GB2312" w:hAnsi="Times New Roman" w:eastAsia="仿宋_GB2312" w:cs="仿宋_GB2312"/>
          <w:bCs/>
          <w:color w:val="auto"/>
          <w:kern w:val="0"/>
          <w:sz w:val="28"/>
          <w:szCs w:val="28"/>
          <w:lang w:val="en-US" w:eastAsia="zh-CN" w:bidi="ar-SA"/>
        </w:rPr>
        <w:t>符合乙方提供的产品说明书</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或使用手册)中所确定的各项技术指标。</w:t>
      </w:r>
    </w:p>
    <w:p w14:paraId="23CF0F6E">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.2.10 乙方提供</w:t>
      </w:r>
      <w:r>
        <w:rPr>
          <w:rFonts w:hint="eastAsia" w:ascii="仿宋_GB2312" w:eastAsia="仿宋_GB2312" w:cs="仿宋_GB2312"/>
          <w:bCs/>
          <w:color w:val="0000FF"/>
          <w:kern w:val="0"/>
          <w:sz w:val="28"/>
          <w:szCs w:val="28"/>
          <w:highlight w:val="none"/>
          <w:lang w:val="en-US" w:eastAsia="zh-CN" w:bidi="ar-SA"/>
        </w:rPr>
        <w:t>杀毒</w:t>
      </w:r>
      <w:r>
        <w:rPr>
          <w:rFonts w:hint="eastAsia" w:ascii="仿宋_GB2312" w:hAnsi="Times New Roman" w:eastAsia="仿宋_GB2312" w:cs="仿宋_GB2312"/>
          <w:bCs/>
          <w:color w:val="auto"/>
          <w:kern w:val="0"/>
          <w:sz w:val="28"/>
          <w:szCs w:val="28"/>
          <w:lang w:val="en-US" w:eastAsia="zh-CN" w:bidi="ar-SA"/>
        </w:rPr>
        <w:t>PC软件安装服务，支持一个授权多院区使用，可随时调整每个院区所需要的授权数，且无须经厂商重新发送授权文件。</w:t>
      </w:r>
    </w:p>
    <w:p w14:paraId="26A28A06">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.2.11 如因甲方用户硬件兼容或搭载平台兼容问题导致软件无法正常使用，乙方应积极升级软件修复兼容问题或提出可行性方案供甲方选择。</w:t>
      </w:r>
    </w:p>
    <w:p w14:paraId="41FDF0BB">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.2.12 本合同软件所有权及版权等相关权利均归乙方所有，乙方确保履行本合同不会引发任何知识产权纠纷，否则由乙方承担全部法律责任和经济赔偿。</w:t>
      </w:r>
    </w:p>
    <w:p w14:paraId="47E53D56">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.2.13 因乙方过错导致甲方无法正常使用本合同软件及软件功能服务的，乙方应在收到甲方通知后 48 小时内恢复软件功能供甲方正常使用，同时本合同服务期限应按甲方未能正常使用的时间顺延。</w:t>
      </w:r>
    </w:p>
    <w:p w14:paraId="39B8FEB2">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.2.14 如因本合同服务期</w:t>
      </w:r>
      <w:r>
        <w:rPr>
          <w:rFonts w:hint="eastAsia" w:ascii="仿宋_GB2312" w:eastAsia="仿宋_GB2312" w:cs="仿宋_GB2312"/>
          <w:bCs/>
          <w:color w:val="auto"/>
          <w:kern w:val="0"/>
          <w:sz w:val="28"/>
          <w:szCs w:val="28"/>
          <w:lang w:val="en-US" w:eastAsia="zh-CN" w:bidi="ar-SA"/>
        </w:rPr>
        <w:t>届</w:t>
      </w:r>
      <w:r>
        <w:rPr>
          <w:rFonts w:hint="eastAsia" w:ascii="仿宋_GB2312" w:hAnsi="Times New Roman" w:eastAsia="仿宋_GB2312" w:cs="仿宋_GB2312"/>
          <w:bCs/>
          <w:color w:val="auto"/>
          <w:kern w:val="0"/>
          <w:sz w:val="28"/>
          <w:szCs w:val="28"/>
          <w:lang w:val="en-US" w:eastAsia="zh-CN" w:bidi="ar-SA"/>
        </w:rPr>
        <w:t>满、</w:t>
      </w:r>
      <w:r>
        <w:rPr>
          <w:rFonts w:hint="eastAsia" w:ascii="仿宋_GB2312" w:eastAsia="仿宋_GB2312" w:cs="仿宋_GB2312"/>
          <w:bCs/>
          <w:color w:val="0000FF"/>
          <w:kern w:val="0"/>
          <w:sz w:val="28"/>
          <w:szCs w:val="28"/>
          <w:lang w:val="en-US" w:eastAsia="zh-CN" w:bidi="ar-SA"/>
        </w:rPr>
        <w:t>提前</w:t>
      </w:r>
      <w:r>
        <w:rPr>
          <w:rFonts w:hint="eastAsia" w:ascii="仿宋_GB2312" w:hAnsi="Times New Roman" w:eastAsia="仿宋_GB2312" w:cs="仿宋_GB2312"/>
          <w:bCs/>
          <w:color w:val="auto"/>
          <w:kern w:val="0"/>
          <w:sz w:val="28"/>
          <w:szCs w:val="28"/>
          <w:lang w:val="en-US" w:eastAsia="zh-CN" w:bidi="ar-SA"/>
        </w:rPr>
        <w:t>解除或甲方实际需要，需将本合同软件数据迁移，乙方无条件配合且不收取任何费用。乙方应在接到甲方数据迁移通知之日起30日内导出甲方使用软件期间产生的所有数据、交给甲方，并在甲方书面通知确认已接收所有数据后及时销毁全部备份数据，不得擅自留存。</w:t>
      </w:r>
    </w:p>
    <w:p w14:paraId="45F62EAE">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第</w:t>
      </w:r>
      <w:r>
        <w:rPr>
          <w:rFonts w:hint="eastAsia" w:ascii="仿宋_GB2312" w:eastAsia="仿宋_GB2312" w:cs="仿宋_GB2312"/>
          <w:b/>
          <w:bCs w:val="0"/>
          <w:color w:val="auto"/>
          <w:kern w:val="0"/>
          <w:sz w:val="28"/>
          <w:szCs w:val="28"/>
          <w:lang w:val="en-US" w:eastAsia="zh-CN" w:bidi="ar-SA"/>
        </w:rPr>
        <w:t>四</w:t>
      </w:r>
      <w:r>
        <w:rPr>
          <w:rFonts w:hint="eastAsia" w:ascii="仿宋_GB2312" w:hAnsi="Times New Roman" w:eastAsia="仿宋_GB2312" w:cs="仿宋_GB2312"/>
          <w:b/>
          <w:bCs w:val="0"/>
          <w:color w:val="auto"/>
          <w:kern w:val="0"/>
          <w:sz w:val="28"/>
          <w:szCs w:val="28"/>
          <w:lang w:val="en-US" w:eastAsia="zh-CN" w:bidi="ar-SA"/>
        </w:rPr>
        <w:t>条 甲方的责任和义务</w:t>
      </w:r>
    </w:p>
    <w:p w14:paraId="6D3D1018">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.1 将相应的硬件设备、硬件设施、备件材料等准备到位，提供符合软件安装、实施要求的工作环境、运行环境，包括工作场地、工作电脑、模拟调试网络、检验联机所需通信线、万用表、电烙铁等材料及工具等，并对乙方实施工作给予支持。</w:t>
      </w:r>
    </w:p>
    <w:p w14:paraId="5A18B122">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w:t>
      </w: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 xml:space="preserve"> 在软件使用过程中发现异常时应记录故障现象，并及时与乙方取得联系，便于乙方诊断。</w:t>
      </w:r>
    </w:p>
    <w:p w14:paraId="7E89B6D8">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w:t>
      </w: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 xml:space="preserve"> 在乙方提供支持服务时进行配合。在乙方每次服务过程及结束后，配合检查软件系统运行是否正常，配合对乙方提供的服务内容及结果进行确认。</w:t>
      </w:r>
    </w:p>
    <w:p w14:paraId="48AE1ED1">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w:t>
      </w: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 xml:space="preserve"> 甲方应合法合规使用本合同软件，不得将注册账户以任何有偿或无偿的形式转让、出租、赠与或者允许甲方之外的单位或个人使用。</w:t>
      </w:r>
    </w:p>
    <w:p w14:paraId="605BF65B">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default" w:ascii="仿宋_GB2312" w:hAnsi="Times New Roman" w:eastAsia="仿宋_GB2312" w:cs="仿宋_GB2312"/>
          <w:b/>
          <w:bCs w:val="0"/>
          <w:color w:val="auto"/>
          <w:kern w:val="0"/>
          <w:sz w:val="28"/>
          <w:szCs w:val="28"/>
          <w:lang w:val="en-US" w:eastAsia="zh-CN" w:bidi="ar-SA"/>
        </w:rPr>
      </w:pPr>
      <w:r>
        <w:rPr>
          <w:rFonts w:hint="eastAsia" w:ascii="仿宋_GB2312" w:eastAsia="仿宋_GB2312" w:cs="仿宋_GB2312"/>
          <w:b/>
          <w:bCs w:val="0"/>
          <w:color w:val="auto"/>
          <w:kern w:val="0"/>
          <w:sz w:val="28"/>
          <w:szCs w:val="28"/>
          <w:lang w:val="en-US" w:eastAsia="zh-CN" w:bidi="ar-SA"/>
        </w:rPr>
        <w:t>第五条 合同金额及支付方式</w:t>
      </w:r>
    </w:p>
    <w:p w14:paraId="42881B6F">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.1本合同服务费为人民币</w:t>
      </w:r>
      <w:r>
        <w:rPr>
          <w:rFonts w:hint="eastAsia" w:ascii="宋体" w:hAnsi="宋体" w:eastAsia="宋体" w:cs="宋体"/>
          <w:color w:val="auto"/>
          <w:sz w:val="24"/>
          <w:szCs w:val="24"/>
          <w:u w:val="single"/>
          <w:lang w:val="en-US" w:eastAsia="zh-CN"/>
        </w:rPr>
        <w:t xml:space="preserve">       </w:t>
      </w:r>
      <w:r>
        <w:rPr>
          <w:rFonts w:hint="eastAsia" w:ascii="仿宋_GB2312" w:hAnsi="Times New Roman" w:eastAsia="仿宋_GB2312" w:cs="仿宋_GB2312"/>
          <w:bCs/>
          <w:color w:val="auto"/>
          <w:kern w:val="0"/>
          <w:sz w:val="28"/>
          <w:szCs w:val="28"/>
          <w:lang w:val="en-US" w:eastAsia="zh-CN" w:bidi="ar-SA"/>
        </w:rPr>
        <w:t>元整（小写：</w:t>
      </w:r>
      <w:r>
        <w:rPr>
          <w:rFonts w:hint="eastAsia" w:ascii="宋体" w:hAnsi="宋体" w:eastAsia="宋体" w:cs="宋体"/>
          <w:color w:val="auto"/>
          <w:sz w:val="24"/>
          <w:szCs w:val="24"/>
          <w:u w:val="single"/>
          <w:lang w:val="en-US" w:eastAsia="zh-CN"/>
        </w:rPr>
        <w:t xml:space="preserve">        </w:t>
      </w:r>
      <w:r>
        <w:rPr>
          <w:rFonts w:hint="eastAsia" w:ascii="仿宋_GB2312" w:hAnsi="Times New Roman" w:eastAsia="仿宋_GB2312" w:cs="仿宋_GB2312"/>
          <w:bCs/>
          <w:color w:val="auto"/>
          <w:kern w:val="0"/>
          <w:sz w:val="28"/>
          <w:szCs w:val="28"/>
          <w:lang w:val="en-US" w:eastAsia="zh-CN" w:bidi="ar-SA"/>
        </w:rPr>
        <w:t>元），该费用包括软件使用费、维护服务费、人工费、加班费、交通费、食宿费、软件升级费、培训费、税费等所有费用。除本合同另有约定外，甲方不再就本合同约定范围内的服务向乙方支付其他任何费用。</w:t>
      </w:r>
    </w:p>
    <w:p w14:paraId="6FDC8C1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 xml:space="preserve">.2甲方分二次支付费用至乙方指定收款账户：自甲方在系统软件安装、调试验收单上签字确认合格之日起4个月内，支付服务费用的90%即人民币 </w:t>
      </w:r>
      <w:r>
        <w:rPr>
          <w:rFonts w:hint="eastAsia" w:ascii="宋体" w:hAnsi="宋体" w:eastAsia="宋体" w:cs="宋体"/>
          <w:color w:val="auto"/>
          <w:spacing w:val="-6"/>
          <w:sz w:val="24"/>
          <w:szCs w:val="24"/>
          <w:highlight w:val="none"/>
          <w:u w:val="single"/>
          <w:lang w:val="en-US" w:eastAsia="zh-CN"/>
        </w:rPr>
        <w:t xml:space="preserve">       </w:t>
      </w:r>
      <w:r>
        <w:rPr>
          <w:rFonts w:hint="eastAsia" w:ascii="仿宋_GB2312" w:hAnsi="Times New Roman" w:eastAsia="仿宋_GB2312" w:cs="仿宋_GB2312"/>
          <w:bCs/>
          <w:color w:val="auto"/>
          <w:kern w:val="0"/>
          <w:sz w:val="28"/>
          <w:szCs w:val="28"/>
          <w:lang w:val="en-US" w:eastAsia="zh-CN" w:bidi="ar-SA"/>
        </w:rPr>
        <w:t>元整（小写：</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元）；自本合同期限届满之日起30个工作日内，支付服务费用的10%即人民币</w:t>
      </w:r>
      <w:r>
        <w:rPr>
          <w:rFonts w:hint="eastAsia" w:ascii="宋体" w:hAnsi="宋体" w:eastAsia="宋体" w:cs="宋体"/>
          <w:color w:val="auto"/>
          <w:spacing w:val="-6"/>
          <w:sz w:val="24"/>
          <w:szCs w:val="24"/>
          <w:highlight w:val="none"/>
          <w:u w:val="single"/>
          <w:lang w:val="en-US" w:eastAsia="zh-CN"/>
        </w:rPr>
        <w:t xml:space="preserve">      </w:t>
      </w:r>
      <w:r>
        <w:rPr>
          <w:rFonts w:hint="eastAsia" w:ascii="仿宋_GB2312" w:hAnsi="Times New Roman" w:eastAsia="仿宋_GB2312" w:cs="仿宋_GB2312"/>
          <w:bCs/>
          <w:color w:val="auto"/>
          <w:kern w:val="0"/>
          <w:sz w:val="28"/>
          <w:szCs w:val="28"/>
          <w:lang w:val="en-US" w:eastAsia="zh-CN" w:bidi="ar-SA"/>
        </w:rPr>
        <w:t>元整（小写：</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元）。</w:t>
      </w:r>
    </w:p>
    <w:p w14:paraId="45DDDA99">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.3 乙方应在甲方每次付款前</w:t>
      </w:r>
      <w:r>
        <w:rPr>
          <w:rFonts w:hint="eastAsia" w:ascii="仿宋_GB2312" w:eastAsia="仿宋_GB2312" w:cs="仿宋_GB2312"/>
          <w:bCs/>
          <w:color w:val="FF0000"/>
          <w:kern w:val="0"/>
          <w:sz w:val="28"/>
          <w:szCs w:val="28"/>
          <w:u w:val="single"/>
          <w:lang w:val="en-US" w:eastAsia="zh-CN" w:bidi="ar-SA"/>
        </w:rPr>
        <w:t xml:space="preserve">  </w:t>
      </w:r>
      <w:r>
        <w:rPr>
          <w:rFonts w:hint="eastAsia" w:ascii="仿宋_GB2312" w:eastAsia="仿宋_GB2312" w:cs="仿宋_GB2312"/>
          <w:bCs/>
          <w:color w:val="FF0000"/>
          <w:kern w:val="0"/>
          <w:sz w:val="28"/>
          <w:szCs w:val="28"/>
          <w:lang w:val="en-US" w:eastAsia="zh-CN" w:bidi="ar-SA"/>
        </w:rPr>
        <w:t>日</w:t>
      </w:r>
      <w:r>
        <w:rPr>
          <w:rFonts w:hint="eastAsia" w:ascii="仿宋_GB2312" w:hAnsi="Times New Roman" w:eastAsia="仿宋_GB2312" w:cs="仿宋_GB2312"/>
          <w:bCs/>
          <w:color w:val="auto"/>
          <w:kern w:val="0"/>
          <w:sz w:val="28"/>
          <w:szCs w:val="28"/>
          <w:lang w:val="en-US" w:eastAsia="zh-CN" w:bidi="ar-SA"/>
        </w:rPr>
        <w:t>，向甲方提供以自己名义开具的价税合计金额与</w:t>
      </w:r>
      <w:r>
        <w:rPr>
          <w:rFonts w:hint="eastAsia" w:ascii="仿宋_GB2312" w:eastAsia="仿宋_GB2312" w:cs="仿宋_GB2312"/>
          <w:bCs/>
          <w:color w:val="0000FF"/>
          <w:kern w:val="0"/>
          <w:sz w:val="28"/>
          <w:szCs w:val="28"/>
          <w:lang w:val="en-US" w:eastAsia="zh-CN" w:bidi="ar-SA"/>
        </w:rPr>
        <w:t>该次</w:t>
      </w:r>
      <w:r>
        <w:rPr>
          <w:rFonts w:hint="eastAsia" w:ascii="仿宋_GB2312" w:hAnsi="Times New Roman" w:eastAsia="仿宋_GB2312" w:cs="仿宋_GB2312"/>
          <w:bCs/>
          <w:color w:val="auto"/>
          <w:kern w:val="0"/>
          <w:sz w:val="28"/>
          <w:szCs w:val="28"/>
          <w:lang w:val="en-US" w:eastAsia="zh-CN" w:bidi="ar-SA"/>
        </w:rPr>
        <w:t>付款金额等额的增值税普通发票。如乙方未提供发票，甲方有权顺延付款期限</w:t>
      </w:r>
      <w:r>
        <w:rPr>
          <w:rFonts w:hint="eastAsia" w:ascii="仿宋_GB2312" w:hAnsi="Times New Roman" w:eastAsia="仿宋_GB2312" w:cs="仿宋_GB2312"/>
          <w:bCs/>
          <w:color w:val="0000FF"/>
          <w:kern w:val="0"/>
          <w:sz w:val="28"/>
          <w:szCs w:val="28"/>
          <w:lang w:val="en-US" w:eastAsia="zh-CN" w:bidi="ar-SA"/>
        </w:rPr>
        <w:t>且不视为逾期付款，甲方无需承担任何责任</w:t>
      </w:r>
      <w:r>
        <w:rPr>
          <w:rFonts w:hint="eastAsia" w:ascii="仿宋_GB2312" w:hAnsi="Times New Roman" w:eastAsia="仿宋_GB2312" w:cs="仿宋_GB2312"/>
          <w:bCs/>
          <w:color w:val="auto"/>
          <w:kern w:val="0"/>
          <w:sz w:val="28"/>
          <w:szCs w:val="28"/>
          <w:lang w:val="en-US" w:eastAsia="zh-CN" w:bidi="ar-SA"/>
        </w:rPr>
        <w:t>。</w:t>
      </w:r>
    </w:p>
    <w:p w14:paraId="1A713F29">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.4 乙方指定收款账户为：</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u w:val="none"/>
          <w:lang w:val="en-US" w:eastAsia="zh-CN" w:bidi="ar-SA"/>
        </w:rPr>
        <w:t>，</w:t>
      </w:r>
      <w:r>
        <w:rPr>
          <w:rFonts w:hint="eastAsia" w:ascii="仿宋_GB2312" w:hAnsi="Times New Roman" w:eastAsia="仿宋_GB2312" w:cs="仿宋_GB2312"/>
          <w:bCs/>
          <w:color w:val="auto"/>
          <w:kern w:val="0"/>
          <w:sz w:val="28"/>
          <w:szCs w:val="28"/>
          <w:lang w:val="en-US" w:eastAsia="zh-CN" w:bidi="ar-SA"/>
        </w:rPr>
        <w:t>开户行：</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账号：</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eastAsia="仿宋_GB2312" w:cs="仿宋_GB2312"/>
          <w:bCs/>
          <w:color w:val="auto"/>
          <w:kern w:val="0"/>
          <w:sz w:val="28"/>
          <w:szCs w:val="28"/>
          <w:lang w:val="en-US" w:eastAsia="zh-CN" w:bidi="ar-SA"/>
        </w:rPr>
        <w:t>。</w:t>
      </w:r>
    </w:p>
    <w:p w14:paraId="1E8F0B6E">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 xml:space="preserve">5.5 </w:t>
      </w:r>
      <w:r>
        <w:rPr>
          <w:rFonts w:hint="eastAsia" w:ascii="仿宋_GB2312" w:hAnsi="Times New Roman" w:eastAsia="仿宋_GB2312" w:cs="仿宋_GB2312"/>
          <w:bCs/>
          <w:color w:val="auto"/>
          <w:kern w:val="0"/>
          <w:sz w:val="28"/>
          <w:szCs w:val="28"/>
          <w:lang w:val="en-US" w:eastAsia="zh-CN" w:bidi="ar-SA"/>
        </w:rPr>
        <w:t>如乙方需改变上述账户，应提前10日以书面方式通知甲方。如乙方未按本合同规定通知，由此给乙方造成的全部经济损失，由乙方自行承诺。</w:t>
      </w:r>
    </w:p>
    <w:p w14:paraId="0FBF235F">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default" w:ascii="仿宋_GB2312" w:hAnsi="Times New Roman" w:eastAsia="仿宋_GB2312" w:cs="仿宋_GB2312"/>
          <w:b/>
          <w:bCs w:val="0"/>
          <w:color w:val="auto"/>
          <w:kern w:val="0"/>
          <w:sz w:val="28"/>
          <w:szCs w:val="28"/>
          <w:lang w:val="en-US" w:eastAsia="zh-CN" w:bidi="ar-SA"/>
        </w:rPr>
      </w:pPr>
      <w:r>
        <w:rPr>
          <w:rFonts w:hint="eastAsia" w:ascii="仿宋_GB2312" w:eastAsia="仿宋_GB2312" w:cs="仿宋_GB2312"/>
          <w:b/>
          <w:bCs w:val="0"/>
          <w:color w:val="auto"/>
          <w:kern w:val="0"/>
          <w:sz w:val="28"/>
          <w:szCs w:val="28"/>
          <w:lang w:val="en-US" w:eastAsia="zh-CN" w:bidi="ar-SA"/>
        </w:rPr>
        <w:t>第六条 保密义务</w:t>
      </w:r>
    </w:p>
    <w:p w14:paraId="6440C21F">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.1双方在磋商、签订、履行本合同过程中知晓的任何形式的信息、资料、数据（以下合称“保密信息”），双方约定如下：</w:t>
      </w:r>
    </w:p>
    <w:p w14:paraId="659E953A">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.1.1 未经任意一方书面同意，不得将保密信息用于任何非本合同之目的用途。</w:t>
      </w:r>
    </w:p>
    <w:p w14:paraId="4E40ACF0">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.1.2 未经任意一方书面同意，不得将保密信息透露给任何第三方。不得允许（出借、赠予、出租、转让等处理保密信息的行为皆属于“允许”）或协助未经授权的第三方使用保密信息。</w:t>
      </w:r>
    </w:p>
    <w:p w14:paraId="5634F17B">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.1.3 乙方保证对甲方提供的保密信息予以妥善保存，并至少采取适用于对自己的保密信息同样的保护措施和审慎程度进行保密。</w:t>
      </w:r>
    </w:p>
    <w:p w14:paraId="756C8D82">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.1.4 乙方不得刺探与本身业务无关的甲方保密信息。</w:t>
      </w:r>
    </w:p>
    <w:p w14:paraId="056EE6FF">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.1.5 乙方向甲方提供从甲方获取的保密信息的保密密级及知悉保密信息的范围，在乙方上述人员知悉该保密信息前，应向其提示保密信息的保密性和应承担的义务，并保证上述人员以书面形式同意接受保密条款的约束，确保上述人员承担保密责任的程度不低于本合同规定的程度。</w:t>
      </w:r>
    </w:p>
    <w:p w14:paraId="7BC8E9C1">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.1.6 项目终止后，乙方应立即将甲方的保密信息全部载体归还甲方，或根据甲方的要求予以销毁，不得以任何形式保留原件或备份。</w:t>
      </w:r>
    </w:p>
    <w:p w14:paraId="0017CECB">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.1.7 若乙方与第三方合并、被第三方兼并或被第三方直接或间接控制，不得向该第三方披露任何甲方的保密信息。乙方应立即将甲方的保密信息全部载体归还甲方，或根据甲方的要求予以销毁，不得以任何形式保留原件或备份。但如事先获得甲方的书面同意，乙方可继续使用该保密信息。</w:t>
      </w:r>
    </w:p>
    <w:p w14:paraId="6F8667A6">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.1.8 如果乙方被要求向政府部门、法院或其他有权部门提供保密信息，乙方在可能的情况下，应立即向甲方予以通报。</w:t>
      </w:r>
    </w:p>
    <w:p w14:paraId="6D0ACF0C">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.1.9 任何保密信息的获取并不意味着授予乙方任何有关甲方所有的专利权或版权，也不意味着授予乙方有关甲方保密信息的任何权利，除了乙方有权为履行其在合同项目下的义务合理使用甲方提供的保密信息。</w:t>
      </w:r>
    </w:p>
    <w:p w14:paraId="7D1996F2">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.1.10 保密义务同样适用于有关未经注册或未被授予专利权的发明的文件和信息。因对本协议所指保密信息的使用而直接或间接产生的知识产权方面的权利由双方当事人协商决定其归属。</w:t>
      </w:r>
    </w:p>
    <w:p w14:paraId="4074CB56">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 w:val="0"/>
          <w:bCs/>
          <w:color w:val="auto"/>
          <w:kern w:val="0"/>
          <w:sz w:val="28"/>
          <w:szCs w:val="28"/>
          <w:lang w:val="en-US" w:eastAsia="zh-CN" w:bidi="ar-SA"/>
        </w:rPr>
      </w:pPr>
      <w:r>
        <w:rPr>
          <w:rFonts w:hint="eastAsia" w:ascii="仿宋_GB2312" w:eastAsia="仿宋_GB2312" w:cs="仿宋_GB2312"/>
          <w:b w:val="0"/>
          <w:bCs/>
          <w:color w:val="auto"/>
          <w:kern w:val="0"/>
          <w:sz w:val="28"/>
          <w:szCs w:val="28"/>
          <w:lang w:val="en-US" w:eastAsia="zh-CN" w:bidi="ar-SA"/>
        </w:rPr>
        <w:t>6</w:t>
      </w:r>
      <w:r>
        <w:rPr>
          <w:rFonts w:hint="eastAsia" w:ascii="仿宋_GB2312" w:hAnsi="Times New Roman" w:eastAsia="仿宋_GB2312" w:cs="仿宋_GB2312"/>
          <w:b w:val="0"/>
          <w:bCs/>
          <w:color w:val="auto"/>
          <w:kern w:val="0"/>
          <w:sz w:val="28"/>
          <w:szCs w:val="28"/>
          <w:lang w:val="en-US" w:eastAsia="zh-CN" w:bidi="ar-SA"/>
        </w:rPr>
        <w:t>.2 本合同中所说“保密信息”指如下信息：</w:t>
      </w:r>
    </w:p>
    <w:p w14:paraId="7470520E">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.2.1 双方就合同订立、履行、变更等产生的研究、商讨、交流等信息。</w:t>
      </w:r>
    </w:p>
    <w:p w14:paraId="2709A735">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.2.2 与甲方有关为乙方知晓、保存或可能上传、交换的信息，包括但不限于如下：</w:t>
      </w:r>
    </w:p>
    <w:p w14:paraId="46626732">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.2.2.1 技术信息：包括涉及甲方信息化建设中的技术信息，包括软件技术、数据、管理文件等；</w:t>
      </w:r>
    </w:p>
    <w:p w14:paraId="301C8144">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.2.2.2 人事信息：包括涉及甲方的人事档案、薪酬、及考核等人力资源管理信息；</w:t>
      </w:r>
    </w:p>
    <w:p w14:paraId="6C6E0AAE">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.2.2.3 医院运行信息：包括涉及甲方业务运行的各种信息，医院经营方向、经营决策、定价政策以及内部掌握的合同、协议、项目方案等；</w:t>
      </w:r>
    </w:p>
    <w:p w14:paraId="04CFDCEF">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.2.2.4 财务信息：包括涉及甲方的各项财务报表、成本及预算报告、员工工资等；</w:t>
      </w:r>
    </w:p>
    <w:p w14:paraId="055B3972">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.2.2.5 患者信息：包括涉及甲方门诊、住院患者的相关诊疗信息，如患者基本信息、诊疗计划、病历信息、费用信息、处方等；</w:t>
      </w:r>
    </w:p>
    <w:p w14:paraId="7D059AE3">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.2.2.6 应当予以保密的商业秘密、个人隐私等信息。</w:t>
      </w:r>
    </w:p>
    <w:p w14:paraId="3972BD3E">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.3 本合同约定的保密信息为永久绝对保密，保密条款在本合同终止后仍然有效。</w:t>
      </w:r>
    </w:p>
    <w:p w14:paraId="2D3BDCE1">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default" w:ascii="仿宋_GB2312" w:hAnsi="Times New Roman" w:eastAsia="仿宋_GB2312" w:cs="仿宋_GB2312"/>
          <w:b/>
          <w:bCs w:val="0"/>
          <w:color w:val="auto"/>
          <w:kern w:val="0"/>
          <w:sz w:val="28"/>
          <w:szCs w:val="28"/>
          <w:lang w:val="en-US" w:eastAsia="zh-CN" w:bidi="ar-SA"/>
        </w:rPr>
      </w:pPr>
      <w:r>
        <w:rPr>
          <w:rFonts w:hint="eastAsia" w:ascii="仿宋_GB2312" w:eastAsia="仿宋_GB2312" w:cs="仿宋_GB2312"/>
          <w:b/>
          <w:bCs w:val="0"/>
          <w:color w:val="auto"/>
          <w:kern w:val="0"/>
          <w:sz w:val="28"/>
          <w:szCs w:val="28"/>
          <w:lang w:val="en-US" w:eastAsia="zh-CN" w:bidi="ar-SA"/>
        </w:rPr>
        <w:t>第七条 廉洁条款</w:t>
      </w:r>
    </w:p>
    <w:p w14:paraId="58D7AC5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7.1 乙方应严格遵守国家相关法律法规，涉及合同的有关业务活动必须坚持公开、公平、公正、诚信原则，不得为获取不正当利益，损害国家、集体和甲方利益。</w:t>
      </w:r>
    </w:p>
    <w:p w14:paraId="1381B342">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firstLine="562" w:firstLineChars="200"/>
        <w:jc w:val="both"/>
        <w:textAlignment w:val="auto"/>
        <w:rPr>
          <w:rFonts w:hint="eastAsia" w:ascii="仿宋_GB2312" w:hAnsi="Times New Roman" w:eastAsia="仿宋_GB2312" w:cs="仿宋_GB2312"/>
          <w:b/>
          <w:bCs w:val="0"/>
          <w:color w:val="auto"/>
          <w:kern w:val="0"/>
          <w:sz w:val="28"/>
          <w:szCs w:val="28"/>
          <w:u w:val="single"/>
          <w:lang w:val="en-US" w:eastAsia="zh-CN" w:bidi="ar-SA"/>
        </w:rPr>
      </w:pPr>
      <w:r>
        <w:rPr>
          <w:rFonts w:hint="eastAsia" w:ascii="仿宋_GB2312" w:hAnsi="Times New Roman" w:eastAsia="仿宋_GB2312" w:cs="仿宋_GB2312"/>
          <w:b/>
          <w:bCs w:val="0"/>
          <w:color w:val="auto"/>
          <w:kern w:val="0"/>
          <w:sz w:val="28"/>
          <w:szCs w:val="28"/>
          <w:lang w:val="en-US" w:eastAsia="zh-CN" w:bidi="ar-SA"/>
        </w:rPr>
        <w:t xml:space="preserve">7.2 </w:t>
      </w:r>
      <w:r>
        <w:rPr>
          <w:rFonts w:hint="eastAsia" w:ascii="仿宋_GB2312" w:hAnsi="Times New Roman" w:eastAsia="仿宋_GB2312" w:cs="仿宋_GB2312"/>
          <w:b/>
          <w:bCs w:val="0"/>
          <w:color w:val="auto"/>
          <w:kern w:val="0"/>
          <w:sz w:val="28"/>
          <w:szCs w:val="28"/>
          <w:u w:val="single"/>
          <w:lang w:val="en-US" w:eastAsia="zh-CN" w:bidi="ar-SA"/>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BE0FB17">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eastAsia" w:ascii="仿宋_GB2312" w:hAnsi="Times New Roman" w:eastAsia="仿宋_GB2312" w:cs="仿宋_GB2312"/>
          <w:b/>
          <w:bCs w:val="0"/>
          <w:color w:val="auto"/>
          <w:kern w:val="0"/>
          <w:sz w:val="28"/>
          <w:szCs w:val="28"/>
          <w:lang w:val="en-US" w:eastAsia="zh-CN" w:bidi="ar-SA"/>
        </w:rPr>
      </w:pPr>
      <w:r>
        <w:rPr>
          <w:rFonts w:hint="eastAsia" w:ascii="仿宋_GB2312" w:eastAsia="仿宋_GB2312" w:cs="仿宋_GB2312"/>
          <w:b/>
          <w:bCs w:val="0"/>
          <w:color w:val="auto"/>
          <w:kern w:val="0"/>
          <w:sz w:val="28"/>
          <w:szCs w:val="28"/>
          <w:lang w:val="en-US" w:eastAsia="zh-CN" w:bidi="ar-SA"/>
        </w:rPr>
        <w:t xml:space="preserve">第八条 </w:t>
      </w:r>
      <w:r>
        <w:rPr>
          <w:rFonts w:hint="eastAsia" w:ascii="仿宋_GB2312" w:hAnsi="Times New Roman" w:eastAsia="仿宋_GB2312" w:cs="仿宋_GB2312"/>
          <w:b/>
          <w:bCs w:val="0"/>
          <w:color w:val="auto"/>
          <w:kern w:val="0"/>
          <w:sz w:val="28"/>
          <w:szCs w:val="28"/>
          <w:lang w:val="en-US" w:eastAsia="zh-CN" w:bidi="ar-SA"/>
        </w:rPr>
        <w:t>项目联系人及联系方式</w:t>
      </w:r>
    </w:p>
    <w:p w14:paraId="235F52D1">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8.1 双方确定，在本合同有效期内，甲方指定</w:t>
      </w:r>
      <w:r>
        <w:rPr>
          <w:rFonts w:hint="eastAsia" w:ascii="仿宋_GB2312" w:eastAsia="仿宋_GB2312" w:cs="仿宋_GB2312"/>
          <w:bCs/>
          <w:color w:val="auto"/>
          <w:kern w:val="0"/>
          <w:sz w:val="28"/>
          <w:szCs w:val="28"/>
          <w:u w:val="single"/>
          <w:lang w:val="en-US" w:eastAsia="zh-CN" w:bidi="ar-SA"/>
        </w:rPr>
        <w:t xml:space="preserve"> 肖硕旻 </w:t>
      </w:r>
      <w:r>
        <w:rPr>
          <w:rFonts w:hint="eastAsia" w:ascii="仿宋_GB2312" w:hAnsi="Times New Roman" w:eastAsia="仿宋_GB2312" w:cs="仿宋_GB2312"/>
          <w:bCs/>
          <w:color w:val="auto"/>
          <w:kern w:val="0"/>
          <w:sz w:val="28"/>
          <w:szCs w:val="28"/>
          <w:lang w:val="en-US" w:eastAsia="zh-CN" w:bidi="ar-SA"/>
        </w:rPr>
        <w:t>（联系电话：</w:t>
      </w:r>
      <w:r>
        <w:rPr>
          <w:rFonts w:hint="eastAsia" w:ascii="仿宋_GB2312" w:hAnsi="Times New Roman" w:eastAsia="仿宋_GB2312" w:cs="仿宋_GB2312"/>
          <w:bCs/>
          <w:color w:val="auto"/>
          <w:kern w:val="0"/>
          <w:sz w:val="28"/>
          <w:szCs w:val="28"/>
          <w:u w:val="single"/>
          <w:lang w:val="en-US" w:eastAsia="zh-CN" w:bidi="ar-SA"/>
        </w:rPr>
        <w:t>18073843787</w:t>
      </w:r>
      <w:r>
        <w:rPr>
          <w:rFonts w:hint="eastAsia" w:ascii="仿宋_GB2312" w:hAnsi="Times New Roman" w:eastAsia="仿宋_GB2312" w:cs="仿宋_GB2312"/>
          <w:bCs/>
          <w:color w:val="auto"/>
          <w:kern w:val="0"/>
          <w:sz w:val="28"/>
          <w:szCs w:val="28"/>
          <w:lang w:val="en-US" w:eastAsia="zh-CN" w:bidi="ar-SA"/>
        </w:rPr>
        <w:t>）为甲方项目联系人，乙方指定</w:t>
      </w:r>
      <w:r>
        <w:rPr>
          <w:rFonts w:hint="eastAsia" w:ascii="仿宋_GB2312" w:hAnsi="Times New Roman" w:eastAsia="仿宋_GB2312" w:cs="仿宋_GB2312"/>
          <w:bCs/>
          <w:color w:val="auto"/>
          <w:kern w:val="0"/>
          <w:sz w:val="28"/>
          <w:szCs w:val="28"/>
          <w:u w:val="single"/>
          <w:lang w:val="en-US" w:eastAsia="zh-CN" w:bidi="ar-SA"/>
        </w:rPr>
        <w:t>　  　</w:t>
      </w:r>
      <w:r>
        <w:rPr>
          <w:rFonts w:hint="eastAsia" w:ascii="仿宋_GB2312" w:hAnsi="Times New Roman" w:eastAsia="仿宋_GB2312" w:cs="仿宋_GB2312"/>
          <w:bCs/>
          <w:color w:val="auto"/>
          <w:kern w:val="0"/>
          <w:sz w:val="28"/>
          <w:szCs w:val="28"/>
          <w:lang w:val="en-US" w:eastAsia="zh-CN" w:bidi="ar-SA"/>
        </w:rPr>
        <w:t>（联系电话</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）为乙方项目联系人。</w:t>
      </w:r>
    </w:p>
    <w:p w14:paraId="6C7211E2">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8.2 一方变更项目联系人的，应当及时以书面形式通知另一方，未及时通知并影响本合同履行或造成损失的，应承担全部赔偿责任。</w:t>
      </w:r>
    </w:p>
    <w:p w14:paraId="18E53D76">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eastAsia" w:ascii="仿宋_GB2312" w:hAnsi="Times New Roman" w:eastAsia="仿宋_GB2312" w:cs="仿宋_GB2312"/>
          <w:b/>
          <w:bCs w:val="0"/>
          <w:color w:val="auto"/>
          <w:kern w:val="0"/>
          <w:sz w:val="28"/>
          <w:szCs w:val="28"/>
          <w:lang w:val="en-US" w:eastAsia="zh-CN" w:bidi="ar-SA"/>
        </w:rPr>
      </w:pPr>
      <w:r>
        <w:rPr>
          <w:rFonts w:hint="eastAsia" w:ascii="仿宋_GB2312" w:eastAsia="仿宋_GB2312" w:cs="仿宋_GB2312"/>
          <w:b/>
          <w:bCs w:val="0"/>
          <w:color w:val="auto"/>
          <w:kern w:val="0"/>
          <w:sz w:val="28"/>
          <w:szCs w:val="28"/>
          <w:lang w:val="en-US" w:eastAsia="zh-CN" w:bidi="ar-SA"/>
        </w:rPr>
        <w:t xml:space="preserve">第九条 </w:t>
      </w:r>
      <w:r>
        <w:rPr>
          <w:rFonts w:hint="eastAsia" w:ascii="仿宋_GB2312" w:hAnsi="Times New Roman" w:eastAsia="仿宋_GB2312" w:cs="仿宋_GB2312"/>
          <w:b/>
          <w:bCs w:val="0"/>
          <w:color w:val="auto"/>
          <w:kern w:val="0"/>
          <w:sz w:val="28"/>
          <w:szCs w:val="28"/>
          <w:lang w:val="en-US" w:eastAsia="zh-CN" w:bidi="ar-SA"/>
        </w:rPr>
        <w:t>通知与送达</w:t>
      </w:r>
    </w:p>
    <w:p w14:paraId="161DBE5D">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9.1 甲乙双方同意，与本合同有关的任何文书，应以书面方式送达本合同约定的联系方式。书面形式包括手机短信、微信、书面函件、电子邮件等形式。</w:t>
      </w:r>
    </w:p>
    <w:p w14:paraId="6FB5E20D">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9.2 双方确认的文书（包括未来可能发生的诉讼或仲裁活动中法院或仲裁机构的送达法律文书）送达地址：</w:t>
      </w:r>
    </w:p>
    <w:p w14:paraId="17F18E0A">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9.2.1 甲方的文书送达地址：</w:t>
      </w:r>
      <w:r>
        <w:rPr>
          <w:rFonts w:hint="eastAsia" w:ascii="仿宋_GB2312" w:hAnsi="Times New Roman" w:eastAsia="仿宋_GB2312" w:cs="仿宋_GB2312"/>
          <w:bCs/>
          <w:color w:val="auto"/>
          <w:kern w:val="0"/>
          <w:sz w:val="28"/>
          <w:szCs w:val="28"/>
          <w:u w:val="single"/>
          <w:lang w:val="en-US" w:eastAsia="zh-CN" w:bidi="ar-SA"/>
        </w:rPr>
        <w:t xml:space="preserve"> 湖南省娄底市娄星区长青街51号</w:t>
      </w:r>
      <w:r>
        <w:rPr>
          <w:rFonts w:hint="eastAsia" w:ascii="仿宋_GB2312" w:hAnsi="Times New Roman" w:eastAsia="仿宋_GB2312" w:cs="仿宋_GB2312"/>
          <w:bCs/>
          <w:color w:val="auto"/>
          <w:kern w:val="0"/>
          <w:sz w:val="28"/>
          <w:szCs w:val="28"/>
          <w:lang w:val="en-US" w:eastAsia="zh-CN" w:bidi="ar-SA"/>
        </w:rPr>
        <w:t>，收件人：</w:t>
      </w:r>
      <w:r>
        <w:rPr>
          <w:rFonts w:hint="eastAsia" w:ascii="仿宋_GB2312" w:eastAsia="仿宋_GB2312" w:cs="仿宋_GB2312"/>
          <w:bCs/>
          <w:color w:val="auto"/>
          <w:kern w:val="0"/>
          <w:sz w:val="28"/>
          <w:szCs w:val="28"/>
          <w:u w:val="single"/>
          <w:lang w:val="en-US" w:eastAsia="zh-CN" w:bidi="ar-SA"/>
        </w:rPr>
        <w:t>董昉</w:t>
      </w:r>
      <w:r>
        <w:rPr>
          <w:rFonts w:hint="eastAsia" w:ascii="仿宋_GB2312" w:hAnsi="Times New Roman" w:eastAsia="仿宋_GB2312" w:cs="仿宋_GB2312"/>
          <w:bCs/>
          <w:color w:val="auto"/>
          <w:kern w:val="0"/>
          <w:sz w:val="28"/>
          <w:szCs w:val="28"/>
          <w:lang w:val="en-US" w:eastAsia="zh-CN" w:bidi="ar-SA"/>
        </w:rPr>
        <w:t>，联系电话：</w:t>
      </w:r>
      <w:r>
        <w:rPr>
          <w:rFonts w:hint="eastAsia" w:ascii="仿宋_GB2312" w:hAnsi="Times New Roman" w:eastAsia="仿宋_GB2312" w:cs="仿宋_GB2312"/>
          <w:bCs/>
          <w:color w:val="auto"/>
          <w:kern w:val="0"/>
          <w:sz w:val="28"/>
          <w:szCs w:val="28"/>
          <w:u w:val="single"/>
          <w:lang w:val="en-US" w:eastAsia="zh-CN" w:bidi="ar-SA"/>
        </w:rPr>
        <w:t>15973879275</w:t>
      </w:r>
      <w:r>
        <w:rPr>
          <w:rFonts w:hint="eastAsia" w:ascii="仿宋_GB2312" w:hAnsi="Times New Roman" w:eastAsia="仿宋_GB2312" w:cs="仿宋_GB2312"/>
          <w:bCs/>
          <w:color w:val="auto"/>
          <w:kern w:val="0"/>
          <w:sz w:val="28"/>
          <w:szCs w:val="28"/>
          <w:lang w:val="en-US" w:eastAsia="zh-CN" w:bidi="ar-SA"/>
        </w:rPr>
        <w:t xml:space="preserve">，电子邮箱： </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u w:val="single"/>
          <w:lang w:val="en-US" w:eastAsia="zh-CN" w:bidi="ar-SA"/>
        </w:rPr>
        <w:fldChar w:fldCharType="begin"/>
      </w:r>
      <w:r>
        <w:rPr>
          <w:rFonts w:hint="eastAsia" w:ascii="仿宋_GB2312" w:hAnsi="Times New Roman" w:eastAsia="仿宋_GB2312" w:cs="仿宋_GB2312"/>
          <w:bCs/>
          <w:color w:val="auto"/>
          <w:kern w:val="0"/>
          <w:sz w:val="28"/>
          <w:szCs w:val="28"/>
          <w:u w:val="single"/>
          <w:lang w:val="en-US" w:eastAsia="zh-CN" w:bidi="ar-SA"/>
        </w:rPr>
        <w:instrText xml:space="preserve"> HYPERLINK "mailto:22028581@qq.com" </w:instrText>
      </w:r>
      <w:r>
        <w:rPr>
          <w:rFonts w:hint="eastAsia" w:ascii="仿宋_GB2312" w:hAnsi="Times New Roman" w:eastAsia="仿宋_GB2312" w:cs="仿宋_GB2312"/>
          <w:bCs/>
          <w:color w:val="auto"/>
          <w:kern w:val="0"/>
          <w:sz w:val="28"/>
          <w:szCs w:val="28"/>
          <w:u w:val="single"/>
          <w:lang w:val="en-US" w:eastAsia="zh-CN" w:bidi="ar-SA"/>
        </w:rPr>
        <w:fldChar w:fldCharType="separate"/>
      </w:r>
      <w:r>
        <w:rPr>
          <w:rFonts w:hint="eastAsia" w:ascii="仿宋_GB2312" w:hAnsi="Times New Roman" w:eastAsia="仿宋_GB2312" w:cs="仿宋_GB2312"/>
          <w:bCs/>
          <w:color w:val="auto"/>
          <w:kern w:val="0"/>
          <w:sz w:val="28"/>
          <w:szCs w:val="28"/>
          <w:u w:val="single"/>
          <w:lang w:val="en-US" w:eastAsia="zh-CN" w:bidi="ar-SA"/>
        </w:rPr>
        <w:t>22028581@qq.com</w:t>
      </w:r>
      <w:r>
        <w:rPr>
          <w:rFonts w:hint="eastAsia" w:ascii="仿宋_GB2312" w:hAnsi="Times New Roman" w:eastAsia="仿宋_GB2312" w:cs="仿宋_GB2312"/>
          <w:bCs/>
          <w:color w:val="auto"/>
          <w:kern w:val="0"/>
          <w:sz w:val="28"/>
          <w:szCs w:val="28"/>
          <w:u w:val="single"/>
          <w:lang w:val="en-US" w:eastAsia="zh-CN" w:bidi="ar-SA"/>
        </w:rPr>
        <w:fldChar w:fldCharType="end"/>
      </w:r>
      <w:r>
        <w:rPr>
          <w:rFonts w:hint="eastAsia" w:ascii="仿宋_GB2312" w:hAnsi="Times New Roman" w:eastAsia="仿宋_GB2312" w:cs="仿宋_GB2312"/>
          <w:bCs/>
          <w:color w:val="auto"/>
          <w:kern w:val="0"/>
          <w:sz w:val="28"/>
          <w:szCs w:val="28"/>
          <w:lang w:val="en-US" w:eastAsia="zh-CN" w:bidi="ar-SA"/>
        </w:rPr>
        <w:t>。</w:t>
      </w:r>
    </w:p>
    <w:p w14:paraId="0019C7BD">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9.2.2 乙方的文书送达地址：</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 xml:space="preserve">，收件人： </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，联系电话：</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，电子邮箱：</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w:t>
      </w:r>
    </w:p>
    <w:p w14:paraId="508BAFBE">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9.3 上述通知应被视为在下列时间送达：以快递或专人发送的，在收件人签收之日或拒收之日；以挂号邮件发出的，在发出之日起7个工作日；以电子邮件发出的，在电子邮件进入收件方电子邮箱服务器之日。</w:t>
      </w:r>
    </w:p>
    <w:p w14:paraId="2938A448">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9.4 以上地址和联系方式，任何一方发生变更应在变更之日起3个日历日内通知对方。如未通知，一方按原地址送达的书面资料被退回的，退回之日视为送达之日。任何一方按照确认地址送到另一方的书面资料被拒绝签收导致邮件被退回的，退回之日视为送达之日。</w:t>
      </w:r>
    </w:p>
    <w:p w14:paraId="4470C33D">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eastAsia" w:ascii="仿宋_GB2312" w:hAnsi="Times New Roman" w:eastAsia="仿宋_GB2312" w:cs="仿宋_GB2312"/>
          <w:b/>
          <w:bCs w:val="0"/>
          <w:color w:val="0000FF"/>
          <w:kern w:val="0"/>
          <w:sz w:val="28"/>
          <w:szCs w:val="28"/>
          <w:lang w:val="en-US" w:eastAsia="zh-CN" w:bidi="ar-SA"/>
        </w:rPr>
      </w:pPr>
      <w:r>
        <w:rPr>
          <w:rFonts w:hint="eastAsia" w:ascii="仿宋_GB2312" w:hAnsi="Times New Roman" w:eastAsia="仿宋_GB2312" w:cs="仿宋_GB2312"/>
          <w:b/>
          <w:bCs w:val="0"/>
          <w:color w:val="0000FF"/>
          <w:kern w:val="0"/>
          <w:sz w:val="28"/>
          <w:szCs w:val="28"/>
          <w:lang w:val="en-US" w:eastAsia="zh-CN" w:bidi="ar-SA"/>
        </w:rPr>
        <w:t>第</w:t>
      </w:r>
      <w:r>
        <w:rPr>
          <w:rFonts w:hint="eastAsia" w:ascii="仿宋_GB2312" w:eastAsia="仿宋_GB2312" w:cs="仿宋_GB2312"/>
          <w:b/>
          <w:bCs w:val="0"/>
          <w:color w:val="0000FF"/>
          <w:kern w:val="0"/>
          <w:sz w:val="28"/>
          <w:szCs w:val="28"/>
          <w:lang w:val="en-US" w:eastAsia="zh-CN" w:bidi="ar-SA"/>
        </w:rPr>
        <w:t>十</w:t>
      </w:r>
      <w:r>
        <w:rPr>
          <w:rFonts w:hint="eastAsia" w:ascii="仿宋_GB2312" w:hAnsi="Times New Roman" w:eastAsia="仿宋_GB2312" w:cs="仿宋_GB2312"/>
          <w:b/>
          <w:bCs w:val="0"/>
          <w:color w:val="0000FF"/>
          <w:kern w:val="0"/>
          <w:sz w:val="28"/>
          <w:szCs w:val="28"/>
          <w:lang w:val="en-US" w:eastAsia="zh-CN" w:bidi="ar-SA"/>
        </w:rPr>
        <w:t>条 风险承担</w:t>
      </w:r>
    </w:p>
    <w:p w14:paraId="2F74C522">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0000FF"/>
          <w:kern w:val="0"/>
          <w:sz w:val="28"/>
          <w:szCs w:val="28"/>
          <w:lang w:val="en-US" w:eastAsia="zh-CN" w:bidi="ar-SA"/>
        </w:rPr>
      </w:pPr>
      <w:r>
        <w:rPr>
          <w:rFonts w:hint="eastAsia" w:ascii="仿宋_GB2312" w:eastAsia="仿宋_GB2312" w:cs="仿宋_GB2312"/>
          <w:bCs/>
          <w:color w:val="0000FF"/>
          <w:kern w:val="0"/>
          <w:sz w:val="28"/>
          <w:szCs w:val="28"/>
          <w:lang w:val="en-US" w:eastAsia="zh-CN" w:bidi="ar-SA"/>
        </w:rPr>
        <w:t>10</w:t>
      </w:r>
      <w:r>
        <w:rPr>
          <w:rFonts w:hint="eastAsia" w:ascii="仿宋_GB2312" w:hAnsi="Times New Roman" w:eastAsia="仿宋_GB2312" w:cs="仿宋_GB2312"/>
          <w:bCs/>
          <w:color w:val="0000FF"/>
          <w:kern w:val="0"/>
          <w:sz w:val="28"/>
          <w:szCs w:val="28"/>
          <w:lang w:val="en-US" w:eastAsia="zh-CN" w:bidi="ar-SA"/>
        </w:rPr>
        <w:t>.1 乙方履行本合同过程中发生事故，包括但不限于在运输、装卸、安装及调试过程中发生事故，给甲方、乙方或第三方人身、财产造成的所有损失，均由乙方负责处理和承担全部法律责任、经济赔偿。</w:t>
      </w:r>
    </w:p>
    <w:p w14:paraId="23A7D5BF">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default" w:ascii="仿宋_GB2312" w:hAnsi="Times New Roman" w:eastAsia="仿宋_GB2312" w:cs="仿宋_GB2312"/>
          <w:bCs/>
          <w:color w:val="0000FF"/>
          <w:kern w:val="0"/>
          <w:sz w:val="28"/>
          <w:szCs w:val="28"/>
          <w:lang w:val="en-US" w:eastAsia="zh-CN" w:bidi="ar-SA"/>
        </w:rPr>
      </w:pPr>
      <w:r>
        <w:rPr>
          <w:rFonts w:hint="eastAsia" w:ascii="仿宋_GB2312" w:hAnsi="Times New Roman" w:eastAsia="仿宋_GB2312" w:cs="仿宋_GB2312"/>
          <w:bCs/>
          <w:color w:val="0000FF"/>
          <w:kern w:val="0"/>
          <w:sz w:val="28"/>
          <w:szCs w:val="28"/>
          <w:lang w:val="en-US" w:eastAsia="zh-CN" w:bidi="ar-SA"/>
        </w:rPr>
        <w:t>10.2 如甲方因乙方服务等原因涉及纠纷、诉讼或被处以行政处罚，由乙方承担甲方因纠纷、诉讼、罚款等造成的全部经济损失。</w:t>
      </w:r>
    </w:p>
    <w:p w14:paraId="6B5A04B3">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default" w:ascii="仿宋_GB2312" w:eastAsia="仿宋_GB2312" w:cs="仿宋_GB2312"/>
          <w:b/>
          <w:bCs w:val="0"/>
          <w:color w:val="0000FF"/>
          <w:kern w:val="0"/>
          <w:sz w:val="28"/>
          <w:szCs w:val="28"/>
          <w:lang w:val="en-US" w:eastAsia="zh-CN" w:bidi="ar-SA"/>
        </w:rPr>
      </w:pPr>
      <w:r>
        <w:rPr>
          <w:rFonts w:hint="eastAsia" w:ascii="仿宋_GB2312" w:eastAsia="仿宋_GB2312" w:cs="仿宋_GB2312"/>
          <w:b/>
          <w:bCs w:val="0"/>
          <w:color w:val="0000FF"/>
          <w:kern w:val="0"/>
          <w:sz w:val="28"/>
          <w:szCs w:val="28"/>
          <w:lang w:val="en-US" w:eastAsia="zh-CN" w:bidi="ar-SA"/>
        </w:rPr>
        <w:t>第十一条 合同的变更和解除</w:t>
      </w:r>
    </w:p>
    <w:p w14:paraId="25F059C1">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0000FF"/>
          <w:kern w:val="0"/>
          <w:sz w:val="28"/>
          <w:szCs w:val="28"/>
          <w:lang w:val="en-US" w:eastAsia="zh-CN" w:bidi="ar-SA"/>
        </w:rPr>
      </w:pPr>
      <w:r>
        <w:rPr>
          <w:rFonts w:hint="eastAsia" w:ascii="仿宋_GB2312" w:hAnsi="Times New Roman" w:eastAsia="仿宋_GB2312" w:cs="仿宋_GB2312"/>
          <w:bCs/>
          <w:color w:val="0000FF"/>
          <w:kern w:val="0"/>
          <w:sz w:val="28"/>
          <w:szCs w:val="28"/>
          <w:lang w:val="en-US" w:eastAsia="zh-CN" w:bidi="ar-SA"/>
        </w:rPr>
        <w:t>11.1 如本合同约定事宜发生重大变更，经双方协商一致后另行签订补充协议。</w:t>
      </w:r>
    </w:p>
    <w:p w14:paraId="33E3CD15">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0000FF"/>
          <w:kern w:val="0"/>
          <w:sz w:val="28"/>
          <w:szCs w:val="28"/>
          <w:lang w:val="en-US" w:eastAsia="zh-CN" w:bidi="ar-SA"/>
        </w:rPr>
      </w:pPr>
      <w:r>
        <w:rPr>
          <w:rFonts w:hint="eastAsia" w:ascii="仿宋_GB2312" w:hAnsi="Times New Roman" w:eastAsia="仿宋_GB2312" w:cs="仿宋_GB2312"/>
          <w:bCs/>
          <w:color w:val="0000FF"/>
          <w:kern w:val="0"/>
          <w:sz w:val="28"/>
          <w:szCs w:val="28"/>
          <w:lang w:val="en-US" w:eastAsia="zh-CN" w:bidi="ar-SA"/>
        </w:rPr>
        <w:t>11.2 乙方出现以下情形之一的，甲方有权单方面解除合同：</w:t>
      </w:r>
    </w:p>
    <w:p w14:paraId="786CABFB">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0000FF"/>
          <w:kern w:val="0"/>
          <w:sz w:val="28"/>
          <w:szCs w:val="28"/>
          <w:lang w:val="en-US" w:eastAsia="zh-CN" w:bidi="ar-SA"/>
        </w:rPr>
      </w:pPr>
      <w:r>
        <w:rPr>
          <w:rFonts w:hint="eastAsia" w:ascii="仿宋_GB2312" w:hAnsi="Times New Roman" w:eastAsia="仿宋_GB2312" w:cs="仿宋_GB2312"/>
          <w:bCs/>
          <w:color w:val="0000FF"/>
          <w:kern w:val="0"/>
          <w:sz w:val="28"/>
          <w:szCs w:val="28"/>
          <w:lang w:val="en-US" w:eastAsia="zh-CN" w:bidi="ar-SA"/>
        </w:rPr>
        <w:t>11.2.1 乙方逾期7日仍未通过甲方验收的；</w:t>
      </w:r>
    </w:p>
    <w:p w14:paraId="2AF531D3">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0000FF"/>
          <w:kern w:val="0"/>
          <w:sz w:val="28"/>
          <w:szCs w:val="28"/>
          <w:lang w:val="en-US" w:eastAsia="zh-CN" w:bidi="ar-SA"/>
        </w:rPr>
      </w:pPr>
      <w:r>
        <w:rPr>
          <w:rFonts w:hint="eastAsia" w:ascii="仿宋_GB2312" w:hAnsi="Times New Roman" w:eastAsia="仿宋_GB2312" w:cs="仿宋_GB2312"/>
          <w:bCs/>
          <w:color w:val="0000FF"/>
          <w:kern w:val="0"/>
          <w:sz w:val="28"/>
          <w:szCs w:val="28"/>
          <w:lang w:val="en-US" w:eastAsia="zh-CN" w:bidi="ar-SA"/>
        </w:rPr>
        <w:t>11.2.2 乙方逾期10日仍未完成本合同约定服务的；</w:t>
      </w:r>
    </w:p>
    <w:p w14:paraId="21A6A2C5">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0000FF"/>
          <w:kern w:val="0"/>
          <w:sz w:val="28"/>
          <w:szCs w:val="28"/>
          <w:lang w:val="en-US" w:eastAsia="zh-CN" w:bidi="ar-SA"/>
        </w:rPr>
      </w:pPr>
      <w:r>
        <w:rPr>
          <w:rFonts w:hint="eastAsia" w:ascii="仿宋_GB2312" w:hAnsi="Times New Roman" w:eastAsia="仿宋_GB2312" w:cs="仿宋_GB2312"/>
          <w:bCs/>
          <w:color w:val="0000FF"/>
          <w:kern w:val="0"/>
          <w:sz w:val="28"/>
          <w:szCs w:val="28"/>
          <w:lang w:val="en-US" w:eastAsia="zh-CN" w:bidi="ar-SA"/>
        </w:rPr>
        <w:t xml:space="preserve">11.2.3 因乙方原因导致软件不能按本合同约定正常使用达到10日的；                                                                                                                                                                                                                                                                                                                                                                                                                                                                                                                                                                                                                                                                                                                                                                                                                                                                                                                                                                                                                                                                                                                                                                                                                                                                                                                                                                                                                                                                                                                                                                                                                                                                                                                                                                                                                                                                                                                                                                                                                                                                                          </w:t>
      </w:r>
    </w:p>
    <w:p w14:paraId="6E18A0AE">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Times New Roman" w:eastAsia="仿宋_GB2312" w:cs="仿宋_GB2312"/>
          <w:bCs/>
          <w:color w:val="0000FF"/>
          <w:kern w:val="0"/>
          <w:sz w:val="28"/>
          <w:szCs w:val="28"/>
          <w:lang w:val="en-US" w:eastAsia="zh-CN" w:bidi="ar-SA"/>
        </w:rPr>
      </w:pPr>
      <w:r>
        <w:rPr>
          <w:rFonts w:hint="eastAsia" w:ascii="仿宋_GB2312" w:hAnsi="Times New Roman" w:eastAsia="仿宋_GB2312" w:cs="仿宋_GB2312"/>
          <w:bCs/>
          <w:color w:val="0000FF"/>
          <w:kern w:val="0"/>
          <w:sz w:val="28"/>
          <w:szCs w:val="28"/>
          <w:lang w:val="en-US" w:eastAsia="zh-CN" w:bidi="ar-SA"/>
        </w:rPr>
        <w:t>11.2.4 乙方将本合同权利义务全部或部分转让给第三方；</w:t>
      </w:r>
    </w:p>
    <w:p w14:paraId="5F524CC5">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Times New Roman" w:eastAsia="仿宋_GB2312" w:cs="仿宋_GB2312"/>
          <w:bCs/>
          <w:color w:val="0000FF"/>
          <w:kern w:val="0"/>
          <w:sz w:val="28"/>
          <w:szCs w:val="28"/>
          <w:lang w:val="en-US" w:eastAsia="zh-CN" w:bidi="ar-SA"/>
        </w:rPr>
      </w:pPr>
      <w:r>
        <w:rPr>
          <w:rFonts w:hint="eastAsia" w:ascii="仿宋_GB2312" w:hAnsi="Times New Roman" w:eastAsia="仿宋_GB2312" w:cs="仿宋_GB2312"/>
          <w:bCs/>
          <w:color w:val="0000FF"/>
          <w:kern w:val="0"/>
          <w:sz w:val="28"/>
          <w:szCs w:val="28"/>
          <w:lang w:val="en-US" w:eastAsia="zh-CN" w:bidi="ar-SA"/>
        </w:rPr>
        <w:t>11.2.5 乙方违反保密条款或侵犯第三人的知识产权及其他合法权利，给甲方造成损失或不良影响的；</w:t>
      </w:r>
    </w:p>
    <w:p w14:paraId="591952BA">
      <w:pPr>
        <w:pStyle w:val="2"/>
        <w:keepNext w:val="0"/>
        <w:keepLines w:val="0"/>
        <w:pageBreakBefore w:val="0"/>
        <w:kinsoku/>
        <w:wordWrap/>
        <w:overflowPunct/>
        <w:topLinePunct w:val="0"/>
        <w:autoSpaceDE/>
        <w:autoSpaceDN/>
        <w:bidi w:val="0"/>
        <w:spacing w:line="480" w:lineRule="exact"/>
        <w:ind w:firstLine="560" w:firstLineChars="200"/>
        <w:rPr>
          <w:rFonts w:hint="default"/>
          <w:lang w:val="en-US" w:eastAsia="zh-CN"/>
        </w:rPr>
      </w:pPr>
      <w:r>
        <w:rPr>
          <w:rFonts w:hint="eastAsia" w:ascii="仿宋_GB2312" w:hAnsi="Times New Roman" w:eastAsia="仿宋_GB2312" w:cs="仿宋_GB2312"/>
          <w:bCs/>
          <w:color w:val="0000FF"/>
          <w:kern w:val="0"/>
          <w:sz w:val="28"/>
          <w:szCs w:val="28"/>
          <w:lang w:val="en-US" w:eastAsia="zh-CN" w:bidi="ar-SA"/>
        </w:rPr>
        <w:t>11.2.6 乙方未按本合同约定为甲方保存、迁移、销毁数据导致甲方数据丢失或泄漏的；</w:t>
      </w:r>
    </w:p>
    <w:p w14:paraId="263D118A">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Times New Roman" w:eastAsia="仿宋_GB2312" w:cs="仿宋_GB2312"/>
          <w:bCs/>
          <w:color w:val="0000FF"/>
          <w:kern w:val="0"/>
          <w:sz w:val="28"/>
          <w:szCs w:val="28"/>
          <w:lang w:val="en-US" w:eastAsia="zh-CN" w:bidi="ar-SA"/>
        </w:rPr>
      </w:pPr>
      <w:r>
        <w:rPr>
          <w:rFonts w:hint="eastAsia" w:ascii="仿宋_GB2312" w:hAnsi="Times New Roman" w:eastAsia="仿宋_GB2312" w:cs="仿宋_GB2312"/>
          <w:bCs/>
          <w:color w:val="0000FF"/>
          <w:kern w:val="0"/>
          <w:sz w:val="28"/>
          <w:szCs w:val="28"/>
          <w:lang w:val="en-US" w:eastAsia="zh-CN" w:bidi="ar-SA"/>
        </w:rPr>
        <w:t>11.2.7 其他根本违约的情形。</w:t>
      </w:r>
    </w:p>
    <w:p w14:paraId="43F2B6E8">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eastAsia" w:ascii="仿宋_GB2312" w:hAnsi="Times New Roman" w:eastAsia="仿宋_GB2312" w:cs="仿宋_GB2312"/>
          <w:b/>
          <w:bCs w:val="0"/>
          <w:color w:val="auto"/>
          <w:kern w:val="0"/>
          <w:sz w:val="28"/>
          <w:szCs w:val="28"/>
          <w:lang w:val="en-US" w:eastAsia="zh-CN" w:bidi="ar-SA"/>
        </w:rPr>
      </w:pPr>
      <w:r>
        <w:rPr>
          <w:rFonts w:hint="eastAsia" w:ascii="仿宋_GB2312" w:eastAsia="仿宋_GB2312" w:cs="仿宋_GB2312"/>
          <w:b/>
          <w:bCs w:val="0"/>
          <w:color w:val="auto"/>
          <w:kern w:val="0"/>
          <w:sz w:val="28"/>
          <w:szCs w:val="28"/>
          <w:lang w:val="en-US" w:eastAsia="zh-CN" w:bidi="ar-SA"/>
        </w:rPr>
        <w:t xml:space="preserve">第十二条 </w:t>
      </w:r>
      <w:r>
        <w:rPr>
          <w:rFonts w:hint="eastAsia" w:ascii="仿宋_GB2312" w:hAnsi="Times New Roman" w:eastAsia="仿宋_GB2312" w:cs="仿宋_GB2312"/>
          <w:b/>
          <w:bCs w:val="0"/>
          <w:color w:val="auto"/>
          <w:kern w:val="0"/>
          <w:sz w:val="28"/>
          <w:szCs w:val="28"/>
          <w:lang w:val="en-US" w:eastAsia="zh-CN" w:bidi="ar-SA"/>
        </w:rPr>
        <w:t>违约责任及免责情形</w:t>
      </w:r>
    </w:p>
    <w:p w14:paraId="31323A2F">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0000FF"/>
          <w:kern w:val="0"/>
          <w:sz w:val="28"/>
          <w:szCs w:val="28"/>
          <w:lang w:val="en-US" w:eastAsia="zh-CN" w:bidi="ar-SA"/>
        </w:rPr>
      </w:pPr>
      <w:r>
        <w:rPr>
          <w:rFonts w:hint="eastAsia" w:ascii="仿宋_GB2312" w:hAnsi="Times New Roman" w:eastAsia="仿宋_GB2312" w:cs="仿宋_GB2312"/>
          <w:bCs/>
          <w:color w:val="0000FF"/>
          <w:kern w:val="0"/>
          <w:sz w:val="28"/>
          <w:szCs w:val="28"/>
          <w:lang w:val="en-US" w:eastAsia="zh-CN" w:bidi="ar-SA"/>
        </w:rPr>
        <w:t>1</w:t>
      </w:r>
      <w:r>
        <w:rPr>
          <w:rFonts w:hint="eastAsia" w:ascii="仿宋_GB2312" w:eastAsia="仿宋_GB2312" w:cs="仿宋_GB2312"/>
          <w:bCs/>
          <w:color w:val="0000FF"/>
          <w:kern w:val="0"/>
          <w:sz w:val="28"/>
          <w:szCs w:val="28"/>
          <w:lang w:val="en-US" w:eastAsia="zh-CN" w:bidi="ar-SA"/>
        </w:rPr>
        <w:t>2</w:t>
      </w:r>
      <w:r>
        <w:rPr>
          <w:rFonts w:hint="eastAsia" w:ascii="仿宋_GB2312" w:hAnsi="Times New Roman" w:eastAsia="仿宋_GB2312" w:cs="仿宋_GB2312"/>
          <w:bCs/>
          <w:color w:val="0000FF"/>
          <w:kern w:val="0"/>
          <w:sz w:val="28"/>
          <w:szCs w:val="28"/>
          <w:lang w:val="en-US" w:eastAsia="zh-CN" w:bidi="ar-SA"/>
        </w:rPr>
        <w:t>.1 如因乙方原因导致本合同软件不能按本合同约定正常使用，每无法正常使用一日，乙方应按合同总价款的千分之三向甲方支付违约金。</w:t>
      </w:r>
    </w:p>
    <w:p w14:paraId="45E3F5AB">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w:t>
      </w: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.2 如乙方</w:t>
      </w:r>
      <w:r>
        <w:rPr>
          <w:rFonts w:hint="eastAsia" w:ascii="仿宋_GB2312" w:hAnsi="Times New Roman" w:eastAsia="仿宋_GB2312" w:cs="仿宋_GB2312"/>
          <w:bCs/>
          <w:color w:val="FF0000"/>
          <w:kern w:val="0"/>
          <w:sz w:val="28"/>
          <w:szCs w:val="28"/>
          <w:lang w:val="en-US" w:eastAsia="zh-CN" w:bidi="ar-SA"/>
        </w:rPr>
        <w:t>未按</w:t>
      </w:r>
      <w:r>
        <w:rPr>
          <w:rFonts w:hint="eastAsia" w:ascii="仿宋_GB2312" w:eastAsia="仿宋_GB2312" w:cs="仿宋_GB2312"/>
          <w:bCs/>
          <w:color w:val="FF0000"/>
          <w:kern w:val="0"/>
          <w:sz w:val="28"/>
          <w:szCs w:val="28"/>
          <w:lang w:val="en-US" w:eastAsia="zh-CN" w:bidi="ar-SA"/>
        </w:rPr>
        <w:t>本合同</w:t>
      </w:r>
      <w:r>
        <w:rPr>
          <w:rFonts w:hint="eastAsia" w:ascii="仿宋_GB2312" w:hAnsi="Times New Roman" w:eastAsia="仿宋_GB2312" w:cs="仿宋_GB2312"/>
          <w:bCs/>
          <w:color w:val="FF0000"/>
          <w:kern w:val="0"/>
          <w:sz w:val="28"/>
          <w:szCs w:val="28"/>
          <w:lang w:val="en-US" w:eastAsia="zh-CN" w:bidi="ar-SA"/>
        </w:rPr>
        <w:t>约定</w:t>
      </w:r>
      <w:r>
        <w:rPr>
          <w:rFonts w:hint="eastAsia" w:ascii="仿宋_GB2312" w:eastAsia="仿宋_GB2312" w:cs="仿宋_GB2312"/>
          <w:bCs/>
          <w:color w:val="FF0000"/>
          <w:kern w:val="0"/>
          <w:sz w:val="28"/>
          <w:szCs w:val="28"/>
          <w:lang w:val="en-US" w:eastAsia="zh-CN" w:bidi="ar-SA"/>
        </w:rPr>
        <w:t>时间提供技术</w:t>
      </w:r>
      <w:r>
        <w:rPr>
          <w:rFonts w:hint="eastAsia" w:ascii="仿宋_GB2312" w:hAnsi="Times New Roman" w:eastAsia="仿宋_GB2312" w:cs="仿宋_GB2312"/>
          <w:bCs/>
          <w:color w:val="auto"/>
          <w:kern w:val="0"/>
          <w:sz w:val="28"/>
          <w:szCs w:val="28"/>
          <w:lang w:val="en-US" w:eastAsia="zh-CN" w:bidi="ar-SA"/>
        </w:rPr>
        <w:t>服务的，每逾期一日，按合同总价款</w:t>
      </w:r>
      <w:r>
        <w:rPr>
          <w:rFonts w:hint="eastAsia" w:ascii="仿宋_GB2312" w:eastAsia="仿宋_GB2312" w:cs="仿宋_GB2312"/>
          <w:bCs/>
          <w:color w:val="auto"/>
          <w:kern w:val="0"/>
          <w:sz w:val="28"/>
          <w:szCs w:val="28"/>
          <w:lang w:val="en-US" w:eastAsia="zh-CN" w:bidi="ar-SA"/>
        </w:rPr>
        <w:t>千</w:t>
      </w:r>
      <w:r>
        <w:rPr>
          <w:rFonts w:hint="eastAsia" w:ascii="仿宋_GB2312" w:hAnsi="Times New Roman" w:eastAsia="仿宋_GB2312" w:cs="仿宋_GB2312"/>
          <w:bCs/>
          <w:color w:val="auto"/>
          <w:kern w:val="0"/>
          <w:sz w:val="28"/>
          <w:szCs w:val="28"/>
          <w:lang w:val="en-US" w:eastAsia="zh-CN" w:bidi="ar-SA"/>
        </w:rPr>
        <w:t>分之三标准支付甲方逾期违约金。</w:t>
      </w:r>
    </w:p>
    <w:p w14:paraId="3DA3CBA3">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w:t>
      </w: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.3 如乙方单方解除合同或甲方因</w:t>
      </w:r>
      <w:r>
        <w:rPr>
          <w:rFonts w:hint="eastAsia" w:ascii="仿宋_GB2312" w:eastAsia="仿宋_GB2312" w:cs="仿宋_GB2312"/>
          <w:bCs/>
          <w:color w:val="0000FF"/>
          <w:kern w:val="0"/>
          <w:sz w:val="28"/>
          <w:szCs w:val="28"/>
          <w:lang w:val="en-US" w:eastAsia="zh-CN" w:bidi="ar-SA"/>
        </w:rPr>
        <w:t>11.2情形</w:t>
      </w:r>
      <w:r>
        <w:rPr>
          <w:rFonts w:hint="eastAsia" w:ascii="仿宋_GB2312" w:hAnsi="Times New Roman" w:eastAsia="仿宋_GB2312" w:cs="仿宋_GB2312"/>
          <w:bCs/>
          <w:color w:val="auto"/>
          <w:kern w:val="0"/>
          <w:sz w:val="28"/>
          <w:szCs w:val="28"/>
          <w:lang w:val="en-US" w:eastAsia="zh-CN" w:bidi="ar-SA"/>
        </w:rPr>
        <w:t>解除合同，乙方应赔偿由此造成甲方的全部经济损失（包括但不限于甲方实际经济损失、可期待利益损失、由此产生的律师费、诉讼费、差旅费等），并按本合同总价款</w:t>
      </w:r>
      <w:r>
        <w:rPr>
          <w:rFonts w:hint="eastAsia" w:ascii="仿宋_GB2312" w:eastAsia="仿宋_GB2312" w:cs="仿宋_GB2312"/>
          <w:bCs/>
          <w:color w:val="0000FF"/>
          <w:kern w:val="0"/>
          <w:sz w:val="28"/>
          <w:szCs w:val="28"/>
          <w:lang w:val="en-US" w:eastAsia="zh-CN" w:bidi="ar-SA"/>
        </w:rPr>
        <w:t>30</w:t>
      </w:r>
      <w:r>
        <w:rPr>
          <w:rFonts w:hint="eastAsia" w:ascii="仿宋_GB2312" w:hAnsi="Times New Roman" w:eastAsia="仿宋_GB2312" w:cs="仿宋_GB2312"/>
          <w:bCs/>
          <w:color w:val="auto"/>
          <w:kern w:val="0"/>
          <w:sz w:val="28"/>
          <w:szCs w:val="28"/>
          <w:lang w:val="en-US" w:eastAsia="zh-CN" w:bidi="ar-SA"/>
        </w:rPr>
        <w:t>%标准支付甲方违约金。</w:t>
      </w:r>
    </w:p>
    <w:p w14:paraId="37D0FE54">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w:t>
      </w: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.4 因不可抗力导致迟延履行的，不承担违约责任，但不可抗力因素消除后应立即继续履行；因不可抗力导致本合同无法继续履行的，经书面通知对方后可以解除合同且不承担违约责任。本款所称“不可抗力”是指不能预见、不能避免或不能克服的客观事件，包括自然灾害如疫情、洪水、火灾、爆炸、雷电、地震和风暴等以及社会事件如战争、动乱、罢工等。</w:t>
      </w:r>
    </w:p>
    <w:p w14:paraId="1AF4B6A0">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eastAsia" w:ascii="仿宋_GB2312" w:hAnsi="Times New Roman" w:eastAsia="仿宋_GB2312" w:cs="仿宋_GB2312"/>
          <w:b/>
          <w:bCs w:val="0"/>
          <w:color w:val="auto"/>
          <w:kern w:val="0"/>
          <w:sz w:val="28"/>
          <w:szCs w:val="28"/>
          <w:u w:val="single"/>
          <w:lang w:val="en-US" w:eastAsia="zh-CN" w:bidi="ar-SA"/>
        </w:rPr>
      </w:pPr>
      <w:r>
        <w:rPr>
          <w:rFonts w:hint="eastAsia" w:ascii="仿宋_GB2312" w:eastAsia="仿宋_GB2312" w:cs="仿宋_GB2312"/>
          <w:b/>
          <w:bCs w:val="0"/>
          <w:color w:val="auto"/>
          <w:kern w:val="0"/>
          <w:sz w:val="28"/>
          <w:szCs w:val="28"/>
          <w:lang w:val="en-US" w:eastAsia="zh-CN" w:bidi="ar-SA"/>
        </w:rPr>
        <w:t xml:space="preserve">12.5 </w:t>
      </w:r>
      <w:r>
        <w:rPr>
          <w:rFonts w:hint="eastAsia" w:ascii="仿宋_GB2312" w:hAnsi="Times New Roman" w:eastAsia="仿宋_GB2312" w:cs="仿宋_GB2312"/>
          <w:b/>
          <w:bCs w:val="0"/>
          <w:color w:val="auto"/>
          <w:kern w:val="0"/>
          <w:sz w:val="28"/>
          <w:szCs w:val="28"/>
          <w:u w:val="single"/>
          <w:lang w:val="en-US" w:eastAsia="zh-CN" w:bidi="ar-SA"/>
        </w:rPr>
        <w:t>无论甲方在任意时候（不限于本合同履行期间）发现存在违反本合同廉洁条款的行为，乙方均须向甲方一次性支付惩罚性违约金33000.00元。如乙方除需承担违反廉洁条款的违约责任外，同时存在其他违约行为，乙方仍须就其他违约行为承担相应违约责任。</w:t>
      </w:r>
    </w:p>
    <w:p w14:paraId="62584EAA">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default" w:ascii="仿宋_GB2312" w:hAnsi="Times New Roman" w:eastAsia="仿宋_GB2312" w:cs="仿宋_GB2312"/>
          <w:b/>
          <w:bCs w:val="0"/>
          <w:color w:val="auto"/>
          <w:kern w:val="0"/>
          <w:sz w:val="28"/>
          <w:szCs w:val="28"/>
          <w:u w:val="single"/>
          <w:lang w:val="en-US" w:eastAsia="zh-CN" w:bidi="ar-SA"/>
        </w:rPr>
      </w:pPr>
      <w:r>
        <w:rPr>
          <w:rFonts w:hint="eastAsia" w:ascii="仿宋_GB2312" w:hAnsi="Times New Roman" w:eastAsia="仿宋_GB2312" w:cs="仿宋_GB2312"/>
          <w:b/>
          <w:bCs w:val="0"/>
          <w:color w:val="auto"/>
          <w:kern w:val="0"/>
          <w:sz w:val="28"/>
          <w:szCs w:val="28"/>
          <w:u w:val="single"/>
          <w:lang w:val="en-US" w:eastAsia="zh-CN" w:bidi="ar-SA"/>
        </w:rPr>
        <w:t>1</w:t>
      </w:r>
      <w:r>
        <w:rPr>
          <w:rFonts w:hint="eastAsia" w:ascii="仿宋_GB2312" w:eastAsia="仿宋_GB2312" w:cs="仿宋_GB2312"/>
          <w:b/>
          <w:bCs w:val="0"/>
          <w:color w:val="auto"/>
          <w:kern w:val="0"/>
          <w:sz w:val="28"/>
          <w:szCs w:val="28"/>
          <w:u w:val="single"/>
          <w:lang w:val="en-US" w:eastAsia="zh-CN" w:bidi="ar-SA"/>
        </w:rPr>
        <w:t>2</w:t>
      </w:r>
      <w:r>
        <w:rPr>
          <w:rFonts w:hint="eastAsia" w:ascii="仿宋_GB2312" w:hAnsi="Times New Roman" w:eastAsia="仿宋_GB2312" w:cs="仿宋_GB2312"/>
          <w:b/>
          <w:bCs w:val="0"/>
          <w:color w:val="auto"/>
          <w:kern w:val="0"/>
          <w:sz w:val="28"/>
          <w:szCs w:val="28"/>
          <w:u w:val="single"/>
          <w:lang w:val="en-US" w:eastAsia="zh-CN" w:bidi="ar-SA"/>
        </w:rPr>
        <w:t>.6 依据本合同约定乙方应支付给甲方的违约金，甲方有权在应支付给乙方的任意价款中直接予以扣除，如扣除部分不足，乙方应在接到甲方通知后3日内补足。</w:t>
      </w:r>
    </w:p>
    <w:p w14:paraId="554BE9EF">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eastAsia" w:ascii="仿宋_GB2312" w:hAnsi="Times New Roman" w:eastAsia="仿宋_GB2312" w:cs="仿宋_GB2312"/>
          <w:b/>
          <w:bCs w:val="0"/>
          <w:color w:val="auto"/>
          <w:kern w:val="0"/>
          <w:sz w:val="28"/>
          <w:szCs w:val="28"/>
          <w:lang w:val="en-US" w:eastAsia="zh-CN" w:bidi="ar-SA"/>
        </w:rPr>
      </w:pPr>
      <w:r>
        <w:rPr>
          <w:rFonts w:hint="eastAsia" w:ascii="仿宋_GB2312" w:eastAsia="仿宋_GB2312" w:cs="仿宋_GB2312"/>
          <w:b/>
          <w:bCs w:val="0"/>
          <w:color w:val="auto"/>
          <w:kern w:val="0"/>
          <w:sz w:val="28"/>
          <w:szCs w:val="28"/>
          <w:lang w:val="en-US" w:eastAsia="zh-CN" w:bidi="ar-SA"/>
        </w:rPr>
        <w:t xml:space="preserve">第十三条 </w:t>
      </w:r>
      <w:r>
        <w:rPr>
          <w:rFonts w:hint="eastAsia" w:ascii="仿宋_GB2312" w:hAnsi="Times New Roman" w:eastAsia="仿宋_GB2312" w:cs="仿宋_GB2312"/>
          <w:b/>
          <w:bCs w:val="0"/>
          <w:color w:val="auto"/>
          <w:kern w:val="0"/>
          <w:sz w:val="28"/>
          <w:szCs w:val="28"/>
          <w:lang w:val="en-US" w:eastAsia="zh-CN" w:bidi="ar-SA"/>
        </w:rPr>
        <w:t>争议解决</w:t>
      </w:r>
    </w:p>
    <w:p w14:paraId="3345C7C6">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如双方在履行本合同过程中发生争议，双方应友好协商解决；协商未果时，任何一方可向甲方住所地有管辖权的人民法院提起诉讼解决。</w:t>
      </w:r>
    </w:p>
    <w:p w14:paraId="059E1AAF">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jc w:val="both"/>
        <w:textAlignment w:val="auto"/>
        <w:rPr>
          <w:rFonts w:hint="default" w:ascii="仿宋_GB2312" w:hAnsi="Times New Roman" w:eastAsia="仿宋_GB2312" w:cs="仿宋_GB2312"/>
          <w:b/>
          <w:bCs w:val="0"/>
          <w:color w:val="auto"/>
          <w:kern w:val="0"/>
          <w:sz w:val="28"/>
          <w:szCs w:val="28"/>
          <w:lang w:val="en-US" w:eastAsia="zh-CN" w:bidi="ar-SA"/>
        </w:rPr>
      </w:pPr>
      <w:r>
        <w:rPr>
          <w:rFonts w:hint="eastAsia" w:ascii="仿宋_GB2312" w:eastAsia="仿宋_GB2312" w:cs="仿宋_GB2312"/>
          <w:b/>
          <w:bCs w:val="0"/>
          <w:color w:val="auto"/>
          <w:kern w:val="0"/>
          <w:sz w:val="28"/>
          <w:szCs w:val="28"/>
          <w:lang w:val="en-US" w:eastAsia="zh-CN" w:bidi="ar-SA"/>
        </w:rPr>
        <w:t>第十四条 附则</w:t>
      </w:r>
    </w:p>
    <w:p w14:paraId="4A28229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w:t>
      </w: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w:t>
      </w:r>
      <w:r>
        <w:rPr>
          <w:rFonts w:hint="eastAsia" w:ascii="仿宋_GB2312" w:eastAsia="仿宋_GB2312" w:cs="仿宋_GB2312"/>
          <w:bCs/>
          <w:color w:val="auto"/>
          <w:kern w:val="0"/>
          <w:sz w:val="28"/>
          <w:szCs w:val="28"/>
          <w:lang w:val="en-US" w:eastAsia="zh-CN" w:bidi="ar-SA"/>
        </w:rPr>
        <w:t>1</w:t>
      </w:r>
      <w:r>
        <w:rPr>
          <w:rFonts w:hint="eastAsia" w:ascii="仿宋_GB2312" w:hAnsi="Times New Roman" w:eastAsia="仿宋_GB2312" w:cs="仿宋_GB2312"/>
          <w:bCs/>
          <w:color w:val="auto"/>
          <w:kern w:val="0"/>
          <w:sz w:val="28"/>
          <w:szCs w:val="28"/>
          <w:lang w:val="en-US" w:eastAsia="zh-CN" w:bidi="ar-SA"/>
        </w:rPr>
        <w:t xml:space="preserve"> 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3888F138">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w:t>
      </w:r>
      <w:r>
        <w:rPr>
          <w:rFonts w:hint="eastAsia" w:ascii="仿宋_GB2312" w:eastAsia="仿宋_GB2312" w:cs="仿宋_GB2312"/>
          <w:bCs/>
          <w:color w:val="auto"/>
          <w:kern w:val="0"/>
          <w:sz w:val="28"/>
          <w:szCs w:val="28"/>
          <w:lang w:val="en-US" w:eastAsia="zh-CN" w:bidi="ar-SA"/>
        </w:rPr>
        <w:t>4.2</w:t>
      </w:r>
      <w:r>
        <w:rPr>
          <w:rFonts w:hint="eastAsia" w:ascii="仿宋_GB2312" w:hAnsi="Times New Roman" w:eastAsia="仿宋_GB2312" w:cs="仿宋_GB2312"/>
          <w:bCs/>
          <w:color w:val="auto"/>
          <w:kern w:val="0"/>
          <w:sz w:val="28"/>
          <w:szCs w:val="28"/>
          <w:lang w:val="en-US" w:eastAsia="zh-CN" w:bidi="ar-SA"/>
        </w:rPr>
        <w:t xml:space="preserve"> 本合同一式伍份，甲方执</w:t>
      </w:r>
      <w:r>
        <w:rPr>
          <w:rFonts w:hint="eastAsia" w:ascii="仿宋_GB2312" w:eastAsia="仿宋_GB2312" w:cs="仿宋_GB2312"/>
          <w:bCs/>
          <w:color w:val="auto"/>
          <w:kern w:val="0"/>
          <w:sz w:val="28"/>
          <w:szCs w:val="28"/>
          <w:lang w:val="en-US" w:eastAsia="zh-CN" w:bidi="ar-SA"/>
        </w:rPr>
        <w:t>肆</w:t>
      </w:r>
      <w:r>
        <w:rPr>
          <w:rFonts w:hint="eastAsia" w:ascii="仿宋_GB2312" w:hAnsi="Times New Roman" w:eastAsia="仿宋_GB2312" w:cs="仿宋_GB2312"/>
          <w:bCs/>
          <w:color w:val="auto"/>
          <w:kern w:val="0"/>
          <w:sz w:val="28"/>
          <w:szCs w:val="28"/>
          <w:lang w:val="en-US" w:eastAsia="zh-CN" w:bidi="ar-SA"/>
        </w:rPr>
        <w:t>份、乙方执</w:t>
      </w:r>
      <w:r>
        <w:rPr>
          <w:rFonts w:hint="eastAsia" w:ascii="仿宋_GB2312" w:eastAsia="仿宋_GB2312" w:cs="仿宋_GB2312"/>
          <w:bCs/>
          <w:color w:val="auto"/>
          <w:kern w:val="0"/>
          <w:sz w:val="28"/>
          <w:szCs w:val="28"/>
          <w:lang w:val="en-US" w:eastAsia="zh-CN" w:bidi="ar-SA"/>
        </w:rPr>
        <w:t>壹</w:t>
      </w:r>
      <w:r>
        <w:rPr>
          <w:rFonts w:hint="eastAsia" w:ascii="仿宋_GB2312" w:hAnsi="Times New Roman" w:eastAsia="仿宋_GB2312" w:cs="仿宋_GB2312"/>
          <w:bCs/>
          <w:color w:val="auto"/>
          <w:kern w:val="0"/>
          <w:sz w:val="28"/>
          <w:szCs w:val="28"/>
          <w:lang w:val="en-US" w:eastAsia="zh-CN" w:bidi="ar-SA"/>
        </w:rPr>
        <w:t>份，自双方签字并盖章之日起生效。</w:t>
      </w:r>
    </w:p>
    <w:p w14:paraId="11CE9A9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Times New Roman" w:eastAsia="仿宋_GB2312" w:cs="仿宋_GB2312"/>
          <w:bCs/>
          <w:color w:val="auto"/>
          <w:kern w:val="0"/>
          <w:sz w:val="28"/>
          <w:szCs w:val="28"/>
          <w:lang w:val="en-US" w:eastAsia="zh-CN" w:bidi="ar-SA"/>
        </w:rPr>
      </w:pPr>
    </w:p>
    <w:p w14:paraId="518DD004">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甲方（盖章）：娄底市中心医院   乙方（盖章）：　　　　      </w:t>
      </w:r>
    </w:p>
    <w:p w14:paraId="0809A41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Times New Roman" w:eastAsia="仿宋_GB2312" w:cs="仿宋_GB2312"/>
          <w:bCs/>
          <w:color w:val="auto"/>
          <w:kern w:val="0"/>
          <w:sz w:val="28"/>
          <w:szCs w:val="28"/>
          <w:lang w:val="en-US" w:eastAsia="zh-CN" w:bidi="ar-SA"/>
        </w:rPr>
      </w:pPr>
    </w:p>
    <w:p w14:paraId="31DA5C2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法定代表人（签名）：　　　　   法定代表人（签名）：</w:t>
      </w:r>
    </w:p>
    <w:p w14:paraId="30CF10A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Times New Roman" w:eastAsia="仿宋_GB2312" w:cs="仿宋_GB2312"/>
          <w:bCs/>
          <w:color w:val="auto"/>
          <w:kern w:val="0"/>
          <w:sz w:val="28"/>
          <w:szCs w:val="28"/>
          <w:lang w:val="en-US" w:eastAsia="zh-CN" w:bidi="ar-SA"/>
        </w:rPr>
      </w:pPr>
    </w:p>
    <w:p w14:paraId="1890CE4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或委托代理人（签名）：         或委托代理人（签名）：                              </w:t>
      </w:r>
    </w:p>
    <w:p w14:paraId="676B9DA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Times New Roman" w:eastAsia="仿宋_GB2312" w:cs="仿宋_GB2312"/>
          <w:bCs/>
          <w:color w:val="auto"/>
          <w:kern w:val="0"/>
          <w:sz w:val="28"/>
          <w:szCs w:val="28"/>
          <w:lang w:val="en-US" w:eastAsia="zh-CN" w:bidi="ar-SA"/>
        </w:rPr>
      </w:pPr>
    </w:p>
    <w:p w14:paraId="4920CB9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合同签订地：娄底市娄星区       签订日期：</w:t>
      </w:r>
      <w:r>
        <w:rPr>
          <w:rFonts w:hint="eastAsia" w:ascii="仿宋_GB2312" w:eastAsia="仿宋_GB2312" w:cs="仿宋_GB2312"/>
          <w:bCs/>
          <w:color w:val="auto"/>
          <w:kern w:val="0"/>
          <w:sz w:val="28"/>
          <w:szCs w:val="28"/>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年   月   日</w:t>
      </w:r>
    </w:p>
    <w:p w14:paraId="4D0ABACC">
      <w:pPr>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br w:type="page"/>
      </w:r>
    </w:p>
    <w:p w14:paraId="4A2D5E06">
      <w:pPr>
        <w:pStyle w:val="8"/>
        <w:ind w:left="0" w:leftChars="0" w:firstLine="0" w:firstLineChars="0"/>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附件</w:t>
      </w:r>
    </w:p>
    <w:p w14:paraId="5AB1259B">
      <w:pPr>
        <w:pStyle w:val="8"/>
        <w:ind w:left="0" w:leftChars="0" w:firstLine="0" w:firstLineChars="0"/>
        <w:rPr>
          <w:rFonts w:hint="default"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参数详情</w:t>
      </w:r>
    </w:p>
    <w:tbl>
      <w:tblPr>
        <w:tblStyle w:val="17"/>
        <w:tblW w:w="9962"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506"/>
      </w:tblGrid>
      <w:tr w14:paraId="6610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0" w:type="auto"/>
            <w:vAlign w:val="center"/>
          </w:tcPr>
          <w:p w14:paraId="02433028">
            <w:pPr>
              <w:snapToGrid w:val="0"/>
              <w:jc w:val="center"/>
              <w:rPr>
                <w:rFonts w:hint="eastAsia" w:ascii="楷体" w:hAnsi="楷体" w:eastAsia="楷体" w:cs="楷体"/>
                <w:bCs/>
                <w:sz w:val="24"/>
                <w:szCs w:val="24"/>
              </w:rPr>
            </w:pPr>
            <w:r>
              <w:rPr>
                <w:rFonts w:hint="eastAsia" w:ascii="楷体" w:hAnsi="楷体" w:eastAsia="楷体" w:cs="楷体"/>
                <w:bCs/>
                <w:sz w:val="24"/>
                <w:szCs w:val="24"/>
              </w:rPr>
              <w:t>1</w:t>
            </w:r>
          </w:p>
        </w:tc>
        <w:tc>
          <w:tcPr>
            <w:tcW w:w="9506" w:type="dxa"/>
            <w:vAlign w:val="center"/>
          </w:tcPr>
          <w:p w14:paraId="669B120C">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提供</w:t>
            </w:r>
            <w:r>
              <w:rPr>
                <w:rFonts w:hint="eastAsia" w:ascii="楷体" w:hAnsi="楷体" w:eastAsia="楷体" w:cs="楷体"/>
                <w:bCs/>
                <w:sz w:val="24"/>
                <w:szCs w:val="24"/>
                <w:highlight w:val="none"/>
                <w:u w:val="single"/>
                <w:shd w:val="clear" w:color="auto" w:fill="auto"/>
                <w:lang w:val="en-US" w:eastAsia="zh-CN"/>
              </w:rPr>
              <w:t>1900</w:t>
            </w:r>
            <w:r>
              <w:rPr>
                <w:rFonts w:hint="eastAsia" w:ascii="楷体" w:hAnsi="楷体" w:eastAsia="楷体" w:cs="楷体"/>
                <w:bCs/>
                <w:sz w:val="24"/>
                <w:szCs w:val="24"/>
                <w:highlight w:val="none"/>
                <w:shd w:val="clear" w:color="auto" w:fill="auto"/>
              </w:rPr>
              <w:t>点</w:t>
            </w:r>
            <w:r>
              <w:rPr>
                <w:rFonts w:hint="eastAsia" w:ascii="楷体" w:hAnsi="楷体" w:eastAsia="楷体" w:cs="楷体"/>
                <w:bCs/>
                <w:sz w:val="24"/>
                <w:szCs w:val="24"/>
                <w:highlight w:val="none"/>
                <w:shd w:val="clear" w:color="auto" w:fill="auto"/>
                <w:lang w:val="en-US" w:eastAsia="zh-CN"/>
              </w:rPr>
              <w:t>windows加</w:t>
            </w:r>
            <w:r>
              <w:rPr>
                <w:rFonts w:hint="eastAsia" w:ascii="楷体" w:hAnsi="楷体" w:eastAsia="楷体" w:cs="楷体"/>
                <w:bCs/>
                <w:sz w:val="24"/>
                <w:szCs w:val="24"/>
                <w:highlight w:val="none"/>
                <w:u w:val="single"/>
                <w:shd w:val="clear" w:color="auto" w:fill="auto"/>
                <w:lang w:val="en-US" w:eastAsia="zh-CN"/>
              </w:rPr>
              <w:t>100</w:t>
            </w:r>
            <w:r>
              <w:rPr>
                <w:rFonts w:hint="eastAsia" w:ascii="楷体" w:hAnsi="楷体" w:eastAsia="楷体" w:cs="楷体"/>
                <w:bCs/>
                <w:sz w:val="24"/>
                <w:szCs w:val="24"/>
                <w:lang w:val="en-US" w:eastAsia="zh-CN"/>
              </w:rPr>
              <w:t>点国产化操作系统</w:t>
            </w:r>
            <w:r>
              <w:rPr>
                <w:rFonts w:hint="eastAsia" w:ascii="楷体" w:hAnsi="楷体" w:eastAsia="楷体" w:cs="楷体"/>
                <w:bCs/>
                <w:sz w:val="24"/>
                <w:szCs w:val="24"/>
              </w:rPr>
              <w:t>授权</w:t>
            </w:r>
            <w:r>
              <w:rPr>
                <w:rFonts w:hint="eastAsia" w:ascii="楷体" w:hAnsi="楷体" w:eastAsia="楷体" w:cs="楷体"/>
                <w:bCs/>
                <w:sz w:val="24"/>
                <w:szCs w:val="24"/>
                <w:lang w:val="en-US" w:eastAsia="zh-CN"/>
              </w:rPr>
              <w:t>和终端PC软件安装</w:t>
            </w:r>
            <w:r>
              <w:rPr>
                <w:rFonts w:hint="eastAsia" w:ascii="楷体" w:hAnsi="楷体" w:eastAsia="楷体" w:cs="楷体"/>
                <w:bCs/>
                <w:sz w:val="24"/>
                <w:szCs w:val="24"/>
              </w:rPr>
              <w:t>服务，支持一个授权多院区使用，可随时调整每个院区所需要的授权数无须经厂商重新发送授权文件以降低医院使用成本。提供最新杀毒版本号，包含三年免费版本升级、病毒库升级以及原厂售后服务。系统如发生故障，（如病毒库无法更新、控制台打不开、闪退等）10分钟内响应，电话指导无法解决时工程师需2小时内到达现场进行故障处理。软件必须为原厂官网直接使用授权信息登陆并确认被授权单位为我单位全称，不接受其他类似单位名称或投标人名称等任何非我单位全称的授权，产品验收时现场拨打品牌官方“400/800”服务电话，核对授权码，查询验证配置信息，不接受400/800查询不到信息的产品或授权，并在原厂官网登陆验证正版授权。</w:t>
            </w:r>
          </w:p>
        </w:tc>
      </w:tr>
      <w:tr w14:paraId="7B87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6A5B6BD">
            <w:pPr>
              <w:snapToGrid w:val="0"/>
              <w:jc w:val="center"/>
              <w:rPr>
                <w:rFonts w:hint="eastAsia" w:ascii="楷体" w:hAnsi="楷体" w:eastAsia="楷体" w:cs="楷体"/>
                <w:bCs/>
                <w:sz w:val="24"/>
                <w:szCs w:val="24"/>
              </w:rPr>
            </w:pPr>
            <w:r>
              <w:rPr>
                <w:rFonts w:hint="eastAsia" w:ascii="楷体" w:hAnsi="楷体" w:eastAsia="楷体" w:cs="楷体"/>
                <w:bCs/>
                <w:sz w:val="24"/>
                <w:szCs w:val="24"/>
              </w:rPr>
              <w:t>2</w:t>
            </w:r>
          </w:p>
        </w:tc>
        <w:tc>
          <w:tcPr>
            <w:tcW w:w="9506" w:type="dxa"/>
            <w:vAlign w:val="center"/>
          </w:tcPr>
          <w:p w14:paraId="6E6032BF">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 xml:space="preserve">控制中心支持 Windows Server 2008 R2及以上版本， Windows 7及以上版本， Ubuntu 16.04/ Ubuntu 22.04/ CentOS 7/ CentOS 8 / RedHat6.1/openSUSE 15 / UOS-20（统信）/ Kylin-v10-sp1 </w:t>
            </w:r>
            <w:r>
              <w:rPr>
                <w:rFonts w:hint="eastAsia" w:ascii="楷体" w:hAnsi="楷体" w:eastAsia="楷体" w:cs="楷体"/>
                <w:bCs/>
                <w:sz w:val="24"/>
                <w:szCs w:val="24"/>
                <w:lang w:eastAsia="zh-CN"/>
              </w:rPr>
              <w:t>（</w:t>
            </w:r>
            <w:r>
              <w:rPr>
                <w:rFonts w:hint="eastAsia" w:ascii="楷体" w:hAnsi="楷体" w:eastAsia="楷体" w:cs="楷体"/>
                <w:bCs/>
                <w:sz w:val="24"/>
                <w:szCs w:val="24"/>
              </w:rPr>
              <w:t>麒麟)等。</w:t>
            </w:r>
          </w:p>
        </w:tc>
      </w:tr>
      <w:tr w14:paraId="4409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EBE6C1C">
            <w:pPr>
              <w:snapToGrid w:val="0"/>
              <w:jc w:val="center"/>
              <w:rPr>
                <w:rFonts w:hint="eastAsia" w:ascii="楷体" w:hAnsi="楷体" w:eastAsia="楷体" w:cs="楷体"/>
                <w:bCs/>
                <w:sz w:val="24"/>
                <w:szCs w:val="24"/>
              </w:rPr>
            </w:pPr>
            <w:r>
              <w:rPr>
                <w:rFonts w:hint="eastAsia" w:ascii="楷体" w:hAnsi="楷体" w:eastAsia="楷体" w:cs="楷体"/>
                <w:bCs/>
                <w:sz w:val="24"/>
                <w:szCs w:val="24"/>
              </w:rPr>
              <w:t>3</w:t>
            </w:r>
          </w:p>
        </w:tc>
        <w:tc>
          <w:tcPr>
            <w:tcW w:w="9506" w:type="dxa"/>
            <w:vAlign w:val="center"/>
          </w:tcPr>
          <w:p w14:paraId="0A463FC6">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客户端支持Windows Server 2003 SP1及以上版本 / Windows XP（SP3）/ Windows Vista / Windows 7及以上版本、Linux终端需支持Ubuntu\SUSE\统信UOS\银河麒麟\中科红旗\优麒麟\深度\龙芯等。</w:t>
            </w:r>
          </w:p>
        </w:tc>
      </w:tr>
      <w:tr w14:paraId="3B71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3128CE42">
            <w:pPr>
              <w:snapToGrid w:val="0"/>
              <w:jc w:val="center"/>
              <w:rPr>
                <w:rFonts w:hint="eastAsia" w:ascii="楷体" w:hAnsi="楷体" w:eastAsia="楷体" w:cs="楷体"/>
                <w:bCs/>
                <w:sz w:val="24"/>
                <w:szCs w:val="24"/>
              </w:rPr>
            </w:pPr>
            <w:r>
              <w:rPr>
                <w:rFonts w:hint="eastAsia" w:ascii="楷体" w:hAnsi="楷体" w:eastAsia="楷体" w:cs="楷体"/>
                <w:bCs/>
                <w:sz w:val="24"/>
                <w:szCs w:val="24"/>
              </w:rPr>
              <w:t>4</w:t>
            </w:r>
          </w:p>
        </w:tc>
        <w:tc>
          <w:tcPr>
            <w:tcW w:w="9506" w:type="dxa"/>
            <w:vAlign w:val="center"/>
          </w:tcPr>
          <w:p w14:paraId="057D855C">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控制中心可展示全网终端安全概览：终端在线数量、防御事件、最新安全动态、CPU使用率、内存使用率、磁盘占用率、网络流量使用状况，终端操作系统概览等。</w:t>
            </w:r>
          </w:p>
        </w:tc>
      </w:tr>
      <w:tr w14:paraId="1DB0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6681414">
            <w:pPr>
              <w:snapToGrid w:val="0"/>
              <w:jc w:val="center"/>
              <w:rPr>
                <w:rFonts w:hint="eastAsia" w:ascii="楷体" w:hAnsi="楷体" w:eastAsia="楷体" w:cs="楷体"/>
                <w:bCs/>
                <w:sz w:val="24"/>
                <w:szCs w:val="24"/>
              </w:rPr>
            </w:pPr>
            <w:r>
              <w:rPr>
                <w:rFonts w:hint="eastAsia" w:ascii="楷体" w:hAnsi="楷体" w:eastAsia="楷体" w:cs="楷体"/>
                <w:bCs/>
                <w:sz w:val="24"/>
                <w:szCs w:val="24"/>
              </w:rPr>
              <w:t>5</w:t>
            </w:r>
          </w:p>
        </w:tc>
        <w:tc>
          <w:tcPr>
            <w:tcW w:w="9506" w:type="dxa"/>
            <w:vAlign w:val="center"/>
          </w:tcPr>
          <w:p w14:paraId="31D6EF8D">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控制中心可启用SysLog日志导出功能，支持导出安全日志、升级日志、漏洞修复日志等。</w:t>
            </w:r>
          </w:p>
        </w:tc>
      </w:tr>
      <w:tr w14:paraId="5889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F20D88D">
            <w:pPr>
              <w:snapToGrid w:val="0"/>
              <w:jc w:val="center"/>
              <w:rPr>
                <w:rFonts w:hint="eastAsia" w:ascii="楷体" w:hAnsi="楷体" w:eastAsia="楷体" w:cs="楷体"/>
                <w:bCs/>
                <w:sz w:val="24"/>
                <w:szCs w:val="24"/>
              </w:rPr>
            </w:pPr>
            <w:r>
              <w:rPr>
                <w:rFonts w:hint="eastAsia" w:ascii="楷体" w:hAnsi="楷体" w:eastAsia="楷体" w:cs="楷体"/>
                <w:bCs/>
                <w:sz w:val="24"/>
                <w:szCs w:val="24"/>
              </w:rPr>
              <w:t>6</w:t>
            </w:r>
          </w:p>
        </w:tc>
        <w:tc>
          <w:tcPr>
            <w:tcW w:w="9506" w:type="dxa"/>
            <w:vAlign w:val="center"/>
          </w:tcPr>
          <w:p w14:paraId="4A2069D8">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控制中心可配置全局信任区可通过信任文件路径、信任文件校验和方法添加信任文件以及添加信任网址，对信任文件可信任该文件发起的动作。</w:t>
            </w:r>
          </w:p>
        </w:tc>
      </w:tr>
      <w:tr w14:paraId="6DD6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2B5CD3E3">
            <w:pPr>
              <w:snapToGrid w:val="0"/>
              <w:jc w:val="center"/>
              <w:rPr>
                <w:rFonts w:hint="eastAsia" w:ascii="楷体" w:hAnsi="楷体" w:eastAsia="楷体" w:cs="楷体"/>
                <w:bCs/>
                <w:sz w:val="24"/>
                <w:szCs w:val="24"/>
              </w:rPr>
            </w:pPr>
            <w:r>
              <w:rPr>
                <w:rFonts w:hint="eastAsia" w:ascii="楷体" w:hAnsi="楷体" w:eastAsia="楷体" w:cs="楷体"/>
                <w:bCs/>
                <w:sz w:val="24"/>
                <w:szCs w:val="24"/>
              </w:rPr>
              <w:t>7</w:t>
            </w:r>
          </w:p>
        </w:tc>
        <w:tc>
          <w:tcPr>
            <w:tcW w:w="9506" w:type="dxa"/>
            <w:vAlign w:val="center"/>
          </w:tcPr>
          <w:p w14:paraId="233971F9">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控制中心可按照不同分组创建管理员且管理权限可按模块划分，控制中心服务端无操作自动登出设置，防止管理后台闲置时自动退出，避免频繁登录，支持管理员接收邮件预警。</w:t>
            </w:r>
          </w:p>
        </w:tc>
      </w:tr>
      <w:tr w14:paraId="7996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DA41553">
            <w:pPr>
              <w:snapToGrid w:val="0"/>
              <w:jc w:val="center"/>
              <w:rPr>
                <w:rFonts w:hint="eastAsia" w:ascii="楷体" w:hAnsi="楷体" w:eastAsia="楷体" w:cs="楷体"/>
                <w:bCs/>
                <w:sz w:val="24"/>
                <w:szCs w:val="24"/>
              </w:rPr>
            </w:pPr>
            <w:r>
              <w:rPr>
                <w:rFonts w:hint="eastAsia" w:ascii="楷体" w:hAnsi="楷体" w:eastAsia="楷体" w:cs="楷体"/>
                <w:bCs/>
                <w:sz w:val="24"/>
                <w:szCs w:val="24"/>
              </w:rPr>
              <w:t>8</w:t>
            </w:r>
          </w:p>
        </w:tc>
        <w:tc>
          <w:tcPr>
            <w:tcW w:w="9506" w:type="dxa"/>
            <w:vAlign w:val="center"/>
          </w:tcPr>
          <w:p w14:paraId="2AD2F1E3">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控制中心具有安全自保性，支持设置管理员密码防止终端更改策略、退出；防卸载密码防止客户端自行卸载。</w:t>
            </w:r>
          </w:p>
        </w:tc>
      </w:tr>
      <w:tr w14:paraId="0ACE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510DB68C">
            <w:pPr>
              <w:snapToGrid w:val="0"/>
              <w:jc w:val="center"/>
              <w:rPr>
                <w:rFonts w:hint="eastAsia" w:ascii="楷体" w:hAnsi="楷体" w:eastAsia="楷体" w:cs="楷体"/>
                <w:bCs/>
                <w:sz w:val="24"/>
                <w:szCs w:val="24"/>
              </w:rPr>
            </w:pPr>
            <w:r>
              <w:rPr>
                <w:rFonts w:hint="eastAsia" w:ascii="楷体" w:hAnsi="楷体" w:eastAsia="楷体" w:cs="楷体"/>
                <w:bCs/>
                <w:sz w:val="24"/>
                <w:szCs w:val="24"/>
              </w:rPr>
              <w:t>9</w:t>
            </w:r>
          </w:p>
        </w:tc>
        <w:tc>
          <w:tcPr>
            <w:tcW w:w="9506" w:type="dxa"/>
            <w:vAlign w:val="center"/>
          </w:tcPr>
          <w:p w14:paraId="1620FE77">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控制中心服务端远程桌面任务时可强制终端应答，不需要终端同意。</w:t>
            </w:r>
          </w:p>
        </w:tc>
      </w:tr>
      <w:tr w14:paraId="7B64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3C9D3340">
            <w:pPr>
              <w:snapToGrid w:val="0"/>
              <w:jc w:val="center"/>
              <w:rPr>
                <w:rFonts w:hint="eastAsia" w:ascii="楷体" w:hAnsi="楷体" w:eastAsia="楷体" w:cs="楷体"/>
                <w:bCs/>
                <w:sz w:val="24"/>
                <w:szCs w:val="24"/>
              </w:rPr>
            </w:pPr>
            <w:r>
              <w:rPr>
                <w:rFonts w:hint="eastAsia" w:ascii="楷体" w:hAnsi="楷体" w:eastAsia="楷体" w:cs="楷体"/>
                <w:bCs/>
                <w:sz w:val="24"/>
                <w:szCs w:val="24"/>
              </w:rPr>
              <w:t>10</w:t>
            </w:r>
          </w:p>
        </w:tc>
        <w:tc>
          <w:tcPr>
            <w:tcW w:w="9506" w:type="dxa"/>
            <w:vAlign w:val="center"/>
          </w:tcPr>
          <w:p w14:paraId="75C400ED">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控制中心可按全网统计软件安装情况，包括软件名称、发布者、版本号、安装率；可对全网推送软件卸载任务且支持导出软件清单，按终端、按分组统计软件安装情况，可推送卸载任务。</w:t>
            </w:r>
          </w:p>
        </w:tc>
      </w:tr>
      <w:tr w14:paraId="62A9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5B792108">
            <w:pPr>
              <w:snapToGrid w:val="0"/>
              <w:jc w:val="center"/>
              <w:rPr>
                <w:rFonts w:hint="eastAsia" w:ascii="楷体" w:hAnsi="楷体" w:eastAsia="楷体" w:cs="楷体"/>
                <w:bCs/>
                <w:sz w:val="24"/>
                <w:szCs w:val="24"/>
              </w:rPr>
            </w:pPr>
            <w:r>
              <w:rPr>
                <w:rFonts w:hint="eastAsia" w:ascii="楷体" w:hAnsi="楷体" w:eastAsia="楷体" w:cs="楷体"/>
                <w:bCs/>
                <w:sz w:val="24"/>
                <w:szCs w:val="24"/>
              </w:rPr>
              <w:t>11</w:t>
            </w:r>
          </w:p>
        </w:tc>
        <w:tc>
          <w:tcPr>
            <w:tcW w:w="9506" w:type="dxa"/>
            <w:vAlign w:val="center"/>
          </w:tcPr>
          <w:p w14:paraId="50F5040D">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控制中心可统计终端操作系统版本信息、安装时间、激活状态且具有操作系统占比可视化数据图。支持已安装的终端</w:t>
            </w:r>
            <w:r>
              <w:rPr>
                <w:rFonts w:hint="eastAsia" w:ascii="楷体" w:hAnsi="楷体" w:eastAsia="楷体" w:cs="楷体"/>
                <w:bCs/>
                <w:sz w:val="24"/>
                <w:szCs w:val="24"/>
                <w:lang w:eastAsia="zh-CN"/>
              </w:rPr>
              <w:t>（</w:t>
            </w:r>
            <w:r>
              <w:rPr>
                <w:rFonts w:hint="eastAsia" w:ascii="楷体" w:hAnsi="楷体" w:eastAsia="楷体" w:cs="楷体"/>
                <w:bCs/>
                <w:sz w:val="24"/>
                <w:szCs w:val="24"/>
              </w:rPr>
              <w:t>Windows、Linux、Mac0s)对网段内进行扫描发现未安装杀软的终端，并支持导出扫描结果。</w:t>
            </w:r>
          </w:p>
        </w:tc>
      </w:tr>
      <w:tr w14:paraId="56ED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204C727">
            <w:pPr>
              <w:snapToGrid w:val="0"/>
              <w:jc w:val="center"/>
              <w:rPr>
                <w:rFonts w:hint="eastAsia" w:ascii="楷体" w:hAnsi="楷体" w:eastAsia="楷体" w:cs="楷体"/>
                <w:bCs/>
                <w:sz w:val="24"/>
                <w:szCs w:val="24"/>
              </w:rPr>
            </w:pPr>
            <w:r>
              <w:rPr>
                <w:rFonts w:hint="eastAsia" w:ascii="楷体" w:hAnsi="楷体" w:eastAsia="楷体" w:cs="楷体"/>
                <w:bCs/>
                <w:sz w:val="24"/>
                <w:szCs w:val="24"/>
              </w:rPr>
              <w:t>12</w:t>
            </w:r>
          </w:p>
        </w:tc>
        <w:tc>
          <w:tcPr>
            <w:tcW w:w="9506" w:type="dxa"/>
            <w:vAlign w:val="center"/>
          </w:tcPr>
          <w:p w14:paraId="5C58D4EB">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控制中心可统计终端硬件信息包括CPU、内存、硬盘、网卡、显卡、主板且支持硬件清单导出，支持全网终端硬件变更历史记录包括变更时间、变更硬件、操作。</w:t>
            </w:r>
          </w:p>
        </w:tc>
      </w:tr>
      <w:tr w14:paraId="49E4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63D461F0">
            <w:pPr>
              <w:snapToGrid w:val="0"/>
              <w:jc w:val="center"/>
              <w:rPr>
                <w:rFonts w:hint="eastAsia" w:ascii="楷体" w:hAnsi="楷体" w:eastAsia="楷体" w:cs="楷体"/>
                <w:bCs/>
                <w:sz w:val="24"/>
                <w:szCs w:val="24"/>
              </w:rPr>
            </w:pPr>
            <w:r>
              <w:rPr>
                <w:rFonts w:hint="eastAsia" w:ascii="楷体" w:hAnsi="楷体" w:eastAsia="楷体" w:cs="楷体"/>
                <w:bCs/>
                <w:sz w:val="24"/>
                <w:szCs w:val="24"/>
              </w:rPr>
              <w:t>13</w:t>
            </w:r>
          </w:p>
        </w:tc>
        <w:tc>
          <w:tcPr>
            <w:tcW w:w="9506" w:type="dxa"/>
            <w:vAlign w:val="center"/>
          </w:tcPr>
          <w:p w14:paraId="65BE2028">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控制中心支持展示终端基本信息：终端名称、计算机名称、本地IP、通信IP、MAC地址、终端类型、操作系统版本、病毒库版本、终端版本、上线时间等。</w:t>
            </w:r>
          </w:p>
        </w:tc>
      </w:tr>
      <w:tr w14:paraId="588E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6131D4E9">
            <w:pPr>
              <w:snapToGrid w:val="0"/>
              <w:jc w:val="center"/>
              <w:rPr>
                <w:rFonts w:hint="eastAsia" w:ascii="楷体" w:hAnsi="楷体" w:eastAsia="楷体" w:cs="楷体"/>
                <w:bCs/>
                <w:sz w:val="24"/>
                <w:szCs w:val="24"/>
              </w:rPr>
            </w:pPr>
            <w:r>
              <w:rPr>
                <w:rFonts w:hint="eastAsia" w:ascii="楷体" w:hAnsi="楷体" w:eastAsia="楷体" w:cs="楷体"/>
                <w:bCs/>
                <w:sz w:val="24"/>
                <w:szCs w:val="24"/>
              </w:rPr>
              <w:t>14</w:t>
            </w:r>
          </w:p>
        </w:tc>
        <w:tc>
          <w:tcPr>
            <w:tcW w:w="9506" w:type="dxa"/>
            <w:vAlign w:val="center"/>
          </w:tcPr>
          <w:p w14:paraId="4FC1CACE">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windows客户端当文件被执行、生成、访问时，可以对相应文件进行扫描。</w:t>
            </w:r>
            <w:r>
              <w:rPr>
                <w:rFonts w:hint="eastAsia" w:ascii="楷体" w:hAnsi="楷体" w:eastAsia="楷体" w:cs="楷体"/>
                <w:bCs/>
                <w:color w:val="FF0000"/>
                <w:sz w:val="24"/>
                <w:szCs w:val="24"/>
                <w:lang w:eastAsia="zh-CN"/>
              </w:rPr>
              <w:t>甲方</w:t>
            </w:r>
            <w:r>
              <w:rPr>
                <w:rFonts w:hint="eastAsia" w:ascii="楷体" w:hAnsi="楷体" w:eastAsia="楷体" w:cs="楷体"/>
                <w:bCs/>
                <w:sz w:val="24"/>
                <w:szCs w:val="24"/>
              </w:rPr>
              <w:t>可以根据自己需求配置不同的扫描策略，包括扫描时机等。</w:t>
            </w:r>
          </w:p>
        </w:tc>
      </w:tr>
      <w:tr w14:paraId="702C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610954D8">
            <w:pPr>
              <w:snapToGrid w:val="0"/>
              <w:jc w:val="center"/>
              <w:rPr>
                <w:rFonts w:hint="eastAsia" w:ascii="楷体" w:hAnsi="楷体" w:eastAsia="楷体" w:cs="楷体"/>
                <w:bCs/>
                <w:sz w:val="24"/>
                <w:szCs w:val="24"/>
              </w:rPr>
            </w:pPr>
            <w:r>
              <w:rPr>
                <w:rFonts w:hint="eastAsia" w:ascii="楷体" w:hAnsi="楷体" w:eastAsia="楷体" w:cs="楷体"/>
                <w:bCs/>
                <w:sz w:val="24"/>
                <w:szCs w:val="24"/>
              </w:rPr>
              <w:t>15</w:t>
            </w:r>
          </w:p>
        </w:tc>
        <w:tc>
          <w:tcPr>
            <w:tcW w:w="9506" w:type="dxa"/>
            <w:vAlign w:val="center"/>
          </w:tcPr>
          <w:p w14:paraId="3E08BC4F">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Windows客户端支持U盘或者光盘等移动存储设备接入电脑时自动扫描根目录下文件、自动扫描被病毒修改的项目。</w:t>
            </w:r>
          </w:p>
        </w:tc>
      </w:tr>
      <w:tr w14:paraId="629C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7A7B9E8">
            <w:pPr>
              <w:snapToGrid w:val="0"/>
              <w:jc w:val="center"/>
              <w:rPr>
                <w:rFonts w:hint="eastAsia" w:ascii="楷体" w:hAnsi="楷体" w:eastAsia="楷体" w:cs="楷体"/>
                <w:bCs/>
                <w:sz w:val="24"/>
                <w:szCs w:val="24"/>
              </w:rPr>
            </w:pPr>
            <w:r>
              <w:rPr>
                <w:rFonts w:hint="eastAsia" w:ascii="楷体" w:hAnsi="楷体" w:eastAsia="楷体" w:cs="楷体"/>
                <w:bCs/>
                <w:sz w:val="24"/>
                <w:szCs w:val="24"/>
              </w:rPr>
              <w:t>16</w:t>
            </w:r>
          </w:p>
        </w:tc>
        <w:tc>
          <w:tcPr>
            <w:tcW w:w="9506" w:type="dxa"/>
            <w:vAlign w:val="center"/>
          </w:tcPr>
          <w:p w14:paraId="4893A138">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Windows客户端可拦截高危远程漏洞攻击，从而阻止勒索病毒、黑客攻击等通过响应漏洞入侵，针对弱口令账号的有效防御手段。</w:t>
            </w:r>
          </w:p>
        </w:tc>
      </w:tr>
      <w:tr w14:paraId="3526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6A1381DB">
            <w:pPr>
              <w:snapToGrid w:val="0"/>
              <w:jc w:val="center"/>
              <w:rPr>
                <w:rFonts w:hint="eastAsia" w:ascii="楷体" w:hAnsi="楷体" w:eastAsia="楷体" w:cs="楷体"/>
                <w:bCs/>
                <w:sz w:val="24"/>
                <w:szCs w:val="24"/>
              </w:rPr>
            </w:pPr>
            <w:r>
              <w:rPr>
                <w:rFonts w:hint="eastAsia" w:ascii="楷体" w:hAnsi="楷体" w:eastAsia="楷体" w:cs="楷体"/>
                <w:bCs/>
                <w:sz w:val="24"/>
                <w:szCs w:val="24"/>
              </w:rPr>
              <w:t>17</w:t>
            </w:r>
          </w:p>
        </w:tc>
        <w:tc>
          <w:tcPr>
            <w:tcW w:w="9506" w:type="dxa"/>
            <w:vAlign w:val="center"/>
          </w:tcPr>
          <w:p w14:paraId="0969A686">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应支持勒索病毒诱捕，可在根目录生成txt、pem、sql、xlsx、mdb、jpg、rtf、xls、doc、docx等格式的诱捕文件，当出现勒索行为，对其进行捕获并进行隔离。</w:t>
            </w:r>
          </w:p>
        </w:tc>
      </w:tr>
      <w:tr w14:paraId="2BEF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21491D04">
            <w:pPr>
              <w:snapToGrid w:val="0"/>
              <w:jc w:val="center"/>
              <w:rPr>
                <w:rFonts w:hint="eastAsia" w:ascii="楷体" w:hAnsi="楷体" w:eastAsia="楷体" w:cs="楷体"/>
                <w:bCs/>
                <w:sz w:val="24"/>
                <w:szCs w:val="24"/>
              </w:rPr>
            </w:pPr>
            <w:r>
              <w:rPr>
                <w:rFonts w:hint="eastAsia" w:ascii="楷体" w:hAnsi="楷体" w:eastAsia="楷体" w:cs="楷体"/>
                <w:bCs/>
                <w:sz w:val="24"/>
                <w:szCs w:val="24"/>
              </w:rPr>
              <w:t>18</w:t>
            </w:r>
          </w:p>
        </w:tc>
        <w:tc>
          <w:tcPr>
            <w:tcW w:w="9506" w:type="dxa"/>
            <w:vAlign w:val="center"/>
          </w:tcPr>
          <w:p w14:paraId="0CEAEF68">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Windows客户端可对U盘（可限制读写权限）、便携设备、USB有线无线网卡、打印机、光驱、蓝牙等设备进行管控、并支持设置白名单放行个别U盘。</w:t>
            </w:r>
          </w:p>
        </w:tc>
      </w:tr>
      <w:tr w14:paraId="7A7D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0" w:type="auto"/>
            <w:vAlign w:val="center"/>
          </w:tcPr>
          <w:p w14:paraId="123DDD92">
            <w:pPr>
              <w:snapToGrid w:val="0"/>
              <w:jc w:val="center"/>
              <w:rPr>
                <w:rFonts w:hint="eastAsia" w:ascii="楷体" w:hAnsi="楷体" w:eastAsia="楷体" w:cs="楷体"/>
                <w:bCs/>
                <w:sz w:val="24"/>
                <w:szCs w:val="24"/>
              </w:rPr>
            </w:pPr>
            <w:r>
              <w:rPr>
                <w:rFonts w:hint="eastAsia" w:ascii="楷体" w:hAnsi="楷体" w:eastAsia="楷体" w:cs="楷体"/>
                <w:bCs/>
                <w:sz w:val="24"/>
                <w:szCs w:val="24"/>
              </w:rPr>
              <w:t>19</w:t>
            </w:r>
          </w:p>
        </w:tc>
        <w:tc>
          <w:tcPr>
            <w:tcW w:w="9506" w:type="dxa"/>
            <w:vAlign w:val="center"/>
          </w:tcPr>
          <w:p w14:paraId="6A69DE30">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Windows客户端支持漏洞集中修复、统一修复高危漏洞、统一修复所有漏洞，并展示以修复补丁和未修复补丁的信息。</w:t>
            </w:r>
          </w:p>
        </w:tc>
      </w:tr>
      <w:tr w14:paraId="270F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573A688">
            <w:pPr>
              <w:snapToGrid w:val="0"/>
              <w:jc w:val="center"/>
              <w:rPr>
                <w:rFonts w:hint="eastAsia" w:ascii="楷体" w:hAnsi="楷体" w:eastAsia="楷体" w:cs="楷体"/>
                <w:bCs/>
                <w:sz w:val="24"/>
                <w:szCs w:val="24"/>
              </w:rPr>
            </w:pPr>
            <w:r>
              <w:rPr>
                <w:rFonts w:hint="eastAsia" w:ascii="楷体" w:hAnsi="楷体" w:eastAsia="楷体" w:cs="楷体"/>
                <w:bCs/>
                <w:sz w:val="24"/>
                <w:szCs w:val="24"/>
              </w:rPr>
              <w:t>20</w:t>
            </w:r>
          </w:p>
        </w:tc>
        <w:tc>
          <w:tcPr>
            <w:tcW w:w="9506" w:type="dxa"/>
            <w:vAlign w:val="center"/>
          </w:tcPr>
          <w:p w14:paraId="00C88128">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Windows客户端支持对终端违规外联的监控管理，可对违规外联的终端实行断网等保护性措施。</w:t>
            </w:r>
          </w:p>
        </w:tc>
      </w:tr>
      <w:tr w14:paraId="5883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BE82627">
            <w:pPr>
              <w:snapToGrid w:val="0"/>
              <w:jc w:val="center"/>
              <w:rPr>
                <w:rFonts w:hint="eastAsia" w:ascii="楷体" w:hAnsi="楷体" w:eastAsia="楷体" w:cs="楷体"/>
                <w:bCs/>
                <w:sz w:val="24"/>
                <w:szCs w:val="24"/>
              </w:rPr>
            </w:pPr>
            <w:r>
              <w:rPr>
                <w:rFonts w:hint="eastAsia" w:ascii="楷体" w:hAnsi="楷体" w:eastAsia="楷体" w:cs="楷体"/>
                <w:bCs/>
                <w:sz w:val="24"/>
                <w:szCs w:val="24"/>
              </w:rPr>
              <w:t>21</w:t>
            </w:r>
          </w:p>
        </w:tc>
        <w:tc>
          <w:tcPr>
            <w:tcW w:w="9506" w:type="dxa"/>
            <w:vAlign w:val="center"/>
          </w:tcPr>
          <w:p w14:paraId="340C576F">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支持病毒查杀日志可按照时间、系统类型、终端名称、终端分组、本地IP、升级前版本、升级后版本、升级结果、操作描述、病毒ID、病毒名称、病毒路径、查杀类型、处理结果、病毒库版本等检索项进行检索且可导出。</w:t>
            </w:r>
          </w:p>
        </w:tc>
      </w:tr>
      <w:tr w14:paraId="5210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37B38CA7">
            <w:pPr>
              <w:snapToGrid w:val="0"/>
              <w:jc w:val="center"/>
              <w:rPr>
                <w:rFonts w:hint="eastAsia" w:ascii="楷体" w:hAnsi="楷体" w:eastAsia="楷体" w:cs="楷体"/>
                <w:bCs/>
                <w:sz w:val="24"/>
                <w:szCs w:val="24"/>
              </w:rPr>
            </w:pPr>
            <w:r>
              <w:rPr>
                <w:rFonts w:hint="eastAsia" w:ascii="楷体" w:hAnsi="楷体" w:eastAsia="楷体" w:cs="楷体"/>
                <w:bCs/>
                <w:sz w:val="24"/>
                <w:szCs w:val="24"/>
              </w:rPr>
              <w:t>22</w:t>
            </w:r>
          </w:p>
        </w:tc>
        <w:tc>
          <w:tcPr>
            <w:tcW w:w="9506" w:type="dxa"/>
            <w:vAlign w:val="center"/>
          </w:tcPr>
          <w:p w14:paraId="7E27A5CD">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Linux客户端带有文件实时监控功能，当文件修改、读取或执行时检测文件的安全性，保护终端不受病毒侵害；支持全盘查杀、自定义查杀、快速查杀。</w:t>
            </w:r>
          </w:p>
        </w:tc>
      </w:tr>
      <w:tr w14:paraId="32C5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62DA3425">
            <w:pPr>
              <w:snapToGrid w:val="0"/>
              <w:jc w:val="center"/>
              <w:rPr>
                <w:rFonts w:hint="eastAsia" w:ascii="楷体" w:hAnsi="楷体" w:eastAsia="楷体" w:cs="楷体"/>
                <w:bCs/>
                <w:sz w:val="24"/>
                <w:szCs w:val="24"/>
              </w:rPr>
            </w:pPr>
            <w:r>
              <w:rPr>
                <w:rFonts w:hint="eastAsia" w:ascii="楷体" w:hAnsi="楷体" w:eastAsia="楷体" w:cs="楷体"/>
                <w:bCs/>
                <w:sz w:val="24"/>
                <w:szCs w:val="24"/>
              </w:rPr>
              <w:t>23</w:t>
            </w:r>
          </w:p>
        </w:tc>
        <w:tc>
          <w:tcPr>
            <w:tcW w:w="9506" w:type="dxa"/>
            <w:vAlign w:val="center"/>
          </w:tcPr>
          <w:p w14:paraId="680F6C92">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Linux客户端支持终端信任区和隔离区功能，终端可添加信任文件或从隔离区恢复文件。</w:t>
            </w:r>
          </w:p>
        </w:tc>
      </w:tr>
      <w:tr w14:paraId="60A8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3868C598">
            <w:pPr>
              <w:snapToGrid w:val="0"/>
              <w:jc w:val="center"/>
              <w:rPr>
                <w:rFonts w:hint="eastAsia" w:ascii="楷体" w:hAnsi="楷体" w:eastAsia="楷体" w:cs="楷体"/>
                <w:bCs/>
                <w:sz w:val="24"/>
                <w:szCs w:val="24"/>
              </w:rPr>
            </w:pPr>
            <w:r>
              <w:rPr>
                <w:rFonts w:hint="eastAsia" w:ascii="楷体" w:hAnsi="楷体" w:eastAsia="楷体" w:cs="楷体"/>
                <w:bCs/>
                <w:sz w:val="24"/>
                <w:szCs w:val="24"/>
              </w:rPr>
              <w:t>24</w:t>
            </w:r>
          </w:p>
        </w:tc>
        <w:tc>
          <w:tcPr>
            <w:tcW w:w="9506" w:type="dxa"/>
            <w:vAlign w:val="center"/>
          </w:tcPr>
          <w:p w14:paraId="2671391A">
            <w:pPr>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控制中心应支持Ubuntu、SUSE、Deepin、中科红旗、银河麒麟、优麒麟、龙芯（loongnix）、统信UOS等版本。</w:t>
            </w:r>
          </w:p>
        </w:tc>
      </w:tr>
      <w:tr w14:paraId="2E51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38B5CF60">
            <w:pPr>
              <w:snapToGrid w:val="0"/>
              <w:jc w:val="center"/>
              <w:rPr>
                <w:rFonts w:hint="eastAsia" w:ascii="楷体" w:hAnsi="楷体" w:eastAsia="楷体" w:cs="楷体"/>
                <w:bCs/>
                <w:sz w:val="24"/>
                <w:szCs w:val="24"/>
              </w:rPr>
            </w:pPr>
            <w:r>
              <w:rPr>
                <w:rFonts w:hint="eastAsia" w:ascii="楷体" w:hAnsi="楷体" w:eastAsia="楷体" w:cs="楷体"/>
                <w:bCs/>
                <w:sz w:val="24"/>
                <w:szCs w:val="24"/>
              </w:rPr>
              <w:t>25</w:t>
            </w:r>
          </w:p>
        </w:tc>
        <w:tc>
          <w:tcPr>
            <w:tcW w:w="9506" w:type="dxa"/>
            <w:vAlign w:val="center"/>
          </w:tcPr>
          <w:p w14:paraId="31E160F4">
            <w:pPr>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控制中心应客户端安装后占用硬盘空间较少， 病毒库大小不超过10M，日常使用内存占用较小，有效节省电脑资源。</w:t>
            </w:r>
          </w:p>
        </w:tc>
      </w:tr>
      <w:tr w14:paraId="6DED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7FA8E218">
            <w:pPr>
              <w:snapToGrid w:val="0"/>
              <w:jc w:val="center"/>
              <w:rPr>
                <w:rFonts w:hint="eastAsia" w:ascii="楷体" w:hAnsi="楷体" w:eastAsia="楷体" w:cs="楷体"/>
                <w:bCs/>
                <w:sz w:val="24"/>
                <w:szCs w:val="24"/>
              </w:rPr>
            </w:pPr>
            <w:r>
              <w:rPr>
                <w:rFonts w:hint="eastAsia" w:ascii="楷体" w:hAnsi="楷体" w:eastAsia="楷体" w:cs="楷体"/>
                <w:bCs/>
                <w:sz w:val="24"/>
                <w:szCs w:val="24"/>
              </w:rPr>
              <w:t>26</w:t>
            </w:r>
          </w:p>
        </w:tc>
        <w:tc>
          <w:tcPr>
            <w:tcW w:w="9506" w:type="dxa"/>
            <w:vAlign w:val="center"/>
          </w:tcPr>
          <w:p w14:paraId="0CF6AA3C">
            <w:pPr>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控制中心应支持展示全网终端安全概览：终端在线数量、最新安全动态、终端操作系统概览</w:t>
            </w:r>
          </w:p>
        </w:tc>
      </w:tr>
      <w:tr w14:paraId="6DA9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7CE28B9">
            <w:pPr>
              <w:snapToGrid w:val="0"/>
              <w:jc w:val="center"/>
              <w:rPr>
                <w:rFonts w:hint="eastAsia" w:ascii="楷体" w:hAnsi="楷体" w:eastAsia="楷体" w:cs="楷体"/>
                <w:bCs/>
                <w:sz w:val="24"/>
                <w:szCs w:val="24"/>
              </w:rPr>
            </w:pPr>
            <w:r>
              <w:rPr>
                <w:rFonts w:hint="eastAsia" w:ascii="楷体" w:hAnsi="楷体" w:eastAsia="楷体" w:cs="楷体"/>
                <w:bCs/>
                <w:sz w:val="24"/>
                <w:szCs w:val="24"/>
              </w:rPr>
              <w:t>27</w:t>
            </w:r>
          </w:p>
        </w:tc>
        <w:tc>
          <w:tcPr>
            <w:tcW w:w="9506" w:type="dxa"/>
            <w:vAlign w:val="center"/>
          </w:tcPr>
          <w:p w14:paraId="4AFD2CBB">
            <w:pPr>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控制中心应支持展示全网终端安全事件可视化数据：7/30天病毒查杀事件。</w:t>
            </w:r>
          </w:p>
        </w:tc>
      </w:tr>
      <w:tr w14:paraId="52A2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2664437E">
            <w:pPr>
              <w:snapToGrid w:val="0"/>
              <w:jc w:val="center"/>
              <w:rPr>
                <w:rFonts w:hint="eastAsia" w:ascii="楷体" w:hAnsi="楷体" w:eastAsia="楷体" w:cs="楷体"/>
                <w:bCs/>
                <w:sz w:val="24"/>
                <w:szCs w:val="24"/>
              </w:rPr>
            </w:pPr>
            <w:r>
              <w:rPr>
                <w:rFonts w:hint="eastAsia" w:ascii="楷体" w:hAnsi="楷体" w:eastAsia="楷体" w:cs="楷体"/>
                <w:bCs/>
                <w:sz w:val="24"/>
                <w:szCs w:val="24"/>
              </w:rPr>
              <w:t>28</w:t>
            </w:r>
          </w:p>
        </w:tc>
        <w:tc>
          <w:tcPr>
            <w:tcW w:w="9506" w:type="dxa"/>
            <w:vAlign w:val="center"/>
          </w:tcPr>
          <w:p w14:paraId="6F7E12C2">
            <w:pPr>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控制中心应支持监控中心服务器性能：CPU使用率、内存使用率、磁盘占用率、网络流量和备用中心使用状况。</w:t>
            </w:r>
          </w:p>
        </w:tc>
      </w:tr>
      <w:tr w14:paraId="4720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43EE6ED">
            <w:pPr>
              <w:snapToGrid w:val="0"/>
              <w:jc w:val="center"/>
              <w:rPr>
                <w:rFonts w:hint="eastAsia" w:ascii="楷体" w:hAnsi="楷体" w:eastAsia="楷体" w:cs="楷体"/>
                <w:bCs/>
                <w:sz w:val="24"/>
                <w:szCs w:val="24"/>
              </w:rPr>
            </w:pPr>
            <w:r>
              <w:rPr>
                <w:rFonts w:hint="eastAsia" w:ascii="楷体" w:hAnsi="楷体" w:eastAsia="楷体" w:cs="楷体"/>
                <w:bCs/>
                <w:sz w:val="24"/>
                <w:szCs w:val="24"/>
              </w:rPr>
              <w:t>29</w:t>
            </w:r>
          </w:p>
        </w:tc>
        <w:tc>
          <w:tcPr>
            <w:tcW w:w="9506" w:type="dxa"/>
            <w:vAlign w:val="center"/>
          </w:tcPr>
          <w:p w14:paraId="3C2DE113">
            <w:pPr>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控制中心应支持中心可启用SysLog日志导出功能，支持导出安全日志、升级日志。</w:t>
            </w:r>
          </w:p>
        </w:tc>
      </w:tr>
      <w:tr w14:paraId="70A5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3F41022A">
            <w:pPr>
              <w:snapToGrid w:val="0"/>
              <w:jc w:val="center"/>
              <w:rPr>
                <w:rFonts w:hint="eastAsia" w:ascii="楷体" w:hAnsi="楷体" w:eastAsia="楷体" w:cs="楷体"/>
                <w:bCs/>
                <w:sz w:val="24"/>
                <w:szCs w:val="24"/>
              </w:rPr>
            </w:pPr>
            <w:r>
              <w:rPr>
                <w:rFonts w:hint="eastAsia" w:ascii="楷体" w:hAnsi="楷体" w:eastAsia="楷体" w:cs="楷体"/>
                <w:bCs/>
                <w:sz w:val="24"/>
                <w:szCs w:val="24"/>
              </w:rPr>
              <w:t>30</w:t>
            </w:r>
          </w:p>
        </w:tc>
        <w:tc>
          <w:tcPr>
            <w:tcW w:w="9506" w:type="dxa"/>
            <w:vAlign w:val="center"/>
          </w:tcPr>
          <w:p w14:paraId="3BFCE9E3">
            <w:pPr>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控制中心应支持终端带有文件实时监控功能，当文件修改、读取或执行时检测文件的安全性，保护终端不受病毒侵害。</w:t>
            </w:r>
          </w:p>
        </w:tc>
      </w:tr>
      <w:tr w14:paraId="59A5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857BCC3">
            <w:pPr>
              <w:snapToGrid w:val="0"/>
              <w:jc w:val="center"/>
              <w:rPr>
                <w:rFonts w:hint="eastAsia" w:ascii="楷体" w:hAnsi="楷体" w:eastAsia="楷体" w:cs="楷体"/>
                <w:bCs/>
                <w:sz w:val="24"/>
                <w:szCs w:val="24"/>
              </w:rPr>
            </w:pPr>
            <w:r>
              <w:rPr>
                <w:rFonts w:hint="eastAsia" w:ascii="楷体" w:hAnsi="楷体" w:eastAsia="楷体" w:cs="楷体"/>
                <w:bCs/>
                <w:sz w:val="24"/>
                <w:szCs w:val="24"/>
              </w:rPr>
              <w:t>31</w:t>
            </w:r>
          </w:p>
        </w:tc>
        <w:tc>
          <w:tcPr>
            <w:tcW w:w="9506" w:type="dxa"/>
            <w:vAlign w:val="center"/>
          </w:tcPr>
          <w:p w14:paraId="78F13C5C">
            <w:pPr>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控制中心应支持统一设置桌面壁纸，锁屏壁纸，无操作自动锁屏时间。</w:t>
            </w:r>
          </w:p>
        </w:tc>
      </w:tr>
      <w:tr w14:paraId="1B79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3E16E791">
            <w:pPr>
              <w:snapToGrid w:val="0"/>
              <w:jc w:val="center"/>
              <w:rPr>
                <w:rFonts w:hint="eastAsia" w:ascii="楷体" w:hAnsi="楷体" w:eastAsia="楷体" w:cs="楷体"/>
                <w:bCs/>
                <w:sz w:val="24"/>
                <w:szCs w:val="24"/>
              </w:rPr>
            </w:pPr>
            <w:r>
              <w:rPr>
                <w:rFonts w:hint="eastAsia" w:ascii="楷体" w:hAnsi="楷体" w:eastAsia="楷体" w:cs="楷体"/>
                <w:bCs/>
                <w:sz w:val="24"/>
                <w:szCs w:val="24"/>
              </w:rPr>
              <w:t>32</w:t>
            </w:r>
          </w:p>
        </w:tc>
        <w:tc>
          <w:tcPr>
            <w:tcW w:w="9506" w:type="dxa"/>
            <w:vAlign w:val="center"/>
          </w:tcPr>
          <w:p w14:paraId="0FBE8823">
            <w:pPr>
              <w:widowControl w:val="0"/>
              <w:wordWrap w:val="0"/>
              <w:overflowPunct w:val="0"/>
              <w:autoSpaceDE w:val="0"/>
              <w:autoSpaceDN w:val="0"/>
              <w:adjustRightInd/>
              <w:snapToGrid w:val="0"/>
              <w:spacing w:after="0" w:line="44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对终端下发快速查杀、全盘查杀、自定查杀任务且可设置不允许终端暂停或停止查杀任务以及查杀任务完成时自动关机；可推送终端升级、发送通知、同步防护策略、关机、重启等任务；支持将终端拉黑，避免占用授权点数。</w:t>
            </w:r>
          </w:p>
        </w:tc>
      </w:tr>
      <w:tr w14:paraId="2CE9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17A8B0F2">
            <w:pPr>
              <w:snapToGrid w:val="0"/>
              <w:jc w:val="center"/>
              <w:rPr>
                <w:rFonts w:hint="eastAsia" w:ascii="楷体" w:hAnsi="楷体" w:eastAsia="楷体" w:cs="楷体"/>
                <w:bCs/>
                <w:sz w:val="24"/>
                <w:szCs w:val="24"/>
              </w:rPr>
            </w:pPr>
            <w:r>
              <w:rPr>
                <w:rFonts w:hint="eastAsia" w:ascii="楷体" w:hAnsi="楷体" w:eastAsia="楷体" w:cs="楷体"/>
                <w:bCs/>
                <w:sz w:val="24"/>
                <w:szCs w:val="24"/>
              </w:rPr>
              <w:t>33</w:t>
            </w:r>
          </w:p>
        </w:tc>
        <w:tc>
          <w:tcPr>
            <w:tcW w:w="9506" w:type="dxa"/>
            <w:vAlign w:val="center"/>
          </w:tcPr>
          <w:p w14:paraId="3D98E07F">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控制中心应支持远程cmd功能，可通过命令行的形式操作目标终端，目标终端无感知。</w:t>
            </w:r>
          </w:p>
        </w:tc>
      </w:tr>
      <w:tr w14:paraId="0BF5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0" w:type="auto"/>
            <w:vAlign w:val="center"/>
          </w:tcPr>
          <w:p w14:paraId="0C050074">
            <w:pPr>
              <w:snapToGrid w:val="0"/>
              <w:jc w:val="center"/>
              <w:rPr>
                <w:rFonts w:hint="eastAsia" w:ascii="楷体" w:hAnsi="楷体" w:eastAsia="楷体" w:cs="楷体"/>
                <w:bCs/>
                <w:sz w:val="24"/>
                <w:szCs w:val="24"/>
              </w:rPr>
            </w:pPr>
            <w:r>
              <w:rPr>
                <w:rFonts w:hint="eastAsia" w:ascii="楷体" w:hAnsi="楷体" w:eastAsia="楷体" w:cs="楷体"/>
                <w:bCs/>
                <w:sz w:val="24"/>
                <w:szCs w:val="24"/>
              </w:rPr>
              <w:t>34</w:t>
            </w:r>
          </w:p>
        </w:tc>
        <w:tc>
          <w:tcPr>
            <w:tcW w:w="9506" w:type="dxa"/>
            <w:vAlign w:val="center"/>
          </w:tcPr>
          <w:p w14:paraId="36EF0DE6">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控制中心应支持可预览终端系统</w:t>
            </w:r>
            <w:r>
              <w:rPr>
                <w:rFonts w:hint="eastAsia" w:ascii="楷体" w:hAnsi="楷体" w:eastAsia="楷体" w:cs="楷体"/>
                <w:bCs/>
                <w:color w:val="FF0000"/>
                <w:sz w:val="24"/>
                <w:szCs w:val="24"/>
                <w:lang w:eastAsia="zh-CN"/>
              </w:rPr>
              <w:t>甲方</w:t>
            </w:r>
            <w:r>
              <w:rPr>
                <w:rFonts w:hint="eastAsia" w:ascii="楷体" w:hAnsi="楷体" w:eastAsia="楷体" w:cs="楷体"/>
                <w:bCs/>
                <w:sz w:val="24"/>
                <w:szCs w:val="24"/>
              </w:rPr>
              <w:t>信息、计划任务且支持对终端网络信息进行查看，可查看IP地址、DNS。</w:t>
            </w:r>
          </w:p>
        </w:tc>
      </w:tr>
      <w:tr w14:paraId="5340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530F9130">
            <w:pPr>
              <w:snapToGrid w:val="0"/>
              <w:jc w:val="center"/>
              <w:rPr>
                <w:rFonts w:hint="eastAsia" w:ascii="楷体" w:hAnsi="楷体" w:eastAsia="楷体" w:cs="楷体"/>
                <w:bCs/>
                <w:sz w:val="24"/>
                <w:szCs w:val="24"/>
              </w:rPr>
            </w:pPr>
            <w:r>
              <w:rPr>
                <w:rFonts w:hint="eastAsia" w:ascii="楷体" w:hAnsi="楷体" w:eastAsia="楷体" w:cs="楷体"/>
                <w:bCs/>
                <w:sz w:val="24"/>
                <w:szCs w:val="24"/>
              </w:rPr>
              <w:t>35</w:t>
            </w:r>
          </w:p>
        </w:tc>
        <w:tc>
          <w:tcPr>
            <w:tcW w:w="9506" w:type="dxa"/>
            <w:vAlign w:val="center"/>
          </w:tcPr>
          <w:p w14:paraId="1741D2CE">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控制中心应支持可设置定时任务，支持快速查杀、全盘查杀、自定义查杀、终端升级、发送通知、关机、重启。</w:t>
            </w:r>
          </w:p>
        </w:tc>
      </w:tr>
      <w:tr w14:paraId="0CEA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7AD214E9">
            <w:pPr>
              <w:snapToGrid w:val="0"/>
              <w:jc w:val="center"/>
              <w:rPr>
                <w:rFonts w:hint="eastAsia" w:ascii="楷体" w:hAnsi="楷体" w:eastAsia="楷体" w:cs="楷体"/>
                <w:bCs/>
                <w:sz w:val="24"/>
                <w:szCs w:val="24"/>
              </w:rPr>
            </w:pPr>
            <w:r>
              <w:rPr>
                <w:rFonts w:hint="eastAsia" w:ascii="楷体" w:hAnsi="楷体" w:eastAsia="楷体" w:cs="楷体"/>
                <w:bCs/>
                <w:sz w:val="24"/>
                <w:szCs w:val="24"/>
              </w:rPr>
              <w:t>36</w:t>
            </w:r>
          </w:p>
        </w:tc>
        <w:tc>
          <w:tcPr>
            <w:tcW w:w="9506" w:type="dxa"/>
            <w:vAlign w:val="center"/>
          </w:tcPr>
          <w:p w14:paraId="687934C4">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控制中心应支持可查看下发任务详情，包括任务执行状态、任务创建时间、过期时间且可终止已下发任务。</w:t>
            </w:r>
          </w:p>
        </w:tc>
      </w:tr>
      <w:tr w14:paraId="121C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BFB5153">
            <w:pPr>
              <w:snapToGrid w:val="0"/>
              <w:jc w:val="center"/>
              <w:rPr>
                <w:rFonts w:hint="eastAsia" w:ascii="楷体" w:hAnsi="楷体" w:eastAsia="楷体" w:cs="楷体"/>
                <w:bCs/>
                <w:sz w:val="24"/>
                <w:szCs w:val="24"/>
              </w:rPr>
            </w:pPr>
            <w:r>
              <w:rPr>
                <w:rFonts w:hint="eastAsia" w:ascii="楷体" w:hAnsi="楷体" w:eastAsia="楷体" w:cs="楷体"/>
                <w:bCs/>
                <w:sz w:val="24"/>
                <w:szCs w:val="24"/>
              </w:rPr>
              <w:t>37</w:t>
            </w:r>
          </w:p>
        </w:tc>
        <w:tc>
          <w:tcPr>
            <w:tcW w:w="9506" w:type="dxa"/>
            <w:vAlign w:val="center"/>
          </w:tcPr>
          <w:p w14:paraId="436B9ABE">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管理中心应具有登陆二次验证功能，开启该功能后，通过登录中心时进行二次验证的方式，防止管理中心遭遇密码泄露、弱口令暴破、撞库等黑客破解行为。</w:t>
            </w:r>
            <w:r>
              <w:rPr>
                <w:rFonts w:hint="eastAsia" w:ascii="楷体" w:hAnsi="楷体" w:eastAsia="楷体" w:cs="楷体"/>
                <w:b/>
                <w:sz w:val="24"/>
                <w:szCs w:val="24"/>
              </w:rPr>
              <w:t>（提供功能截图并加盖</w:t>
            </w:r>
            <w:r>
              <w:rPr>
                <w:rFonts w:hint="eastAsia" w:ascii="楷体" w:hAnsi="楷体" w:eastAsia="楷体" w:cs="楷体"/>
                <w:b/>
                <w:sz w:val="24"/>
                <w:szCs w:val="24"/>
                <w:lang w:val="en-US" w:eastAsia="zh-CN"/>
              </w:rPr>
              <w:t>投标人投标专用</w:t>
            </w:r>
            <w:r>
              <w:rPr>
                <w:rFonts w:hint="eastAsia" w:ascii="楷体" w:hAnsi="楷体" w:eastAsia="楷体" w:cs="楷体"/>
                <w:b/>
                <w:sz w:val="24"/>
                <w:szCs w:val="24"/>
              </w:rPr>
              <w:t>章）</w:t>
            </w:r>
          </w:p>
        </w:tc>
      </w:tr>
      <w:tr w14:paraId="5EF7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D37F75C">
            <w:pPr>
              <w:snapToGrid w:val="0"/>
              <w:jc w:val="center"/>
              <w:rPr>
                <w:rFonts w:hint="eastAsia" w:ascii="楷体" w:hAnsi="楷体" w:eastAsia="楷体" w:cs="楷体"/>
                <w:bCs/>
                <w:sz w:val="24"/>
                <w:szCs w:val="24"/>
              </w:rPr>
            </w:pPr>
            <w:r>
              <w:rPr>
                <w:rFonts w:hint="eastAsia" w:ascii="楷体" w:hAnsi="楷体" w:eastAsia="楷体" w:cs="楷体"/>
                <w:bCs/>
                <w:sz w:val="24"/>
                <w:szCs w:val="24"/>
              </w:rPr>
              <w:t>38</w:t>
            </w:r>
          </w:p>
        </w:tc>
        <w:tc>
          <w:tcPr>
            <w:tcW w:w="9506" w:type="dxa"/>
            <w:vAlign w:val="center"/>
          </w:tcPr>
          <w:p w14:paraId="371941A4">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控制中心应支持具有反病毒底层技术，反病毒引擎为本地反病毒引擎，不依赖云（联网时的病毒查杀能力与断网时的病毒查杀能力一致）具有轻量级的病毒库，却有较强的病毒查杀能力。</w:t>
            </w:r>
          </w:p>
        </w:tc>
      </w:tr>
      <w:tr w14:paraId="1ED5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6942043E">
            <w:pPr>
              <w:snapToGrid w:val="0"/>
              <w:jc w:val="center"/>
              <w:rPr>
                <w:rFonts w:hint="eastAsia" w:ascii="楷体" w:hAnsi="楷体" w:eastAsia="楷体" w:cs="楷体"/>
                <w:bCs/>
                <w:sz w:val="24"/>
                <w:szCs w:val="24"/>
              </w:rPr>
            </w:pPr>
            <w:r>
              <w:rPr>
                <w:rFonts w:hint="eastAsia" w:ascii="楷体" w:hAnsi="楷体" w:eastAsia="楷体" w:cs="楷体"/>
                <w:bCs/>
                <w:sz w:val="24"/>
                <w:szCs w:val="24"/>
              </w:rPr>
              <w:t>39</w:t>
            </w:r>
          </w:p>
        </w:tc>
        <w:tc>
          <w:tcPr>
            <w:tcW w:w="9506" w:type="dxa"/>
            <w:vAlign w:val="center"/>
          </w:tcPr>
          <w:p w14:paraId="24A9BD74">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控制中心应支持反病毒引擎具备全文哈希、分段哈希、局部敏感哈希、关键数据特征等扫描技术，可提取恶意代码中关键代码或数据片段来标识恶意代码。</w:t>
            </w:r>
          </w:p>
        </w:tc>
      </w:tr>
      <w:tr w14:paraId="474C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3EE0835D">
            <w:pPr>
              <w:snapToGrid w:val="0"/>
              <w:jc w:val="center"/>
              <w:rPr>
                <w:rFonts w:hint="eastAsia" w:ascii="楷体" w:hAnsi="楷体" w:eastAsia="楷体" w:cs="楷体"/>
                <w:bCs/>
                <w:sz w:val="24"/>
                <w:szCs w:val="24"/>
              </w:rPr>
            </w:pPr>
            <w:r>
              <w:rPr>
                <w:rFonts w:hint="eastAsia" w:ascii="楷体" w:hAnsi="楷体" w:eastAsia="楷体" w:cs="楷体"/>
                <w:bCs/>
                <w:sz w:val="24"/>
                <w:szCs w:val="24"/>
              </w:rPr>
              <w:t>40</w:t>
            </w:r>
          </w:p>
        </w:tc>
        <w:tc>
          <w:tcPr>
            <w:tcW w:w="9506" w:type="dxa"/>
            <w:vAlign w:val="center"/>
          </w:tcPr>
          <w:p w14:paraId="461C5097">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管理中心应支持容灾备份功能，当主中心计算机遭受如宕机、断电、硬件/软件故障等意外情况或人为操作错误导致主中心计算机无法正常使用时，备用中心将手动顶替宕机的主中心且同步数据。</w:t>
            </w:r>
          </w:p>
        </w:tc>
      </w:tr>
      <w:tr w14:paraId="0E37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D0396C6">
            <w:pPr>
              <w:snapToGrid w:val="0"/>
              <w:jc w:val="center"/>
              <w:rPr>
                <w:rFonts w:hint="eastAsia" w:ascii="楷体" w:hAnsi="楷体" w:eastAsia="楷体" w:cs="楷体"/>
                <w:bCs/>
                <w:sz w:val="24"/>
                <w:szCs w:val="24"/>
              </w:rPr>
            </w:pPr>
            <w:r>
              <w:rPr>
                <w:rFonts w:hint="eastAsia" w:ascii="楷体" w:hAnsi="楷体" w:eastAsia="楷体" w:cs="楷体"/>
                <w:bCs/>
                <w:sz w:val="24"/>
                <w:szCs w:val="24"/>
              </w:rPr>
              <w:t>41</w:t>
            </w:r>
          </w:p>
        </w:tc>
        <w:tc>
          <w:tcPr>
            <w:tcW w:w="9506" w:type="dxa"/>
            <w:vAlign w:val="center"/>
          </w:tcPr>
          <w:p w14:paraId="5DBBF1C9">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控制中心应支持具有脚本动态行为启发查杀，无需静态特征，在可控虚拟沙盒中还原脚本病毒执行逻辑并评估恶意性。</w:t>
            </w:r>
          </w:p>
        </w:tc>
      </w:tr>
      <w:tr w14:paraId="68AD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433ADCB">
            <w:pPr>
              <w:snapToGrid w:val="0"/>
              <w:jc w:val="center"/>
              <w:rPr>
                <w:rFonts w:hint="eastAsia" w:ascii="楷体" w:hAnsi="楷体" w:eastAsia="楷体" w:cs="楷体"/>
                <w:bCs/>
                <w:sz w:val="24"/>
                <w:szCs w:val="24"/>
              </w:rPr>
            </w:pPr>
            <w:r>
              <w:rPr>
                <w:rFonts w:hint="eastAsia" w:ascii="楷体" w:hAnsi="楷体" w:eastAsia="楷体" w:cs="楷体"/>
                <w:bCs/>
                <w:sz w:val="24"/>
                <w:szCs w:val="24"/>
              </w:rPr>
              <w:t>42</w:t>
            </w:r>
          </w:p>
        </w:tc>
        <w:tc>
          <w:tcPr>
            <w:tcW w:w="9506" w:type="dxa"/>
            <w:vAlign w:val="center"/>
          </w:tcPr>
          <w:p w14:paraId="4D9F05C9">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控制中心应支持对各种加壳的病毒文件进行病毒查杀，包括病毒使用的自定义壳、代码混淆器在内的所有其他代码级对抗技术，均可解决。</w:t>
            </w:r>
          </w:p>
        </w:tc>
      </w:tr>
      <w:tr w14:paraId="1906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4DF5133">
            <w:pPr>
              <w:snapToGrid w:val="0"/>
              <w:jc w:val="center"/>
              <w:rPr>
                <w:rFonts w:hint="eastAsia" w:ascii="楷体" w:hAnsi="楷体" w:eastAsia="楷体" w:cs="楷体"/>
                <w:bCs/>
                <w:sz w:val="24"/>
                <w:szCs w:val="24"/>
              </w:rPr>
            </w:pPr>
            <w:r>
              <w:rPr>
                <w:rFonts w:hint="eastAsia" w:ascii="楷体" w:hAnsi="楷体" w:eastAsia="楷体" w:cs="楷体"/>
                <w:bCs/>
                <w:sz w:val="24"/>
                <w:szCs w:val="24"/>
              </w:rPr>
              <w:t>43</w:t>
            </w:r>
          </w:p>
        </w:tc>
        <w:tc>
          <w:tcPr>
            <w:tcW w:w="9506" w:type="dxa"/>
            <w:vAlign w:val="center"/>
          </w:tcPr>
          <w:p w14:paraId="246399B8">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支持管理员通过上级控制中心管理下级控制中心，至少支持五级以上级联部署，可帮助机构</w:t>
            </w:r>
            <w:r>
              <w:rPr>
                <w:rFonts w:hint="eastAsia" w:ascii="楷体" w:hAnsi="楷体" w:eastAsia="楷体" w:cs="楷体"/>
                <w:bCs/>
                <w:color w:val="FF0000"/>
                <w:sz w:val="24"/>
                <w:szCs w:val="24"/>
                <w:lang w:eastAsia="zh-CN"/>
              </w:rPr>
              <w:t>甲方</w:t>
            </w:r>
            <w:r>
              <w:rPr>
                <w:rFonts w:hint="eastAsia" w:ascii="楷体" w:hAnsi="楷体" w:eastAsia="楷体" w:cs="楷体"/>
                <w:bCs/>
                <w:sz w:val="24"/>
                <w:szCs w:val="24"/>
              </w:rPr>
              <w:t>实现多级管理的需求，缓解单控制中心升级、打补丁压力，解决下属单位异地联动、多部门安全管理协同等管理难题。</w:t>
            </w:r>
          </w:p>
          <w:p w14:paraId="063ACE39">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p>
        </w:tc>
      </w:tr>
      <w:tr w14:paraId="501E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37A05E7">
            <w:pPr>
              <w:snapToGrid w:val="0"/>
              <w:jc w:val="center"/>
              <w:rPr>
                <w:rFonts w:hint="eastAsia" w:ascii="楷体" w:hAnsi="楷体" w:eastAsia="楷体" w:cs="楷体"/>
                <w:bCs/>
                <w:sz w:val="24"/>
                <w:szCs w:val="24"/>
              </w:rPr>
            </w:pPr>
            <w:r>
              <w:rPr>
                <w:rFonts w:hint="eastAsia" w:ascii="楷体" w:hAnsi="楷体" w:eastAsia="楷体" w:cs="楷体"/>
                <w:bCs/>
                <w:sz w:val="24"/>
                <w:szCs w:val="24"/>
              </w:rPr>
              <w:t>44</w:t>
            </w:r>
          </w:p>
        </w:tc>
        <w:tc>
          <w:tcPr>
            <w:tcW w:w="9506" w:type="dxa"/>
            <w:vAlign w:val="center"/>
          </w:tcPr>
          <w:p w14:paraId="3B41386C">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控制中心以及终端</w:t>
            </w:r>
            <w:r>
              <w:rPr>
                <w:rFonts w:hint="eastAsia" w:ascii="楷体" w:hAnsi="楷体" w:eastAsia="楷体" w:cs="楷体"/>
                <w:bCs/>
                <w:sz w:val="24"/>
                <w:szCs w:val="24"/>
                <w:lang w:eastAsia="zh-CN"/>
              </w:rPr>
              <w:t>（</w:t>
            </w:r>
            <w:r>
              <w:rPr>
                <w:rFonts w:hint="eastAsia" w:ascii="楷体" w:hAnsi="楷体" w:eastAsia="楷体" w:cs="楷体"/>
                <w:bCs/>
                <w:sz w:val="24"/>
                <w:szCs w:val="24"/>
              </w:rPr>
              <w:t>WindowsPC、Windows Server)都支持多因子认证，且不使用静态密码。</w:t>
            </w:r>
          </w:p>
        </w:tc>
      </w:tr>
      <w:tr w14:paraId="2054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6C3764D6">
            <w:pPr>
              <w:snapToGrid w:val="0"/>
              <w:jc w:val="center"/>
              <w:rPr>
                <w:rFonts w:hint="eastAsia" w:ascii="楷体" w:hAnsi="楷体" w:eastAsia="楷体" w:cs="楷体"/>
                <w:bCs/>
                <w:sz w:val="24"/>
                <w:szCs w:val="24"/>
              </w:rPr>
            </w:pPr>
            <w:r>
              <w:rPr>
                <w:rFonts w:hint="eastAsia" w:ascii="楷体" w:hAnsi="楷体" w:eastAsia="楷体" w:cs="楷体"/>
                <w:bCs/>
                <w:sz w:val="24"/>
                <w:szCs w:val="24"/>
              </w:rPr>
              <w:t>45</w:t>
            </w:r>
          </w:p>
        </w:tc>
        <w:tc>
          <w:tcPr>
            <w:tcW w:w="9506" w:type="dxa"/>
            <w:vAlign w:val="center"/>
          </w:tcPr>
          <w:p w14:paraId="2424516B">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控制中心的特征库应具备轻巧性，将特征高度复用、重组恶意代码 DNA 片段来描述不同的恶意代码，最大限度减少特征库中的冗余数据。</w:t>
            </w:r>
          </w:p>
        </w:tc>
      </w:tr>
      <w:tr w14:paraId="6848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EC458CD">
            <w:pPr>
              <w:snapToGrid w:val="0"/>
              <w:jc w:val="center"/>
              <w:rPr>
                <w:rFonts w:hint="eastAsia" w:ascii="楷体" w:hAnsi="楷体" w:eastAsia="楷体" w:cs="楷体"/>
                <w:bCs/>
                <w:sz w:val="24"/>
                <w:szCs w:val="24"/>
              </w:rPr>
            </w:pPr>
            <w:r>
              <w:rPr>
                <w:rFonts w:hint="eastAsia" w:ascii="楷体" w:hAnsi="楷体" w:eastAsia="楷体" w:cs="楷体"/>
                <w:bCs/>
                <w:sz w:val="24"/>
                <w:szCs w:val="24"/>
              </w:rPr>
              <w:t>46</w:t>
            </w:r>
          </w:p>
        </w:tc>
        <w:tc>
          <w:tcPr>
            <w:tcW w:w="9506" w:type="dxa"/>
            <w:vAlign w:val="center"/>
          </w:tcPr>
          <w:p w14:paraId="5D8F94B0">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定制防护策略以及策略细粒度配置，可根据不同分组需求定制不同的策略：（1）病毒防御（文件实时监控、恶意行为监控、内存防护、U盘保护、下载保护、邮件监控、Web扫描）；（2）系统防御（系统加固、应用加固、软件安装拦截、浏览器保护、摄像头防护）；（3）网络防御（网络入侵拦截、对外攻击拦截、恶意网站拦截、横向渗透防护、Web服务保护、暴破攻击防护、僵尸网络防护、远程登录防护）；（4）访问控制（IP协议控制、IP黑名单、联网控制、网站内容控制、程序执行控制、设备控制）；（5）行为管理（软件禁用、违规外联、桌面控制）；（6）安全工具（弹窗拦截和垃圾清理设置）。</w:t>
            </w:r>
            <w:r>
              <w:rPr>
                <w:rFonts w:hint="eastAsia" w:ascii="楷体" w:hAnsi="楷体" w:eastAsia="楷体" w:cs="楷体"/>
                <w:b/>
                <w:sz w:val="24"/>
                <w:szCs w:val="24"/>
              </w:rPr>
              <w:t>（提供功能截图并加盖</w:t>
            </w:r>
            <w:r>
              <w:rPr>
                <w:rFonts w:hint="eastAsia" w:ascii="楷体" w:hAnsi="楷体" w:eastAsia="楷体" w:cs="楷体"/>
                <w:b/>
                <w:sz w:val="24"/>
                <w:szCs w:val="24"/>
                <w:lang w:val="en-US" w:eastAsia="zh-CN"/>
              </w:rPr>
              <w:t>投标人投标专用</w:t>
            </w:r>
            <w:r>
              <w:rPr>
                <w:rFonts w:hint="eastAsia" w:ascii="楷体" w:hAnsi="楷体" w:eastAsia="楷体" w:cs="楷体"/>
                <w:b/>
                <w:sz w:val="24"/>
                <w:szCs w:val="24"/>
              </w:rPr>
              <w:t>章）</w:t>
            </w:r>
          </w:p>
        </w:tc>
      </w:tr>
      <w:tr w14:paraId="1975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57DFCBB6">
            <w:pPr>
              <w:snapToGrid w:val="0"/>
              <w:jc w:val="center"/>
              <w:rPr>
                <w:rFonts w:hint="eastAsia" w:ascii="楷体" w:hAnsi="楷体" w:eastAsia="楷体" w:cs="楷体"/>
                <w:bCs/>
                <w:sz w:val="24"/>
                <w:szCs w:val="24"/>
              </w:rPr>
            </w:pPr>
            <w:r>
              <w:rPr>
                <w:rFonts w:hint="eastAsia" w:ascii="楷体" w:hAnsi="楷体" w:eastAsia="楷体" w:cs="楷体"/>
                <w:bCs/>
                <w:sz w:val="24"/>
                <w:szCs w:val="24"/>
              </w:rPr>
              <w:t>47</w:t>
            </w:r>
          </w:p>
        </w:tc>
        <w:tc>
          <w:tcPr>
            <w:tcW w:w="9506" w:type="dxa"/>
            <w:vAlign w:val="center"/>
          </w:tcPr>
          <w:p w14:paraId="3F96DBA9">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导出安全分析报告，对当前中心进行安全状况分析并生成分析报告，可按照最近7天、最近30天、最近一年等时间范围生成报告，也可自定义时间范围生成报告；安全报告支持邮件订阅功能，可给管理员配置订阅功能。</w:t>
            </w:r>
          </w:p>
        </w:tc>
      </w:tr>
      <w:tr w14:paraId="1D4C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010C4EBB">
            <w:pPr>
              <w:snapToGrid w:val="0"/>
              <w:jc w:val="center"/>
              <w:rPr>
                <w:rFonts w:hint="eastAsia" w:ascii="楷体" w:hAnsi="楷体" w:eastAsia="楷体" w:cs="楷体"/>
                <w:bCs/>
                <w:sz w:val="24"/>
                <w:szCs w:val="24"/>
              </w:rPr>
            </w:pPr>
            <w:r>
              <w:rPr>
                <w:rFonts w:hint="eastAsia" w:ascii="楷体" w:hAnsi="楷体" w:eastAsia="楷体" w:cs="楷体"/>
                <w:bCs/>
                <w:sz w:val="24"/>
                <w:szCs w:val="24"/>
              </w:rPr>
              <w:t>48</w:t>
            </w:r>
          </w:p>
        </w:tc>
        <w:tc>
          <w:tcPr>
            <w:tcW w:w="9506" w:type="dxa"/>
            <w:vAlign w:val="center"/>
          </w:tcPr>
          <w:p w14:paraId="503506A4">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控制中心应支持违规外联设置，以及统一管理：探测终端</w:t>
            </w:r>
            <w:r>
              <w:rPr>
                <w:rFonts w:hint="eastAsia" w:ascii="楷体" w:hAnsi="楷体" w:eastAsia="楷体" w:cs="楷体"/>
                <w:bCs/>
                <w:color w:val="FF0000"/>
                <w:sz w:val="24"/>
                <w:szCs w:val="24"/>
                <w:lang w:eastAsia="zh-CN"/>
              </w:rPr>
              <w:t>甲方</w:t>
            </w:r>
            <w:r>
              <w:rPr>
                <w:rFonts w:hint="eastAsia" w:ascii="楷体" w:hAnsi="楷体" w:eastAsia="楷体" w:cs="楷体"/>
                <w:bCs/>
                <w:sz w:val="24"/>
                <w:szCs w:val="24"/>
              </w:rPr>
              <w:t>是否有违规连接外部网络的行为，可对违规终端关机或者隔离；支持统一设置桌面壁纸，锁屏壁纸，无操作自动锁屏时间；支持设置终端允许或禁止连接Wi-Fi网络，并支持通过自定义SSID设置允许连接的Wi-Fi。</w:t>
            </w:r>
            <w:r>
              <w:rPr>
                <w:rFonts w:hint="eastAsia" w:ascii="楷体" w:hAnsi="楷体" w:eastAsia="楷体" w:cs="楷体"/>
                <w:b/>
                <w:sz w:val="24"/>
                <w:szCs w:val="24"/>
              </w:rPr>
              <w:t>（提供功能截图并加盖</w:t>
            </w:r>
            <w:r>
              <w:rPr>
                <w:rFonts w:hint="eastAsia" w:ascii="楷体" w:hAnsi="楷体" w:eastAsia="楷体" w:cs="楷体"/>
                <w:b/>
                <w:sz w:val="24"/>
                <w:szCs w:val="24"/>
                <w:lang w:val="en-US" w:eastAsia="zh-CN"/>
              </w:rPr>
              <w:t>投标人投标专用</w:t>
            </w:r>
            <w:r>
              <w:rPr>
                <w:rFonts w:hint="eastAsia" w:ascii="楷体" w:hAnsi="楷体" w:eastAsia="楷体" w:cs="楷体"/>
                <w:b/>
                <w:sz w:val="24"/>
                <w:szCs w:val="24"/>
              </w:rPr>
              <w:t>章）</w:t>
            </w:r>
          </w:p>
        </w:tc>
      </w:tr>
      <w:tr w14:paraId="6BAF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5395490C">
            <w:pPr>
              <w:snapToGrid w:val="0"/>
              <w:jc w:val="center"/>
              <w:rPr>
                <w:rFonts w:hint="eastAsia" w:ascii="楷体" w:hAnsi="楷体" w:eastAsia="楷体" w:cs="楷体"/>
                <w:bCs/>
                <w:sz w:val="24"/>
                <w:szCs w:val="24"/>
              </w:rPr>
            </w:pPr>
            <w:r>
              <w:rPr>
                <w:rFonts w:hint="eastAsia" w:ascii="楷体" w:hAnsi="楷体" w:eastAsia="楷体" w:cs="楷体"/>
                <w:bCs/>
                <w:sz w:val="24"/>
                <w:szCs w:val="24"/>
              </w:rPr>
              <w:t>49</w:t>
            </w:r>
          </w:p>
        </w:tc>
        <w:tc>
          <w:tcPr>
            <w:tcW w:w="9506" w:type="dxa"/>
            <w:vAlign w:val="center"/>
          </w:tcPr>
          <w:p w14:paraId="21203577">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服务端支持对不同操作系统版本的客户端进行统一管控，包括Windows PC、Windows Server、Linux、 MacOS.支持与现有安全管理平台进行无缝对接与统一管理，实现</w:t>
            </w:r>
            <w:r>
              <w:rPr>
                <w:rFonts w:hint="eastAsia" w:ascii="楷体" w:hAnsi="楷体" w:eastAsia="楷体" w:cs="楷体"/>
                <w:bCs/>
                <w:color w:val="FF0000"/>
                <w:sz w:val="24"/>
                <w:szCs w:val="24"/>
                <w:lang w:eastAsia="zh-CN"/>
              </w:rPr>
              <w:t>甲方</w:t>
            </w:r>
            <w:r>
              <w:rPr>
                <w:rFonts w:hint="eastAsia" w:ascii="楷体" w:hAnsi="楷体" w:eastAsia="楷体" w:cs="楷体"/>
                <w:bCs/>
                <w:sz w:val="24"/>
                <w:szCs w:val="24"/>
              </w:rPr>
              <w:t>、策略等核心数据的同步，实现全网一体化视图与集中化运维。</w:t>
            </w:r>
          </w:p>
        </w:tc>
      </w:tr>
      <w:tr w14:paraId="3B30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7E768F69">
            <w:pPr>
              <w:snapToGrid w:val="0"/>
              <w:jc w:val="center"/>
              <w:rPr>
                <w:rFonts w:hint="eastAsia" w:ascii="楷体" w:hAnsi="楷体" w:eastAsia="楷体" w:cs="楷体"/>
                <w:bCs/>
                <w:sz w:val="24"/>
                <w:szCs w:val="24"/>
              </w:rPr>
            </w:pPr>
            <w:r>
              <w:rPr>
                <w:rFonts w:hint="eastAsia" w:ascii="楷体" w:hAnsi="楷体" w:eastAsia="楷体" w:cs="楷体"/>
                <w:bCs/>
                <w:sz w:val="24"/>
                <w:szCs w:val="24"/>
              </w:rPr>
              <w:t>50</w:t>
            </w:r>
          </w:p>
        </w:tc>
        <w:tc>
          <w:tcPr>
            <w:tcW w:w="9506" w:type="dxa"/>
            <w:vAlign w:val="center"/>
          </w:tcPr>
          <w:p w14:paraId="2568A934">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支持与现有安全管理平台进行无缝对接与统一管理，实现</w:t>
            </w:r>
            <w:r>
              <w:rPr>
                <w:rFonts w:hint="eastAsia" w:ascii="楷体" w:hAnsi="楷体" w:eastAsia="楷体" w:cs="楷体"/>
                <w:bCs/>
                <w:color w:val="FF0000"/>
                <w:sz w:val="24"/>
                <w:szCs w:val="24"/>
                <w:lang w:eastAsia="zh-CN"/>
              </w:rPr>
              <w:t>甲方</w:t>
            </w:r>
            <w:r>
              <w:rPr>
                <w:rFonts w:hint="eastAsia" w:ascii="楷体" w:hAnsi="楷体" w:eastAsia="楷体" w:cs="楷体"/>
                <w:bCs/>
                <w:sz w:val="24"/>
                <w:szCs w:val="24"/>
              </w:rPr>
              <w:t>、策略等核心数据的同步，实现全网一体化视图与集中化运维。</w:t>
            </w:r>
          </w:p>
        </w:tc>
      </w:tr>
      <w:tr w14:paraId="0889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6" w:type="dxa"/>
            <w:vAlign w:val="center"/>
          </w:tcPr>
          <w:p w14:paraId="0E7B01D5">
            <w:pPr>
              <w:snapToGrid w:val="0"/>
              <w:jc w:val="center"/>
              <w:rPr>
                <w:rFonts w:hint="eastAsia" w:ascii="楷体" w:hAnsi="楷体" w:eastAsia="楷体" w:cs="楷体"/>
                <w:bCs/>
                <w:sz w:val="24"/>
                <w:szCs w:val="24"/>
              </w:rPr>
            </w:pPr>
            <w:r>
              <w:rPr>
                <w:rFonts w:hint="eastAsia" w:ascii="楷体" w:hAnsi="楷体" w:eastAsia="楷体" w:cs="楷体"/>
                <w:bCs/>
                <w:sz w:val="24"/>
                <w:szCs w:val="24"/>
              </w:rPr>
              <w:t>51</w:t>
            </w:r>
          </w:p>
        </w:tc>
        <w:tc>
          <w:tcPr>
            <w:tcW w:w="9506" w:type="dxa"/>
            <w:vAlign w:val="center"/>
          </w:tcPr>
          <w:p w14:paraId="20020513">
            <w:pPr>
              <w:widowControl w:val="0"/>
              <w:wordWrap w:val="0"/>
              <w:overflowPunct w:val="0"/>
              <w:autoSpaceDE w:val="0"/>
              <w:autoSpaceDN w:val="0"/>
              <w:adjustRightInd/>
              <w:snapToGrid w:val="0"/>
              <w:spacing w:after="0" w:line="480" w:lineRule="exact"/>
              <w:jc w:val="both"/>
              <w:rPr>
                <w:rFonts w:hint="eastAsia" w:ascii="楷体" w:hAnsi="楷体" w:eastAsia="楷体" w:cs="楷体"/>
                <w:bCs/>
                <w:sz w:val="24"/>
                <w:szCs w:val="24"/>
              </w:rPr>
            </w:pPr>
            <w:r>
              <w:rPr>
                <w:rFonts w:hint="eastAsia" w:ascii="楷体" w:hAnsi="楷体" w:eastAsia="楷体" w:cs="楷体"/>
                <w:bCs/>
                <w:sz w:val="24"/>
                <w:szCs w:val="24"/>
              </w:rPr>
              <w:t>投标人承诺验收时提供原厂商对本项目出具的三年质保及售后服务承诺函。</w:t>
            </w:r>
          </w:p>
        </w:tc>
      </w:tr>
    </w:tbl>
    <w:p w14:paraId="58E605B2">
      <w:pPr>
        <w:pStyle w:val="8"/>
        <w:ind w:left="0" w:leftChars="0" w:firstLine="0" w:firstLineChars="0"/>
        <w:rPr>
          <w:rFonts w:hint="default" w:ascii="仿宋_GB2312" w:eastAsia="仿宋_GB2312" w:cs="仿宋_GB2312"/>
          <w:bCs/>
          <w:color w:val="auto"/>
          <w:kern w:val="0"/>
          <w:sz w:val="28"/>
          <w:szCs w:val="28"/>
          <w:lang w:val="en-US" w:eastAsia="zh-CN" w:bidi="ar-SA"/>
        </w:rPr>
      </w:pPr>
    </w:p>
    <w:p w14:paraId="3FCCCEE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040B4A6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color w:val="000000" w:themeColor="text1"/>
          <w:sz w:val="24"/>
          <w:szCs w:val="24"/>
          <w14:textFill>
            <w14:solidFill>
              <w14:schemeClr w14:val="tx1"/>
            </w14:solidFill>
          </w14:textFill>
        </w:rPr>
      </w:pP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3"/>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2"/>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23"/>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22"/>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6"/>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6"/>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6D90F51D">
      <w:pPr>
        <w:pStyle w:val="22"/>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6"/>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23"/>
        <w:rPr>
          <w:color w:val="auto"/>
        </w:rPr>
      </w:pPr>
    </w:p>
    <w:p w14:paraId="5EEA99A1">
      <w:pPr>
        <w:pStyle w:val="22"/>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11"/>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11"/>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1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11"/>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12"/>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6F2E55"/>
    <w:rsid w:val="00AE556A"/>
    <w:rsid w:val="01350E35"/>
    <w:rsid w:val="02390242"/>
    <w:rsid w:val="03E43FAE"/>
    <w:rsid w:val="04653F41"/>
    <w:rsid w:val="04B72FC8"/>
    <w:rsid w:val="04F57A38"/>
    <w:rsid w:val="050719CA"/>
    <w:rsid w:val="056B0EF3"/>
    <w:rsid w:val="06934BAA"/>
    <w:rsid w:val="06E91EC4"/>
    <w:rsid w:val="07731DE6"/>
    <w:rsid w:val="086F75C9"/>
    <w:rsid w:val="09C0303A"/>
    <w:rsid w:val="0A3F4F3C"/>
    <w:rsid w:val="0A6D3244"/>
    <w:rsid w:val="0A8A74D4"/>
    <w:rsid w:val="0CAD5ABA"/>
    <w:rsid w:val="0CAD77BD"/>
    <w:rsid w:val="0CD87BD4"/>
    <w:rsid w:val="0E331420"/>
    <w:rsid w:val="0E3A4761"/>
    <w:rsid w:val="0EBC028B"/>
    <w:rsid w:val="0EDD1643"/>
    <w:rsid w:val="0FB9029C"/>
    <w:rsid w:val="10897B23"/>
    <w:rsid w:val="10914EF9"/>
    <w:rsid w:val="10B8663C"/>
    <w:rsid w:val="12080B62"/>
    <w:rsid w:val="12994AC5"/>
    <w:rsid w:val="129F447F"/>
    <w:rsid w:val="12C86253"/>
    <w:rsid w:val="14E40477"/>
    <w:rsid w:val="15060AC8"/>
    <w:rsid w:val="15125EAE"/>
    <w:rsid w:val="15675A4C"/>
    <w:rsid w:val="15B67DFF"/>
    <w:rsid w:val="163301F0"/>
    <w:rsid w:val="17F91BB8"/>
    <w:rsid w:val="193E7D91"/>
    <w:rsid w:val="1943608F"/>
    <w:rsid w:val="19E40286"/>
    <w:rsid w:val="19E91315"/>
    <w:rsid w:val="1AF56B46"/>
    <w:rsid w:val="1CE412C7"/>
    <w:rsid w:val="1D5071B5"/>
    <w:rsid w:val="1DD7486D"/>
    <w:rsid w:val="1E79119D"/>
    <w:rsid w:val="1F334F58"/>
    <w:rsid w:val="1F796B24"/>
    <w:rsid w:val="1F7E3A26"/>
    <w:rsid w:val="1FC602A8"/>
    <w:rsid w:val="1FE73549"/>
    <w:rsid w:val="2038045E"/>
    <w:rsid w:val="20AF0900"/>
    <w:rsid w:val="20B41DA7"/>
    <w:rsid w:val="21C61C7A"/>
    <w:rsid w:val="2280405B"/>
    <w:rsid w:val="2383771E"/>
    <w:rsid w:val="23F374DB"/>
    <w:rsid w:val="24881A32"/>
    <w:rsid w:val="25266F96"/>
    <w:rsid w:val="267547DF"/>
    <w:rsid w:val="272B6E6C"/>
    <w:rsid w:val="27B626C7"/>
    <w:rsid w:val="27CF2BB7"/>
    <w:rsid w:val="2821285F"/>
    <w:rsid w:val="28501465"/>
    <w:rsid w:val="28E81B29"/>
    <w:rsid w:val="28FD390A"/>
    <w:rsid w:val="29B45A41"/>
    <w:rsid w:val="2A174DA9"/>
    <w:rsid w:val="2AB010A8"/>
    <w:rsid w:val="2AC66F99"/>
    <w:rsid w:val="2BD64A85"/>
    <w:rsid w:val="2BF61ECB"/>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62711A"/>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22229D"/>
    <w:rsid w:val="425629F5"/>
    <w:rsid w:val="4284152B"/>
    <w:rsid w:val="428B1063"/>
    <w:rsid w:val="429A4992"/>
    <w:rsid w:val="435B161D"/>
    <w:rsid w:val="43B25DAC"/>
    <w:rsid w:val="44771DFD"/>
    <w:rsid w:val="45D569C3"/>
    <w:rsid w:val="479B74B7"/>
    <w:rsid w:val="48735221"/>
    <w:rsid w:val="48997E8F"/>
    <w:rsid w:val="49E92B05"/>
    <w:rsid w:val="4A354E62"/>
    <w:rsid w:val="4AEE1A11"/>
    <w:rsid w:val="4B7F39F4"/>
    <w:rsid w:val="4BAE646F"/>
    <w:rsid w:val="4C06451A"/>
    <w:rsid w:val="4CAC1559"/>
    <w:rsid w:val="4D754257"/>
    <w:rsid w:val="4DCD6AB3"/>
    <w:rsid w:val="4DDD6104"/>
    <w:rsid w:val="4DE92593"/>
    <w:rsid w:val="4EE7662F"/>
    <w:rsid w:val="50216DCD"/>
    <w:rsid w:val="50540C20"/>
    <w:rsid w:val="506258C6"/>
    <w:rsid w:val="51AC28BD"/>
    <w:rsid w:val="52183ACC"/>
    <w:rsid w:val="53B55872"/>
    <w:rsid w:val="544055F2"/>
    <w:rsid w:val="54AD4386"/>
    <w:rsid w:val="54E30E5A"/>
    <w:rsid w:val="5587625E"/>
    <w:rsid w:val="55D8243C"/>
    <w:rsid w:val="56483C8F"/>
    <w:rsid w:val="56C77AA7"/>
    <w:rsid w:val="57F52F2F"/>
    <w:rsid w:val="581A7C72"/>
    <w:rsid w:val="583A4BD7"/>
    <w:rsid w:val="58487501"/>
    <w:rsid w:val="59C74B1F"/>
    <w:rsid w:val="5A886F59"/>
    <w:rsid w:val="604D5946"/>
    <w:rsid w:val="611B6B1B"/>
    <w:rsid w:val="62030FF0"/>
    <w:rsid w:val="62C222C2"/>
    <w:rsid w:val="62DB090C"/>
    <w:rsid w:val="632D7C40"/>
    <w:rsid w:val="64133D6A"/>
    <w:rsid w:val="64245572"/>
    <w:rsid w:val="66C30AF5"/>
    <w:rsid w:val="678E4F5D"/>
    <w:rsid w:val="67F3562A"/>
    <w:rsid w:val="680E122C"/>
    <w:rsid w:val="6A4E1D63"/>
    <w:rsid w:val="6A90762D"/>
    <w:rsid w:val="6AB9152E"/>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83D7269"/>
    <w:rsid w:val="79EB699D"/>
    <w:rsid w:val="7A104828"/>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6">
    <w:name w:val="Normal Indent"/>
    <w:basedOn w:val="1"/>
    <w:next w:val="7"/>
    <w:qFormat/>
    <w:uiPriority w:val="0"/>
    <w:pPr>
      <w:widowControl/>
      <w:ind w:firstLine="420"/>
      <w:jc w:val="left"/>
    </w:pPr>
    <w:rPr>
      <w:kern w:val="0"/>
      <w:sz w:val="20"/>
      <w:szCs w:val="20"/>
    </w:r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Body Text"/>
    <w:basedOn w:val="1"/>
    <w:semiHidden/>
    <w:qFormat/>
    <w:uiPriority w:val="0"/>
    <w:rPr>
      <w:rFonts w:ascii="宋体" w:hAnsi="宋体" w:eastAsia="宋体" w:cs="宋体"/>
      <w:sz w:val="24"/>
      <w:szCs w:val="24"/>
      <w:lang w:val="en-US" w:eastAsia="en-US" w:bidi="ar-SA"/>
    </w:rPr>
  </w:style>
  <w:style w:type="paragraph" w:styleId="9">
    <w:name w:val="Body Text Indent"/>
    <w:basedOn w:val="1"/>
    <w:next w:val="1"/>
    <w:qFormat/>
    <w:uiPriority w:val="99"/>
    <w:pPr>
      <w:spacing w:line="400" w:lineRule="exact"/>
      <w:ind w:left="630"/>
    </w:pPr>
    <w:rPr>
      <w:rFonts w:ascii="楷体_GB2312"/>
      <w:sz w:val="30"/>
      <w:szCs w:val="30"/>
    </w:rPr>
  </w:style>
  <w:style w:type="paragraph" w:styleId="10">
    <w:name w:val="Date"/>
    <w:basedOn w:val="1"/>
    <w:next w:val="1"/>
    <w:qFormat/>
    <w:uiPriority w:val="0"/>
    <w:rPr>
      <w:color w:val="000000"/>
      <w:kern w:val="0"/>
      <w:sz w:val="30"/>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after="120" w:line="480" w:lineRule="auto"/>
    </w:pPr>
  </w:style>
  <w:style w:type="paragraph" w:styleId="14">
    <w:name w:val="Normal (Web)"/>
    <w:basedOn w:val="1"/>
    <w:qFormat/>
    <w:uiPriority w:val="0"/>
    <w:rPr>
      <w:sz w:val="24"/>
    </w:rPr>
  </w:style>
  <w:style w:type="paragraph" w:styleId="15">
    <w:name w:val="Body Text First Indent 2"/>
    <w:basedOn w:val="9"/>
    <w:next w:val="6"/>
    <w:qFormat/>
    <w:uiPriority w:val="0"/>
    <w:pPr>
      <w:overflowPunct w:val="0"/>
      <w:adjustRightInd w:val="0"/>
      <w:spacing w:line="500" w:lineRule="exact"/>
      <w:ind w:firstLine="420" w:firstLineChars="200"/>
      <w:textAlignment w:val="baseline"/>
    </w:pPr>
    <w:rPr>
      <w:rFonts w:eastAsia="仿宋_GB2312"/>
      <w:kern w:val="28"/>
      <w:sz w:val="28"/>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paragraph" w:customStyle="1" w:styleId="21">
    <w:name w:val="大标题"/>
    <w:basedOn w:val="1"/>
    <w:next w:val="15"/>
    <w:qFormat/>
    <w:uiPriority w:val="0"/>
    <w:pPr>
      <w:jc w:val="center"/>
    </w:pPr>
    <w:rPr>
      <w:rFonts w:ascii="Arial" w:hAnsi="Arial" w:eastAsia="宋体"/>
      <w:b/>
      <w:sz w:val="28"/>
      <w:szCs w:val="24"/>
    </w:rPr>
  </w:style>
  <w:style w:type="paragraph" w:customStyle="1" w:styleId="22">
    <w:name w:val="列出段落1"/>
    <w:basedOn w:val="1"/>
    <w:qFormat/>
    <w:uiPriority w:val="99"/>
    <w:pPr>
      <w:ind w:firstLine="420" w:firstLineChars="200"/>
    </w:pPr>
  </w:style>
  <w:style w:type="paragraph" w:customStyle="1" w:styleId="23">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1487</Words>
  <Characters>1666</Characters>
  <Lines>0</Lines>
  <Paragraphs>0</Paragraphs>
  <TotalTime>0</TotalTime>
  <ScaleCrop>false</ScaleCrop>
  <LinksUpToDate>false</LinksUpToDate>
  <CharactersWithSpaces>1689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2026-06-04T01:53:21Z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693F405580CA4EF791A186399C2A22A8_13</vt:lpwstr>
  </property>
  <property fmtid="{D5CDD505-2E9C-101B-9397-08002B2CF9AE}" pid="4" name="KSOTemplateDocerSaveRecord">
    <vt:lpwstr>eyJoZGlkIjoiOWU3YmMxNGQ0NDE0NTRiYjQ3MWFkZjk1MWM2MTc2NWEiLCJ1c2VySWQiOiI0NDIzNjcyODQifQ==</vt:lpwstr>
  </property>
</Properties>
</file>