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5"/>
        <w:snapToGrid w:val="0"/>
        <w:jc w:val="center"/>
        <w:rPr>
          <w:rFonts w:hint="eastAsia" w:ascii="Arial" w:hAnsi="Arial" w:eastAsia="方正小标宋简体" w:cs="Arial"/>
          <w:sz w:val="72"/>
          <w:szCs w:val="72"/>
        </w:rPr>
      </w:pPr>
      <w:bookmarkStart w:id="0" w:name="_Toc16523570"/>
    </w:p>
    <w:p w14:paraId="1B95787E">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5"/>
        <w:snapToGrid w:val="0"/>
        <w:jc w:val="center"/>
        <w:rPr>
          <w:rFonts w:hint="eastAsia" w:ascii="Arial" w:hAnsi="Arial" w:eastAsia="方正小标宋简体" w:cs="Arial"/>
          <w:sz w:val="72"/>
          <w:szCs w:val="72"/>
        </w:rPr>
      </w:pPr>
    </w:p>
    <w:p w14:paraId="65C368DD">
      <w:pPr>
        <w:pStyle w:val="5"/>
        <w:snapToGrid w:val="0"/>
        <w:jc w:val="center"/>
        <w:rPr>
          <w:rFonts w:hint="eastAsia" w:ascii="Arial" w:hAnsi="Arial" w:eastAsia="方正小标宋简体" w:cs="Arial"/>
          <w:sz w:val="72"/>
          <w:szCs w:val="72"/>
        </w:rPr>
      </w:pPr>
    </w:p>
    <w:p w14:paraId="11616A47">
      <w:pPr>
        <w:pStyle w:val="5"/>
        <w:snapToGrid w:val="0"/>
        <w:jc w:val="center"/>
        <w:rPr>
          <w:rFonts w:hint="eastAsia" w:ascii="Arial" w:hAnsi="Arial" w:eastAsia="方正小标宋简体" w:cs="Arial"/>
          <w:sz w:val="72"/>
          <w:szCs w:val="72"/>
        </w:rPr>
      </w:pPr>
    </w:p>
    <w:p w14:paraId="39F8D38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5"/>
        <w:snapToGrid w:val="0"/>
        <w:jc w:val="center"/>
        <w:rPr>
          <w:rFonts w:ascii="Arial" w:hAnsi="Arial" w:cs="Arial"/>
          <w:sz w:val="32"/>
          <w:szCs w:val="32"/>
        </w:rPr>
      </w:pPr>
    </w:p>
    <w:p w14:paraId="409EB72F">
      <w:pPr>
        <w:pStyle w:val="21"/>
        <w:rPr>
          <w:rFonts w:ascii="Arial" w:hAnsi="Arial" w:cs="Arial"/>
          <w:sz w:val="32"/>
          <w:szCs w:val="32"/>
        </w:rPr>
      </w:pPr>
    </w:p>
    <w:p w14:paraId="668BDAFE">
      <w:pPr>
        <w:pStyle w:val="2"/>
        <w:rPr>
          <w:rFonts w:ascii="Arial" w:hAnsi="Arial" w:cs="Arial"/>
          <w:sz w:val="32"/>
          <w:szCs w:val="32"/>
        </w:rPr>
      </w:pPr>
    </w:p>
    <w:p w14:paraId="30B28264">
      <w:pPr>
        <w:pStyle w:val="2"/>
        <w:rPr>
          <w:rFonts w:ascii="Arial" w:hAnsi="Arial" w:cs="Arial"/>
          <w:sz w:val="32"/>
          <w:szCs w:val="32"/>
        </w:rPr>
      </w:pPr>
    </w:p>
    <w:p w14:paraId="45C922C2">
      <w:pPr>
        <w:pStyle w:val="2"/>
        <w:rPr>
          <w:rFonts w:ascii="Arial" w:hAnsi="Arial" w:cs="Arial"/>
          <w:sz w:val="32"/>
          <w:szCs w:val="32"/>
        </w:rPr>
      </w:pPr>
    </w:p>
    <w:p w14:paraId="0233B328">
      <w:pPr>
        <w:pStyle w:val="2"/>
        <w:rPr>
          <w:rFonts w:ascii="Arial" w:hAnsi="Arial" w:cs="Arial"/>
          <w:sz w:val="32"/>
          <w:szCs w:val="32"/>
        </w:rPr>
      </w:pPr>
    </w:p>
    <w:p w14:paraId="65E4BC6C">
      <w:pPr>
        <w:pStyle w:val="2"/>
        <w:rPr>
          <w:rFonts w:ascii="Arial" w:hAnsi="Arial" w:cs="Arial"/>
          <w:sz w:val="32"/>
          <w:szCs w:val="32"/>
        </w:rPr>
      </w:pPr>
    </w:p>
    <w:p w14:paraId="7577245D">
      <w:pPr>
        <w:pStyle w:val="2"/>
        <w:rPr>
          <w:rFonts w:ascii="Arial" w:hAnsi="Arial" w:cs="Arial"/>
          <w:sz w:val="32"/>
          <w:szCs w:val="32"/>
        </w:rPr>
      </w:pPr>
    </w:p>
    <w:p w14:paraId="5337F494">
      <w:pPr>
        <w:pStyle w:val="2"/>
        <w:rPr>
          <w:rFonts w:ascii="Arial" w:hAnsi="Arial" w:cs="Arial"/>
          <w:sz w:val="32"/>
          <w:szCs w:val="32"/>
        </w:rPr>
      </w:pPr>
    </w:p>
    <w:p w14:paraId="0A4AE94E">
      <w:pPr>
        <w:pStyle w:val="5"/>
        <w:snapToGrid w:val="0"/>
        <w:jc w:val="center"/>
        <w:rPr>
          <w:rFonts w:ascii="Arial" w:hAnsi="Arial" w:cs="Arial"/>
          <w:sz w:val="32"/>
          <w:szCs w:val="32"/>
        </w:rPr>
      </w:pPr>
    </w:p>
    <w:p w14:paraId="13C7226F">
      <w:pPr>
        <w:pStyle w:val="5"/>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娄底市中心医院西门子3.0T核磁共振维保服务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娄底市中心医院西门子3.0T核磁共振维保服务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娄底市中心医院西门子3.0T核磁共振维保服务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21"/>
        <w:rPr>
          <w:rFonts w:hint="eastAsia"/>
          <w:lang w:val="en-US" w:eastAsia="zh-CN"/>
        </w:rPr>
      </w:pPr>
    </w:p>
    <w:p w14:paraId="7E250597">
      <w:pPr>
        <w:pStyle w:val="21"/>
        <w:jc w:val="both"/>
        <w:rPr>
          <w:rFonts w:hint="default"/>
          <w:lang w:val="en-US" w:eastAsia="zh-CN"/>
        </w:rPr>
      </w:pPr>
    </w:p>
    <w:p w14:paraId="22CD3DC2">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21"/>
        <w:rPr>
          <w:rFonts w:hint="eastAsia" w:ascii="宋体" w:hAnsi="宋体" w:cs="宋体"/>
          <w:b/>
          <w:bCs/>
          <w:color w:val="auto"/>
          <w:sz w:val="44"/>
          <w:szCs w:val="44"/>
          <w:lang w:val="en-US" w:eastAsia="zh-CN"/>
        </w:rPr>
      </w:pPr>
    </w:p>
    <w:p w14:paraId="6DFDBEAA">
      <w:pPr>
        <w:pStyle w:val="2"/>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20"/>
        <w:rPr>
          <w:rFonts w:hint="eastAsia"/>
          <w:lang w:val="en-US" w:eastAsia="zh-CN"/>
        </w:rPr>
      </w:pPr>
    </w:p>
    <w:p w14:paraId="04DC7BC4">
      <w:pPr>
        <w:pStyle w:val="6"/>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5"/>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娄底市中心医院西门子3.0T核磁共振维保服务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66</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1E27F27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服务内容：包含核磁设备MAGNETOM Vida技术人工保+制冷系统全保（制冷系统包括：冷头、吸附器、氦压缩机、高低压氦压管、室内水冷机组、室外水冷的定期保养和紧急备件更换）。</w:t>
      </w:r>
    </w:p>
    <w:p w14:paraId="39B6D7D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1、按照设备原厂商标准及相关法规进行安全检查。</w:t>
      </w:r>
    </w:p>
    <w:p w14:paraId="5F1174A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2、按照设备原厂商的质量标准进行校准。</w:t>
      </w:r>
    </w:p>
    <w:p w14:paraId="1ED1FA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3、提供24小时×365天400热线电话支持。</w:t>
      </w:r>
    </w:p>
    <w:p w14:paraId="0F6CB74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4、每合同年度提供制冷系统二次预防性保养。</w:t>
      </w:r>
    </w:p>
    <w:p w14:paraId="2F7595D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5、提供设备自带的嵌入式的远程互联网服务，远程实时监测设备运行状态，远程技术故障支持及远程临床应用支持，符合ISO/IEC 标准，投标时需提供相应的证明材料。（所提供的监测系统，必须有信息安全认证，如北美，欧盟，国内工信部等出具的信息安全管理体系认证）。</w:t>
      </w:r>
    </w:p>
    <w:p w14:paraId="12E98B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6、投标人在国内至少设立二个保税备件仓库（投标时需提供证明材料，包括仓库租赁合同，仓库实景照片），确保在规定时间内排除设备故障并提供备用机到位，以保证进口备件的及时供应。</w:t>
      </w:r>
    </w:p>
    <w:p w14:paraId="1CDED1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7、合同期内，接到故障报修电话后，30分钟内做出响应；宕机情况下，24小时内到达现场进行维修。</w:t>
      </w:r>
    </w:p>
    <w:p w14:paraId="2644B1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8、投标人投标时需出示维修服务所需的专业工具清单及主要工具的校准证书。</w:t>
      </w:r>
    </w:p>
    <w:p w14:paraId="347C39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9、投标人应能提供良好的本地化服务，在湖南省内有常驻的MR维修工程师不少于2人（≥2人），且必须经过设备原厂商针对MAGNETOM Vida或原厂商同档次设备、更高档次设备的维修技术培训，并获得培训合格证书。投标时需提供工程师人员清单、培训合格证书（其他机型的培训证书无效）及近一个月社保证明。</w:t>
      </w:r>
    </w:p>
    <w:p w14:paraId="05529C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10、投标人应获得医疗器械服务质量管理ISO9001认证、ISO13485医疗器械质量管理体系认证、OHSAS18001职业健康安全管理体系认证、ISO14001环境管理体系认证，投标时提供证明材料。</w:t>
      </w:r>
    </w:p>
    <w:p w14:paraId="5F15F4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11、投标人须提供最近5年执行的设备原厂商MAGNETOM Vida 型号同档次保修服务合同，或者原厂商更高档次设备的保修服务合同不少于3个（≥3个）。</w:t>
      </w:r>
    </w:p>
    <w:p w14:paraId="0F308B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12、投标人须提供临床应用培训工程师1人，并获得设备原厂商培训合格证书。</w:t>
      </w:r>
    </w:p>
    <w:p w14:paraId="63B6DF3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13、投标人须具备运营足够规模的直属免费线上培训学习平台，平台需设有医学影像相关视频课程及文档，以解决临床应用继续教育能力问题。</w:t>
      </w:r>
    </w:p>
    <w:p w14:paraId="39E72F8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auto"/>
          <w:kern w:val="0"/>
          <w:sz w:val="24"/>
          <w:szCs w:val="24"/>
          <w:lang w:val="en-US" w:eastAsia="zh-CN" w:bidi="ar-SA"/>
        </w:rPr>
        <w:t>14、本项目不接受联合体投标，不得分包、转包。</w:t>
      </w:r>
    </w:p>
    <w:p w14:paraId="249AEC8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color w:val="000000" w:themeColor="text1"/>
          <w:highlight w:val="none"/>
          <w:lang w:val="en-US" w:eastAsia="zh-CN"/>
          <w14:textFill>
            <w14:solidFill>
              <w14:schemeClr w14:val="tx1"/>
            </w14:solidFill>
          </w14:textFill>
        </w:rPr>
      </w:pPr>
    </w:p>
    <w:p w14:paraId="5A8734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62345C1">
      <w:pPr>
        <w:pStyle w:val="14"/>
        <w:spacing w:line="500" w:lineRule="exact"/>
        <w:ind w:firstLine="480" w:firstLineChars="200"/>
        <w:rPr>
          <w:rFonts w:ascii="仿宋_GB2312" w:eastAsia="仿宋_GB2312" w:cs="仿宋_GB2312"/>
          <w:bCs/>
          <w:kern w:val="0"/>
          <w:sz w:val="28"/>
          <w:szCs w:val="28"/>
          <w:highlight w:val="none"/>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kern w:val="0"/>
          <w:sz w:val="28"/>
          <w:szCs w:val="28"/>
          <w:highlight w:val="none"/>
        </w:rPr>
        <w:t xml:space="preserve">  合同编号：</w:t>
      </w:r>
    </w:p>
    <w:p w14:paraId="3237BA2E">
      <w:pPr>
        <w:spacing w:line="50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医疗设备维保服务合同</w:t>
      </w:r>
    </w:p>
    <w:p w14:paraId="1EEE51FA">
      <w:pPr>
        <w:tabs>
          <w:tab w:val="left" w:pos="283"/>
        </w:tabs>
        <w:autoSpaceDE w:val="0"/>
        <w:autoSpaceDN w:val="0"/>
        <w:adjustRightInd w:val="0"/>
        <w:snapToGrid w:val="0"/>
        <w:spacing w:line="500" w:lineRule="exact"/>
        <w:ind w:firstLine="640" w:firstLineChars="200"/>
        <w:jc w:val="center"/>
        <w:rPr>
          <w:rFonts w:hint="eastAsia" w:ascii="黑体" w:hAnsi="黑体" w:eastAsia="黑体"/>
          <w:kern w:val="0"/>
          <w:sz w:val="32"/>
          <w:szCs w:val="32"/>
          <w:highlight w:val="none"/>
        </w:rPr>
      </w:pPr>
    </w:p>
    <w:p w14:paraId="37CBA070">
      <w:pPr>
        <w:spacing w:line="50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甲方（采购方）：娄底市中心医院</w:t>
      </w:r>
    </w:p>
    <w:p w14:paraId="19D6C082">
      <w:pPr>
        <w:spacing w:line="500" w:lineRule="exact"/>
        <w:ind w:firstLine="560" w:firstLineChars="200"/>
        <w:rPr>
          <w:rFonts w:hint="eastAsia" w:ascii="仿宋_GB2312" w:hAnsi="仿宋_GB2312" w:eastAsia="仿宋" w:cs="仿宋_GB2312"/>
          <w:b/>
          <w:bCs/>
          <w:sz w:val="28"/>
          <w:szCs w:val="28"/>
          <w:highlight w:val="none"/>
        </w:rPr>
      </w:pPr>
      <w:r>
        <w:rPr>
          <w:rFonts w:hint="eastAsia" w:ascii="仿宋" w:hAnsi="仿宋" w:eastAsia="仿宋" w:cs="仿宋"/>
          <w:bCs/>
          <w:kern w:val="0"/>
          <w:sz w:val="28"/>
          <w:szCs w:val="28"/>
          <w:highlight w:val="none"/>
          <w:lang w:val="zh-CN"/>
        </w:rPr>
        <w:t>法定代表人：</w:t>
      </w:r>
      <w:r>
        <w:rPr>
          <w:rFonts w:hint="eastAsia" w:ascii="仿宋" w:hAnsi="仿宋" w:eastAsia="仿宋" w:cs="仿宋"/>
          <w:bCs/>
          <w:kern w:val="0"/>
          <w:sz w:val="28"/>
          <w:szCs w:val="28"/>
          <w:highlight w:val="none"/>
        </w:rPr>
        <w:t>杨吉军</w:t>
      </w:r>
    </w:p>
    <w:p w14:paraId="5EA3EA34">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统一社会信用代码：12431300447162073W</w:t>
      </w:r>
    </w:p>
    <w:p w14:paraId="515CC8D2">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地址：湖南省娄底市娄星区长青中街51号</w:t>
      </w:r>
    </w:p>
    <w:p w14:paraId="6F910AC2">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联系人：刘子文</w:t>
      </w:r>
    </w:p>
    <w:p w14:paraId="2A56B8F4">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联系电话：13762299668</w:t>
      </w:r>
    </w:p>
    <w:p w14:paraId="5C022183">
      <w:pPr>
        <w:spacing w:line="500" w:lineRule="exac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乙方（供货方）：</w:t>
      </w:r>
    </w:p>
    <w:p w14:paraId="58CC7342">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p>
    <w:p w14:paraId="366E8E8F">
      <w:pPr>
        <w:spacing w:line="50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统一社会信用代码：</w:t>
      </w:r>
    </w:p>
    <w:p w14:paraId="4A5FC6C9">
      <w:pPr>
        <w:spacing w:line="50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w:t>
      </w:r>
    </w:p>
    <w:p w14:paraId="5759E7C2">
      <w:pPr>
        <w:spacing w:line="50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w:t>
      </w:r>
    </w:p>
    <w:p w14:paraId="2F1CD60B">
      <w:pPr>
        <w:spacing w:line="50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p w14:paraId="004C324D">
      <w:pPr>
        <w:pStyle w:val="2"/>
        <w:ind w:firstLine="480"/>
        <w:jc w:val="left"/>
        <w:rPr>
          <w:rFonts w:hint="eastAsia" w:ascii="仿宋_GB2312" w:hAnsi="仿宋_GB2312" w:eastAsia="仿宋_GB2312" w:cs="仿宋_GB2312"/>
          <w:sz w:val="28"/>
          <w:szCs w:val="28"/>
          <w:highlight w:val="none"/>
          <w:lang w:val="zh-CN"/>
        </w:rPr>
      </w:pPr>
      <w:r>
        <w:rPr>
          <w:rFonts w:hint="eastAsia"/>
          <w:highlight w:val="none"/>
        </w:rPr>
        <w:t> </w:t>
      </w:r>
    </w:p>
    <w:p w14:paraId="06326056">
      <w:pPr>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甲方通过</w:t>
      </w:r>
      <w:r>
        <w:rPr>
          <w:rFonts w:hint="eastAsia" w:ascii="仿宋_GB2312" w:hAnsi="仿宋_GB2312" w:eastAsia="仿宋_GB2312" w:cs="仿宋_GB2312"/>
          <w:sz w:val="28"/>
          <w:szCs w:val="28"/>
          <w:highlight w:val="none"/>
          <w:u w:val="single"/>
        </w:rPr>
        <w:t xml:space="preserve"> 公开招标 </w:t>
      </w:r>
      <w:r>
        <w:rPr>
          <w:rFonts w:hint="eastAsia" w:ascii="仿宋_GB2312" w:hAnsi="仿宋_GB2312" w:eastAsia="仿宋_GB2312" w:cs="仿宋_GB2312"/>
          <w:sz w:val="28"/>
          <w:szCs w:val="28"/>
          <w:highlight w:val="none"/>
        </w:rPr>
        <w:t>方式采购</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bCs/>
          <w:sz w:val="28"/>
          <w:szCs w:val="28"/>
          <w:highlight w:val="none"/>
          <w:u w:val="single"/>
        </w:rPr>
        <w:t>西门子3.0T</w:t>
      </w:r>
      <w:r>
        <w:rPr>
          <w:rFonts w:hint="eastAsia" w:ascii="仿宋_GB2312" w:hAnsi="仿宋_GB2312" w:eastAsia="仿宋_GB2312" w:cs="仿宋_GB2312"/>
          <w:kern w:val="0"/>
          <w:sz w:val="28"/>
          <w:szCs w:val="28"/>
          <w:highlight w:val="none"/>
          <w:u w:val="single"/>
        </w:rPr>
        <w:t>核磁共振设备维保服务</w:t>
      </w:r>
      <w:r>
        <w:rPr>
          <w:rFonts w:hint="eastAsia" w:ascii="仿宋_GB2312" w:hAnsi="仿宋_GB2312" w:eastAsia="仿宋_GB2312" w:cs="仿宋_GB2312"/>
          <w:sz w:val="28"/>
          <w:szCs w:val="28"/>
          <w:highlight w:val="none"/>
        </w:rPr>
        <w:t>，乙方为成交供应商，项目编号：</w:t>
      </w:r>
      <w:r>
        <w:rPr>
          <w:rFonts w:hint="eastAsia" w:ascii="仿宋_GB2312" w:hAnsi="仿宋_GB2312" w:eastAsia="仿宋_GB2312" w:cs="仿宋_GB2312"/>
          <w:kern w:val="0"/>
          <w:sz w:val="28"/>
          <w:szCs w:val="28"/>
          <w:highlight w:val="none"/>
          <w:u w:val="single"/>
        </w:rPr>
        <w:t xml:space="preserve"> /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Cs/>
          <w:sz w:val="28"/>
          <w:szCs w:val="28"/>
          <w:highlight w:val="none"/>
        </w:rPr>
        <w:t>根据《中华人民共和国民法典》《</w:t>
      </w:r>
      <w:r>
        <w:rPr>
          <w:rFonts w:hint="eastAsia" w:ascii="仿宋_GB2312" w:hAnsi="仿宋_GB2312" w:eastAsia="仿宋_GB2312" w:cs="仿宋_GB2312"/>
          <w:bCs/>
          <w:sz w:val="28"/>
          <w:szCs w:val="28"/>
          <w:highlight w:val="none"/>
          <w:lang w:eastAsia="zh-CN"/>
        </w:rPr>
        <w:t>中华人民共和国政府采购法</w:t>
      </w:r>
      <w:r>
        <w:rPr>
          <w:rFonts w:hint="eastAsia" w:ascii="仿宋_GB2312" w:hAnsi="仿宋_GB2312" w:eastAsia="仿宋_GB2312" w:cs="仿宋_GB2312"/>
          <w:bCs/>
          <w:sz w:val="28"/>
          <w:szCs w:val="28"/>
          <w:highlight w:val="none"/>
        </w:rPr>
        <w:t>》等相关法律、法规的规定，本着诚实信用、互惠互利原则，双方就乙方为甲方提供</w:t>
      </w:r>
      <w:r>
        <w:rPr>
          <w:rFonts w:hint="eastAsia" w:ascii="仿宋_GB2312" w:hAnsi="仿宋_GB2312" w:eastAsia="仿宋_GB2312" w:cs="仿宋_GB2312"/>
          <w:bCs/>
          <w:sz w:val="28"/>
          <w:szCs w:val="28"/>
          <w:highlight w:val="none"/>
          <w:u w:val="single"/>
        </w:rPr>
        <w:t xml:space="preserve"> 西门子3.0T</w:t>
      </w:r>
      <w:r>
        <w:rPr>
          <w:rFonts w:hint="eastAsia" w:ascii="仿宋_GB2312" w:hAnsi="仿宋_GB2312" w:eastAsia="仿宋_GB2312" w:cs="仿宋_GB2312"/>
          <w:kern w:val="0"/>
          <w:sz w:val="28"/>
          <w:szCs w:val="28"/>
          <w:highlight w:val="none"/>
          <w:u w:val="single"/>
        </w:rPr>
        <w:t>核磁共振设备维保服务</w:t>
      </w:r>
      <w:r>
        <w:rPr>
          <w:rFonts w:hint="eastAsia" w:ascii="仿宋_GB2312" w:hAnsi="仿宋_GB2312" w:eastAsia="仿宋_GB2312" w:cs="仿宋_GB2312"/>
          <w:bCs/>
          <w:sz w:val="28"/>
          <w:szCs w:val="28"/>
          <w:highlight w:val="none"/>
        </w:rPr>
        <w:t>事宜协商一致，特签订本合同，以资共同遵守。</w:t>
      </w:r>
    </w:p>
    <w:p w14:paraId="55A664BC">
      <w:pPr>
        <w:keepNext w:val="0"/>
        <w:keepLines w:val="0"/>
        <w:pageBreakBefore w:val="0"/>
        <w:widowControl w:val="0"/>
        <w:kinsoku/>
        <w:wordWrap w:val="0"/>
        <w:overflowPunct/>
        <w:topLinePunct/>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第一条 服务内容</w:t>
      </w:r>
    </w:p>
    <w:p w14:paraId="5F560689">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1.1 乙方为甲方 西门子3.0T </w:t>
      </w:r>
      <w:r>
        <w:rPr>
          <w:rFonts w:hint="eastAsia" w:ascii="仿宋_GB2312" w:hAnsi="仿宋_GB2312" w:eastAsia="仿宋_GB2312" w:cs="仿宋_GB2312"/>
          <w:color w:val="0000FF"/>
          <w:sz w:val="28"/>
          <w:szCs w:val="28"/>
          <w:highlight w:val="none"/>
        </w:rPr>
        <w:t>MRI</w:t>
      </w:r>
      <w:r>
        <w:rPr>
          <w:rFonts w:hint="eastAsia" w:ascii="仿宋_GB2312" w:hAnsi="仿宋_GB2312" w:eastAsia="仿宋_GB2312" w:cs="仿宋_GB2312"/>
          <w:sz w:val="28"/>
          <w:szCs w:val="28"/>
          <w:highlight w:val="none"/>
        </w:rPr>
        <w:t>设备提供维保服务。包括制冷系统全保和整机设备技术</w:t>
      </w:r>
      <w:r>
        <w:rPr>
          <w:rFonts w:hint="eastAsia" w:ascii="仿宋_GB2312" w:hAnsi="仿宋_GB2312" w:eastAsia="仿宋_GB2312" w:cs="仿宋_GB2312"/>
          <w:color w:val="0000FF"/>
          <w:sz w:val="28"/>
          <w:szCs w:val="28"/>
          <w:highlight w:val="none"/>
          <w:lang w:val="en-US" w:eastAsia="zh-CN"/>
        </w:rPr>
        <w:t>人工</w:t>
      </w:r>
      <w:r>
        <w:rPr>
          <w:rFonts w:hint="eastAsia" w:ascii="仿宋_GB2312" w:hAnsi="仿宋_GB2312" w:eastAsia="仿宋_GB2312" w:cs="仿宋_GB2312"/>
          <w:sz w:val="28"/>
          <w:szCs w:val="28"/>
          <w:highlight w:val="none"/>
        </w:rPr>
        <w:t>保等服务，具体如下：</w:t>
      </w:r>
    </w:p>
    <w:p w14:paraId="4699B2CF">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 制冷部分的冷头、吸附器、</w:t>
      </w:r>
      <w:r>
        <w:rPr>
          <w:rFonts w:hint="eastAsia" w:ascii="仿宋_GB2312" w:hAnsi="仿宋_GB2312" w:eastAsia="仿宋_GB2312" w:cs="仿宋_GB2312"/>
          <w:sz w:val="28"/>
          <w:szCs w:val="28"/>
          <w:highlight w:val="none"/>
          <w:lang w:val="zh-CN"/>
        </w:rPr>
        <w:t>氦</w:t>
      </w:r>
      <w:r>
        <w:rPr>
          <w:rFonts w:hint="eastAsia" w:ascii="仿宋_GB2312" w:hAnsi="仿宋_GB2312" w:eastAsia="仿宋_GB2312" w:cs="仿宋_GB2312"/>
          <w:sz w:val="28"/>
          <w:szCs w:val="28"/>
          <w:highlight w:val="none"/>
        </w:rPr>
        <w:t>压缩机、高低压氦气管、室内冷水机</w:t>
      </w:r>
      <w:r>
        <w:rPr>
          <w:rFonts w:hint="eastAsia" w:ascii="仿宋_GB2312" w:hAnsi="仿宋_GB2312" w:eastAsia="仿宋_GB2312" w:cs="仿宋_GB2312"/>
          <w:sz w:val="28"/>
          <w:szCs w:val="28"/>
          <w:highlight w:val="none"/>
          <w:lang w:val="zh-CN"/>
        </w:rPr>
        <w:t>组</w:t>
      </w:r>
      <w:r>
        <w:rPr>
          <w:rFonts w:hint="eastAsia" w:ascii="仿宋_GB2312" w:hAnsi="仿宋_GB2312" w:eastAsia="仿宋_GB2312" w:cs="仿宋_GB2312"/>
          <w:sz w:val="28"/>
          <w:szCs w:val="28"/>
          <w:highlight w:val="none"/>
        </w:rPr>
        <w:t>、室外水冷的定期保养保修、紧急备件更换。</w:t>
      </w:r>
    </w:p>
    <w:p w14:paraId="116D95A1">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1.1.2 MRI 整机人工技术及定期保养。（不包括空调、激光相机及高压注射器等第三方外围设备的保修服务及 MRI 设备除制冷系统外的故障零备件的更换费用）。</w:t>
      </w:r>
    </w:p>
    <w:p w14:paraId="34120094">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 维护内容：</w:t>
      </w:r>
    </w:p>
    <w:p w14:paraId="31AD055C">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1.2.1 整机定期保养；</w:t>
      </w:r>
    </w:p>
    <w:p w14:paraId="55B35ADC">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1.2.2 </w:t>
      </w:r>
      <w:r>
        <w:rPr>
          <w:rFonts w:hint="eastAsia" w:ascii="仿宋_GB2312" w:hAnsi="仿宋_GB2312" w:eastAsia="仿宋_GB2312" w:cs="仿宋_GB2312"/>
          <w:color w:val="0000FF"/>
          <w:sz w:val="28"/>
          <w:szCs w:val="28"/>
          <w:highlight w:val="none"/>
          <w:lang w:val="en-US" w:eastAsia="zh-CN"/>
        </w:rPr>
        <w:t>整机</w:t>
      </w:r>
      <w:r>
        <w:rPr>
          <w:rFonts w:hint="eastAsia" w:ascii="仿宋_GB2312" w:hAnsi="仿宋_GB2312" w:eastAsia="仿宋_GB2312" w:cs="仿宋_GB2312"/>
          <w:sz w:val="28"/>
          <w:szCs w:val="28"/>
          <w:highlight w:val="none"/>
        </w:rPr>
        <w:t>开机率保障；</w:t>
      </w:r>
    </w:p>
    <w:p w14:paraId="5CB18BDA">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1.2.3 制冷系统维护保养。</w:t>
      </w:r>
    </w:p>
    <w:p w14:paraId="224F138C">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 服务要求：</w:t>
      </w:r>
    </w:p>
    <w:p w14:paraId="4EADA42C">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1.3.1 整体要求：</w:t>
      </w:r>
    </w:p>
    <w:p w14:paraId="68C28F4D">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1.3.1.1 确保服务期内设备开机率达95%及以上，按照365天/年、24小时/天计算，即正常开机应达到347天/</w:t>
      </w:r>
      <w:r>
        <w:rPr>
          <w:rFonts w:hint="eastAsia" w:ascii="仿宋_GB2312" w:hAnsi="仿宋_GB2312" w:eastAsia="仿宋_GB2312" w:cs="仿宋_GB2312"/>
          <w:color w:val="0000FF"/>
          <w:sz w:val="28"/>
          <w:szCs w:val="28"/>
          <w:highlight w:val="none"/>
          <w:lang w:val="en-US" w:eastAsia="zh-CN"/>
        </w:rPr>
        <w:t>合同年度</w:t>
      </w:r>
      <w:r>
        <w:rPr>
          <w:rFonts w:hint="eastAsia" w:ascii="仿宋_GB2312" w:hAnsi="仿宋_GB2312" w:eastAsia="仿宋_GB2312" w:cs="仿宋_GB2312"/>
          <w:sz w:val="28"/>
          <w:szCs w:val="28"/>
          <w:highlight w:val="none"/>
        </w:rPr>
        <w:t>及以上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FF"/>
          <w:sz w:val="28"/>
          <w:szCs w:val="28"/>
          <w:highlight w:val="none"/>
          <w:lang w:val="en-US" w:eastAsia="zh-CN"/>
        </w:rPr>
        <w:t>如开机率未达到95%，停机时间每增加1天，维保服务期限顺延2天。</w:t>
      </w:r>
    </w:p>
    <w:p w14:paraId="26FF31C0">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1.3.2 保养维护要求：</w:t>
      </w:r>
    </w:p>
    <w:p w14:paraId="27245E81">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 xml:space="preserve">1.3.2.1 </w:t>
      </w:r>
      <w:r>
        <w:rPr>
          <w:rFonts w:hint="eastAsia" w:ascii="仿宋_GB2312" w:hAnsi="仿宋_GB2312" w:eastAsia="仿宋_GB2312" w:cs="仿宋_GB2312"/>
          <w:color w:val="0000FF"/>
          <w:sz w:val="28"/>
          <w:szCs w:val="28"/>
          <w:highlight w:val="none"/>
          <w:lang w:val="en-US" w:eastAsia="zh-CN"/>
        </w:rPr>
        <w:t>整机</w:t>
      </w:r>
      <w:r>
        <w:rPr>
          <w:rFonts w:hint="eastAsia" w:ascii="仿宋_GB2312" w:hAnsi="仿宋_GB2312" w:eastAsia="仿宋_GB2312" w:cs="仿宋_GB2312"/>
          <w:sz w:val="28"/>
          <w:szCs w:val="28"/>
          <w:highlight w:val="none"/>
        </w:rPr>
        <w:t>保养维护每</w:t>
      </w:r>
      <w:r>
        <w:rPr>
          <w:rFonts w:hint="eastAsia" w:ascii="仿宋_GB2312" w:hAnsi="仿宋_GB2312" w:eastAsia="仿宋_GB2312" w:cs="仿宋_GB2312"/>
          <w:color w:val="0000FF"/>
          <w:sz w:val="28"/>
          <w:szCs w:val="28"/>
          <w:highlight w:val="none"/>
          <w:lang w:val="en-US" w:eastAsia="zh-CN"/>
        </w:rPr>
        <w:t>合同年度</w:t>
      </w:r>
      <w:r>
        <w:rPr>
          <w:rFonts w:hint="eastAsia" w:ascii="仿宋_GB2312" w:hAnsi="仿宋_GB2312" w:eastAsia="仿宋_GB2312" w:cs="仿宋_GB2312"/>
          <w:sz w:val="28"/>
          <w:szCs w:val="28"/>
          <w:highlight w:val="none"/>
        </w:rPr>
        <w:t>不少于2次，每半</w:t>
      </w:r>
      <w:r>
        <w:rPr>
          <w:rFonts w:hint="eastAsia" w:ascii="仿宋_GB2312" w:hAnsi="仿宋_GB2312" w:eastAsia="仿宋_GB2312" w:cs="仿宋_GB2312"/>
          <w:sz w:val="28"/>
          <w:szCs w:val="28"/>
          <w:highlight w:val="none"/>
          <w:lang w:val="en-US" w:eastAsia="zh-CN"/>
        </w:rPr>
        <w:t>个</w:t>
      </w:r>
      <w:r>
        <w:rPr>
          <w:rFonts w:hint="eastAsia" w:ascii="仿宋_GB2312" w:hAnsi="仿宋_GB2312" w:eastAsia="仿宋_GB2312" w:cs="仿宋_GB2312"/>
          <w:color w:val="0000FF"/>
          <w:sz w:val="28"/>
          <w:szCs w:val="28"/>
          <w:highlight w:val="none"/>
          <w:lang w:val="en-US" w:eastAsia="zh-CN"/>
        </w:rPr>
        <w:t>合同</w:t>
      </w:r>
      <w:r>
        <w:rPr>
          <w:rFonts w:hint="eastAsia" w:ascii="仿宋_GB2312" w:hAnsi="仿宋_GB2312" w:eastAsia="仿宋_GB2312" w:cs="仿宋_GB2312"/>
          <w:sz w:val="28"/>
          <w:szCs w:val="28"/>
          <w:highlight w:val="none"/>
        </w:rPr>
        <w:t>年度不少于1次</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FF"/>
          <w:sz w:val="28"/>
          <w:szCs w:val="28"/>
          <w:highlight w:val="none"/>
          <w:lang w:eastAsia="zh-CN"/>
        </w:rPr>
        <w:t>每合同年度提供二次预防性制冷系统保养。</w:t>
      </w:r>
    </w:p>
    <w:p w14:paraId="394A46D7">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1.3.2.2 每次保养维护作业后，乙方须填写保养报告单并上传图片至甲方，如实反映设备运行状况，并由甲方医疗设备维修中心和设备所在科室共同签字确认验收并在甲方存档，同时乙方需在甲方电子保养报告单上登记备案。</w:t>
      </w:r>
    </w:p>
    <w:p w14:paraId="718C86FC">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1.3.2.3 维护作业中若发现有故障隐患，应及时通知甲方并及时维修排除隐患。</w:t>
      </w:r>
    </w:p>
    <w:p w14:paraId="37236C6E">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bCs/>
          <w:sz w:val="28"/>
          <w:szCs w:val="28"/>
          <w:highlight w:val="none"/>
        </w:rPr>
        <w:t>.3 维修服务要求：</w:t>
      </w:r>
    </w:p>
    <w:p w14:paraId="65038D9A">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color w:val="0000FF"/>
          <w:kern w:val="2"/>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bCs/>
          <w:sz w:val="28"/>
          <w:szCs w:val="28"/>
          <w:highlight w:val="none"/>
        </w:rPr>
        <w:t>.3.1 不限次数现场技术服务和远程诊断服务：</w:t>
      </w:r>
      <w:r>
        <w:rPr>
          <w:rFonts w:hint="eastAsia" w:ascii="仿宋_GB2312" w:hAnsi="仿宋_GB2312" w:eastAsia="仿宋_GB2312" w:cs="仿宋_GB2312"/>
          <w:kern w:val="2"/>
          <w:sz w:val="28"/>
          <w:szCs w:val="28"/>
          <w:highlight w:val="none"/>
        </w:rPr>
        <w:t>提供365天×24小时服务（不受节假日影响），指定维修服务联系电话：</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甲方设备发生故障，乙方应在接到甲方通知时起30分钟内响应，无法通过远程服务解决的故障，乙方应在接到甲方通知时起24小时内赶到现场，一般故障应在接到通知时起48小时内完成维修（含在途时间，不可抗力除外），重大故障应在接到甲方通知起5天内完成维修（含在途时间）。</w:t>
      </w:r>
      <w:r>
        <w:rPr>
          <w:rFonts w:hint="eastAsia" w:ascii="仿宋_GB2312" w:hAnsi="仿宋_GB2312" w:eastAsia="仿宋_GB2312" w:cs="仿宋_GB2312"/>
          <w:color w:val="0000FF"/>
          <w:kern w:val="2"/>
          <w:sz w:val="28"/>
          <w:szCs w:val="28"/>
          <w:highlight w:val="none"/>
        </w:rPr>
        <w:t>如需更换备件</w:t>
      </w:r>
      <w:r>
        <w:rPr>
          <w:rFonts w:hint="eastAsia" w:ascii="仿宋_GB2312" w:hAnsi="仿宋_GB2312" w:eastAsia="仿宋_GB2312" w:cs="仿宋_GB2312"/>
          <w:color w:val="0000FF"/>
          <w:kern w:val="2"/>
          <w:sz w:val="28"/>
          <w:szCs w:val="28"/>
          <w:highlight w:val="none"/>
          <w:lang w:val="en-US" w:eastAsia="zh-CN"/>
        </w:rPr>
        <w:t>的</w:t>
      </w:r>
      <w:r>
        <w:rPr>
          <w:rFonts w:hint="eastAsia" w:ascii="仿宋_GB2312" w:hAnsi="仿宋_GB2312" w:eastAsia="仿宋_GB2312" w:cs="仿宋_GB2312"/>
          <w:color w:val="0000FF"/>
          <w:kern w:val="2"/>
          <w:sz w:val="28"/>
          <w:szCs w:val="28"/>
          <w:highlight w:val="none"/>
        </w:rPr>
        <w:t>，</w:t>
      </w:r>
      <w:r>
        <w:rPr>
          <w:rFonts w:hint="eastAsia" w:ascii="仿宋_GB2312" w:hAnsi="仿宋_GB2312" w:eastAsia="仿宋_GB2312" w:cs="仿宋_GB2312"/>
          <w:color w:val="0000FF"/>
          <w:kern w:val="2"/>
          <w:sz w:val="28"/>
          <w:szCs w:val="28"/>
          <w:highlight w:val="none"/>
          <w:lang w:val="en-US" w:eastAsia="zh-CN"/>
        </w:rPr>
        <w:t>乙方应自发现需更换之时起24小时内将备件运达现场，在前述排障时间内完成更换，并保证设备正常运行。</w:t>
      </w:r>
    </w:p>
    <w:p w14:paraId="545C3E63">
      <w:pPr>
        <w:pStyle w:val="2"/>
        <w:keepNext w:val="0"/>
        <w:keepLines w:val="0"/>
        <w:pageBreakBefore w:val="0"/>
        <w:widowControl w:val="0"/>
        <w:kinsoku/>
        <w:wordWrap w:val="0"/>
        <w:overflowPunct/>
        <w:topLinePunct/>
        <w:autoSpaceDE/>
        <w:autoSpaceDN/>
        <w:bidi w:val="0"/>
        <w:adjustRightInd/>
        <w:snapToGrid/>
        <w:spacing w:after="0" w:line="480" w:lineRule="exact"/>
        <w:ind w:left="0" w:leftChars="0" w:firstLine="560" w:firstLineChars="200"/>
        <w:textAlignment w:val="auto"/>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1.3.3.</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 xml:space="preserve"> 乙方根据设备故障情况判断是否修理或更换配件，告知甲方且经甲方书面确认后方可开始修理或更换工作，工作完成后，乙方须填写维修记录单并上传所换配件、耗材图片至甲方，并由甲方医疗设备维修中心和设备所在科室共同签字确认验收并在甲方存档，同时乙方须在甲方电子维修记录单上登记备案。</w:t>
      </w:r>
    </w:p>
    <w:p w14:paraId="59D32C48">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1.3.3.</w:t>
      </w: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rPr>
        <w:t xml:space="preserve"> 乙方</w:t>
      </w:r>
      <w:r>
        <w:rPr>
          <w:rFonts w:hint="eastAsia" w:ascii="仿宋_GB2312" w:hAnsi="仿宋_GB2312" w:eastAsia="仿宋_GB2312" w:cs="仿宋_GB2312"/>
          <w:bCs/>
          <w:sz w:val="28"/>
          <w:szCs w:val="28"/>
          <w:highlight w:val="none"/>
          <w:lang w:val="en-US" w:eastAsia="zh-CN"/>
        </w:rPr>
        <w:t>须</w:t>
      </w:r>
      <w:r>
        <w:rPr>
          <w:rFonts w:hint="eastAsia" w:ascii="仿宋_GB2312" w:hAnsi="仿宋_GB2312" w:eastAsia="仿宋_GB2312" w:cs="仿宋_GB2312"/>
          <w:bCs/>
          <w:color w:val="0000FF"/>
          <w:sz w:val="28"/>
          <w:szCs w:val="28"/>
          <w:highlight w:val="none"/>
          <w:lang w:val="en-US" w:eastAsia="zh-CN"/>
        </w:rPr>
        <w:t>提供</w:t>
      </w:r>
      <w:r>
        <w:rPr>
          <w:rFonts w:hint="eastAsia" w:ascii="仿宋_GB2312" w:hAnsi="仿宋_GB2312" w:eastAsia="仿宋_GB2312" w:cs="仿宋_GB2312"/>
          <w:bCs/>
          <w:sz w:val="28"/>
          <w:szCs w:val="28"/>
          <w:highlight w:val="none"/>
        </w:rPr>
        <w:t>足够规模的直属</w:t>
      </w:r>
      <w:r>
        <w:rPr>
          <w:rFonts w:hint="eastAsia" w:ascii="仿宋_GB2312" w:hAnsi="仿宋_GB2312" w:eastAsia="仿宋_GB2312" w:cs="仿宋_GB2312"/>
          <w:bCs/>
          <w:sz w:val="28"/>
          <w:szCs w:val="28"/>
          <w:highlight w:val="none"/>
          <w:lang w:val="en-US" w:eastAsia="zh-CN"/>
        </w:rPr>
        <w:t>免费</w:t>
      </w:r>
      <w:r>
        <w:rPr>
          <w:rFonts w:hint="eastAsia" w:ascii="仿宋_GB2312" w:hAnsi="仿宋_GB2312" w:eastAsia="仿宋_GB2312" w:cs="仿宋_GB2312"/>
          <w:bCs/>
          <w:sz w:val="28"/>
          <w:szCs w:val="28"/>
          <w:highlight w:val="none"/>
        </w:rPr>
        <w:t>线上培训学习平台</w:t>
      </w:r>
      <w:r>
        <w:rPr>
          <w:rFonts w:hint="eastAsia" w:ascii="仿宋_GB2312" w:hAnsi="仿宋_GB2312" w:eastAsia="仿宋_GB2312" w:cs="仿宋_GB2312"/>
          <w:bCs/>
          <w:color w:val="0000FF"/>
          <w:sz w:val="28"/>
          <w:szCs w:val="28"/>
          <w:highlight w:val="none"/>
          <w:lang w:val="en-US" w:eastAsia="zh-CN"/>
        </w:rPr>
        <w:t>给甲方使用</w:t>
      </w:r>
      <w:r>
        <w:rPr>
          <w:rFonts w:hint="eastAsia" w:ascii="仿宋_GB2312" w:hAnsi="仿宋_GB2312" w:eastAsia="仿宋_GB2312" w:cs="仿宋_GB2312"/>
          <w:bCs/>
          <w:sz w:val="28"/>
          <w:szCs w:val="28"/>
          <w:highlight w:val="none"/>
        </w:rPr>
        <w:t>，平台须设有医学影像相关视频课程及文档，以解决临床应用继续教育能力问题。</w:t>
      </w:r>
    </w:p>
    <w:p w14:paraId="369BD404">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1.3.3.</w:t>
      </w: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rPr>
        <w:t xml:space="preserve"> 乙方</w:t>
      </w:r>
      <w:r>
        <w:rPr>
          <w:rFonts w:hint="eastAsia" w:ascii="仿宋_GB2312" w:hAnsi="仿宋_GB2312" w:eastAsia="仿宋_GB2312" w:cs="仿宋_GB2312"/>
          <w:bCs/>
          <w:color w:val="0000FF"/>
          <w:sz w:val="28"/>
          <w:szCs w:val="28"/>
          <w:highlight w:val="none"/>
          <w:lang w:val="en-US" w:eastAsia="zh-CN"/>
        </w:rPr>
        <w:t>为甲方</w:t>
      </w:r>
      <w:r>
        <w:rPr>
          <w:rFonts w:hint="eastAsia" w:ascii="仿宋_GB2312" w:hAnsi="仿宋_GB2312" w:eastAsia="仿宋_GB2312" w:cs="仿宋_GB2312"/>
          <w:bCs/>
          <w:sz w:val="28"/>
          <w:szCs w:val="28"/>
          <w:highlight w:val="none"/>
        </w:rPr>
        <w:t>提供SRS嵌入式远程服务</w:t>
      </w:r>
      <w:r>
        <w:rPr>
          <w:rFonts w:hint="eastAsia" w:ascii="仿宋_GB2312" w:hAnsi="仿宋_GB2312" w:eastAsia="仿宋_GB2312" w:cs="仿宋_GB2312"/>
          <w:bCs/>
          <w:sz w:val="28"/>
          <w:szCs w:val="28"/>
          <w:highlight w:val="none"/>
          <w:lang w:val="en-US" w:eastAsia="zh-CN"/>
        </w:rPr>
        <w:t>及</w:t>
      </w:r>
      <w:r>
        <w:rPr>
          <w:rFonts w:hint="eastAsia" w:ascii="仿宋_GB2312" w:hAnsi="仿宋_GB2312" w:eastAsia="仿宋_GB2312" w:cs="仿宋_GB2312"/>
          <w:bCs/>
          <w:sz w:val="28"/>
          <w:szCs w:val="28"/>
          <w:highlight w:val="none"/>
        </w:rPr>
        <w:t>相关远程支持，</w:t>
      </w:r>
      <w:r>
        <w:rPr>
          <w:rFonts w:hint="eastAsia" w:ascii="仿宋_GB2312" w:hAnsi="仿宋_GB2312" w:eastAsia="仿宋_GB2312" w:cs="仿宋_GB2312"/>
          <w:bCs/>
          <w:sz w:val="28"/>
          <w:szCs w:val="28"/>
          <w:highlight w:val="none"/>
          <w:lang w:val="en-US" w:eastAsia="zh-CN"/>
        </w:rPr>
        <w:t>确保</w:t>
      </w:r>
      <w:r>
        <w:rPr>
          <w:rFonts w:hint="eastAsia" w:ascii="仿宋_GB2312" w:hAnsi="仿宋_GB2312" w:eastAsia="仿宋_GB2312" w:cs="仿宋_GB2312"/>
          <w:bCs/>
          <w:sz w:val="28"/>
          <w:szCs w:val="28"/>
          <w:highlight w:val="none"/>
        </w:rPr>
        <w:t>远程实时监测设备运行状态</w:t>
      </w:r>
      <w:r>
        <w:rPr>
          <w:rFonts w:hint="eastAsia" w:ascii="仿宋_GB2312" w:hAnsi="仿宋_GB2312" w:eastAsia="仿宋_GB2312" w:cs="仿宋_GB2312"/>
          <w:bCs/>
          <w:color w:val="0000FF"/>
          <w:sz w:val="28"/>
          <w:szCs w:val="28"/>
          <w:highlight w:val="none"/>
          <w:lang w:eastAsia="zh-CN"/>
        </w:rPr>
        <w:t>，</w:t>
      </w:r>
      <w:r>
        <w:rPr>
          <w:rFonts w:hint="eastAsia" w:ascii="仿宋_GB2312" w:hAnsi="仿宋_GB2312" w:eastAsia="仿宋_GB2312" w:cs="仿宋_GB2312"/>
          <w:bCs/>
          <w:color w:val="0000FF"/>
          <w:sz w:val="28"/>
          <w:szCs w:val="28"/>
          <w:highlight w:val="none"/>
          <w:lang w:val="en-US" w:eastAsia="zh-CN"/>
        </w:rPr>
        <w:t>由此产生的</w:t>
      </w:r>
      <w:r>
        <w:rPr>
          <w:rFonts w:hint="eastAsia" w:ascii="仿宋_GB2312" w:hAnsi="仿宋_GB2312" w:eastAsia="仿宋_GB2312" w:cs="仿宋_GB2312"/>
          <w:bCs/>
          <w:sz w:val="28"/>
          <w:szCs w:val="28"/>
          <w:highlight w:val="none"/>
        </w:rPr>
        <w:t>4G物联网卡流量费用</w:t>
      </w:r>
      <w:r>
        <w:rPr>
          <w:rFonts w:hint="eastAsia" w:ascii="仿宋_GB2312" w:hAnsi="仿宋_GB2312" w:eastAsia="仿宋_GB2312" w:cs="仿宋_GB2312"/>
          <w:bCs/>
          <w:sz w:val="28"/>
          <w:szCs w:val="28"/>
          <w:highlight w:val="none"/>
          <w:lang w:val="en-US" w:eastAsia="zh-CN"/>
        </w:rPr>
        <w:t>由乙方</w:t>
      </w:r>
      <w:r>
        <w:rPr>
          <w:rFonts w:hint="eastAsia" w:ascii="仿宋_GB2312" w:hAnsi="仿宋_GB2312" w:eastAsia="仿宋_GB2312" w:cs="仿宋_GB2312"/>
          <w:bCs/>
          <w:color w:val="0000FF"/>
          <w:sz w:val="28"/>
          <w:szCs w:val="28"/>
          <w:highlight w:val="none"/>
          <w:lang w:val="en-US" w:eastAsia="zh-CN"/>
        </w:rPr>
        <w:t>承担</w:t>
      </w:r>
      <w:r>
        <w:rPr>
          <w:rFonts w:hint="eastAsia" w:ascii="仿宋_GB2312" w:hAnsi="仿宋_GB2312" w:eastAsia="仿宋_GB2312" w:cs="仿宋_GB2312"/>
          <w:bCs/>
          <w:sz w:val="28"/>
          <w:szCs w:val="28"/>
          <w:highlight w:val="none"/>
        </w:rPr>
        <w:t>。</w:t>
      </w:r>
    </w:p>
    <w:p w14:paraId="71D235F3">
      <w:pPr>
        <w:keepNext w:val="0"/>
        <w:keepLines w:val="0"/>
        <w:pageBreakBefore w:val="0"/>
        <w:widowControl w:val="0"/>
        <w:kinsoku/>
        <w:wordWrap w:val="0"/>
        <w:overflowPunct/>
        <w:topLinePunct/>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第二条 服务地点及期限</w:t>
      </w:r>
    </w:p>
    <w:p w14:paraId="286CB140">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2.1 服务地点：甲方设备所在地。（娄底市中心医院放射科）</w:t>
      </w:r>
    </w:p>
    <w:p w14:paraId="6CD8B565">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2.2 服务期限为</w:t>
      </w:r>
      <w:r>
        <w:rPr>
          <w:rFonts w:hint="eastAsia" w:ascii="仿宋_GB2312" w:hAnsi="仿宋_GB2312" w:eastAsia="仿宋_GB2312" w:cs="仿宋_GB2312"/>
          <w:kern w:val="2"/>
          <w:sz w:val="28"/>
          <w:szCs w:val="28"/>
          <w:highlight w:val="none"/>
          <w:lang w:val="en-US" w:eastAsia="zh-CN"/>
        </w:rPr>
        <w:t>叁</w:t>
      </w:r>
      <w:r>
        <w:rPr>
          <w:rFonts w:hint="eastAsia" w:ascii="仿宋_GB2312" w:hAnsi="仿宋_GB2312" w:eastAsia="仿宋_GB2312" w:cs="仿宋_GB2312"/>
          <w:kern w:val="2"/>
          <w:sz w:val="28"/>
          <w:szCs w:val="28"/>
          <w:highlight w:val="none"/>
        </w:rPr>
        <w:t>年，</w:t>
      </w:r>
      <w:r>
        <w:rPr>
          <w:rFonts w:hint="eastAsia" w:ascii="仿宋" w:hAnsi="仿宋" w:eastAsia="仿宋" w:cs="仿宋"/>
          <w:kern w:val="2"/>
          <w:sz w:val="28"/>
          <w:szCs w:val="28"/>
          <w:highlight w:val="none"/>
        </w:rPr>
        <w:t>自</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年</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月</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日起至</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年</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月</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日止</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color w:val="0000FF"/>
          <w:kern w:val="2"/>
          <w:sz w:val="28"/>
          <w:szCs w:val="28"/>
          <w:highlight w:val="none"/>
          <w:lang w:val="en-US" w:eastAsia="zh-CN"/>
        </w:rPr>
        <w:t>如出现本合同约定顺延情形的，则服务期限应相应顺延。</w:t>
      </w:r>
    </w:p>
    <w:p w14:paraId="50B3D907">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第三条 甲方的权利和义务</w:t>
      </w:r>
    </w:p>
    <w:p w14:paraId="1E99CCC5">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3.1 甲方应按照设备操作手册正确使用设备，保证设备在规定的运行条件下运行。甲方应按照乙方日常设备保养的规定对设备状态定期观察记录，及时、如实告知乙方维保设备的运行情况及故障现象，发现设备故障时立即停止使用以防止故障情况的加重与扩大，并及时将故障情况通报乙方。</w:t>
      </w:r>
    </w:p>
    <w:p w14:paraId="0D515246">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3.2 甲方应为乙方提供工作上的便利，确保乙方现场服务时供水、供电等辅助保障。</w:t>
      </w:r>
    </w:p>
    <w:p w14:paraId="03CDFD75">
      <w:pPr>
        <w:pStyle w:val="4"/>
        <w:keepNext w:val="0"/>
        <w:keepLines w:val="0"/>
        <w:pageBreakBefore w:val="0"/>
        <w:widowControl w:val="0"/>
        <w:kinsoku/>
        <w:wordWrap w:val="0"/>
        <w:overflowPunct/>
        <w:topLinePunct/>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3.3 甲方应向乙方提供该医疗器械生产经营企业此前曾向甲方交付的维护手册、维修手册、软件备份、故障代码表、备件清单、零部件等乙方进行维修保养必需的材料和信息。</w:t>
      </w:r>
    </w:p>
    <w:p w14:paraId="1081238F">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3.4 甲方接到设备生产厂家有关软件安全升级或者补丁升级的通知后，应当立即通知乙方。乙方将派工程师给予现场协助，以防设备由于第三人原因造成其他故障。</w:t>
      </w:r>
    </w:p>
    <w:p w14:paraId="453DE550">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3.5 甲方对设备制冷系统运行每天（节假日在内）分早、晚时段各观察一次并记录液氦面值，当液氦面值较前一天有明显下降时，应立即通知乙方采取措施，</w:t>
      </w:r>
      <w:r>
        <w:rPr>
          <w:rFonts w:hint="eastAsia" w:ascii="仿宋_GB2312" w:hAnsi="仿宋_GB2312" w:eastAsia="仿宋_GB2312" w:cs="仿宋_GB2312"/>
          <w:color w:val="0000FF"/>
          <w:kern w:val="2"/>
          <w:sz w:val="28"/>
          <w:szCs w:val="28"/>
          <w:highlight w:val="none"/>
          <w:lang w:val="en-US" w:eastAsia="zh-CN"/>
        </w:rPr>
        <w:t>由乙方</w:t>
      </w:r>
      <w:r>
        <w:rPr>
          <w:rFonts w:hint="eastAsia" w:ascii="仿宋_GB2312" w:hAnsi="仿宋_GB2312" w:eastAsia="仿宋_GB2312" w:cs="仿宋_GB2312"/>
          <w:kern w:val="2"/>
          <w:sz w:val="28"/>
          <w:szCs w:val="28"/>
          <w:highlight w:val="none"/>
        </w:rPr>
        <w:t>对制冷系统进行维护。</w:t>
      </w:r>
    </w:p>
    <w:p w14:paraId="72930906">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3.6 有权监督、管理、定期检查乙方的维保服务，对乙方的每次保养、维修进行验收。甲方医疗设备维修中心和设备所在科室在乙方提供的</w:t>
      </w:r>
      <w:r>
        <w:rPr>
          <w:rFonts w:hint="eastAsia" w:ascii="仿宋_GB2312" w:hAnsi="仿宋_GB2312" w:eastAsia="仿宋_GB2312" w:cs="仿宋_GB2312"/>
          <w:sz w:val="28"/>
          <w:szCs w:val="28"/>
          <w:highlight w:val="none"/>
        </w:rPr>
        <w:t>保养报告单</w:t>
      </w:r>
      <w:r>
        <w:rPr>
          <w:rFonts w:hint="eastAsia" w:ascii="仿宋_GB2312" w:hAnsi="仿宋_GB2312" w:eastAsia="仿宋_GB2312" w:cs="仿宋_GB2312"/>
          <w:kern w:val="2"/>
          <w:sz w:val="28"/>
          <w:szCs w:val="28"/>
          <w:highlight w:val="none"/>
        </w:rPr>
        <w:t>、维修记录单上共同签字确认方为该次服务验收合格，如验收不合格，甲方有权要求乙方无条件在</w:t>
      </w:r>
      <w:r>
        <w:rPr>
          <w:rFonts w:hint="eastAsia" w:ascii="仿宋_GB2312" w:hAnsi="仿宋_GB2312" w:eastAsia="仿宋_GB2312" w:cs="仿宋_GB2312"/>
          <w:kern w:val="2"/>
          <w:sz w:val="28"/>
          <w:szCs w:val="28"/>
          <w:highlight w:val="none"/>
          <w:u w:val="single"/>
          <w:lang w:val="en-US" w:eastAsia="zh-CN"/>
        </w:rPr>
        <w:t>3</w:t>
      </w:r>
      <w:r>
        <w:rPr>
          <w:rFonts w:hint="eastAsia" w:ascii="仿宋_GB2312" w:hAnsi="仿宋_GB2312" w:eastAsia="仿宋_GB2312" w:cs="仿宋_GB2312"/>
          <w:kern w:val="2"/>
          <w:sz w:val="28"/>
          <w:szCs w:val="28"/>
          <w:highlight w:val="none"/>
        </w:rPr>
        <w:t>日内整改到位、更换不称职人员。</w:t>
      </w:r>
    </w:p>
    <w:p w14:paraId="0DCE18A7">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第四条 乙方的权利和义务</w:t>
      </w:r>
    </w:p>
    <w:p w14:paraId="369480AE">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4.1 乙方负责设备维护保养的质量、进度和安全作业，指派专业技术人员按照合同约定标准提供维保服务，确保服务期内维保设备功能正常、部件完整、技术性能达标、检测报告完整。</w:t>
      </w:r>
    </w:p>
    <w:p w14:paraId="4C30CB79">
      <w:pPr>
        <w:pStyle w:val="4"/>
        <w:keepNext w:val="0"/>
        <w:keepLines w:val="0"/>
        <w:pageBreakBefore w:val="0"/>
        <w:widowControl w:val="0"/>
        <w:kinsoku/>
        <w:wordWrap w:val="0"/>
        <w:overflowPunct/>
        <w:topLinePunct/>
        <w:autoSpaceDE/>
        <w:autoSpaceDN/>
        <w:bidi w:val="0"/>
        <w:snapToGrid/>
        <w:spacing w:line="480" w:lineRule="exact"/>
        <w:ind w:left="0" w:firstLine="560" w:firstLineChars="200"/>
        <w:textAlignment w:val="auto"/>
        <w:rPr>
          <w:rFonts w:hint="eastAsia" w:eastAsia="宋体"/>
          <w:highlight w:val="none"/>
          <w:lang w:eastAsia="zh-CN"/>
        </w:rPr>
      </w:pPr>
      <w:r>
        <w:rPr>
          <w:rFonts w:hint="eastAsia" w:ascii="仿宋_GB2312" w:hAnsi="仿宋_GB2312" w:eastAsia="仿宋_GB2312" w:cs="仿宋_GB2312"/>
          <w:kern w:val="2"/>
          <w:sz w:val="28"/>
          <w:szCs w:val="28"/>
          <w:highlight w:val="none"/>
        </w:rPr>
        <w:t xml:space="preserve">4.2 </w:t>
      </w:r>
      <w:r>
        <w:rPr>
          <w:rFonts w:hint="eastAsia" w:ascii="仿宋_GB2312" w:hAnsi="仿宋_GB2312" w:eastAsia="仿宋_GB2312" w:cs="仿宋_GB2312"/>
          <w:color w:val="auto"/>
          <w:kern w:val="2"/>
          <w:sz w:val="28"/>
          <w:szCs w:val="28"/>
          <w:lang w:val="en-US" w:eastAsia="zh-CN" w:bidi="ar-SA"/>
        </w:rPr>
        <w:t>乙方应自接到甲方液氦面值明显下降的通知时起6小时内赶到甲方设备现场完成制冷系统维护并排除故障。如因乙方未及时修复所造成的全部法律责任和经济赔偿，由乙方承担。</w:t>
      </w:r>
    </w:p>
    <w:p w14:paraId="3C9EBBB7">
      <w:pPr>
        <w:pStyle w:val="5"/>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hAnsi="仿宋_GB2312"/>
          <w:color w:val="auto"/>
          <w:kern w:val="2"/>
          <w:sz w:val="28"/>
          <w:szCs w:val="28"/>
          <w:highlight w:val="none"/>
        </w:rPr>
      </w:pPr>
      <w:r>
        <w:rPr>
          <w:rFonts w:hint="eastAsia" w:hAnsi="仿宋_GB2312"/>
          <w:color w:val="auto"/>
          <w:kern w:val="2"/>
          <w:sz w:val="28"/>
          <w:szCs w:val="28"/>
          <w:highlight w:val="none"/>
        </w:rPr>
        <w:t>4.3 乙方承诺已取得维保设备原厂授权，为甲方提供维保设备信息远程管理软件的安装、安全升级、日常维护并负责培训甲方工作人员熟练操作软件，软件功能包括基础信息实时监控、微信检测、手机报修等，软件安装、安全升级、维护以及培训甲方工作人员等所有费用由乙方承担。</w:t>
      </w:r>
    </w:p>
    <w:p w14:paraId="309425BC">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4.4 乙方承诺所换配件、易耗品、耗材均为来源合法合规的原厂同一型号备件</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color w:val="0000FF"/>
          <w:kern w:val="2"/>
          <w:sz w:val="28"/>
          <w:szCs w:val="28"/>
          <w:highlight w:val="none"/>
        </w:rPr>
        <w:t>配件、易耗品、耗材</w:t>
      </w:r>
      <w:r>
        <w:rPr>
          <w:rFonts w:hint="eastAsia" w:ascii="仿宋_GB2312" w:hAnsi="仿宋_GB2312" w:eastAsia="仿宋_GB2312" w:cs="仿宋_GB2312"/>
          <w:color w:val="0000FF"/>
          <w:kern w:val="2"/>
          <w:sz w:val="28"/>
          <w:szCs w:val="28"/>
          <w:highlight w:val="none"/>
          <w:lang w:val="en-US" w:eastAsia="zh-CN"/>
        </w:rPr>
        <w:t>等备件费用均由乙方承担</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color w:val="0000FF"/>
          <w:kern w:val="2"/>
          <w:sz w:val="28"/>
          <w:szCs w:val="28"/>
          <w:highlight w:val="none"/>
          <w:lang w:val="en-US" w:eastAsia="zh-CN"/>
        </w:rPr>
        <w:t>服务期限内</w:t>
      </w:r>
      <w:r>
        <w:rPr>
          <w:rFonts w:hint="eastAsia" w:ascii="仿宋_GB2312" w:hAnsi="仿宋_GB2312" w:eastAsia="仿宋_GB2312" w:cs="仿宋_GB2312"/>
          <w:kern w:val="2"/>
          <w:sz w:val="28"/>
          <w:szCs w:val="28"/>
          <w:highlight w:val="none"/>
        </w:rPr>
        <w:t>从设备上更换下来的备件归乙方所有。</w:t>
      </w:r>
    </w:p>
    <w:p w14:paraId="61E6F3AD">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default" w:eastAsia="仿宋_GB2312"/>
          <w:color w:val="0000FF"/>
          <w:lang w:val="en-US" w:eastAsia="zh-CN"/>
        </w:rPr>
      </w:pPr>
      <w:r>
        <w:rPr>
          <w:rFonts w:hint="eastAsia" w:ascii="仿宋_GB2312" w:hAnsi="仿宋_GB2312" w:eastAsia="仿宋_GB2312" w:cs="仿宋_GB2312"/>
          <w:color w:val="0000FF"/>
          <w:kern w:val="2"/>
          <w:sz w:val="28"/>
          <w:szCs w:val="28"/>
          <w:highlight w:val="none"/>
          <w:lang w:val="en-US" w:eastAsia="zh-CN"/>
        </w:rPr>
        <w:t>4.5 如因乙方安装、调试不到位造成设备停机或引发设备二次故障的，乙方应承担由此产生的法律责任和经济赔偿责任，且由此引发的停机时间应计入乙方停机期限内。</w:t>
      </w:r>
    </w:p>
    <w:p w14:paraId="3E78775C">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第五条 风险承担</w:t>
      </w:r>
    </w:p>
    <w:p w14:paraId="2E87EB00">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rPr>
        <w:t>5.1 乙方在履行本合同过程中发生事故，包括但不限于在运输、装卸、安装、调试、维护及保养过程中发生事故，给甲方、乙方或第三方人身、财产造成的所有直接损失，均由乙方负责处理并承担全部法律责任和经济赔偿</w:t>
      </w:r>
      <w:r>
        <w:rPr>
          <w:rFonts w:hint="eastAsia" w:ascii="仿宋_GB2312" w:hAnsi="仿宋_GB2312" w:eastAsia="仿宋_GB2312" w:cs="仿宋_GB2312"/>
          <w:sz w:val="28"/>
          <w:szCs w:val="28"/>
          <w:highlight w:val="none"/>
        </w:rPr>
        <w:t>。</w:t>
      </w:r>
    </w:p>
    <w:p w14:paraId="2F4F2C07">
      <w:pPr>
        <w:pStyle w:val="5"/>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hAnsi="仿宋_GB2312"/>
          <w:color w:val="auto"/>
          <w:sz w:val="28"/>
          <w:szCs w:val="28"/>
          <w:highlight w:val="none"/>
        </w:rPr>
      </w:pPr>
      <w:r>
        <w:rPr>
          <w:rFonts w:hint="eastAsia" w:hAnsi="仿宋_GB2312"/>
          <w:color w:val="auto"/>
          <w:sz w:val="28"/>
          <w:szCs w:val="28"/>
          <w:highlight w:val="none"/>
        </w:rPr>
        <w:t>5.2 如甲方因乙方维护、保养服务重大失误等原因涉及纠纷、诉讼或被处以行政处罚，由乙方承担甲方因纠纷、诉讼、罚款等造成的全部经济损失。</w:t>
      </w:r>
    </w:p>
    <w:p w14:paraId="0B58D7E5">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5.3本合同维保所需备件、配件</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毁损、丢失的风险自甲方医疗设备维修中心和设备所在科室在维修记录单共同签字确认后转移给甲方，此前备件、配件的一切风险均由乙方承担。</w:t>
      </w:r>
    </w:p>
    <w:p w14:paraId="6A5F2D60">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第六条 知识产权</w:t>
      </w:r>
    </w:p>
    <w:p w14:paraId="605CBD20">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乙方确保履行本合同期间不侵犯第三方知识产权，如因乙方侵权导致第三方向甲方主张权利，</w:t>
      </w:r>
      <w:r>
        <w:rPr>
          <w:rFonts w:hint="eastAsia" w:ascii="仿宋_GB2312" w:hAnsi="仿宋_GB2312" w:eastAsia="仿宋_GB2312" w:cs="仿宋_GB2312"/>
          <w:color w:val="0000FF"/>
          <w:kern w:val="2"/>
          <w:sz w:val="28"/>
          <w:szCs w:val="28"/>
          <w:highlight w:val="none"/>
          <w:lang w:val="en-US" w:eastAsia="zh-CN"/>
        </w:rPr>
        <w:t>由此给甲方造成的包括但不限于甲方向第三方支付的赔偿款、补偿款、诉讼费、律师费、差旅费等全部经济损失</w:t>
      </w:r>
      <w:r>
        <w:rPr>
          <w:rFonts w:hint="eastAsia" w:ascii="仿宋_GB2312" w:hAnsi="仿宋_GB2312" w:eastAsia="仿宋_GB2312" w:cs="仿宋_GB2312"/>
          <w:color w:val="0000FF"/>
          <w:kern w:val="2"/>
          <w:sz w:val="28"/>
          <w:szCs w:val="28"/>
          <w:highlight w:val="none"/>
        </w:rPr>
        <w:t>，</w:t>
      </w:r>
      <w:r>
        <w:rPr>
          <w:rFonts w:hint="eastAsia" w:ascii="仿宋_GB2312" w:hAnsi="仿宋_GB2312" w:eastAsia="仿宋_GB2312" w:cs="仿宋_GB2312"/>
          <w:kern w:val="2"/>
          <w:sz w:val="28"/>
          <w:szCs w:val="28"/>
          <w:highlight w:val="none"/>
        </w:rPr>
        <w:t>均由乙方承担。</w:t>
      </w:r>
    </w:p>
    <w:p w14:paraId="60D05B20">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第七条 保密义务</w:t>
      </w:r>
    </w:p>
    <w:p w14:paraId="3444C70C">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7.1本合同订立、履行、变更等产生的研究、商讨、交流等信息，履行本合同获悉的甲方商业秘密、运营信息、工作人员信息、患陪个人信息等，均属保密信息。</w:t>
      </w:r>
    </w:p>
    <w:p w14:paraId="4D94EAD4">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7.2乙方应对保密信息采取有效手段严格保密，不得用于非本合同之目的或向第三方泄露。如政府部门、法院或其他有权部门要求乙方提供保密信息，乙方应当立即向甲方通报。</w:t>
      </w:r>
    </w:p>
    <w:p w14:paraId="6501AE31">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7.3因乙方未履行本合同保密义务造成甲方直接损失的，由乙方承担全部赔偿责任。</w:t>
      </w:r>
    </w:p>
    <w:p w14:paraId="0C846C37">
      <w:pPr>
        <w:pStyle w:val="4"/>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7.4本合同保密条款在合同被认定无效、被撤销或终止、解除后仍然有效。</w:t>
      </w:r>
    </w:p>
    <w:p w14:paraId="4F38285C">
      <w:pPr>
        <w:pStyle w:val="4"/>
        <w:keepNext w:val="0"/>
        <w:keepLines w:val="0"/>
        <w:pageBreakBefore w:val="0"/>
        <w:widowControl w:val="0"/>
        <w:kinsoku/>
        <w:wordWrap w:val="0"/>
        <w:overflowPunct/>
        <w:topLinePunct/>
        <w:autoSpaceDE/>
        <w:autoSpaceDN/>
        <w:bidi w:val="0"/>
        <w:spacing w:line="480" w:lineRule="exact"/>
        <w:ind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第八条 廉洁条款</w:t>
      </w:r>
    </w:p>
    <w:p w14:paraId="38713BF8">
      <w:pPr>
        <w:pStyle w:val="5"/>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hAnsi="仿宋_GB2312"/>
          <w:color w:val="auto"/>
          <w:kern w:val="2"/>
          <w:sz w:val="28"/>
          <w:szCs w:val="28"/>
          <w:highlight w:val="none"/>
        </w:rPr>
      </w:pPr>
      <w:r>
        <w:rPr>
          <w:rFonts w:hAnsi="仿宋_GB2312"/>
          <w:color w:val="auto"/>
          <w:kern w:val="2"/>
          <w:sz w:val="28"/>
          <w:szCs w:val="28"/>
          <w:highlight w:val="none"/>
        </w:rPr>
        <w:t>8.1乙方应严格遵守国家相关法律法规，涉及合同的有关业务活动必须坚持公开、公平、公正、诚信原则，不得为获取不正当利益，损害国家、集体和甲方利益。</w:t>
      </w:r>
    </w:p>
    <w:p w14:paraId="2932C65B">
      <w:pPr>
        <w:pStyle w:val="5"/>
        <w:keepNext w:val="0"/>
        <w:keepLines w:val="0"/>
        <w:pageBreakBefore w:val="0"/>
        <w:widowControl w:val="0"/>
        <w:kinsoku/>
        <w:wordWrap w:val="0"/>
        <w:overflowPunct/>
        <w:topLinePunct/>
        <w:autoSpaceDE/>
        <w:autoSpaceDN/>
        <w:bidi w:val="0"/>
        <w:adjustRightInd w:val="0"/>
        <w:snapToGrid/>
        <w:spacing w:line="480" w:lineRule="exact"/>
        <w:ind w:left="0" w:leftChars="0" w:firstLine="562" w:firstLineChars="200"/>
        <w:textAlignment w:val="auto"/>
        <w:rPr>
          <w:rFonts w:hint="eastAsia" w:hAnsi="仿宋_GB2312"/>
          <w:b/>
          <w:bCs/>
          <w:color w:val="auto"/>
          <w:kern w:val="2"/>
          <w:sz w:val="28"/>
          <w:szCs w:val="28"/>
          <w:highlight w:val="none"/>
          <w:u w:val="single"/>
        </w:rPr>
      </w:pPr>
      <w:r>
        <w:rPr>
          <w:rFonts w:hAnsi="仿宋_GB2312"/>
          <w:b/>
          <w:bCs/>
          <w:color w:val="auto"/>
          <w:kern w:val="2"/>
          <w:sz w:val="28"/>
          <w:szCs w:val="28"/>
          <w:highlight w:val="none"/>
          <w:u w:val="single"/>
        </w:rPr>
        <w:t>8.2乙方的</w:t>
      </w:r>
      <w:r>
        <w:rPr>
          <w:rFonts w:hint="default" w:ascii="仿宋_GB2312" w:hAnsi="仿宋_GB2312" w:eastAsia="仿宋_GB2312" w:cs="仿宋_GB2312"/>
          <w:b/>
          <w:bCs/>
          <w:color w:val="auto"/>
          <w:kern w:val="2"/>
          <w:sz w:val="28"/>
          <w:szCs w:val="28"/>
          <w:u w:val="single"/>
          <w:lang w:val="en-US" w:eastAsia="zh-CN" w:bidi="ar-SA"/>
        </w:rPr>
        <w:t>任何</w:t>
      </w:r>
      <w:r>
        <w:rPr>
          <w:rFonts w:hAnsi="仿宋_GB2312"/>
          <w:b/>
          <w:bCs/>
          <w:color w:val="auto"/>
          <w:kern w:val="2"/>
          <w:sz w:val="28"/>
          <w:szCs w:val="28"/>
          <w:highlight w:val="none"/>
          <w:u w:val="single"/>
        </w:rPr>
        <w:t>人员</w:t>
      </w:r>
      <w:r>
        <w:rPr>
          <w:rFonts w:hint="default" w:ascii="仿宋_GB2312" w:hAnsi="仿宋_GB2312" w:eastAsia="仿宋_GB2312" w:cs="仿宋_GB2312"/>
          <w:b/>
          <w:bCs/>
          <w:color w:val="auto"/>
          <w:kern w:val="2"/>
          <w:sz w:val="28"/>
          <w:szCs w:val="28"/>
          <w:u w:val="single"/>
          <w:lang w:val="en-US" w:eastAsia="zh-CN" w:bidi="ar-SA"/>
        </w:rPr>
        <w:t>（包括</w:t>
      </w:r>
      <w:r>
        <w:rPr>
          <w:rFonts w:hAnsi="仿宋_GB2312"/>
          <w:b/>
          <w:bCs/>
          <w:color w:val="auto"/>
          <w:kern w:val="2"/>
          <w:sz w:val="28"/>
          <w:szCs w:val="28"/>
          <w:highlight w:val="none"/>
          <w:u w:val="single"/>
        </w:rPr>
        <w:t>股东、管理人员、普通员工</w:t>
      </w:r>
      <w:r>
        <w:rPr>
          <w:rFonts w:hint="default" w:ascii="仿宋_GB2312" w:hAnsi="仿宋_GB2312" w:eastAsia="仿宋_GB2312" w:cs="仿宋_GB2312"/>
          <w:b/>
          <w:bCs/>
          <w:color w:val="auto"/>
          <w:kern w:val="2"/>
          <w:sz w:val="28"/>
          <w:szCs w:val="28"/>
          <w:u w:val="single"/>
          <w:lang w:val="en-US" w:eastAsia="zh-CN" w:bidi="ar-SA"/>
        </w:rPr>
        <w:t>等）</w:t>
      </w:r>
      <w:r>
        <w:rPr>
          <w:rFonts w:hAnsi="仿宋_GB2312"/>
          <w:b/>
          <w:bCs/>
          <w:color w:val="auto"/>
          <w:kern w:val="2"/>
          <w:sz w:val="28"/>
          <w:szCs w:val="28"/>
          <w:highlight w:val="none"/>
          <w:u w:val="single"/>
        </w:rPr>
        <w:t>，</w:t>
      </w:r>
      <w:r>
        <w:rPr>
          <w:rFonts w:hint="default" w:ascii="仿宋_GB2312" w:hAnsi="仿宋_GB2312" w:eastAsia="仿宋_GB2312" w:cs="仿宋_GB2312"/>
          <w:b/>
          <w:bCs/>
          <w:color w:val="auto"/>
          <w:kern w:val="2"/>
          <w:sz w:val="28"/>
          <w:szCs w:val="28"/>
          <w:u w:val="single"/>
          <w:lang w:val="en-US" w:eastAsia="zh-CN" w:bidi="ar-SA"/>
        </w:rPr>
        <w:t>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8F33919">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第九条 价款及支付方式</w:t>
      </w:r>
    </w:p>
    <w:p w14:paraId="05E24921">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 w:hAnsi="仿宋" w:eastAsia="仿宋" w:cs="仿宋"/>
          <w:kern w:val="2"/>
          <w:sz w:val="28"/>
          <w:szCs w:val="28"/>
          <w:highlight w:val="none"/>
        </w:rPr>
      </w:pPr>
      <w:r>
        <w:rPr>
          <w:rFonts w:hint="eastAsia" w:ascii="仿宋_GB2312" w:hAnsi="仿宋_GB2312" w:eastAsia="仿宋_GB2312" w:cs="仿宋_GB2312"/>
          <w:kern w:val="2"/>
          <w:sz w:val="28"/>
          <w:szCs w:val="28"/>
          <w:highlight w:val="none"/>
        </w:rPr>
        <w:t>9.1</w:t>
      </w:r>
      <w:r>
        <w:rPr>
          <w:rFonts w:hint="eastAsia" w:ascii="仿宋" w:hAnsi="仿宋" w:eastAsia="仿宋" w:cs="仿宋"/>
          <w:kern w:val="2"/>
          <w:sz w:val="28"/>
          <w:szCs w:val="28"/>
          <w:highlight w:val="none"/>
        </w:rPr>
        <w:t>本合同维保服务费用为人民币</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元整/年，总计人民币</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元整（小写：</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u w:val="single"/>
          <w:lang w:val="en-US" w:eastAsia="zh-CN"/>
        </w:rPr>
        <w:t xml:space="preserve">   </w:t>
      </w:r>
      <w:r>
        <w:rPr>
          <w:rFonts w:hint="eastAsia" w:ascii="仿宋" w:hAnsi="仿宋" w:eastAsia="仿宋" w:cs="仿宋"/>
          <w:kern w:val="2"/>
          <w:sz w:val="28"/>
          <w:szCs w:val="28"/>
          <w:highlight w:val="none"/>
        </w:rPr>
        <w:t>元），已包含乙方履行本合同产生的维修费、保养费、检测费、配件费、备用品使用费</w:t>
      </w:r>
      <w:r>
        <w:rPr>
          <w:rFonts w:hint="eastAsia" w:ascii="仿宋_GB2312" w:hAnsi="仿宋_GB2312" w:eastAsia="仿宋_GB2312" w:cs="仿宋_GB2312"/>
          <w:sz w:val="28"/>
          <w:szCs w:val="28"/>
          <w:highlight w:val="none"/>
        </w:rPr>
        <w:t>、</w:t>
      </w:r>
      <w:r>
        <w:rPr>
          <w:rFonts w:hint="eastAsia" w:ascii="仿宋" w:hAnsi="仿宋" w:eastAsia="仿宋" w:cs="仿宋"/>
          <w:kern w:val="2"/>
          <w:sz w:val="28"/>
          <w:szCs w:val="28"/>
          <w:highlight w:val="none"/>
        </w:rPr>
        <w:t>耗材费、远程管理软件费、</w:t>
      </w:r>
      <w:r>
        <w:rPr>
          <w:rFonts w:hint="eastAsia" w:ascii="仿宋" w:hAnsi="仿宋" w:eastAsia="仿宋" w:cs="仿宋"/>
          <w:color w:val="0000FF"/>
          <w:kern w:val="2"/>
          <w:sz w:val="28"/>
          <w:szCs w:val="28"/>
          <w:highlight w:val="none"/>
        </w:rPr>
        <w:t>线上培训学习平台</w:t>
      </w:r>
      <w:r>
        <w:rPr>
          <w:rFonts w:hint="eastAsia" w:ascii="仿宋" w:hAnsi="仿宋" w:eastAsia="仿宋" w:cs="仿宋"/>
          <w:color w:val="0000FF"/>
          <w:kern w:val="2"/>
          <w:sz w:val="28"/>
          <w:szCs w:val="28"/>
          <w:highlight w:val="none"/>
          <w:lang w:val="en-US" w:eastAsia="zh-CN"/>
        </w:rPr>
        <w:t>使用费、</w:t>
      </w:r>
      <w:r>
        <w:rPr>
          <w:rFonts w:hint="eastAsia" w:ascii="仿宋_GB2312" w:hAnsi="仿宋_GB2312" w:eastAsia="仿宋_GB2312" w:cs="仿宋_GB2312"/>
          <w:bCs/>
          <w:color w:val="0000FF"/>
          <w:sz w:val="28"/>
          <w:szCs w:val="28"/>
          <w:highlight w:val="none"/>
        </w:rPr>
        <w:t>4G物联网卡流量</w:t>
      </w:r>
      <w:r>
        <w:rPr>
          <w:rFonts w:hint="eastAsia" w:ascii="仿宋_GB2312" w:hAnsi="仿宋_GB2312" w:eastAsia="仿宋_GB2312" w:cs="仿宋_GB2312"/>
          <w:bCs/>
          <w:color w:val="0000FF"/>
          <w:sz w:val="28"/>
          <w:szCs w:val="28"/>
          <w:highlight w:val="none"/>
          <w:lang w:val="en-US" w:eastAsia="zh-CN"/>
        </w:rPr>
        <w:t>费、</w:t>
      </w:r>
      <w:r>
        <w:rPr>
          <w:rFonts w:hint="eastAsia" w:ascii="仿宋" w:hAnsi="仿宋" w:eastAsia="仿宋" w:cs="仿宋"/>
          <w:kern w:val="2"/>
          <w:sz w:val="28"/>
          <w:szCs w:val="28"/>
          <w:highlight w:val="none"/>
        </w:rPr>
        <w:t xml:space="preserve">运输费、装卸费、人工费、上门费、工时费、差旅费、附随服务费、税费等所有费用，旧件需退回乙方，甲方不再就设备维保服务额外支付任何其他费用。 </w:t>
      </w:r>
    </w:p>
    <w:p w14:paraId="551C30AF">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highlight w:val="yellow"/>
        </w:rPr>
      </w:pPr>
      <w:r>
        <w:rPr>
          <w:rFonts w:hint="eastAsia" w:ascii="仿宋" w:hAnsi="仿宋" w:eastAsia="仿宋" w:cs="仿宋"/>
          <w:kern w:val="2"/>
          <w:sz w:val="28"/>
          <w:szCs w:val="28"/>
          <w:highlight w:val="none"/>
        </w:rPr>
        <w:t>9.2 维保服务费按</w:t>
      </w:r>
      <w:r>
        <w:rPr>
          <w:rFonts w:hint="eastAsia" w:ascii="仿宋" w:hAnsi="仿宋" w:eastAsia="仿宋" w:cs="仿宋"/>
          <w:color w:val="0000FF"/>
          <w:kern w:val="2"/>
          <w:sz w:val="28"/>
          <w:szCs w:val="28"/>
          <w:highlight w:val="none"/>
          <w:lang w:val="en-US" w:eastAsia="zh-CN"/>
        </w:rPr>
        <w:t>合同年度进行</w:t>
      </w:r>
      <w:r>
        <w:rPr>
          <w:rFonts w:hint="eastAsia" w:ascii="仿宋" w:hAnsi="仿宋" w:eastAsia="仿宋" w:cs="仿宋"/>
          <w:kern w:val="2"/>
          <w:sz w:val="28"/>
          <w:szCs w:val="28"/>
          <w:highlight w:val="none"/>
        </w:rPr>
        <w:t>支付。</w:t>
      </w:r>
      <w:r>
        <w:rPr>
          <w:rFonts w:hint="eastAsia" w:ascii="仿宋" w:hAnsi="仿宋" w:eastAsia="仿宋" w:cs="仿宋"/>
          <w:color w:val="0000FF"/>
          <w:kern w:val="2"/>
          <w:sz w:val="28"/>
          <w:szCs w:val="28"/>
          <w:highlight w:val="none"/>
          <w:lang w:val="en-US" w:eastAsia="zh-CN"/>
        </w:rPr>
        <w:t>甲方在每个合同年度届满且不存在需被扣除情形之日起30日内支付上个合同年度维保服务费</w:t>
      </w:r>
      <w:r>
        <w:rPr>
          <w:rFonts w:hint="eastAsia" w:ascii="仿宋" w:hAnsi="仿宋" w:eastAsia="仿宋" w:cs="仿宋"/>
          <w:kern w:val="2"/>
          <w:sz w:val="28"/>
          <w:szCs w:val="28"/>
          <w:highlight w:val="none"/>
        </w:rPr>
        <w:t>。</w:t>
      </w:r>
    </w:p>
    <w:p w14:paraId="35847E2B">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 w:hAnsi="仿宋" w:eastAsia="仿宋" w:cs="仿宋"/>
          <w:kern w:val="2"/>
          <w:highlight w:val="none"/>
        </w:rPr>
      </w:pPr>
      <w:r>
        <w:rPr>
          <w:rFonts w:hint="eastAsia" w:ascii="仿宋_GB2312" w:hAnsi="仿宋_GB2312" w:eastAsia="仿宋_GB2312" w:cs="仿宋_GB2312"/>
          <w:kern w:val="2"/>
          <w:sz w:val="28"/>
          <w:szCs w:val="28"/>
          <w:highlight w:val="none"/>
        </w:rPr>
        <w:t>9.3</w:t>
      </w:r>
      <w:r>
        <w:rPr>
          <w:rFonts w:hint="eastAsia" w:ascii="仿宋" w:hAnsi="仿宋" w:eastAsia="仿宋" w:cs="仿宋"/>
          <w:kern w:val="2"/>
          <w:sz w:val="28"/>
          <w:szCs w:val="28"/>
          <w:highlight w:val="none"/>
        </w:rPr>
        <w:t>甲方通过银行转账方式支付价款至乙方指定收款银行账户。乙方指定收款银行账户：户名：</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，开户行：</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，账号：</w:t>
      </w:r>
      <w:r>
        <w:rPr>
          <w:rFonts w:hint="eastAsia" w:ascii="仿宋" w:hAnsi="仿宋" w:eastAsia="仿宋" w:cs="仿宋"/>
          <w:kern w:val="2"/>
          <w:sz w:val="28"/>
          <w:szCs w:val="28"/>
          <w:highlight w:val="none"/>
          <w:u w:val="single"/>
        </w:rPr>
        <w:t xml:space="preserve">               </w:t>
      </w:r>
      <w:r>
        <w:rPr>
          <w:rFonts w:hint="eastAsia" w:ascii="仿宋" w:hAnsi="仿宋" w:eastAsia="仿宋" w:cs="仿宋"/>
          <w:kern w:val="2"/>
          <w:sz w:val="28"/>
          <w:szCs w:val="28"/>
          <w:highlight w:val="none"/>
        </w:rPr>
        <w:t>。</w:t>
      </w:r>
    </w:p>
    <w:p w14:paraId="36E9143C">
      <w:pPr>
        <w:pStyle w:val="2"/>
        <w:keepNext w:val="0"/>
        <w:keepLines w:val="0"/>
        <w:pageBreakBefore w:val="0"/>
        <w:widowControl w:val="0"/>
        <w:kinsoku/>
        <w:wordWrap w:val="0"/>
        <w:overflowPunct/>
        <w:topLinePunct/>
        <w:autoSpaceDE/>
        <w:autoSpaceDN/>
        <w:bidi w:val="0"/>
        <w:spacing w:after="0" w:line="480" w:lineRule="exact"/>
        <w:ind w:left="0" w:leftChars="0" w:firstLine="560" w:firstLineChars="200"/>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9.4乙方应在甲方每次付款前提供以乙方名义开具的</w:t>
      </w:r>
      <w:r>
        <w:rPr>
          <w:rFonts w:hint="eastAsia" w:ascii="仿宋" w:hAnsi="仿宋" w:eastAsia="仿宋" w:cs="仿宋"/>
          <w:color w:val="0000FF"/>
          <w:kern w:val="2"/>
          <w:sz w:val="28"/>
          <w:szCs w:val="28"/>
          <w:highlight w:val="none"/>
          <w:lang w:val="en-US" w:eastAsia="zh-CN"/>
        </w:rPr>
        <w:t>价税合计金额与该次付款金额</w:t>
      </w:r>
      <w:r>
        <w:rPr>
          <w:rFonts w:hint="eastAsia" w:ascii="仿宋" w:hAnsi="仿宋" w:eastAsia="仿宋" w:cs="仿宋"/>
          <w:kern w:val="2"/>
          <w:sz w:val="28"/>
          <w:szCs w:val="28"/>
          <w:highlight w:val="none"/>
          <w:lang w:val="en-US" w:eastAsia="zh-CN"/>
        </w:rPr>
        <w:t>等额的</w:t>
      </w:r>
      <w:r>
        <w:rPr>
          <w:rFonts w:hint="eastAsia" w:ascii="仿宋" w:hAnsi="仿宋" w:eastAsia="仿宋" w:cs="仿宋"/>
          <w:kern w:val="2"/>
          <w:sz w:val="28"/>
          <w:szCs w:val="28"/>
          <w:highlight w:val="none"/>
        </w:rPr>
        <w:t>增值税普通发票和</w:t>
      </w:r>
      <w:r>
        <w:rPr>
          <w:rFonts w:hint="eastAsia" w:ascii="仿宋" w:hAnsi="仿宋" w:eastAsia="仿宋" w:cs="仿宋"/>
          <w:color w:val="0000FF"/>
          <w:kern w:val="2"/>
          <w:sz w:val="28"/>
          <w:szCs w:val="28"/>
          <w:highlight w:val="none"/>
        </w:rPr>
        <w:t>该</w:t>
      </w:r>
      <w:r>
        <w:rPr>
          <w:rFonts w:hint="eastAsia" w:ascii="仿宋" w:hAnsi="仿宋" w:eastAsia="仿宋" w:cs="仿宋"/>
          <w:color w:val="0000FF"/>
          <w:kern w:val="2"/>
          <w:sz w:val="28"/>
          <w:szCs w:val="28"/>
          <w:highlight w:val="none"/>
          <w:lang w:val="en-US" w:eastAsia="zh-CN"/>
        </w:rPr>
        <w:t>合同年度</w:t>
      </w:r>
      <w:r>
        <w:rPr>
          <w:rFonts w:hint="eastAsia" w:ascii="仿宋" w:hAnsi="仿宋" w:eastAsia="仿宋" w:cs="仿宋"/>
          <w:kern w:val="2"/>
          <w:sz w:val="28"/>
          <w:szCs w:val="28"/>
          <w:highlight w:val="none"/>
        </w:rPr>
        <w:t>内经甲方签字确认的保养报告单、维修记录单复印件；如未提供，甲方有权顺延付款期限，由此产生的责任均由乙方承担。</w:t>
      </w:r>
    </w:p>
    <w:p w14:paraId="26BA08C1">
      <w:pPr>
        <w:keepNext w:val="0"/>
        <w:keepLines w:val="0"/>
        <w:pageBreakBefore w:val="0"/>
        <w:widowControl w:val="0"/>
        <w:kinsoku/>
        <w:wordWrap w:val="0"/>
        <w:overflowPunct/>
        <w:topLinePunct/>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第十条 </w:t>
      </w:r>
      <w:r>
        <w:rPr>
          <w:rFonts w:ascii="仿宋_GB2312" w:hAnsi="仿宋_GB2312" w:eastAsia="仿宋_GB2312" w:cs="仿宋_GB2312"/>
          <w:b/>
          <w:bCs/>
          <w:sz w:val="28"/>
          <w:szCs w:val="28"/>
          <w:highlight w:val="none"/>
        </w:rPr>
        <w:t>通知</w:t>
      </w:r>
      <w:r>
        <w:rPr>
          <w:rFonts w:hint="eastAsia" w:ascii="仿宋_GB2312" w:hAnsi="仿宋_GB2312" w:eastAsia="仿宋_GB2312" w:cs="仿宋_GB2312"/>
          <w:b/>
          <w:bCs/>
          <w:sz w:val="28"/>
          <w:szCs w:val="28"/>
          <w:highlight w:val="none"/>
        </w:rPr>
        <w:t>与送达</w:t>
      </w:r>
    </w:p>
    <w:p w14:paraId="49EEAE7A">
      <w:pPr>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10.1甲乙双方同意，与本合同有关的任何文书，应以书面方式按照本合同约定发送，书面方式包括手机短信、微信、书面函件、电子邮件等形式。</w:t>
      </w:r>
    </w:p>
    <w:p w14:paraId="64A85A68">
      <w:pPr>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10.2双方确认的文书（包括未来可能发生的诉讼或仲裁活动中法院或仲裁机构的送达法律文书）送达地址：</w:t>
      </w:r>
    </w:p>
    <w:p w14:paraId="29A12AB0">
      <w:pPr>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10.2.1</w:t>
      </w:r>
      <w:r>
        <w:rPr>
          <w:rFonts w:ascii="仿宋_GB2312" w:hAnsi="仿宋_GB2312" w:eastAsia="仿宋_GB2312" w:cs="仿宋_GB2312"/>
          <w:sz w:val="28"/>
          <w:szCs w:val="28"/>
          <w:highlight w:val="none"/>
        </w:rPr>
        <w:t>甲方的联系地址：</w:t>
      </w:r>
      <w:r>
        <w:rPr>
          <w:rFonts w:hint="eastAsia" w:ascii="仿宋_GB2312" w:hAnsi="仿宋_GB2312" w:eastAsia="仿宋_GB2312" w:cs="仿宋_GB2312"/>
          <w:sz w:val="28"/>
          <w:szCs w:val="28"/>
          <w:highlight w:val="none"/>
          <w:u w:val="single"/>
        </w:rPr>
        <w:t xml:space="preserve"> 娄底市中心医院医疗设备维修中心 </w:t>
      </w:r>
      <w:r>
        <w:rPr>
          <w:rFonts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u w:val="single"/>
        </w:rPr>
        <w:t>王学辉</w:t>
      </w:r>
      <w:r>
        <w:rPr>
          <w:rFonts w:ascii="仿宋_GB2312" w:hAnsi="仿宋_GB2312" w:eastAsia="仿宋_GB2312" w:cs="仿宋_GB2312"/>
          <w:sz w:val="28"/>
          <w:szCs w:val="28"/>
          <w:highlight w:val="none"/>
        </w:rPr>
        <w:t>，联系电话：</w:t>
      </w:r>
      <w:r>
        <w:rPr>
          <w:rFonts w:hint="eastAsia" w:ascii="仿宋_GB2312" w:hAnsi="仿宋_GB2312" w:eastAsia="仿宋_GB2312" w:cs="仿宋_GB2312"/>
          <w:sz w:val="28"/>
          <w:szCs w:val="28"/>
          <w:highlight w:val="none"/>
          <w:u w:val="single"/>
        </w:rPr>
        <w:t>13875448558</w:t>
      </w:r>
      <w:r>
        <w:rPr>
          <w:rFonts w:ascii="仿宋_GB2312" w:hAnsi="仿宋_GB2312" w:eastAsia="仿宋_GB2312" w:cs="仿宋_GB2312"/>
          <w:sz w:val="28"/>
          <w:szCs w:val="28"/>
          <w:highlight w:val="none"/>
        </w:rPr>
        <w:t>，邮箱地址</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highlight w:val="none"/>
        </w:rPr>
        <w:fldChar w:fldCharType="begin"/>
      </w:r>
      <w:r>
        <w:rPr>
          <w:highlight w:val="none"/>
        </w:rPr>
        <w:instrText xml:space="preserve"> HYPERLINK "mailto:hh518520@163.com" </w:instrText>
      </w:r>
      <w:r>
        <w:rPr>
          <w:highlight w:val="none"/>
        </w:rPr>
        <w:fldChar w:fldCharType="separate"/>
      </w:r>
      <w:r>
        <w:rPr>
          <w:rStyle w:val="19"/>
          <w:rFonts w:hint="eastAsia" w:ascii="仿宋_GB2312" w:hAnsi="仿宋_GB2312" w:eastAsia="仿宋_GB2312" w:cs="仿宋_GB2312"/>
          <w:color w:val="auto"/>
          <w:sz w:val="28"/>
          <w:szCs w:val="28"/>
          <w:highlight w:val="none"/>
        </w:rPr>
        <w:t>13875448558@139.com</w:t>
      </w:r>
      <w:r>
        <w:rPr>
          <w:rStyle w:val="19"/>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或微信号</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   </w:t>
      </w:r>
      <w:r>
        <w:rPr>
          <w:rFonts w:ascii="仿宋_GB2312" w:hAnsi="仿宋_GB2312" w:eastAsia="仿宋_GB2312" w:cs="仿宋_GB2312"/>
          <w:sz w:val="28"/>
          <w:szCs w:val="28"/>
          <w:highlight w:val="none"/>
        </w:rPr>
        <w:t>。</w:t>
      </w:r>
    </w:p>
    <w:p w14:paraId="26EF72C9">
      <w:pPr>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10.2.2乙方的文书送达地址：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，收件人：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u w:val="single"/>
        </w:rPr>
        <w:t xml:space="preserve">             </w:t>
      </w:r>
    </w:p>
    <w:p w14:paraId="4B13627C">
      <w:pPr>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10.3上述通知应被视为在下列时间送达：以快递或专人发送的，在收件人签收之日或拒收之日；以挂号邮件发出的，在发出之日起7个工作日；以电子邮件发出的，在电子邮件进入收件方电子邮箱服务器之日。</w:t>
      </w:r>
    </w:p>
    <w:p w14:paraId="41B6043E">
      <w:pPr>
        <w:pStyle w:val="5"/>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hAnsi="仿宋_GB2312"/>
          <w:color w:val="auto"/>
          <w:kern w:val="2"/>
          <w:sz w:val="28"/>
          <w:szCs w:val="28"/>
          <w:highlight w:val="none"/>
        </w:rPr>
      </w:pPr>
      <w:r>
        <w:rPr>
          <w:rFonts w:hint="eastAsia" w:hAnsi="仿宋_GB2312"/>
          <w:color w:val="auto"/>
          <w:kern w:val="2"/>
          <w:sz w:val="28"/>
          <w:szCs w:val="28"/>
          <w:highlight w:val="none"/>
        </w:rPr>
        <w:t>10.4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ECD8627">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第十一条 合同的变更和解除</w:t>
      </w:r>
    </w:p>
    <w:p w14:paraId="6B3CBDB3">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11.1 本合同未尽事宜，双方协商一致后另行签订变更、补充协议。</w:t>
      </w:r>
    </w:p>
    <w:p w14:paraId="61B6A408">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11.2 如甲方因政策变化等非自身主观原因不需要购买本合同全部服务，经书面通知乙方后可以提前终止本合同；如甲方因运营需要等原因不需要购买本合同部分服务，不需要购买的部分自动从采购内容中剔除。</w:t>
      </w:r>
    </w:p>
    <w:p w14:paraId="64B98E79">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11.3 乙方提供的维保服务必须符合甲方要求，如出现下列情形之一的，甲方有权单方面解除合同：</w:t>
      </w:r>
    </w:p>
    <w:p w14:paraId="4D7DA237">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11.3.1 因乙方工作等原因造成维保设备故障，超过48小时仍未修复的；</w:t>
      </w:r>
    </w:p>
    <w:p w14:paraId="6792E854">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11.3.2 乙方自接到甲方的维保服务整改、更换维保人员通知后3日内仍未到位的；</w:t>
      </w:r>
    </w:p>
    <w:p w14:paraId="6AABA99A">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11.3.3 维保设备年度开机率低于92%即全年开机天数少于336天的；</w:t>
      </w:r>
    </w:p>
    <w:p w14:paraId="53C73355">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11.3.4 乙方在履行合同期间造成甲方损失20000元以上（包括本数）的；</w:t>
      </w:r>
    </w:p>
    <w:p w14:paraId="01FAC873">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11.3.5 经乙方维保后设备未通过有关国家资质质检部门检测的；</w:t>
      </w:r>
    </w:p>
    <w:p w14:paraId="24E3CC24">
      <w:pPr>
        <w:keepNext w:val="0"/>
        <w:keepLines w:val="0"/>
        <w:pageBreakBefore w:val="0"/>
        <w:widowControl w:val="0"/>
        <w:kinsoku/>
        <w:wordWrap w:val="0"/>
        <w:overflowPunct/>
        <w:topLinePunct/>
        <w:autoSpaceDE/>
        <w:autoSpaceDN/>
        <w:bidi w:val="0"/>
        <w:spacing w:after="0" w:line="480" w:lineRule="exact"/>
        <w:ind w:left="0" w:leftChars="0" w:firstLine="560" w:firstLineChars="200"/>
        <w:jc w:val="both"/>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11.3.6 乙方将维保服务转包、分包给第三方的。</w:t>
      </w:r>
    </w:p>
    <w:p w14:paraId="355DD520">
      <w:pPr>
        <w:pStyle w:val="2"/>
        <w:keepNext w:val="0"/>
        <w:keepLines w:val="0"/>
        <w:pageBreakBefore w:val="0"/>
        <w:widowControl w:val="0"/>
        <w:kinsoku/>
        <w:wordWrap w:val="0"/>
        <w:overflowPunct/>
        <w:topLinePunct/>
        <w:autoSpaceDE/>
        <w:autoSpaceDN/>
        <w:bidi w:val="0"/>
        <w:spacing w:after="0" w:line="480" w:lineRule="exact"/>
        <w:ind w:left="0" w:leftChars="0"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第十二条 违约责任</w:t>
      </w:r>
    </w:p>
    <w:p w14:paraId="437DF47D">
      <w:pPr>
        <w:pStyle w:val="4"/>
        <w:keepNext w:val="0"/>
        <w:keepLines w:val="0"/>
        <w:pageBreakBefore w:val="0"/>
        <w:widowControl w:val="0"/>
        <w:kinsoku/>
        <w:wordWrap w:val="0"/>
        <w:overflowPunct/>
        <w:topLinePunct/>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12.1 甲方因11.2情形提前终止本合同或剔除部分服务内容均无须承担违约责任，乙方不得因此要求甲方予以任何经济赔偿或补偿。</w:t>
      </w:r>
    </w:p>
    <w:p w14:paraId="2E1E0C52">
      <w:pPr>
        <w:keepNext w:val="0"/>
        <w:keepLines w:val="0"/>
        <w:pageBreakBefore w:val="0"/>
        <w:widowControl w:val="0"/>
        <w:numPr>
          <w:ilvl w:val="0"/>
          <w:numId w:val="0"/>
        </w:numPr>
        <w:kinsoku/>
        <w:wordWrap w:val="0"/>
        <w:overflowPunct/>
        <w:topLinePunct/>
        <w:autoSpaceDE/>
        <w:autoSpaceDN/>
        <w:bidi w:val="0"/>
        <w:adjustRightInd/>
        <w:snapToGrid w:val="0"/>
        <w:spacing w:line="48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12.2 如乙方未按本合同1.3.2约定和甲方要求完成定期保养维护服务，除承担甲方由此造成的损失（包括但不限于实际经济损失，因第三方维修保养产生的费用，因纠纷产生的律师费、诉讼费、差旅费、保全保险费等）外，每逾期一日，向甲方支付违约金</w:t>
      </w:r>
      <w:r>
        <w:rPr>
          <w:rFonts w:hint="eastAsia" w:ascii="仿宋_GB2312" w:hAnsi="仿宋_GB2312" w:eastAsia="仿宋_GB2312" w:cs="仿宋_GB2312"/>
          <w:color w:val="0000FF"/>
          <w:kern w:val="2"/>
          <w:sz w:val="28"/>
          <w:szCs w:val="28"/>
          <w:u w:val="none"/>
          <w:lang w:val="en-US" w:eastAsia="zh-CN" w:bidi="ar-SA"/>
        </w:rPr>
        <w:t>1000</w:t>
      </w:r>
      <w:r>
        <w:rPr>
          <w:rFonts w:hint="eastAsia" w:ascii="仿宋_GB2312" w:hAnsi="仿宋_GB2312" w:eastAsia="仿宋_GB2312" w:cs="仿宋_GB2312"/>
          <w:color w:val="auto"/>
          <w:kern w:val="2"/>
          <w:sz w:val="28"/>
          <w:szCs w:val="28"/>
          <w:lang w:val="en-US" w:eastAsia="zh-CN" w:bidi="ar-SA"/>
        </w:rPr>
        <w:t>元。</w:t>
      </w:r>
    </w:p>
    <w:p w14:paraId="54E697CB">
      <w:pPr>
        <w:pStyle w:val="13"/>
        <w:keepNext w:val="0"/>
        <w:keepLines w:val="0"/>
        <w:pageBreakBefore w:val="0"/>
        <w:widowControl w:val="0"/>
        <w:kinsoku/>
        <w:wordWrap w:val="0"/>
        <w:overflowPunct/>
        <w:topLinePunct/>
        <w:autoSpaceDE/>
        <w:autoSpaceDN/>
        <w:bidi w:val="0"/>
        <w:adjustRightInd/>
        <w:spacing w:after="0" w:line="48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12.3 如乙方未按本合同1.3.3约定在规定时间内排除设备故障并提供</w:t>
      </w:r>
      <w:r>
        <w:rPr>
          <w:rFonts w:hint="eastAsia" w:ascii="仿宋_GB2312" w:hAnsi="仿宋_GB2312" w:eastAsia="仿宋_GB2312" w:cs="仿宋_GB2312"/>
          <w:color w:val="0000FF"/>
          <w:kern w:val="2"/>
          <w:sz w:val="28"/>
          <w:szCs w:val="28"/>
          <w:highlight w:val="none"/>
          <w:lang w:val="en-US" w:eastAsia="zh-CN" w:bidi="ar-SA"/>
        </w:rPr>
        <w:t>备件</w:t>
      </w:r>
      <w:r>
        <w:rPr>
          <w:rFonts w:hint="eastAsia" w:ascii="仿宋_GB2312" w:hAnsi="仿宋_GB2312" w:eastAsia="仿宋_GB2312" w:cs="仿宋_GB2312"/>
          <w:color w:val="auto"/>
          <w:kern w:val="2"/>
          <w:sz w:val="28"/>
          <w:szCs w:val="28"/>
          <w:highlight w:val="none"/>
          <w:lang w:val="en-US" w:eastAsia="zh-CN" w:bidi="ar-SA"/>
        </w:rPr>
        <w:t>到位，</w:t>
      </w:r>
      <w:r>
        <w:rPr>
          <w:rFonts w:hint="eastAsia" w:ascii="仿宋_GB2312" w:hAnsi="仿宋_GB2312" w:eastAsia="仿宋_GB2312" w:cs="仿宋_GB2312"/>
          <w:color w:val="auto"/>
          <w:kern w:val="2"/>
          <w:sz w:val="28"/>
          <w:szCs w:val="28"/>
          <w:lang w:val="en-US" w:eastAsia="zh-CN" w:bidi="ar-SA"/>
        </w:rPr>
        <w:t>除承担甲方由此造成的损失（包括但不限于实际经济损失，因第三方维修保养产生的费用，因纠纷产生的律师费、诉讼费、差旅费、保全保险费等）外，每逾期一日，向甲方支付违约金</w:t>
      </w:r>
      <w:r>
        <w:rPr>
          <w:rFonts w:hint="eastAsia" w:ascii="仿宋_GB2312" w:hAnsi="仿宋_GB2312" w:eastAsia="仿宋_GB2312" w:cs="仿宋_GB2312"/>
          <w:color w:val="0000FF"/>
          <w:kern w:val="2"/>
          <w:sz w:val="28"/>
          <w:szCs w:val="28"/>
          <w:lang w:val="en-US" w:eastAsia="zh-CN" w:bidi="ar-SA"/>
        </w:rPr>
        <w:t>2000</w:t>
      </w:r>
      <w:r>
        <w:rPr>
          <w:rFonts w:hint="eastAsia" w:ascii="仿宋_GB2312" w:hAnsi="仿宋_GB2312" w:eastAsia="仿宋_GB2312" w:cs="仿宋_GB2312"/>
          <w:color w:val="auto"/>
          <w:kern w:val="2"/>
          <w:sz w:val="28"/>
          <w:szCs w:val="28"/>
          <w:lang w:val="en-US" w:eastAsia="zh-CN" w:bidi="ar-SA"/>
        </w:rPr>
        <w:t>元。</w:t>
      </w:r>
    </w:p>
    <w:p w14:paraId="7AA637F8">
      <w:pPr>
        <w:pStyle w:val="13"/>
        <w:keepNext w:val="0"/>
        <w:keepLines w:val="0"/>
        <w:pageBreakBefore w:val="0"/>
        <w:widowControl w:val="0"/>
        <w:kinsoku/>
        <w:wordWrap w:val="0"/>
        <w:overflowPunct/>
        <w:topLinePunct/>
        <w:autoSpaceDE/>
        <w:autoSpaceDN/>
        <w:bidi w:val="0"/>
        <w:adjustRightInd/>
        <w:spacing w:after="0" w:line="480" w:lineRule="exact"/>
        <w:ind w:left="0" w:lef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12.4 如乙方擅自解除合同或因乙方原因导致甲方解除合同，乙方除赔偿甲方由此造成的全部损失（包括但不限于实际经济损失，因第三方维修保养产生的费用，因纠纷产生的律师费、诉讼费、差旅费、保全保险费等）外，还须本合同维保费用总价款的20%向甲方支付违约金。</w:t>
      </w:r>
    </w:p>
    <w:p w14:paraId="2190B68D">
      <w:pPr>
        <w:keepNext w:val="0"/>
        <w:keepLines w:val="0"/>
        <w:pageBreakBefore w:val="0"/>
        <w:widowControl w:val="0"/>
        <w:numPr>
          <w:ilvl w:val="0"/>
          <w:numId w:val="0"/>
        </w:numPr>
        <w:kinsoku/>
        <w:wordWrap w:val="0"/>
        <w:overflowPunct/>
        <w:topLinePunct/>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auto"/>
          <w:kern w:val="2"/>
          <w:sz w:val="28"/>
          <w:szCs w:val="28"/>
          <w:u w:val="single"/>
          <w:lang w:val="en-US" w:eastAsia="zh-CN" w:bidi="ar-SA"/>
        </w:rPr>
      </w:pPr>
      <w:r>
        <w:rPr>
          <w:rFonts w:hint="eastAsia" w:ascii="仿宋_GB2312" w:hAnsi="仿宋_GB2312" w:eastAsia="仿宋_GB2312" w:cs="仿宋_GB2312"/>
          <w:b/>
          <w:bCs/>
          <w:color w:val="auto"/>
          <w:kern w:val="2"/>
          <w:sz w:val="28"/>
          <w:szCs w:val="28"/>
          <w:u w:val="single"/>
          <w:lang w:val="en-US" w:eastAsia="zh-CN" w:bidi="ar-SA"/>
        </w:rPr>
        <w:t>12.5 无论甲方在任意时候（不限于本合同履行期间）发现存在违反本合同廉洁条款的行为，乙方均须按本合同维保费用总价款10％的标准向甲方一次性支付惩罚性违约金。如乙方除需承担违反廉洁条款的违约责任外，同时存在其他违约行为，乙方仍须就其他违约行为承担相应违约责任。</w:t>
      </w:r>
    </w:p>
    <w:p w14:paraId="6804BBFB">
      <w:pPr>
        <w:pStyle w:val="13"/>
        <w:keepNext w:val="0"/>
        <w:keepLines w:val="0"/>
        <w:pageBreakBefore w:val="0"/>
        <w:widowControl w:val="0"/>
        <w:kinsoku/>
        <w:wordWrap w:val="0"/>
        <w:overflowPunct/>
        <w:topLinePunct/>
        <w:autoSpaceDE/>
        <w:autoSpaceDN/>
        <w:bidi w:val="0"/>
        <w:adjustRightInd/>
        <w:spacing w:after="0" w:line="480" w:lineRule="exact"/>
        <w:ind w:left="0" w:leftChars="0" w:firstLine="562" w:firstLineChars="200"/>
        <w:textAlignment w:val="auto"/>
        <w:rPr>
          <w:rFonts w:hint="eastAsia" w:ascii="仿宋_GB2312" w:hAnsi="仿宋_GB2312" w:eastAsia="仿宋_GB2312" w:cs="仿宋_GB2312"/>
          <w:b/>
          <w:bCs/>
          <w:color w:val="auto"/>
          <w:kern w:val="2"/>
          <w:sz w:val="28"/>
          <w:szCs w:val="28"/>
          <w:u w:val="single"/>
          <w:lang w:val="en-US" w:eastAsia="zh-CN" w:bidi="ar-SA"/>
        </w:rPr>
      </w:pPr>
      <w:r>
        <w:rPr>
          <w:rFonts w:hint="eastAsia" w:ascii="仿宋_GB2312" w:hAnsi="仿宋_GB2312" w:eastAsia="仿宋_GB2312" w:cs="仿宋_GB2312"/>
          <w:b/>
          <w:bCs/>
          <w:color w:val="auto"/>
          <w:kern w:val="2"/>
          <w:sz w:val="28"/>
          <w:szCs w:val="28"/>
          <w:u w:val="single"/>
          <w:lang w:val="en-US" w:eastAsia="zh-CN" w:bidi="ar-SA"/>
        </w:rPr>
        <w:t>12.6 依据本合同约定乙方应支付给甲方的违约金，甲方有权在应支付给乙方的任意价款中直接予以扣除，如扣除部分不足，乙方应在接到甲方通知后3日内补足。</w:t>
      </w:r>
    </w:p>
    <w:p w14:paraId="49610174">
      <w:pPr>
        <w:pStyle w:val="13"/>
        <w:keepNext w:val="0"/>
        <w:keepLines w:val="0"/>
        <w:pageBreakBefore w:val="0"/>
        <w:widowControl w:val="0"/>
        <w:kinsoku/>
        <w:wordWrap w:val="0"/>
        <w:overflowPunct/>
        <w:topLinePunct/>
        <w:autoSpaceDE/>
        <w:autoSpaceDN/>
        <w:bidi w:val="0"/>
        <w:spacing w:after="0" w:line="48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第十三条 不可抗力</w:t>
      </w:r>
    </w:p>
    <w:p w14:paraId="29819E00">
      <w:pPr>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因不可抗力影响导致逾期履行的，不承担违约责任，不可抗力因素消除后，应当继续履行。本合同所称“不可抗力影响”指不能预见、不能避免且不能克服的客观情况，包括自然灾害、火灾、水灾、台风、地震、动乱、战争等。 </w:t>
      </w:r>
    </w:p>
    <w:p w14:paraId="6C973E30">
      <w:pPr>
        <w:pStyle w:val="4"/>
        <w:keepNext w:val="0"/>
        <w:keepLines w:val="0"/>
        <w:pageBreakBefore w:val="0"/>
        <w:widowControl w:val="0"/>
        <w:kinsoku/>
        <w:wordWrap w:val="0"/>
        <w:overflowPunct/>
        <w:topLinePunct/>
        <w:autoSpaceDE/>
        <w:autoSpaceDN/>
        <w:bidi w:val="0"/>
        <w:spacing w:line="480" w:lineRule="exact"/>
        <w:ind w:firstLine="562" w:firstLineChars="200"/>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第十四条 争议解决</w:t>
      </w:r>
    </w:p>
    <w:p w14:paraId="0139AFA0">
      <w:pPr>
        <w:pStyle w:val="5"/>
        <w:keepNext w:val="0"/>
        <w:keepLines w:val="0"/>
        <w:pageBreakBefore w:val="0"/>
        <w:widowControl w:val="0"/>
        <w:kinsoku/>
        <w:wordWrap w:val="0"/>
        <w:overflowPunct/>
        <w:topLinePunct/>
        <w:autoSpaceDE/>
        <w:autoSpaceDN/>
        <w:bidi w:val="0"/>
        <w:spacing w:line="480" w:lineRule="exact"/>
        <w:ind w:firstLine="560" w:firstLineChars="200"/>
        <w:jc w:val="both"/>
        <w:textAlignment w:val="auto"/>
        <w:rPr>
          <w:rFonts w:hint="eastAsia" w:hAnsi="仿宋_GB2312"/>
          <w:color w:val="auto"/>
          <w:kern w:val="2"/>
          <w:sz w:val="28"/>
          <w:szCs w:val="28"/>
          <w:highlight w:val="none"/>
        </w:rPr>
      </w:pPr>
      <w:r>
        <w:rPr>
          <w:rFonts w:hint="eastAsia" w:hAnsi="仿宋_GB2312"/>
          <w:color w:val="auto"/>
          <w:kern w:val="2"/>
          <w:sz w:val="28"/>
          <w:szCs w:val="28"/>
          <w:highlight w:val="none"/>
        </w:rPr>
        <w:t>因履行本合同引起的或与本合同有关的争议，甲乙双方应先协商解决，协商不成的，任一方均有权向甲方所在地有管辖权的人民法院提起诉讼解决。</w:t>
      </w:r>
    </w:p>
    <w:p w14:paraId="1D134E17">
      <w:pPr>
        <w:keepNext w:val="0"/>
        <w:keepLines w:val="0"/>
        <w:pageBreakBefore w:val="0"/>
        <w:widowControl w:val="0"/>
        <w:kinsoku/>
        <w:wordWrap w:val="0"/>
        <w:overflowPunct/>
        <w:topLinePunct/>
        <w:autoSpaceDE/>
        <w:autoSpaceDN/>
        <w:bidi w:val="0"/>
        <w:spacing w:line="48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第十五条 其他</w:t>
      </w:r>
    </w:p>
    <w:p w14:paraId="08A78E58">
      <w:pPr>
        <w:pStyle w:val="5"/>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hAnsi="仿宋_GB2312"/>
          <w:color w:val="auto"/>
          <w:kern w:val="2"/>
          <w:sz w:val="28"/>
          <w:szCs w:val="28"/>
          <w:highlight w:val="none"/>
        </w:rPr>
      </w:pPr>
      <w:r>
        <w:rPr>
          <w:rFonts w:hint="eastAsia" w:hAnsi="仿宋_GB2312"/>
          <w:color w:val="auto"/>
          <w:kern w:val="2"/>
          <w:sz w:val="28"/>
          <w:szCs w:val="28"/>
          <w:highlight w:val="none"/>
        </w:rPr>
        <w:t>15.1投标文件是本合同的组成部分，与本合同具有同等效力。本合同组成文件和优先解释顺序：乙方在履行本合同中作出的书面承诺；本合同补充协议；本合同及附件；</w:t>
      </w:r>
      <w:r>
        <w:rPr>
          <w:rFonts w:hint="eastAsia" w:hAnsi="仿宋_GB2312"/>
          <w:color w:val="0000FF"/>
          <w:kern w:val="2"/>
          <w:sz w:val="28"/>
          <w:szCs w:val="28"/>
          <w:highlight w:val="none"/>
        </w:rPr>
        <w:t>中标通知书/成交通知书/议价结果公示/成交公告；投标文件/响应文件；招标文件/采购文件/采购需求；</w:t>
      </w:r>
      <w:r>
        <w:rPr>
          <w:rFonts w:hint="eastAsia" w:hAnsi="仿宋_GB2312"/>
          <w:color w:val="auto"/>
          <w:kern w:val="2"/>
          <w:sz w:val="28"/>
          <w:szCs w:val="28"/>
          <w:highlight w:val="none"/>
        </w:rPr>
        <w:t>其他与本合同有关的资料。</w:t>
      </w:r>
    </w:p>
    <w:p w14:paraId="1F0C779C">
      <w:pPr>
        <w:pStyle w:val="5"/>
        <w:keepNext w:val="0"/>
        <w:keepLines w:val="0"/>
        <w:pageBreakBefore w:val="0"/>
        <w:widowControl w:val="0"/>
        <w:kinsoku/>
        <w:wordWrap w:val="0"/>
        <w:overflowPunct/>
        <w:topLinePunct/>
        <w:autoSpaceDE/>
        <w:autoSpaceDN/>
        <w:bidi w:val="0"/>
        <w:spacing w:line="480" w:lineRule="exact"/>
        <w:ind w:firstLine="560" w:firstLineChars="200"/>
        <w:textAlignment w:val="auto"/>
        <w:rPr>
          <w:rFonts w:hint="eastAsia" w:hAnsi="仿宋_GB2312"/>
          <w:color w:val="auto"/>
          <w:kern w:val="2"/>
          <w:sz w:val="28"/>
          <w:szCs w:val="28"/>
          <w:highlight w:val="none"/>
        </w:rPr>
      </w:pPr>
      <w:r>
        <w:rPr>
          <w:rFonts w:hint="eastAsia" w:hAnsi="仿宋_GB2312"/>
          <w:color w:val="auto"/>
          <w:kern w:val="2"/>
          <w:sz w:val="28"/>
          <w:szCs w:val="28"/>
          <w:highlight w:val="none"/>
        </w:rPr>
        <w:t>15.2本合同壹式</w:t>
      </w:r>
      <w:r>
        <w:rPr>
          <w:rFonts w:hint="eastAsia" w:hAnsi="仿宋_GB2312"/>
          <w:color w:val="auto"/>
          <w:kern w:val="2"/>
          <w:sz w:val="28"/>
          <w:szCs w:val="28"/>
          <w:highlight w:val="none"/>
          <w:lang w:val="en-US" w:eastAsia="zh-CN"/>
        </w:rPr>
        <w:t>伍</w:t>
      </w:r>
      <w:r>
        <w:rPr>
          <w:rFonts w:hint="eastAsia" w:hAnsi="仿宋_GB2312"/>
          <w:color w:val="auto"/>
          <w:kern w:val="2"/>
          <w:sz w:val="28"/>
          <w:szCs w:val="28"/>
          <w:highlight w:val="none"/>
        </w:rPr>
        <w:t>份，甲方执</w:t>
      </w:r>
      <w:r>
        <w:rPr>
          <w:rFonts w:hint="eastAsia" w:hAnsi="仿宋_GB2312"/>
          <w:color w:val="auto"/>
          <w:kern w:val="2"/>
          <w:sz w:val="28"/>
          <w:szCs w:val="28"/>
          <w:highlight w:val="none"/>
          <w:lang w:val="en-US" w:eastAsia="zh-CN"/>
        </w:rPr>
        <w:t>肆</w:t>
      </w:r>
      <w:r>
        <w:rPr>
          <w:rFonts w:hint="eastAsia" w:hAnsi="仿宋_GB2312"/>
          <w:color w:val="auto"/>
          <w:kern w:val="2"/>
          <w:sz w:val="28"/>
          <w:szCs w:val="28"/>
          <w:highlight w:val="none"/>
        </w:rPr>
        <w:t>份、乙方执壹份，自双方签字并盖章之日起生效。</w:t>
      </w:r>
    </w:p>
    <w:p w14:paraId="6FA16237">
      <w:pPr>
        <w:keepNext w:val="0"/>
        <w:keepLines w:val="0"/>
        <w:pageBreakBefore w:val="0"/>
        <w:widowControl w:val="0"/>
        <w:kinsoku/>
        <w:wordWrap/>
        <w:overflowPunct/>
        <w:topLinePunct w:val="0"/>
        <w:autoSpaceDE/>
        <w:autoSpaceDN/>
        <w:bidi w:val="0"/>
        <w:adjustRightInd/>
        <w:snapToGrid/>
        <w:spacing w:line="380" w:lineRule="exact"/>
        <w:ind w:left="7000" w:hanging="7000" w:hangingChars="2500"/>
        <w:textAlignment w:val="auto"/>
        <w:rPr>
          <w:rFonts w:hint="eastAsia" w:ascii="仿宋_GB2312" w:hAnsi="仿宋_GB2312" w:eastAsia="仿宋_GB2312" w:cs="仿宋_GB2312"/>
          <w:sz w:val="28"/>
          <w:szCs w:val="28"/>
          <w:highlight w:val="none"/>
        </w:rPr>
      </w:pPr>
    </w:p>
    <w:p w14:paraId="3C556F41">
      <w:pPr>
        <w:keepNext w:val="0"/>
        <w:keepLines w:val="0"/>
        <w:pageBreakBefore w:val="0"/>
        <w:widowControl w:val="0"/>
        <w:kinsoku/>
        <w:wordWrap/>
        <w:overflowPunct/>
        <w:topLinePunct w:val="0"/>
        <w:autoSpaceDE/>
        <w:autoSpaceDN/>
        <w:bidi w:val="0"/>
        <w:adjustRightInd/>
        <w:snapToGrid/>
        <w:spacing w:line="380" w:lineRule="exact"/>
        <w:ind w:left="7000" w:hanging="7000" w:hanging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甲方（盖章）：娄底市中心医院      乙方（盖章）： </w:t>
      </w:r>
    </w:p>
    <w:p w14:paraId="7891E2F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highlight w:val="none"/>
        </w:rPr>
      </w:pPr>
    </w:p>
    <w:p w14:paraId="3499EF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法定代表人（签字）：              法定代表人（签字）：</w:t>
      </w:r>
    </w:p>
    <w:p w14:paraId="687A6C9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highlight w:val="none"/>
        </w:rPr>
      </w:pPr>
    </w:p>
    <w:p w14:paraId="1074FD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或委托代理人（签字）：            或委托代理人（签字）：</w:t>
      </w:r>
    </w:p>
    <w:p w14:paraId="733D26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11"/>
          <w:sz w:val="28"/>
          <w:szCs w:val="28"/>
          <w:highlight w:val="none"/>
        </w:rPr>
      </w:pPr>
    </w:p>
    <w:p w14:paraId="0BEDE949">
      <w:pPr>
        <w:keepNext w:val="0"/>
        <w:keepLines w:val="0"/>
        <w:pageBreakBefore w:val="0"/>
        <w:widowControl w:val="0"/>
        <w:kinsoku/>
        <w:wordWrap/>
        <w:overflowPunct/>
        <w:topLinePunct w:val="0"/>
        <w:autoSpaceDE/>
        <w:autoSpaceDN/>
        <w:bidi w:val="0"/>
        <w:adjustRightInd/>
        <w:snapToGrid/>
        <w:spacing w:line="380" w:lineRule="exact"/>
        <w:textAlignment w:val="auto"/>
        <w:rPr>
          <w:highlight w:val="none"/>
        </w:rPr>
      </w:pPr>
      <w:r>
        <w:rPr>
          <w:rFonts w:hint="eastAsia" w:ascii="仿宋_GB2312" w:hAnsi="仿宋_GB2312" w:eastAsia="仿宋_GB2312" w:cs="仿宋_GB2312"/>
          <w:spacing w:val="-11"/>
          <w:sz w:val="28"/>
          <w:szCs w:val="28"/>
          <w:highlight w:val="none"/>
        </w:rPr>
        <w:t>合同签订地、履行地：娄底市娄星区</w:t>
      </w:r>
      <w:r>
        <w:rPr>
          <w:rFonts w:hint="eastAsia" w:ascii="仿宋_GB2312" w:hAnsi="仿宋_GB2312" w:eastAsia="仿宋_GB2312" w:cs="仿宋_GB2312"/>
          <w:sz w:val="28"/>
          <w:szCs w:val="28"/>
          <w:highlight w:val="none"/>
        </w:rPr>
        <w:t xml:space="preserve">    签订时间：2026年   月  日</w:t>
      </w:r>
    </w:p>
    <w:p w14:paraId="65CEB1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bookmarkStart w:id="4" w:name="_GoBack"/>
      <w:bookmarkEnd w:id="4"/>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6"/>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3"/>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2"/>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5"/>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8"/>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6D90F51D">
      <w:pPr>
        <w:pStyle w:val="22"/>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5"/>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3"/>
        <w:rPr>
          <w:color w:val="auto"/>
        </w:rPr>
      </w:pPr>
    </w:p>
    <w:p w14:paraId="5EEA99A1">
      <w:pPr>
        <w:pStyle w:val="22"/>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1"/>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1"/>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1"/>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7E3A26"/>
    <w:rsid w:val="1FC602A8"/>
    <w:rsid w:val="1FE73549"/>
    <w:rsid w:val="2038045E"/>
    <w:rsid w:val="20AF0900"/>
    <w:rsid w:val="20B41DA7"/>
    <w:rsid w:val="21C61C7A"/>
    <w:rsid w:val="2280405B"/>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8B1063"/>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754257"/>
    <w:rsid w:val="4DCD6AB3"/>
    <w:rsid w:val="4DDD6104"/>
    <w:rsid w:val="4DE92593"/>
    <w:rsid w:val="4EE7662F"/>
    <w:rsid w:val="50216DCD"/>
    <w:rsid w:val="50540C20"/>
    <w:rsid w:val="506258C6"/>
    <w:rsid w:val="51AC28BD"/>
    <w:rsid w:val="52183ACC"/>
    <w:rsid w:val="53B55872"/>
    <w:rsid w:val="544055F2"/>
    <w:rsid w:val="54AD4386"/>
    <w:rsid w:val="54E30E5A"/>
    <w:rsid w:val="5587625E"/>
    <w:rsid w:val="55D8243C"/>
    <w:rsid w:val="56483C8F"/>
    <w:rsid w:val="56C77AA7"/>
    <w:rsid w:val="581A7C72"/>
    <w:rsid w:val="583A4BD7"/>
    <w:rsid w:val="58487501"/>
    <w:rsid w:val="59C74B1F"/>
    <w:rsid w:val="5A886F59"/>
    <w:rsid w:val="604D5946"/>
    <w:rsid w:val="611B6B1B"/>
    <w:rsid w:val="62030FF0"/>
    <w:rsid w:val="62C222C2"/>
    <w:rsid w:val="62DB090C"/>
    <w:rsid w:val="632D7C40"/>
    <w:rsid w:val="64133D6A"/>
    <w:rsid w:val="64245572"/>
    <w:rsid w:val="66C30AF5"/>
    <w:rsid w:val="678E4F5D"/>
    <w:rsid w:val="67F3562A"/>
    <w:rsid w:val="680E122C"/>
    <w:rsid w:val="6A4E1D63"/>
    <w:rsid w:val="6A90762D"/>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1"/>
    <w:qFormat/>
    <w:uiPriority w:val="99"/>
    <w:pPr>
      <w:spacing w:line="400" w:lineRule="exact"/>
      <w:ind w:left="630"/>
    </w:pPr>
    <w:rPr>
      <w:rFonts w:ascii="楷体_GB2312"/>
      <w:sz w:val="30"/>
      <w:szCs w:val="30"/>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Body Text"/>
    <w:basedOn w:val="1"/>
    <w:semiHidden/>
    <w:qFormat/>
    <w:uiPriority w:val="0"/>
    <w:rPr>
      <w:rFonts w:ascii="宋体" w:hAnsi="宋体" w:eastAsia="宋体" w:cs="宋体"/>
      <w:sz w:val="24"/>
      <w:szCs w:val="24"/>
      <w:lang w:val="en-US" w:eastAsia="en-US" w:bidi="ar-SA"/>
    </w:rPr>
  </w:style>
  <w:style w:type="paragraph" w:styleId="10">
    <w:name w:val="Date"/>
    <w:basedOn w:val="1"/>
    <w:next w:val="1"/>
    <w:qFormat/>
    <w:uiPriority w:val="0"/>
    <w:rPr>
      <w:color w:val="000000"/>
      <w:kern w:val="0"/>
      <w:sz w:val="30"/>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大标题"/>
    <w:basedOn w:val="1"/>
    <w:next w:val="2"/>
    <w:qFormat/>
    <w:uiPriority w:val="0"/>
    <w:pPr>
      <w:jc w:val="center"/>
    </w:pPr>
    <w:rPr>
      <w:rFonts w:ascii="Arial" w:hAnsi="Arial" w:eastAsia="宋体"/>
      <w:b/>
      <w:sz w:val="28"/>
      <w:szCs w:val="24"/>
    </w:rPr>
  </w:style>
  <w:style w:type="paragraph" w:customStyle="1" w:styleId="22">
    <w:name w:val="列出段落1"/>
    <w:basedOn w:val="1"/>
    <w:qFormat/>
    <w:uiPriority w:val="99"/>
    <w:pPr>
      <w:ind w:firstLine="420" w:firstLineChars="200"/>
    </w:p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2373</Words>
  <Characters>2559</Characters>
  <Lines>0</Lines>
  <Paragraphs>0</Paragraphs>
  <TotalTime>0</TotalTime>
  <ScaleCrop>false</ScaleCrop>
  <LinksUpToDate>false</LinksUpToDate>
  <CharactersWithSpaces>2573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2026-05-11T01:05:04Z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