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3635D6">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right="0"/>
        <w:jc w:val="center"/>
        <w:rPr>
          <w:rFonts w:hint="eastAsia" w:ascii="宋体" w:hAnsi="宋体" w:eastAsia="宋体" w:cs="宋体"/>
          <w:b/>
          <w:bCs/>
          <w:color w:val="000000"/>
          <w:sz w:val="36"/>
          <w:szCs w:val="36"/>
        </w:rPr>
      </w:pPr>
      <w:bookmarkStart w:id="0" w:name="_Toc16523573"/>
      <w:r>
        <w:rPr>
          <w:rFonts w:hint="eastAsia" w:ascii="宋体" w:hAnsi="宋体" w:eastAsia="宋体" w:cs="宋体"/>
          <w:b/>
          <w:bCs/>
          <w:color w:val="000000"/>
          <w:sz w:val="36"/>
          <w:szCs w:val="36"/>
        </w:rPr>
        <w:t>胸腔镜微创器械一批</w:t>
      </w:r>
    </w:p>
    <w:p w14:paraId="3126F39D">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right="0"/>
        <w:jc w:val="center"/>
        <w:rPr>
          <w:rFonts w:hint="eastAsia" w:ascii="宋体" w:hAnsi="宋体" w:eastAsia="宋体" w:cs="宋体"/>
          <w:b/>
          <w:bCs/>
          <w:color w:val="000000"/>
          <w:sz w:val="36"/>
          <w:szCs w:val="36"/>
        </w:rPr>
      </w:pPr>
      <w:r>
        <w:rPr>
          <w:rFonts w:hint="eastAsia" w:ascii="宋体" w:hAnsi="宋体" w:eastAsia="宋体" w:cs="宋体"/>
          <w:b/>
          <w:bCs/>
          <w:color w:val="000000"/>
          <w:sz w:val="36"/>
          <w:szCs w:val="36"/>
        </w:rPr>
        <w:t>评标方法及标准</w:t>
      </w:r>
      <w:bookmarkEnd w:id="0"/>
      <w:r>
        <w:rPr>
          <w:rFonts w:hint="eastAsia" w:ascii="宋体" w:hAnsi="宋体" w:eastAsia="宋体" w:cs="宋体"/>
          <w:b/>
          <w:bCs/>
          <w:color w:val="000000"/>
          <w:sz w:val="36"/>
          <w:szCs w:val="36"/>
          <w:lang w:val="en-US" w:eastAsia="zh-CN"/>
        </w:rPr>
        <w:t>-</w:t>
      </w:r>
      <w:r>
        <w:rPr>
          <w:rFonts w:hint="eastAsia" w:ascii="宋体" w:hAnsi="宋体" w:eastAsia="宋体" w:cs="宋体"/>
          <w:b/>
          <w:bCs/>
          <w:color w:val="000000"/>
          <w:sz w:val="36"/>
          <w:szCs w:val="36"/>
        </w:rPr>
        <w:t>综合评分表</w:t>
      </w:r>
    </w:p>
    <w:p w14:paraId="65348406">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right="0"/>
        <w:jc w:val="center"/>
        <w:rPr>
          <w:rFonts w:hint="eastAsia" w:ascii="宋体" w:hAnsi="宋体" w:eastAsia="宋体" w:cs="宋体"/>
          <w:b/>
          <w:bCs/>
          <w:color w:val="000000"/>
          <w:sz w:val="28"/>
          <w:szCs w:val="28"/>
        </w:rPr>
      </w:pPr>
    </w:p>
    <w:tbl>
      <w:tblPr>
        <w:tblStyle w:val="3"/>
        <w:tblW w:w="0" w:type="auto"/>
        <w:jc w:val="center"/>
        <w:tblCellSpacing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814"/>
        <w:gridCol w:w="1212"/>
        <w:gridCol w:w="972"/>
        <w:gridCol w:w="4176"/>
        <w:gridCol w:w="1260"/>
      </w:tblGrid>
      <w:tr w14:paraId="2F5E02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41" w:hRule="atLeast"/>
          <w:tblCellSpacing w:w="0" w:type="dxa"/>
          <w:jc w:val="center"/>
        </w:trPr>
        <w:tc>
          <w:tcPr>
            <w:tcW w:w="814" w:type="dxa"/>
            <w:shd w:val="clear" w:color="auto" w:fill="auto"/>
            <w:vAlign w:val="center"/>
          </w:tcPr>
          <w:p w14:paraId="48714B16">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center"/>
            </w:pPr>
            <w:r>
              <w:rPr>
                <w:rFonts w:hint="eastAsia" w:ascii="宋体" w:hAnsi="宋体" w:eastAsia="宋体" w:cs="宋体"/>
                <w:color w:val="000000"/>
                <w:sz w:val="24"/>
                <w:szCs w:val="24"/>
              </w:rPr>
              <w:t>序号</w:t>
            </w:r>
          </w:p>
        </w:tc>
        <w:tc>
          <w:tcPr>
            <w:tcW w:w="2184" w:type="dxa"/>
            <w:gridSpan w:val="2"/>
            <w:shd w:val="clear" w:color="auto" w:fill="auto"/>
            <w:vAlign w:val="center"/>
          </w:tcPr>
          <w:p w14:paraId="7C3A56D3">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center"/>
            </w:pPr>
            <w:r>
              <w:rPr>
                <w:rFonts w:hint="eastAsia" w:ascii="宋体" w:hAnsi="宋体" w:eastAsia="宋体" w:cs="宋体"/>
                <w:color w:val="000000"/>
                <w:sz w:val="24"/>
                <w:szCs w:val="24"/>
              </w:rPr>
              <w:t>评审项目</w:t>
            </w:r>
          </w:p>
        </w:tc>
        <w:tc>
          <w:tcPr>
            <w:tcW w:w="4176" w:type="dxa"/>
            <w:shd w:val="clear" w:color="auto" w:fill="auto"/>
            <w:vAlign w:val="center"/>
          </w:tcPr>
          <w:p w14:paraId="4718E43A">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ind w:left="480"/>
              <w:jc w:val="center"/>
            </w:pPr>
            <w:r>
              <w:rPr>
                <w:rFonts w:hint="eastAsia" w:ascii="宋体" w:hAnsi="宋体" w:eastAsia="宋体" w:cs="宋体"/>
                <w:color w:val="000000"/>
                <w:sz w:val="24"/>
                <w:szCs w:val="24"/>
              </w:rPr>
              <w:t>评审标准</w:t>
            </w:r>
          </w:p>
        </w:tc>
        <w:tc>
          <w:tcPr>
            <w:tcW w:w="1260" w:type="dxa"/>
            <w:shd w:val="clear" w:color="auto" w:fill="auto"/>
            <w:vAlign w:val="center"/>
          </w:tcPr>
          <w:p w14:paraId="6D200586">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center"/>
            </w:pPr>
            <w:r>
              <w:rPr>
                <w:rFonts w:hint="eastAsia" w:ascii="宋体" w:hAnsi="宋体" w:eastAsia="宋体" w:cs="宋体"/>
                <w:color w:val="000000"/>
                <w:sz w:val="24"/>
                <w:szCs w:val="24"/>
              </w:rPr>
              <w:t>最高分值</w:t>
            </w:r>
          </w:p>
        </w:tc>
      </w:tr>
      <w:tr w14:paraId="22775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9" w:hRule="atLeast"/>
          <w:tblCellSpacing w:w="0" w:type="dxa"/>
          <w:jc w:val="center"/>
        </w:trPr>
        <w:tc>
          <w:tcPr>
            <w:tcW w:w="814" w:type="dxa"/>
            <w:shd w:val="clear" w:color="auto" w:fill="auto"/>
            <w:vAlign w:val="center"/>
          </w:tcPr>
          <w:p w14:paraId="266B58C4">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center"/>
            </w:pPr>
            <w:r>
              <w:rPr>
                <w:rFonts w:hint="eastAsia" w:ascii="宋体" w:hAnsi="宋体" w:eastAsia="宋体" w:cs="宋体"/>
                <w:color w:val="000000"/>
                <w:sz w:val="24"/>
                <w:szCs w:val="24"/>
              </w:rPr>
              <w:t>1</w:t>
            </w:r>
          </w:p>
        </w:tc>
        <w:tc>
          <w:tcPr>
            <w:tcW w:w="1212" w:type="dxa"/>
            <w:shd w:val="clear" w:color="auto" w:fill="auto"/>
            <w:vAlign w:val="center"/>
          </w:tcPr>
          <w:p w14:paraId="415E94CE">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价格</w:t>
            </w:r>
          </w:p>
          <w:p w14:paraId="7C41AA0E">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center"/>
            </w:pP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0分）</w:t>
            </w:r>
          </w:p>
        </w:tc>
        <w:tc>
          <w:tcPr>
            <w:tcW w:w="972" w:type="dxa"/>
            <w:shd w:val="clear" w:color="auto" w:fill="auto"/>
            <w:vAlign w:val="center"/>
          </w:tcPr>
          <w:p w14:paraId="6EC9BAED">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报价</w:t>
            </w:r>
          </w:p>
          <w:p w14:paraId="61667543">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center"/>
            </w:pPr>
            <w:r>
              <w:rPr>
                <w:rFonts w:hint="eastAsia" w:ascii="宋体" w:hAnsi="宋体" w:eastAsia="宋体" w:cs="宋体"/>
                <w:color w:val="000000"/>
                <w:sz w:val="24"/>
                <w:szCs w:val="24"/>
              </w:rPr>
              <w:t>价格</w:t>
            </w:r>
          </w:p>
        </w:tc>
        <w:tc>
          <w:tcPr>
            <w:tcW w:w="4176" w:type="dxa"/>
            <w:shd w:val="clear" w:color="auto" w:fill="auto"/>
            <w:vAlign w:val="center"/>
          </w:tcPr>
          <w:p w14:paraId="0424555A">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240" w:lineRule="auto"/>
              <w:jc w:val="both"/>
            </w:pPr>
            <w:r>
              <w:rPr>
                <w:rFonts w:hint="eastAsia" w:ascii="宋体" w:hAnsi="宋体" w:eastAsia="宋体" w:cs="宋体"/>
                <w:color w:val="000000"/>
                <w:sz w:val="24"/>
                <w:szCs w:val="24"/>
              </w:rPr>
              <w:t>以合格供应商在同一包号中的所有产品的报价单价平均值为其评审价格，合格供应商评审价格最低的为满分，作为评审基准价，计40分。评审价格高于评审基准价的，其报价分按照下列公式进行计算： 报价得分=（评审基准价/评审价格）×40分。</w:t>
            </w:r>
          </w:p>
          <w:p w14:paraId="120FA7B6">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240" w:lineRule="auto"/>
              <w:jc w:val="both"/>
            </w:pPr>
            <w:r>
              <w:rPr>
                <w:rFonts w:hint="eastAsia" w:ascii="宋体" w:hAnsi="宋体" w:eastAsia="宋体" w:cs="宋体"/>
                <w:color w:val="000000"/>
                <w:sz w:val="24"/>
                <w:szCs w:val="24"/>
              </w:rPr>
              <w:t>注：供应商所投产品偏离该目录采购要求的或未通过本项目资格审查的，则该供应商产品报价不进入评审价格计算。</w:t>
            </w:r>
          </w:p>
        </w:tc>
        <w:tc>
          <w:tcPr>
            <w:tcW w:w="1260" w:type="dxa"/>
            <w:shd w:val="clear" w:color="auto" w:fill="auto"/>
            <w:vAlign w:val="center"/>
          </w:tcPr>
          <w:p w14:paraId="08795836">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center"/>
            </w:pP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0</w:t>
            </w:r>
          </w:p>
        </w:tc>
      </w:tr>
      <w:tr w14:paraId="3076D3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41" w:hRule="atLeast"/>
          <w:tblCellSpacing w:w="0" w:type="dxa"/>
          <w:jc w:val="center"/>
        </w:trPr>
        <w:tc>
          <w:tcPr>
            <w:tcW w:w="814" w:type="dxa"/>
            <w:vMerge w:val="restart"/>
            <w:shd w:val="clear" w:color="auto" w:fill="auto"/>
            <w:vAlign w:val="center"/>
          </w:tcPr>
          <w:p w14:paraId="124BF200">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center"/>
            </w:pPr>
            <w:r>
              <w:rPr>
                <w:rFonts w:hint="eastAsia" w:ascii="宋体" w:hAnsi="宋体" w:eastAsia="宋体" w:cs="宋体"/>
                <w:color w:val="000000"/>
                <w:sz w:val="24"/>
                <w:szCs w:val="24"/>
              </w:rPr>
              <w:t>2</w:t>
            </w:r>
          </w:p>
        </w:tc>
        <w:tc>
          <w:tcPr>
            <w:tcW w:w="1212" w:type="dxa"/>
            <w:vMerge w:val="restart"/>
            <w:shd w:val="clear" w:color="auto" w:fill="auto"/>
            <w:vAlign w:val="center"/>
          </w:tcPr>
          <w:p w14:paraId="02643FAF">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技术</w:t>
            </w:r>
          </w:p>
          <w:p w14:paraId="072E1114">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center"/>
            </w:pPr>
            <w:r>
              <w:rPr>
                <w:rFonts w:hint="eastAsia" w:ascii="宋体" w:hAnsi="宋体" w:eastAsia="宋体" w:cs="宋体"/>
                <w:color w:val="000000"/>
                <w:sz w:val="24"/>
                <w:szCs w:val="24"/>
              </w:rPr>
              <w:t>（</w:t>
            </w:r>
            <w:r>
              <w:rPr>
                <w:rFonts w:hint="eastAsia" w:ascii="宋体" w:hAnsi="宋体" w:eastAsia="宋体" w:cs="宋体"/>
                <w:color w:val="000000"/>
                <w:sz w:val="24"/>
                <w:szCs w:val="24"/>
                <w:lang w:val="en-US" w:eastAsia="zh-CN"/>
              </w:rPr>
              <w:t>6</w:t>
            </w:r>
            <w:r>
              <w:rPr>
                <w:rFonts w:hint="eastAsia" w:ascii="宋体" w:hAnsi="宋体" w:eastAsia="宋体" w:cs="宋体"/>
                <w:color w:val="000000"/>
                <w:sz w:val="24"/>
                <w:szCs w:val="24"/>
              </w:rPr>
              <w:t>0</w:t>
            </w:r>
            <w:r>
              <w:rPr>
                <w:rFonts w:hint="eastAsia" w:ascii="宋体" w:hAnsi="宋体" w:eastAsia="宋体" w:cs="宋体"/>
                <w:color w:val="000000"/>
                <w:sz w:val="24"/>
                <w:szCs w:val="24"/>
                <w:lang w:val="en-US" w:eastAsia="zh-CN"/>
              </w:rPr>
              <w:t>分</w:t>
            </w:r>
            <w:r>
              <w:rPr>
                <w:rFonts w:hint="eastAsia" w:ascii="宋体" w:hAnsi="宋体" w:eastAsia="宋体" w:cs="宋体"/>
                <w:color w:val="000000"/>
                <w:sz w:val="24"/>
                <w:szCs w:val="24"/>
              </w:rPr>
              <w:t>）</w:t>
            </w:r>
          </w:p>
        </w:tc>
        <w:tc>
          <w:tcPr>
            <w:tcW w:w="972" w:type="dxa"/>
            <w:vMerge w:val="restart"/>
            <w:shd w:val="clear" w:color="auto" w:fill="auto"/>
            <w:vAlign w:val="center"/>
          </w:tcPr>
          <w:p w14:paraId="6205F298">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技术</w:t>
            </w:r>
          </w:p>
          <w:p w14:paraId="427E8A8E">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leftChars="0" w:right="0" w:rightChars="0"/>
              <w:jc w:val="center"/>
              <w:rPr>
                <w:rFonts w:hint="eastAsia" w:asciiTheme="minorHAnsi" w:hAnsiTheme="minorHAnsi" w:eastAsiaTheme="minorEastAsia" w:cstheme="minorBidi"/>
                <w:kern w:val="0"/>
                <w:sz w:val="24"/>
                <w:szCs w:val="24"/>
                <w:lang w:val="en-US" w:eastAsia="zh-CN" w:bidi="ar"/>
              </w:rPr>
            </w:pPr>
            <w:r>
              <w:rPr>
                <w:rFonts w:hint="eastAsia" w:ascii="宋体" w:hAnsi="宋体" w:eastAsia="宋体" w:cs="宋体"/>
                <w:color w:val="000000"/>
                <w:sz w:val="24"/>
                <w:szCs w:val="24"/>
              </w:rPr>
              <w:t>参数</w:t>
            </w:r>
          </w:p>
        </w:tc>
        <w:tc>
          <w:tcPr>
            <w:tcW w:w="4176" w:type="dxa"/>
            <w:shd w:val="clear" w:color="auto" w:fill="auto"/>
            <w:vAlign w:val="center"/>
          </w:tcPr>
          <w:p w14:paraId="4FBCF318">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240" w:lineRule="auto"/>
              <w:ind w:left="0" w:leftChars="0" w:right="0" w:rightChars="0"/>
              <w:rPr>
                <w:rFonts w:hint="default" w:asciiTheme="minorHAnsi" w:hAnsiTheme="minorHAnsi" w:eastAsiaTheme="minorEastAsia" w:cstheme="minorBidi"/>
                <w:kern w:val="0"/>
                <w:sz w:val="24"/>
                <w:szCs w:val="24"/>
                <w:lang w:val="en-US" w:eastAsia="zh-CN" w:bidi="ar"/>
              </w:rPr>
            </w:pPr>
            <w:r>
              <w:rPr>
                <w:rFonts w:hint="eastAsia" w:ascii="宋体" w:hAnsi="宋体" w:eastAsia="宋体" w:cs="宋体"/>
                <w:color w:val="000000"/>
                <w:sz w:val="24"/>
                <w:szCs w:val="24"/>
                <w:lang w:val="en-US" w:eastAsia="zh-CN"/>
              </w:rPr>
              <w:t>★投标产品需具有二类医疗器械注册证，不符合此要求的产品不能参与评标</w:t>
            </w:r>
          </w:p>
        </w:tc>
        <w:tc>
          <w:tcPr>
            <w:tcW w:w="1260" w:type="dxa"/>
            <w:shd w:val="clear" w:color="auto" w:fill="auto"/>
            <w:vAlign w:val="center"/>
          </w:tcPr>
          <w:p w14:paraId="5D1002B8">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leftChars="0" w:right="0" w:rightChars="0"/>
              <w:jc w:val="center"/>
              <w:rPr>
                <w:rFonts w:hint="eastAsia" w:asciiTheme="minorHAnsi" w:hAnsiTheme="minorHAnsi" w:eastAsiaTheme="minorEastAsia" w:cstheme="minorBidi"/>
                <w:kern w:val="0"/>
                <w:sz w:val="24"/>
                <w:szCs w:val="24"/>
                <w:lang w:val="en-US" w:eastAsia="zh-CN" w:bidi="ar"/>
              </w:rPr>
            </w:pPr>
          </w:p>
        </w:tc>
      </w:tr>
      <w:tr w14:paraId="43CC0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41" w:hRule="atLeast"/>
          <w:tblCellSpacing w:w="0" w:type="dxa"/>
          <w:jc w:val="center"/>
        </w:trPr>
        <w:tc>
          <w:tcPr>
            <w:tcW w:w="814" w:type="dxa"/>
            <w:vMerge w:val="continue"/>
            <w:shd w:val="clear" w:color="auto" w:fill="auto"/>
            <w:vAlign w:val="center"/>
          </w:tcPr>
          <w:p w14:paraId="74354E0D">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center"/>
            </w:pPr>
          </w:p>
        </w:tc>
        <w:tc>
          <w:tcPr>
            <w:tcW w:w="1212" w:type="dxa"/>
            <w:vMerge w:val="continue"/>
            <w:shd w:val="clear" w:color="auto" w:fill="auto"/>
            <w:vAlign w:val="center"/>
          </w:tcPr>
          <w:p w14:paraId="2BD2AFE5">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center"/>
            </w:pPr>
          </w:p>
        </w:tc>
        <w:tc>
          <w:tcPr>
            <w:tcW w:w="972" w:type="dxa"/>
            <w:vMerge w:val="continue"/>
            <w:shd w:val="clear" w:color="auto" w:fill="auto"/>
            <w:vAlign w:val="center"/>
          </w:tcPr>
          <w:p w14:paraId="726EA96A">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leftChars="0" w:right="0" w:rightChars="0"/>
              <w:jc w:val="center"/>
              <w:rPr>
                <w:rFonts w:hint="default" w:asciiTheme="minorHAnsi" w:hAnsiTheme="minorHAnsi" w:eastAsiaTheme="minorEastAsia" w:cstheme="minorBidi"/>
                <w:kern w:val="0"/>
                <w:sz w:val="24"/>
                <w:szCs w:val="24"/>
                <w:lang w:val="en-US" w:eastAsia="zh-CN" w:bidi="ar"/>
              </w:rPr>
            </w:pPr>
          </w:p>
        </w:tc>
        <w:tc>
          <w:tcPr>
            <w:tcW w:w="4176" w:type="dxa"/>
            <w:shd w:val="clear" w:color="auto" w:fill="auto"/>
            <w:vAlign w:val="center"/>
          </w:tcPr>
          <w:p w14:paraId="28F2A19F">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240" w:lineRule="auto"/>
              <w:ind w:left="0" w:leftChars="0" w:right="0" w:rightChars="0"/>
              <w:jc w:val="both"/>
              <w:rPr>
                <w:rFonts w:hint="eastAsia" w:cstheme="minorBidi"/>
                <w:kern w:val="0"/>
                <w:sz w:val="24"/>
                <w:szCs w:val="24"/>
                <w:lang w:val="en-US" w:eastAsia="zh-CN" w:bidi="ar"/>
              </w:rPr>
            </w:pPr>
            <w:r>
              <w:rPr>
                <w:rFonts w:hint="eastAsia" w:ascii="宋体" w:hAnsi="宋体" w:eastAsia="宋体" w:cs="宋体"/>
                <w:color w:val="000000"/>
                <w:sz w:val="24"/>
                <w:szCs w:val="24"/>
              </w:rPr>
              <w:t>技术参数偏离或漏项，每出现一处扣4分，扣完为止。</w:t>
            </w:r>
          </w:p>
        </w:tc>
        <w:tc>
          <w:tcPr>
            <w:tcW w:w="1260" w:type="dxa"/>
            <w:shd w:val="clear" w:color="auto" w:fill="auto"/>
            <w:vAlign w:val="center"/>
          </w:tcPr>
          <w:p w14:paraId="78D9E7B7">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leftChars="0" w:right="0" w:rightChars="0"/>
              <w:jc w:val="center"/>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20</w:t>
            </w:r>
          </w:p>
        </w:tc>
      </w:tr>
      <w:tr w14:paraId="6EDC7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1008" w:hRule="atLeast"/>
          <w:tblCellSpacing w:w="0" w:type="dxa"/>
          <w:jc w:val="center"/>
        </w:trPr>
        <w:tc>
          <w:tcPr>
            <w:tcW w:w="814" w:type="dxa"/>
            <w:vMerge w:val="continue"/>
            <w:shd w:val="clear" w:color="auto" w:fill="auto"/>
            <w:vAlign w:val="center"/>
          </w:tcPr>
          <w:p w14:paraId="0CEEBF59">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center"/>
            </w:pPr>
          </w:p>
        </w:tc>
        <w:tc>
          <w:tcPr>
            <w:tcW w:w="1212" w:type="dxa"/>
            <w:vMerge w:val="continue"/>
            <w:shd w:val="clear" w:color="auto" w:fill="auto"/>
            <w:vAlign w:val="center"/>
          </w:tcPr>
          <w:p w14:paraId="23C58FF0">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center"/>
            </w:pPr>
          </w:p>
        </w:tc>
        <w:tc>
          <w:tcPr>
            <w:tcW w:w="972" w:type="dxa"/>
            <w:vMerge w:val="continue"/>
            <w:shd w:val="clear" w:color="auto" w:fill="auto"/>
            <w:vAlign w:val="center"/>
          </w:tcPr>
          <w:p w14:paraId="6DDF1DEF">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leftChars="0" w:right="0" w:rightChars="0"/>
              <w:jc w:val="center"/>
              <w:rPr>
                <w:rFonts w:hint="default" w:asciiTheme="minorHAnsi" w:hAnsiTheme="minorHAnsi" w:eastAsiaTheme="minorEastAsia" w:cstheme="minorBidi"/>
                <w:kern w:val="0"/>
                <w:sz w:val="24"/>
                <w:szCs w:val="24"/>
                <w:lang w:val="en-US" w:eastAsia="zh-CN" w:bidi="ar"/>
              </w:rPr>
            </w:pPr>
          </w:p>
        </w:tc>
        <w:tc>
          <w:tcPr>
            <w:tcW w:w="4176" w:type="dxa"/>
            <w:shd w:val="clear" w:color="auto" w:fill="auto"/>
            <w:vAlign w:val="center"/>
          </w:tcPr>
          <w:p w14:paraId="05C6E30F">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240" w:lineRule="auto"/>
              <w:ind w:left="0" w:leftChars="0" w:right="0" w:rightChars="0"/>
              <w:jc w:val="both"/>
              <w:rPr>
                <w:rFonts w:hint="default" w:asciiTheme="minorHAnsi" w:hAnsiTheme="minorHAnsi" w:eastAsiaTheme="minorEastAsia" w:cstheme="minorBidi"/>
                <w:kern w:val="0"/>
                <w:sz w:val="24"/>
                <w:szCs w:val="24"/>
                <w:lang w:val="en-US" w:eastAsia="zh-CN" w:bidi="ar"/>
              </w:rPr>
            </w:pPr>
            <w:r>
              <w:rPr>
                <w:rFonts w:hint="eastAsia" w:cstheme="minorBidi"/>
                <w:kern w:val="0"/>
                <w:sz w:val="24"/>
                <w:szCs w:val="24"/>
                <w:lang w:val="en-US" w:eastAsia="zh-CN" w:bidi="ar"/>
              </w:rPr>
              <w:t>投标产品中有相关设计专利证书的</w:t>
            </w:r>
            <w:r>
              <w:rPr>
                <w:rFonts w:hint="eastAsia" w:ascii="宋体" w:hAnsi="宋体" w:eastAsia="宋体" w:cs="宋体"/>
                <w:color w:val="000000"/>
                <w:sz w:val="24"/>
                <w:szCs w:val="24"/>
              </w:rPr>
              <w:t>计</w:t>
            </w:r>
            <w:bookmarkStart w:id="1" w:name="_GoBack"/>
            <w:bookmarkEnd w:id="1"/>
            <w:r>
              <w:rPr>
                <w:rFonts w:hint="eastAsia" w:cstheme="minorBidi"/>
                <w:kern w:val="0"/>
                <w:sz w:val="24"/>
                <w:szCs w:val="24"/>
                <w:lang w:val="en-US" w:eastAsia="zh-CN" w:bidi="ar"/>
              </w:rPr>
              <w:t>10分，没有的不计分。</w:t>
            </w:r>
          </w:p>
        </w:tc>
        <w:tc>
          <w:tcPr>
            <w:tcW w:w="1260" w:type="dxa"/>
            <w:shd w:val="clear" w:color="auto" w:fill="auto"/>
            <w:vAlign w:val="center"/>
          </w:tcPr>
          <w:p w14:paraId="2DF81CF3">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leftChars="0" w:right="0" w:rightChars="0"/>
              <w:jc w:val="center"/>
              <w:rPr>
                <w:rFonts w:hint="default" w:ascii="宋体" w:hAnsi="宋体" w:eastAsia="宋体" w:cs="宋体"/>
                <w:color w:val="000000"/>
                <w:sz w:val="24"/>
                <w:szCs w:val="24"/>
                <w:lang w:val="en-US" w:eastAsia="zh-CN"/>
              </w:rPr>
            </w:pPr>
            <w:r>
              <w:rPr>
                <w:rFonts w:hint="eastAsia" w:ascii="宋体" w:hAnsi="宋体" w:eastAsia="宋体" w:cs="宋体"/>
                <w:color w:val="000000"/>
                <w:sz w:val="24"/>
                <w:szCs w:val="24"/>
                <w:lang w:val="en-US" w:eastAsia="zh-CN"/>
              </w:rPr>
              <w:t>10</w:t>
            </w:r>
          </w:p>
        </w:tc>
      </w:tr>
      <w:tr w14:paraId="179339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8" w:hRule="atLeast"/>
          <w:tblCellSpacing w:w="0" w:type="dxa"/>
          <w:jc w:val="center"/>
        </w:trPr>
        <w:tc>
          <w:tcPr>
            <w:tcW w:w="814" w:type="dxa"/>
            <w:vMerge w:val="continue"/>
            <w:shd w:val="clear" w:color="auto" w:fill="auto"/>
            <w:vAlign w:val="center"/>
          </w:tcPr>
          <w:p w14:paraId="02E22DED">
            <w:pPr>
              <w:rPr>
                <w:rFonts w:hint="eastAsia" w:ascii="宋体"/>
                <w:sz w:val="24"/>
                <w:szCs w:val="24"/>
              </w:rPr>
            </w:pPr>
          </w:p>
        </w:tc>
        <w:tc>
          <w:tcPr>
            <w:tcW w:w="1212" w:type="dxa"/>
            <w:vMerge w:val="continue"/>
            <w:shd w:val="clear" w:color="auto" w:fill="auto"/>
            <w:vAlign w:val="center"/>
          </w:tcPr>
          <w:p w14:paraId="76C0DB24">
            <w:pPr>
              <w:rPr>
                <w:rFonts w:hint="eastAsia" w:ascii="宋体"/>
                <w:sz w:val="24"/>
                <w:szCs w:val="24"/>
              </w:rPr>
            </w:pPr>
          </w:p>
        </w:tc>
        <w:tc>
          <w:tcPr>
            <w:tcW w:w="972" w:type="dxa"/>
            <w:shd w:val="clear" w:color="auto" w:fill="auto"/>
            <w:vAlign w:val="center"/>
          </w:tcPr>
          <w:p w14:paraId="310A87F7">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产品</w:t>
            </w:r>
          </w:p>
          <w:p w14:paraId="78D633C5">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leftChars="0" w:right="0" w:rightChars="0"/>
              <w:jc w:val="center"/>
              <w:rPr>
                <w:rFonts w:asciiTheme="minorHAnsi" w:hAnsiTheme="minorHAnsi" w:eastAsiaTheme="minorEastAsia" w:cstheme="minorBidi"/>
                <w:kern w:val="0"/>
                <w:sz w:val="24"/>
                <w:szCs w:val="24"/>
                <w:lang w:val="en-US" w:eastAsia="zh-CN" w:bidi="ar"/>
              </w:rPr>
            </w:pPr>
            <w:r>
              <w:rPr>
                <w:rFonts w:hint="eastAsia" w:ascii="宋体" w:hAnsi="宋体" w:eastAsia="宋体" w:cs="宋体"/>
                <w:color w:val="000000"/>
                <w:sz w:val="24"/>
                <w:szCs w:val="24"/>
              </w:rPr>
              <w:t>业绩</w:t>
            </w:r>
          </w:p>
        </w:tc>
        <w:tc>
          <w:tcPr>
            <w:tcW w:w="4176" w:type="dxa"/>
            <w:shd w:val="clear" w:color="auto" w:fill="auto"/>
            <w:vAlign w:val="center"/>
          </w:tcPr>
          <w:p w14:paraId="51C6F78B">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240" w:lineRule="auto"/>
              <w:ind w:left="0" w:leftChars="0" w:right="0" w:rightChars="0"/>
              <w:jc w:val="both"/>
              <w:rPr>
                <w:rFonts w:asciiTheme="minorHAnsi" w:hAnsiTheme="minorHAnsi" w:eastAsiaTheme="minorEastAsia" w:cstheme="minorBidi"/>
                <w:kern w:val="0"/>
                <w:sz w:val="24"/>
                <w:szCs w:val="24"/>
                <w:lang w:val="en-US" w:eastAsia="zh-CN" w:bidi="ar"/>
              </w:rPr>
            </w:pPr>
            <w:r>
              <w:rPr>
                <w:rFonts w:hint="eastAsia" w:ascii="宋体" w:hAnsi="宋体" w:eastAsia="宋体" w:cs="宋体"/>
                <w:color w:val="000000"/>
                <w:sz w:val="24"/>
                <w:szCs w:val="24"/>
              </w:rPr>
              <w:t>供应商所投产品品牌在三级甲等医院使用业绩，每个医院计5分。（需提供在用医院联系清单，供货合同或供货发票复印件）</w:t>
            </w:r>
          </w:p>
        </w:tc>
        <w:tc>
          <w:tcPr>
            <w:tcW w:w="1260" w:type="dxa"/>
            <w:shd w:val="clear" w:color="auto" w:fill="auto"/>
            <w:vAlign w:val="center"/>
          </w:tcPr>
          <w:p w14:paraId="7D1D68AC">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ind w:left="0" w:leftChars="0" w:right="0" w:rightChars="0"/>
              <w:jc w:val="center"/>
              <w:rPr>
                <w:rFonts w:asciiTheme="minorHAnsi" w:hAnsiTheme="minorHAnsi" w:eastAsiaTheme="minorEastAsia" w:cstheme="minorBidi"/>
                <w:kern w:val="0"/>
                <w:sz w:val="24"/>
                <w:szCs w:val="24"/>
                <w:lang w:val="en-US" w:eastAsia="zh-CN" w:bidi="ar"/>
              </w:rPr>
            </w:pPr>
            <w:r>
              <w:rPr>
                <w:rFonts w:hint="eastAsia" w:ascii="宋体" w:hAnsi="宋体" w:eastAsia="宋体" w:cs="宋体"/>
                <w:color w:val="000000"/>
                <w:sz w:val="24"/>
                <w:szCs w:val="24"/>
              </w:rPr>
              <w:t>30</w:t>
            </w:r>
          </w:p>
        </w:tc>
      </w:tr>
      <w:tr w14:paraId="1B41F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502" w:hRule="atLeast"/>
          <w:tblCellSpacing w:w="0" w:type="dxa"/>
          <w:jc w:val="center"/>
        </w:trPr>
        <w:tc>
          <w:tcPr>
            <w:tcW w:w="814" w:type="dxa"/>
            <w:shd w:val="clear" w:color="auto" w:fill="auto"/>
            <w:vAlign w:val="center"/>
          </w:tcPr>
          <w:p w14:paraId="471A39FC">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center"/>
            </w:pPr>
            <w:r>
              <w:rPr>
                <w:rFonts w:hint="eastAsia" w:ascii="宋体" w:hAnsi="宋体" w:eastAsia="宋体" w:cs="宋体"/>
                <w:color w:val="000000"/>
                <w:sz w:val="24"/>
                <w:szCs w:val="24"/>
              </w:rPr>
              <w:t>3</w:t>
            </w:r>
          </w:p>
        </w:tc>
        <w:tc>
          <w:tcPr>
            <w:tcW w:w="1212" w:type="dxa"/>
            <w:shd w:val="clear" w:color="auto" w:fill="auto"/>
            <w:vAlign w:val="center"/>
          </w:tcPr>
          <w:p w14:paraId="79127501">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center"/>
              <w:rPr>
                <w:rFonts w:hint="eastAsia" w:ascii="宋体" w:hAnsi="宋体" w:eastAsia="宋体" w:cs="宋体"/>
                <w:color w:val="000000"/>
                <w:sz w:val="24"/>
                <w:szCs w:val="24"/>
              </w:rPr>
            </w:pPr>
            <w:r>
              <w:rPr>
                <w:rFonts w:hint="eastAsia" w:ascii="宋体" w:hAnsi="宋体" w:eastAsia="宋体" w:cs="宋体"/>
                <w:color w:val="000000"/>
                <w:sz w:val="24"/>
                <w:szCs w:val="24"/>
              </w:rPr>
              <w:t>商务</w:t>
            </w:r>
          </w:p>
          <w:p w14:paraId="2D0C184D">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center"/>
              <w:rPr>
                <w:rFonts w:hint="eastAsia" w:eastAsia="宋体"/>
                <w:lang w:eastAsia="zh-CN"/>
              </w:rPr>
            </w:pPr>
            <w:r>
              <w:rPr>
                <w:rFonts w:hint="eastAsia" w:ascii="宋体" w:hAnsi="宋体" w:eastAsia="宋体" w:cs="宋体"/>
                <w:color w:val="000000"/>
                <w:sz w:val="24"/>
                <w:szCs w:val="24"/>
              </w:rPr>
              <w:t>（10分</w:t>
            </w:r>
            <w:r>
              <w:rPr>
                <w:rFonts w:hint="eastAsia" w:ascii="宋体" w:hAnsi="宋体" w:eastAsia="宋体" w:cs="宋体"/>
                <w:color w:val="000000"/>
                <w:sz w:val="24"/>
                <w:szCs w:val="24"/>
                <w:lang w:eastAsia="zh-CN"/>
              </w:rPr>
              <w:t>）</w:t>
            </w:r>
          </w:p>
        </w:tc>
        <w:tc>
          <w:tcPr>
            <w:tcW w:w="972" w:type="dxa"/>
            <w:shd w:val="clear" w:color="auto" w:fill="auto"/>
            <w:vAlign w:val="center"/>
          </w:tcPr>
          <w:p w14:paraId="5542B3BF">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center"/>
            </w:pPr>
            <w:r>
              <w:rPr>
                <w:rFonts w:hint="eastAsia" w:ascii="宋体" w:hAnsi="宋体" w:eastAsia="宋体" w:cs="宋体"/>
                <w:color w:val="000000"/>
                <w:sz w:val="24"/>
                <w:szCs w:val="24"/>
              </w:rPr>
              <w:t>配送服务方案</w:t>
            </w:r>
          </w:p>
        </w:tc>
        <w:tc>
          <w:tcPr>
            <w:tcW w:w="4176" w:type="dxa"/>
            <w:shd w:val="clear" w:color="auto" w:fill="auto"/>
            <w:vAlign w:val="center"/>
          </w:tcPr>
          <w:p w14:paraId="2C9823A0">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240" w:lineRule="auto"/>
            </w:pPr>
            <w:r>
              <w:rPr>
                <w:rFonts w:hint="eastAsia" w:ascii="宋体" w:hAnsi="宋体" w:eastAsia="宋体" w:cs="宋体"/>
                <w:color w:val="000000"/>
                <w:sz w:val="24"/>
                <w:szCs w:val="24"/>
              </w:rPr>
              <w:t>供应商根据本项目的采购需求提供配送服务方案，包括但不限于耗材供货来源、响应时间、人员配置、集中送货方案、紧急配送、退换货、质量及进度保障、培训措施等方面。方案详细合理包含以上全部内容的计10分；方案较详细合理包含以上全部内容的计6分 ，方案未详细合理缺少以上部分内容的计 2分，未提供方案的计 0分。</w:t>
            </w:r>
          </w:p>
        </w:tc>
        <w:tc>
          <w:tcPr>
            <w:tcW w:w="1260" w:type="dxa"/>
            <w:shd w:val="clear" w:color="auto" w:fill="auto"/>
            <w:vAlign w:val="center"/>
          </w:tcPr>
          <w:p w14:paraId="357E053B">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360" w:lineRule="auto"/>
              <w:jc w:val="center"/>
            </w:pPr>
            <w:r>
              <w:rPr>
                <w:rFonts w:hint="eastAsia" w:ascii="宋体" w:hAnsi="宋体" w:eastAsia="宋体" w:cs="宋体"/>
                <w:color w:val="000000"/>
                <w:sz w:val="24"/>
                <w:szCs w:val="24"/>
              </w:rPr>
              <w:t>10</w:t>
            </w:r>
          </w:p>
        </w:tc>
      </w:tr>
    </w:tbl>
    <w:p w14:paraId="410DB200">
      <w:pPr>
        <w:pStyle w:val="2"/>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jc w:val="both"/>
        <w:rPr>
          <w:rFonts w:hint="eastAsia" w:eastAsiaTheme="minorEastAsia"/>
          <w:lang w:eastAsia="zh-CN"/>
        </w:rPr>
      </w:pPr>
    </w:p>
    <w:p w14:paraId="4157398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1E10EA"/>
    <w:rsid w:val="16A8208D"/>
    <w:rsid w:val="1BE834C2"/>
    <w:rsid w:val="1D083E1C"/>
    <w:rsid w:val="21B52099"/>
    <w:rsid w:val="22394A78"/>
    <w:rsid w:val="311C359A"/>
    <w:rsid w:val="34D514B2"/>
    <w:rsid w:val="3FAF1A7E"/>
    <w:rsid w:val="46C2653A"/>
    <w:rsid w:val="48912668"/>
    <w:rsid w:val="4F1E09DB"/>
    <w:rsid w:val="4F8C3B89"/>
    <w:rsid w:val="4F9B5B7A"/>
    <w:rsid w:val="55B44917"/>
    <w:rsid w:val="57CC2F54"/>
    <w:rsid w:val="58206AF8"/>
    <w:rsid w:val="583A23D4"/>
    <w:rsid w:val="58E35013"/>
    <w:rsid w:val="5CAD7E8C"/>
    <w:rsid w:val="63C56853"/>
    <w:rsid w:val="65336B29"/>
    <w:rsid w:val="6CBD45DD"/>
    <w:rsid w:val="70AE52B6"/>
    <w:rsid w:val="7EC623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524</Words>
  <Characters>536</Characters>
  <Lines>0</Lines>
  <Paragraphs>0</Paragraphs>
  <TotalTime>0</TotalTime>
  <ScaleCrop>false</ScaleCrop>
  <LinksUpToDate>false</LinksUpToDate>
  <CharactersWithSpaces>540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2026-01-07T08:49:00Z</dcterms:created>
  <dc:creator>Administrator</dc:creator>
  <cp:lastModifiedBy>郑方艳</cp:lastModifiedBy>
  <cp:lastPrinted>2026-01-07T08:52:00Z</cp:lastPrinted>
  <dcterms:modified xsi:type="dcterms:W3CDTF">2026-06-17T02:13:43Z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eyJoZGlkIjoiOTZmMGI3NmQ2N2RlZjVmMzhjNjU3YTkzZmU3NjlhOWYiLCJ1c2VySWQiOiIzMDYwOTMxNDUifQ==</vt:lpwstr>
  </property>
  <property fmtid="{D5CDD505-2E9C-101B-9397-08002B2CF9AE}" pid="4" name="ICV">
    <vt:lpwstr>8C5D9704C8684D7482D0ECA91F4300B1_12</vt:lpwstr>
  </property>
</Properties>
</file>