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6"/>
        <w:snapToGrid w:val="0"/>
        <w:jc w:val="center"/>
        <w:rPr>
          <w:rFonts w:hint="eastAsia" w:ascii="Arial" w:hAnsi="Arial" w:eastAsia="方正小标宋简体" w:cs="Arial"/>
          <w:color w:val="auto"/>
          <w:sz w:val="72"/>
          <w:szCs w:val="72"/>
          <w:lang w:eastAsia="zh-CN"/>
        </w:rPr>
      </w:pPr>
      <w:bookmarkStart w:id="0" w:name="_Toc16523570"/>
    </w:p>
    <w:p w14:paraId="624C34B6">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6"/>
        <w:snapToGrid w:val="0"/>
        <w:jc w:val="center"/>
        <w:rPr>
          <w:rFonts w:hint="eastAsia" w:ascii="Arial" w:hAnsi="Arial" w:eastAsia="方正小标宋简体" w:cs="Arial"/>
          <w:sz w:val="72"/>
          <w:szCs w:val="72"/>
        </w:rPr>
      </w:pPr>
    </w:p>
    <w:p w14:paraId="16E58BC0">
      <w:pPr>
        <w:pStyle w:val="6"/>
        <w:snapToGrid w:val="0"/>
        <w:jc w:val="center"/>
        <w:rPr>
          <w:rFonts w:hint="eastAsia" w:ascii="Arial" w:hAnsi="Arial" w:eastAsia="方正小标宋简体" w:cs="Arial"/>
          <w:sz w:val="72"/>
          <w:szCs w:val="72"/>
        </w:rPr>
      </w:pPr>
    </w:p>
    <w:p w14:paraId="7D3C3256">
      <w:pPr>
        <w:pStyle w:val="6"/>
        <w:snapToGrid w:val="0"/>
        <w:jc w:val="center"/>
        <w:rPr>
          <w:rFonts w:hint="eastAsia" w:ascii="Arial" w:hAnsi="Arial" w:eastAsia="方正小标宋简体" w:cs="Arial"/>
          <w:sz w:val="72"/>
          <w:szCs w:val="72"/>
        </w:rPr>
      </w:pPr>
    </w:p>
    <w:p w14:paraId="11608FC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6"/>
        <w:snapToGrid w:val="0"/>
        <w:jc w:val="center"/>
        <w:rPr>
          <w:rFonts w:ascii="Arial" w:hAnsi="Arial" w:cs="Arial"/>
          <w:sz w:val="32"/>
          <w:szCs w:val="32"/>
        </w:rPr>
      </w:pPr>
    </w:p>
    <w:p w14:paraId="46311545">
      <w:pPr>
        <w:pStyle w:val="16"/>
        <w:rPr>
          <w:rFonts w:ascii="Arial" w:hAnsi="Arial" w:cs="Arial"/>
          <w:sz w:val="32"/>
          <w:szCs w:val="32"/>
        </w:rPr>
      </w:pPr>
    </w:p>
    <w:p w14:paraId="5F00027D">
      <w:pPr>
        <w:pStyle w:val="12"/>
        <w:rPr>
          <w:rFonts w:ascii="Arial" w:hAnsi="Arial" w:cs="Arial"/>
          <w:sz w:val="32"/>
          <w:szCs w:val="32"/>
        </w:rPr>
      </w:pPr>
    </w:p>
    <w:p w14:paraId="790E99FE">
      <w:pPr>
        <w:pStyle w:val="12"/>
        <w:rPr>
          <w:rFonts w:ascii="Arial" w:hAnsi="Arial" w:cs="Arial"/>
          <w:sz w:val="32"/>
          <w:szCs w:val="32"/>
        </w:rPr>
      </w:pPr>
    </w:p>
    <w:p w14:paraId="6D6CF557">
      <w:pPr>
        <w:pStyle w:val="12"/>
        <w:rPr>
          <w:rFonts w:ascii="Arial" w:hAnsi="Arial" w:cs="Arial"/>
          <w:sz w:val="32"/>
          <w:szCs w:val="32"/>
        </w:rPr>
      </w:pPr>
    </w:p>
    <w:p w14:paraId="77BABE1C">
      <w:pPr>
        <w:pStyle w:val="12"/>
        <w:rPr>
          <w:rFonts w:ascii="Arial" w:hAnsi="Arial" w:cs="Arial"/>
          <w:sz w:val="32"/>
          <w:szCs w:val="32"/>
        </w:rPr>
      </w:pPr>
    </w:p>
    <w:p w14:paraId="1C0FB295">
      <w:pPr>
        <w:pStyle w:val="12"/>
        <w:rPr>
          <w:rFonts w:ascii="Arial" w:hAnsi="Arial" w:cs="Arial"/>
          <w:sz w:val="32"/>
          <w:szCs w:val="32"/>
        </w:rPr>
      </w:pPr>
    </w:p>
    <w:p w14:paraId="4C96CB97">
      <w:pPr>
        <w:pStyle w:val="12"/>
        <w:rPr>
          <w:rFonts w:ascii="Arial" w:hAnsi="Arial" w:cs="Arial"/>
          <w:sz w:val="32"/>
          <w:szCs w:val="32"/>
        </w:rPr>
      </w:pPr>
    </w:p>
    <w:p w14:paraId="1825AAC5">
      <w:pPr>
        <w:pStyle w:val="12"/>
        <w:rPr>
          <w:rFonts w:ascii="Arial" w:hAnsi="Arial" w:cs="Arial"/>
          <w:sz w:val="32"/>
          <w:szCs w:val="32"/>
        </w:rPr>
      </w:pPr>
    </w:p>
    <w:p w14:paraId="1B92FFA5">
      <w:pPr>
        <w:pStyle w:val="6"/>
        <w:snapToGrid w:val="0"/>
        <w:jc w:val="center"/>
        <w:rPr>
          <w:rFonts w:ascii="Arial" w:hAnsi="Arial" w:cs="Arial"/>
          <w:sz w:val="32"/>
          <w:szCs w:val="32"/>
        </w:rPr>
      </w:pPr>
    </w:p>
    <w:p w14:paraId="3EB4A47A">
      <w:pPr>
        <w:pStyle w:val="6"/>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w:t>
      </w:r>
      <w:r>
        <w:rPr>
          <w:rFonts w:hint="eastAsia" w:ascii="Times New Roman" w:hAnsi="Times New Roman" w:eastAsia="宋体" w:cs="Times New Roman"/>
          <w:b/>
          <w:bCs/>
          <w:kern w:val="44"/>
          <w:sz w:val="32"/>
          <w:szCs w:val="32"/>
          <w:lang w:val="en-US" w:eastAsia="zh-CN" w:bidi="ar-SA"/>
        </w:rPr>
        <w:t>过氧化氢低温等离子体灭菌器（双门）</w:t>
      </w: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六</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4F5472A4">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过氧化氢低温等离子体灭菌器（双门）</w:t>
      </w:r>
      <w:r>
        <w:rPr>
          <w:rFonts w:hint="eastAsia" w:asciiTheme="minorEastAsia" w:hAnsiTheme="minorEastAsia" w:eastAsiaTheme="minorEastAsia" w:cstheme="minorEastAsia"/>
          <w:bCs/>
          <w:color w:val="auto"/>
          <w:sz w:val="24"/>
          <w:szCs w:val="24"/>
          <w:u w:val="none"/>
          <w:lang w:val="en-US" w:eastAsia="zh-CN"/>
        </w:rPr>
        <w:t>项目</w:t>
      </w:r>
      <w:r>
        <w:rPr>
          <w:rFonts w:hint="eastAsia" w:asciiTheme="minorEastAsia" w:hAnsiTheme="minorEastAsia" w:eastAsiaTheme="minorEastAsia" w:cstheme="minorEastAsia"/>
          <w:bCs/>
          <w:color w:val="auto"/>
          <w:sz w:val="24"/>
          <w:szCs w:val="24"/>
          <w:lang w:val="en-US" w:eastAsia="zh-CN"/>
        </w:rPr>
        <w:t>进行医院公开挂网，将事项公告如下：</w:t>
      </w:r>
    </w:p>
    <w:p w14:paraId="435321E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过氧化氢低温等离子体灭菌器（双门）</w:t>
      </w:r>
      <w:r>
        <w:rPr>
          <w:rFonts w:hint="eastAsia" w:asciiTheme="minorEastAsia" w:hAnsiTheme="minorEastAsia" w:eastAsiaTheme="minorEastAsia" w:cstheme="minorEastAsia"/>
          <w:b w:val="0"/>
          <w:bCs/>
          <w:color w:val="auto"/>
          <w:sz w:val="24"/>
          <w:szCs w:val="24"/>
          <w:lang w:val="en-US" w:eastAsia="zh-CN"/>
        </w:rPr>
        <w:t>项目</w:t>
      </w:r>
    </w:p>
    <w:p w14:paraId="0AC8FEC7">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bookmarkEnd w:id="0"/>
    <w:p w14:paraId="76DBA799">
      <w:pPr>
        <w:pStyle w:val="6"/>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03E8934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7A6E9FC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1、投标截止时间、开标时间：见医院官网公开挂网表</w:t>
      </w:r>
    </w:p>
    <w:p w14:paraId="0808AD5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bookmarkStart w:id="5" w:name="_GoBack"/>
      <w:bookmarkEnd w:id="5"/>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AB872F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68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86"/>
      </w:tblGrid>
      <w:tr w14:paraId="20CC54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7B7E32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是否允许进口产品</w:t>
            </w:r>
          </w:p>
        </w:tc>
      </w:tr>
      <w:tr w14:paraId="4C6A9A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过氧化氢低温等离子体灭菌器（双门）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22</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425A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否</w:t>
            </w:r>
          </w:p>
        </w:tc>
      </w:tr>
    </w:tbl>
    <w:p w14:paraId="39DE11E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336CF4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42A5EA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562" w:firstLineChars="200"/>
        <w:jc w:val="both"/>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宋体" w:hAnsi="宋体" w:cs="宋体"/>
          <w:b/>
          <w:bCs/>
          <w:i w:val="0"/>
          <w:iCs w:val="0"/>
          <w:color w:val="36363D"/>
          <w:kern w:val="0"/>
          <w:sz w:val="28"/>
          <w:szCs w:val="28"/>
          <w:highlight w:val="none"/>
          <w:u w:val="none"/>
          <w:lang w:val="en-US" w:eastAsia="zh-CN" w:bidi="ar"/>
        </w:rPr>
        <w:t>（一）技术参数</w:t>
      </w:r>
    </w:p>
    <w:p w14:paraId="49522E7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总容积：≥220L。</w:t>
      </w:r>
    </w:p>
    <w:p w14:paraId="1DC4A5C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腔体材质：采用航空铝材，厚度≥8mm，保证过氧化氢保持100%气态。</w:t>
      </w:r>
    </w:p>
    <w:p w14:paraId="5720D2B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电极网材质：铝合金材料,钣金成型。</w:t>
      </w:r>
    </w:p>
    <w:p w14:paraId="28624B8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cstheme="minorEastAsia"/>
          <w:i w:val="0"/>
          <w:iCs w:val="0"/>
          <w:color w:val="auto"/>
          <w:kern w:val="0"/>
          <w:sz w:val="22"/>
          <w:szCs w:val="22"/>
          <w:highlight w:val="none"/>
          <w:lang w:val="en-US" w:eastAsia="zh-CN" w:bidi="ar"/>
        </w:rPr>
        <w:t>门数量：</w:t>
      </w:r>
      <w:r>
        <w:rPr>
          <w:rFonts w:hint="eastAsia" w:asciiTheme="minorEastAsia" w:hAnsiTheme="minorEastAsia" w:eastAsiaTheme="minorEastAsia" w:cstheme="minorEastAsia"/>
          <w:i w:val="0"/>
          <w:iCs w:val="0"/>
          <w:color w:val="auto"/>
          <w:kern w:val="0"/>
          <w:sz w:val="22"/>
          <w:szCs w:val="22"/>
          <w:highlight w:val="none"/>
          <w:lang w:val="en-US" w:eastAsia="zh-CN" w:bidi="ar"/>
        </w:rPr>
        <w:t>门数量</w:t>
      </w:r>
      <w:r>
        <w:rPr>
          <w:rFonts w:hint="eastAsia" w:asciiTheme="minorEastAsia" w:hAnsiTheme="minorEastAsia" w:cstheme="minorEastAsia"/>
          <w:i w:val="0"/>
          <w:iCs w:val="0"/>
          <w:color w:val="auto"/>
          <w:kern w:val="0"/>
          <w:sz w:val="22"/>
          <w:szCs w:val="22"/>
          <w:highlight w:val="none"/>
          <w:lang w:val="en-US" w:eastAsia="zh-CN" w:bidi="ar"/>
        </w:rPr>
        <w:t>要求</w:t>
      </w:r>
      <w:r>
        <w:rPr>
          <w:rFonts w:hint="eastAsia"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cstheme="minorEastAsia"/>
          <w:i w:val="0"/>
          <w:iCs w:val="0"/>
          <w:color w:val="auto"/>
          <w:kern w:val="0"/>
          <w:sz w:val="22"/>
          <w:szCs w:val="22"/>
          <w:highlight w:val="none"/>
          <w:lang w:val="en-US" w:eastAsia="zh-CN" w:bidi="ar"/>
        </w:rPr>
        <w:t>2</w:t>
      </w:r>
      <w:r>
        <w:rPr>
          <w:rFonts w:hint="eastAsia" w:asciiTheme="minorEastAsia" w:hAnsiTheme="minorEastAsia" w:eastAsiaTheme="minorEastAsia" w:cstheme="minorEastAsia"/>
          <w:i w:val="0"/>
          <w:iCs w:val="0"/>
          <w:color w:val="auto"/>
          <w:kern w:val="0"/>
          <w:sz w:val="22"/>
          <w:szCs w:val="22"/>
          <w:highlight w:val="none"/>
          <w:lang w:val="en-US" w:eastAsia="zh-CN" w:bidi="ar"/>
        </w:rPr>
        <w:t> ，可选择双扉结构，前后门互锁，带隔离墙，可有效实现无菌区隔离，避免灭菌后物品再次污染。</w:t>
      </w:r>
    </w:p>
    <w:p w14:paraId="13C05977">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门材质：采用铝材，厚度≥10mm，门上无可视视窗，保护人员安全，提供门实物照片佐证。</w:t>
      </w:r>
    </w:p>
    <w:p w14:paraId="1A37546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门开启方式：采用电推杆驱动式电动升降门，配置脚踏开关</w:t>
      </w: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提供电推杆及脚踢开关实物照片予以证明</w:t>
      </w:r>
      <w:r>
        <w:rPr>
          <w:rFonts w:hint="default" w:asciiTheme="minorEastAsia" w:hAnsiTheme="minorEastAsia" w:eastAsiaTheme="minorEastAsia" w:cstheme="minorEastAsia"/>
          <w:i w:val="0"/>
          <w:iCs w:val="0"/>
          <w:color w:val="auto"/>
          <w:kern w:val="0"/>
          <w:sz w:val="22"/>
          <w:szCs w:val="22"/>
          <w:highlight w:val="none"/>
          <w:lang w:val="en-US" w:eastAsia="zh-CN" w:bidi="ar"/>
        </w:rPr>
        <w:t>。</w:t>
      </w:r>
    </w:p>
    <w:p w14:paraId="19C3122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门障碍开关：具有门障碍开关功能，当碰触障碍开关时，门自动下降，防止夹伤操作者和夹坏物品。</w:t>
      </w:r>
    </w:p>
    <w:p w14:paraId="705669D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抽空控制阀：采用电磁阀控制抽空管路。</w:t>
      </w:r>
    </w:p>
    <w:p w14:paraId="66AA6B8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理化试验：灭菌后对金属器械基本无腐蚀，需提供第三方检测机构出具的检验报告证明。</w:t>
      </w:r>
    </w:p>
    <w:p w14:paraId="11FE0BA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过氧化氢加注方式采用定量卡匣式加注。</w:t>
      </w:r>
    </w:p>
    <w:p w14:paraId="3C90CC1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每个过氧化氢胶囊板含有≥10个胶囊，灭菌剂单个胶囊罐装量：≥4ml，过氧化氢浓度为55%-60%，提供证明材料。</w:t>
      </w:r>
    </w:p>
    <w:p w14:paraId="7B44F451">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胶囊计数记忆功能：卡匣安装后，自动计算胶囊使用个数，并提示剩余胶囊个数和可运行常规器械灭菌循环的次数。</w:t>
      </w:r>
    </w:p>
    <w:p w14:paraId="60D0FBA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过氧化氢提纯功能：具有过氧化氢提纯功能，过氧化氢提纯后浓度≥95%，需提供第三方检测机构出具的检测报告。</w:t>
      </w:r>
    </w:p>
    <w:p w14:paraId="033D2403">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压力传感器数量：产品设置压力传感器数量≥3个，其中检测内室压力传感器≥2个，提纯器和灭菌内室压力传感器独立设置。</w:t>
      </w:r>
    </w:p>
    <w:p w14:paraId="4C2350A3">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过氧化氢过滤器：产品具有排气过氧化氢气体过滤系统，周围空气中过氧化氢浓度</w:t>
      </w:r>
      <w:r>
        <w:rPr>
          <w:rFonts w:hint="eastAsia" w:asciiTheme="minorEastAsia" w:hAnsi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0.6mg/m3,需提供第三方检测机构出具的检测报告。</w:t>
      </w:r>
    </w:p>
    <w:p w14:paraId="61EB8FB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等离子电源：采用晶体管控制电源，功率≤500W，解析能力强，灭菌后聚四氟乙烯管腔中H2O2残留量≤0.004mg/cm²,不锈钢中残留量≤0.02mg/cm²,需提供第三方检测机构出具的检验报告。</w:t>
      </w:r>
    </w:p>
    <w:p w14:paraId="58279574">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控制系统PLC：采用PLC控制系统，提供实物照片。</w:t>
      </w:r>
    </w:p>
    <w:p w14:paraId="764FD2AC">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屏：≥5.7吋彩色触摸屏，触摸操作运行设备。</w:t>
      </w:r>
    </w:p>
    <w:p w14:paraId="32BEE33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打印机：微型热敏打印机，提供打印机实物照片。</w:t>
      </w:r>
    </w:p>
    <w:p w14:paraId="38CB545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显示屏显示内容：温度，压力，时间，循环模式，胶囊使用数量和报警信息等，需提供实际界面照片。</w:t>
      </w:r>
    </w:p>
    <w:p w14:paraId="393D0C8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打印记录内容：能够打印记录程序名称、灭菌日期、灭菌锅次、灭菌起始结束时间、灭菌过程的压力、温度、阶段时间和结束状态等信息，提供打印样品。</w:t>
      </w:r>
    </w:p>
    <w:p w14:paraId="343F4C3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程序数量：≥3个，至少有常规器械灭菌循环、软镜循环、快速循环程序</w:t>
      </w: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提供技术白皮书和屏幕实物界面照片佐证</w:t>
      </w:r>
      <w:r>
        <w:rPr>
          <w:rFonts w:hint="default" w:asciiTheme="minorEastAsia" w:hAnsiTheme="minorEastAsia" w:eastAsiaTheme="minorEastAsia" w:cstheme="minorEastAsia"/>
          <w:i w:val="0"/>
          <w:iCs w:val="0"/>
          <w:color w:val="auto"/>
          <w:kern w:val="0"/>
          <w:sz w:val="22"/>
          <w:szCs w:val="22"/>
          <w:highlight w:val="none"/>
          <w:lang w:val="en-US" w:eastAsia="zh-CN" w:bidi="ar"/>
        </w:rPr>
        <w:t>。</w:t>
      </w:r>
    </w:p>
    <w:p w14:paraId="40029F6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倒计时显示具有倒计时显示功能，可根据装载情况自动调整剩余时间，能够使操作者更加合理地安排工作时间。</w:t>
      </w:r>
    </w:p>
    <w:p w14:paraId="3DBF933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卫生安全：提供细胞毒性监测报告、卫生安全评价报告、灭菌效果检测报告。</w:t>
      </w:r>
    </w:p>
    <w:p w14:paraId="55FAB56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设备外形宽度：因场地限制，设备外形宽度需≤800mm，提供彩页尺寸图或测量实物图照片佐证。</w:t>
      </w:r>
    </w:p>
    <w:p w14:paraId="4D7A7CB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default" w:asciiTheme="minorEastAsia" w:hAnsiTheme="minorEastAsia" w:eastAsiaTheme="minorEastAsia" w:cstheme="minorEastAsia"/>
          <w:i w:val="0"/>
          <w:iCs w:val="0"/>
          <w:color w:val="auto"/>
          <w:kern w:val="0"/>
          <w:sz w:val="22"/>
          <w:szCs w:val="22"/>
          <w:highlight w:val="none"/>
          <w:lang w:val="en-US" w:eastAsia="zh-CN" w:bidi="ar"/>
        </w:rPr>
        <w:t>▲</w:t>
      </w:r>
      <w:r>
        <w:rPr>
          <w:rFonts w:hint="eastAsia" w:asciiTheme="minorEastAsia" w:hAnsiTheme="minorEastAsia" w:eastAsiaTheme="minorEastAsia" w:cstheme="minorEastAsia"/>
          <w:i w:val="0"/>
          <w:iCs w:val="0"/>
          <w:color w:val="auto"/>
          <w:kern w:val="0"/>
          <w:sz w:val="22"/>
          <w:szCs w:val="22"/>
          <w:highlight w:val="none"/>
          <w:lang w:val="en-US" w:eastAsia="zh-CN" w:bidi="ar"/>
        </w:rPr>
        <w:t>设备设计使用寿命：≥11年，提供设备实物铭牌照片予以证明。</w:t>
      </w:r>
    </w:p>
    <w:p w14:paraId="009825A7">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灭菌舱体：灭菌舱体深度≥820mm。</w:t>
      </w:r>
    </w:p>
    <w:p w14:paraId="6C0A639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追溯系统:如后期医院有消毒追溯系统对接需求时，产生的接口费用由中标方承担。</w:t>
      </w:r>
    </w:p>
    <w:p w14:paraId="5A22AA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562" w:firstLineChars="200"/>
        <w:jc w:val="both"/>
        <w:textAlignment w:val="auto"/>
        <w:rPr>
          <w:rFonts w:hint="default" w:ascii="宋体" w:hAnsi="宋体" w:cs="宋体"/>
          <w:b/>
          <w:bCs/>
          <w:i w:val="0"/>
          <w:iCs w:val="0"/>
          <w:color w:val="36363D"/>
          <w:kern w:val="0"/>
          <w:sz w:val="28"/>
          <w:szCs w:val="28"/>
          <w:highlight w:val="none"/>
          <w:u w:val="none"/>
          <w:lang w:val="en-US" w:eastAsia="zh-CN" w:bidi="ar"/>
        </w:rPr>
      </w:pPr>
      <w:r>
        <w:rPr>
          <w:rFonts w:hint="eastAsia" w:ascii="宋体" w:hAnsi="宋体" w:cs="宋体"/>
          <w:b/>
          <w:bCs/>
          <w:i w:val="0"/>
          <w:iCs w:val="0"/>
          <w:color w:val="36363D"/>
          <w:kern w:val="0"/>
          <w:sz w:val="28"/>
          <w:szCs w:val="28"/>
          <w:highlight w:val="none"/>
          <w:u w:val="none"/>
          <w:lang w:val="en-US" w:eastAsia="zh-CN" w:bidi="ar"/>
        </w:rPr>
        <w:t>（二）专机配套耗材要求：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967"/>
        <w:gridCol w:w="1413"/>
        <w:gridCol w:w="1608"/>
        <w:gridCol w:w="1608"/>
      </w:tblGrid>
      <w:tr w14:paraId="0261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857" w:type="dxa"/>
            <w:vAlign w:val="center"/>
          </w:tcPr>
          <w:p w14:paraId="1E760821">
            <w:pPr>
              <w:keepNext w:val="0"/>
              <w:keepLines w:val="0"/>
              <w:pageBreakBefore w:val="0"/>
              <w:kinsoku/>
              <w:wordWrap/>
              <w:overflowPunct/>
              <w:topLinePunct w:val="0"/>
              <w:autoSpaceDE/>
              <w:autoSpaceDN/>
              <w:bidi w:val="0"/>
              <w:adjustRightInd/>
              <w:snapToGrid/>
              <w:ind w:firstLine="442" w:firstLineChars="200"/>
              <w:jc w:val="center"/>
              <w:rPr>
                <w:rFonts w:hint="default" w:asciiTheme="minorEastAsia" w:hAnsiTheme="minorEastAsia" w:eastAsia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序号</w:t>
            </w:r>
          </w:p>
        </w:tc>
        <w:tc>
          <w:tcPr>
            <w:tcW w:w="2967" w:type="dxa"/>
            <w:vAlign w:val="center"/>
          </w:tcPr>
          <w:p w14:paraId="18B376A1">
            <w:pPr>
              <w:keepNext w:val="0"/>
              <w:keepLines w:val="0"/>
              <w:pageBreakBefore w:val="0"/>
              <w:kinsoku/>
              <w:wordWrap/>
              <w:overflowPunct/>
              <w:topLinePunct w:val="0"/>
              <w:autoSpaceDE/>
              <w:autoSpaceDN/>
              <w:bidi w:val="0"/>
              <w:adjustRightInd/>
              <w:snapToGrid/>
              <w:ind w:firstLine="442" w:firstLineChars="200"/>
              <w:jc w:val="center"/>
              <w:rPr>
                <w:rFonts w:hint="default" w:asciiTheme="minorEastAsia" w:hAnsiTheme="minorEastAsia" w:eastAsia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耗材名称</w:t>
            </w:r>
          </w:p>
        </w:tc>
        <w:tc>
          <w:tcPr>
            <w:tcW w:w="1413" w:type="dxa"/>
            <w:vAlign w:val="center"/>
          </w:tcPr>
          <w:p w14:paraId="580756EF">
            <w:pPr>
              <w:keepNext w:val="0"/>
              <w:keepLines w:val="0"/>
              <w:pageBreakBefore w:val="0"/>
              <w:kinsoku/>
              <w:wordWrap/>
              <w:overflowPunct/>
              <w:topLinePunct w:val="0"/>
              <w:autoSpaceDE/>
              <w:autoSpaceDN/>
              <w:bidi w:val="0"/>
              <w:adjustRightInd/>
              <w:snapToGrid/>
              <w:ind w:firstLine="442" w:firstLineChars="200"/>
              <w:jc w:val="center"/>
              <w:rPr>
                <w:rFonts w:hint="default" w:asciiTheme="minorEastAsia" w:hAnsiTheme="minorEastAsia" w:eastAsia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单位</w:t>
            </w:r>
          </w:p>
        </w:tc>
        <w:tc>
          <w:tcPr>
            <w:tcW w:w="1608" w:type="dxa"/>
            <w:vAlign w:val="center"/>
          </w:tcPr>
          <w:p w14:paraId="6151F229">
            <w:pPr>
              <w:keepNext w:val="0"/>
              <w:keepLines w:val="0"/>
              <w:pageBreakBefore w:val="0"/>
              <w:kinsoku/>
              <w:wordWrap/>
              <w:overflowPunct/>
              <w:topLinePunct w:val="0"/>
              <w:autoSpaceDE/>
              <w:autoSpaceDN/>
              <w:bidi w:val="0"/>
              <w:adjustRightInd/>
              <w:snapToGrid/>
              <w:ind w:firstLine="442" w:firstLineChars="200"/>
              <w:jc w:val="center"/>
              <w:rPr>
                <w:rFonts w:hint="default" w:asciiTheme="minorEastAsia" w:hAnsiTheme="minorEastAsia" w:eastAsia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最高限价</w:t>
            </w:r>
          </w:p>
        </w:tc>
        <w:tc>
          <w:tcPr>
            <w:tcW w:w="1608" w:type="dxa"/>
            <w:vAlign w:val="center"/>
          </w:tcPr>
          <w:p w14:paraId="4924556C">
            <w:pPr>
              <w:keepNext w:val="0"/>
              <w:keepLines w:val="0"/>
              <w:pageBreakBefore w:val="0"/>
              <w:kinsoku/>
              <w:wordWrap/>
              <w:overflowPunct/>
              <w:topLinePunct w:val="0"/>
              <w:autoSpaceDE/>
              <w:autoSpaceDN/>
              <w:bidi w:val="0"/>
              <w:adjustRightInd/>
              <w:snapToGrid/>
              <w:ind w:firstLine="442" w:firstLineChars="200"/>
              <w:jc w:val="center"/>
              <w:rPr>
                <w:rFonts w:hint="eastAsia" w:asciiTheme="minorEastAsia" w:hAnsiTheme="minorEastAsia" w:cstheme="minorEastAsia"/>
                <w:b/>
                <w:bCs/>
                <w:i w:val="0"/>
                <w:iCs w:val="0"/>
                <w:color w:val="auto"/>
                <w:kern w:val="0"/>
                <w:sz w:val="22"/>
                <w:szCs w:val="22"/>
                <w:highlight w:val="none"/>
                <w:vertAlign w:val="baseline"/>
                <w:lang w:val="en-US" w:eastAsia="zh-CN" w:bidi="ar"/>
              </w:rPr>
            </w:pPr>
            <w:r>
              <w:rPr>
                <w:rFonts w:hint="eastAsia" w:asciiTheme="minorEastAsia" w:hAnsiTheme="minorEastAsia" w:cstheme="minorEastAsia"/>
                <w:b/>
                <w:bCs/>
                <w:i w:val="0"/>
                <w:iCs w:val="0"/>
                <w:color w:val="auto"/>
                <w:kern w:val="0"/>
                <w:sz w:val="22"/>
                <w:szCs w:val="22"/>
                <w:highlight w:val="none"/>
                <w:vertAlign w:val="baseline"/>
                <w:lang w:val="en-US" w:eastAsia="zh-CN" w:bidi="ar"/>
              </w:rPr>
              <w:t>备注</w:t>
            </w:r>
          </w:p>
        </w:tc>
      </w:tr>
      <w:tr w14:paraId="12AB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 w:type="dxa"/>
            <w:vAlign w:val="center"/>
          </w:tcPr>
          <w:p w14:paraId="4CEC6EA3">
            <w:pPr>
              <w:keepNext w:val="0"/>
              <w:keepLines w:val="0"/>
              <w:pageBreakBefore w:val="0"/>
              <w:kinsoku/>
              <w:wordWrap/>
              <w:overflowPunct/>
              <w:topLinePunct w:val="0"/>
              <w:autoSpaceDE/>
              <w:autoSpaceDN/>
              <w:bidi w:val="0"/>
              <w:adjustRightInd/>
              <w:snapToGrid/>
              <w:ind w:firstLine="440" w:firstLineChars="200"/>
              <w:jc w:val="center"/>
              <w:rPr>
                <w:rFonts w:hint="default" w:asciiTheme="minorEastAsia" w:hAnsiTheme="minorEastAsia" w:eastAsia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1</w:t>
            </w:r>
          </w:p>
        </w:tc>
        <w:tc>
          <w:tcPr>
            <w:tcW w:w="2967" w:type="dxa"/>
            <w:vAlign w:val="center"/>
          </w:tcPr>
          <w:p w14:paraId="54596E76">
            <w:pPr>
              <w:keepNext w:val="0"/>
              <w:keepLines w:val="0"/>
              <w:pageBreakBefore w:val="0"/>
              <w:kinsoku/>
              <w:wordWrap/>
              <w:overflowPunct/>
              <w:topLinePunct w:val="0"/>
              <w:autoSpaceDE/>
              <w:autoSpaceDN/>
              <w:bidi w:val="0"/>
              <w:adjustRightInd/>
              <w:snapToGrid/>
              <w:ind w:firstLine="440" w:firstLineChars="200"/>
              <w:jc w:val="both"/>
              <w:rPr>
                <w:rFonts w:hint="default" w:asciiTheme="minorEastAsia" w:hAnsiTheme="minorEastAsia" w:eastAsia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过氧化氢低温等离子体灭菌器200过氧化氢卡匣</w:t>
            </w:r>
          </w:p>
        </w:tc>
        <w:tc>
          <w:tcPr>
            <w:tcW w:w="1413" w:type="dxa"/>
            <w:vAlign w:val="center"/>
          </w:tcPr>
          <w:p w14:paraId="2CAA1656">
            <w:pPr>
              <w:keepNext w:val="0"/>
              <w:keepLines w:val="0"/>
              <w:pageBreakBefore w:val="0"/>
              <w:kinsoku/>
              <w:wordWrap/>
              <w:overflowPunct/>
              <w:topLinePunct w:val="0"/>
              <w:autoSpaceDE/>
              <w:autoSpaceDN/>
              <w:bidi w:val="0"/>
              <w:adjustRightInd/>
              <w:snapToGrid/>
              <w:ind w:firstLine="440" w:firstLineChars="200"/>
              <w:jc w:val="center"/>
              <w:rPr>
                <w:rFonts w:hint="default" w:asciiTheme="minorEastAsia" w:hAnsiTheme="minorEastAsia" w:eastAsia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套</w:t>
            </w:r>
          </w:p>
        </w:tc>
        <w:tc>
          <w:tcPr>
            <w:tcW w:w="1608" w:type="dxa"/>
            <w:vAlign w:val="center"/>
          </w:tcPr>
          <w:p w14:paraId="6DDD5063">
            <w:pPr>
              <w:keepNext w:val="0"/>
              <w:keepLines w:val="0"/>
              <w:pageBreakBefore w:val="0"/>
              <w:kinsoku/>
              <w:wordWrap/>
              <w:overflowPunct/>
              <w:topLinePunct w:val="0"/>
              <w:autoSpaceDE/>
              <w:autoSpaceDN/>
              <w:bidi w:val="0"/>
              <w:adjustRightInd/>
              <w:snapToGrid/>
              <w:ind w:firstLine="440" w:firstLineChars="200"/>
              <w:jc w:val="center"/>
              <w:rPr>
                <w:rFonts w:hint="default" w:asciiTheme="minorEastAsia" w:hAnsiTheme="minorEastAsia" w:eastAsia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130元/套</w:t>
            </w:r>
          </w:p>
        </w:tc>
        <w:tc>
          <w:tcPr>
            <w:tcW w:w="1608" w:type="dxa"/>
            <w:vAlign w:val="center"/>
          </w:tcPr>
          <w:p w14:paraId="3C7BB576">
            <w:pPr>
              <w:keepNext w:val="0"/>
              <w:keepLines w:val="0"/>
              <w:pageBreakBefore w:val="0"/>
              <w:kinsoku/>
              <w:wordWrap/>
              <w:overflowPunct/>
              <w:topLinePunct w:val="0"/>
              <w:autoSpaceDE/>
              <w:autoSpaceDN/>
              <w:bidi w:val="0"/>
              <w:adjustRightInd/>
              <w:snapToGrid/>
              <w:ind w:firstLine="440" w:firstLineChars="200"/>
              <w:jc w:val="center"/>
              <w:rPr>
                <w:rFonts w:hint="eastAsia" w:asciiTheme="minorEastAsia" w:hAnsiTheme="minorEastAsia" w:cstheme="minorEastAsia"/>
                <w:i w:val="0"/>
                <w:iCs w:val="0"/>
                <w:color w:val="auto"/>
                <w:kern w:val="0"/>
                <w:sz w:val="22"/>
                <w:szCs w:val="22"/>
                <w:highlight w:val="none"/>
                <w:vertAlign w:val="baseline"/>
                <w:lang w:val="en-US" w:eastAsia="zh-CN" w:bidi="ar"/>
              </w:rPr>
            </w:pPr>
            <w:r>
              <w:rPr>
                <w:rFonts w:hint="eastAsia" w:asciiTheme="minorEastAsia" w:hAnsiTheme="minorEastAsia" w:cstheme="minorEastAsia"/>
                <w:i w:val="0"/>
                <w:iCs w:val="0"/>
                <w:color w:val="auto"/>
                <w:kern w:val="0"/>
                <w:sz w:val="22"/>
                <w:szCs w:val="22"/>
                <w:highlight w:val="none"/>
                <w:vertAlign w:val="baseline"/>
                <w:lang w:val="en-US" w:eastAsia="zh-CN" w:bidi="ar"/>
              </w:rPr>
              <w:t>不得高于省平台中标价</w:t>
            </w:r>
          </w:p>
        </w:tc>
      </w:tr>
    </w:tbl>
    <w:p w14:paraId="2FA02F9D">
      <w:pPr>
        <w:keepNext w:val="0"/>
        <w:keepLines w:val="0"/>
        <w:pageBreakBefore w:val="0"/>
        <w:kinsoku/>
        <w:wordWrap/>
        <w:overflowPunct/>
        <w:topLinePunct w:val="0"/>
        <w:autoSpaceDE/>
        <w:autoSpaceDN/>
        <w:bidi w:val="0"/>
        <w:adjustRightInd/>
        <w:snapToGrid/>
        <w:ind w:firstLine="440" w:firstLineChars="200"/>
        <w:rPr>
          <w:rFonts w:hint="eastAsia" w:asciiTheme="minorEastAsia" w:hAnsiTheme="minorEastAsia" w:eastAsiaTheme="minorEastAsia" w:cstheme="minorEastAsia"/>
          <w:i w:val="0"/>
          <w:iCs w:val="0"/>
          <w:color w:val="auto"/>
          <w:kern w:val="0"/>
          <w:sz w:val="22"/>
          <w:szCs w:val="22"/>
          <w:highlight w:val="none"/>
          <w:lang w:val="en-US" w:eastAsia="zh-CN" w:bidi="ar"/>
        </w:rPr>
      </w:pPr>
    </w:p>
    <w:p w14:paraId="4F7B90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562" w:firstLineChars="200"/>
        <w:jc w:val="both"/>
        <w:textAlignment w:val="auto"/>
        <w:rPr>
          <w:rFonts w:hint="eastAsia" w:ascii="宋体" w:hAnsi="宋体" w:cs="宋体"/>
          <w:b/>
          <w:bCs/>
          <w:i w:val="0"/>
          <w:iCs w:val="0"/>
          <w:color w:val="36363D"/>
          <w:kern w:val="0"/>
          <w:sz w:val="28"/>
          <w:szCs w:val="28"/>
          <w:highlight w:val="none"/>
          <w:u w:val="none"/>
          <w:lang w:val="en-US" w:eastAsia="zh-CN" w:bidi="ar"/>
        </w:rPr>
      </w:pPr>
      <w:r>
        <w:rPr>
          <w:rFonts w:hint="eastAsia" w:ascii="宋体" w:hAnsi="宋体" w:cs="宋体"/>
          <w:b/>
          <w:bCs/>
          <w:i w:val="0"/>
          <w:iCs w:val="0"/>
          <w:color w:val="36363D"/>
          <w:kern w:val="0"/>
          <w:sz w:val="28"/>
          <w:szCs w:val="28"/>
          <w:highlight w:val="none"/>
          <w:u w:val="none"/>
          <w:lang w:val="en-US" w:eastAsia="zh-CN" w:bidi="ar"/>
        </w:rPr>
        <w:t>（三）商务参数</w:t>
      </w:r>
    </w:p>
    <w:p w14:paraId="25CF1D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1、运输、装卸、培训、安装调试：由中标人负责承担，最终通过使用科室、设备科及相关部门确认验收交付使用。国产设备交付，设备必须为6个月内生产的产品；进口设备交付，设备必须为一年内生产的产品。</w:t>
      </w:r>
    </w:p>
    <w:p w14:paraId="69B0BB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★2、交货时间：按合同约定的日期交货。</w:t>
      </w:r>
    </w:p>
    <w:p w14:paraId="488CE4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★3、交货地点：娄底市中心医院指定地点。</w:t>
      </w:r>
    </w:p>
    <w:p w14:paraId="2BDBFA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4、付款方式：设备验收合格后，供应商将发票交到娄底市中心医院后按程序支付货款90%（按医院财务制度一般情况下4个月内支付、特殊情况下最多不超过6个月），甲方在设备验收合格满3年后支付10%余款给乙方。</w:t>
      </w:r>
      <w:r>
        <w:rPr>
          <w:rFonts w:hint="eastAsia" w:asciiTheme="minorEastAsia" w:hAnsiTheme="minorEastAsia" w:eastAsiaTheme="minorEastAsia" w:cstheme="minorEastAsia"/>
          <w:i w:val="0"/>
          <w:iCs w:val="0"/>
          <w:color w:val="auto"/>
          <w:kern w:val="0"/>
          <w:sz w:val="22"/>
          <w:szCs w:val="22"/>
          <w:highlight w:val="none"/>
          <w:lang w:val="en-US" w:eastAsia="zh-CN" w:bidi="ar"/>
        </w:rPr>
        <w:cr/>
      </w:r>
      <w:r>
        <w:rPr>
          <w:rFonts w:hint="eastAsia" w:asciiTheme="minorEastAsia" w:hAnsiTheme="minorEastAsia" w:eastAsiaTheme="minorEastAsia" w:cstheme="minorEastAsia"/>
          <w:i w:val="0"/>
          <w:iCs w:val="0"/>
          <w:color w:val="auto"/>
          <w:kern w:val="0"/>
          <w:sz w:val="22"/>
          <w:szCs w:val="22"/>
          <w:highlight w:val="none"/>
          <w:lang w:val="en-US" w:eastAsia="zh-CN" w:bidi="ar"/>
        </w:rPr>
        <w:t xml:space="preserve">   ★5、质保与售后：整机保修3 年，终身维修。验收时出具原厂售后质保承诺书，质保期内每年巡检一次，并提交巡检记录。</w:t>
      </w:r>
      <w:r>
        <w:rPr>
          <w:rFonts w:hint="eastAsia" w:asciiTheme="minorEastAsia" w:hAnsiTheme="minorEastAsia" w:eastAsiaTheme="minorEastAsia" w:cstheme="minorEastAsia"/>
          <w:i w:val="0"/>
          <w:iCs w:val="0"/>
          <w:color w:val="auto"/>
          <w:kern w:val="0"/>
          <w:sz w:val="22"/>
          <w:szCs w:val="22"/>
          <w:highlight w:val="none"/>
          <w:lang w:val="zh-CN" w:eastAsia="zh-CN" w:bidi="ar"/>
        </w:rPr>
        <w:t>质保期内</w:t>
      </w:r>
      <w:r>
        <w:rPr>
          <w:rFonts w:hint="eastAsia" w:asciiTheme="minorEastAsia" w:hAnsiTheme="minorEastAsia" w:eastAsiaTheme="minorEastAsia" w:cstheme="minorEastAsia"/>
          <w:i w:val="0"/>
          <w:iCs w:val="0"/>
          <w:color w:val="auto"/>
          <w:kern w:val="0"/>
          <w:sz w:val="22"/>
          <w:szCs w:val="22"/>
          <w:highlight w:val="none"/>
          <w:lang w:val="en-US" w:eastAsia="zh-CN" w:bidi="ar"/>
        </w:rPr>
        <w:t>出现故障，1小时响应，响应后24小时上门服务。</w:t>
      </w:r>
    </w:p>
    <w:p w14:paraId="0A9C2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6、在投标文件中必须提供相关技术资料并加盖投标人公章（如技术参数、技术白皮书、说明书、彩页等），并在响应表中对“★”、“▲”以及要求提供佐证材料的条款备注该条参数响应或正偏离的佐证资料所在页码。</w:t>
      </w:r>
    </w:p>
    <w:p w14:paraId="79AF2B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jc w:val="both"/>
        <w:textAlignment w:val="auto"/>
        <w:rPr>
          <w:rFonts w:hint="default" w:asciiTheme="minorEastAsia" w:hAnsiTheme="minorEastAsia" w:eastAsiaTheme="minorEastAsia" w:cstheme="minorEastAsia"/>
          <w:i w:val="0"/>
          <w:iCs w:val="0"/>
          <w:color w:val="auto"/>
          <w:kern w:val="0"/>
          <w:sz w:val="22"/>
          <w:szCs w:val="22"/>
          <w:highlight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lang w:val="en-US" w:eastAsia="zh-CN" w:bidi="ar"/>
        </w:rPr>
        <w:t>★7、设备如涉及网络接口费用，由中标人承担，采购人不再出具任何费用。</w:t>
      </w:r>
    </w:p>
    <w:p w14:paraId="46A70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93511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s="黑体"/>
          <w:sz w:val="44"/>
          <w:szCs w:val="44"/>
        </w:rPr>
        <w:t>医疗设备及专机专用耗材采购合同</w:t>
      </w:r>
    </w:p>
    <w:p w14:paraId="0F0DE4E8">
      <w:pPr>
        <w:spacing w:line="480" w:lineRule="exact"/>
        <w:rPr>
          <w:rFonts w:hint="eastAsia" w:ascii="宋体" w:hAnsi="宋体" w:eastAsia="宋体" w:cs="宋体"/>
          <w:b/>
          <w:bCs/>
          <w:sz w:val="24"/>
        </w:rPr>
      </w:pPr>
    </w:p>
    <w:p w14:paraId="16D3F680">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3E5EA4B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0218515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413CA8C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A1A0BE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3D44CE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116D39EE">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791B434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2355971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412157F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366A87D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78E53F3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4B05C86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36EDCE3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过氧化氢低温等离子体灭菌器（双门） </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 xml:space="preserve"> 过氧化氢低温等离子体灭菌器（双门） </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0D9D45C8">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3E02DCC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3CBED7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3"/>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6D98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62853A19">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70A2FFDD">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AC9F02">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458309E5">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5BB78BA4">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A14B3B9">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7532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726" w:type="dxa"/>
            <w:vAlign w:val="center"/>
          </w:tcPr>
          <w:p w14:paraId="0B27E00D">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过氧化氢低温等离子体灭菌器（双门）</w:t>
            </w:r>
          </w:p>
        </w:tc>
        <w:tc>
          <w:tcPr>
            <w:tcW w:w="1500" w:type="dxa"/>
            <w:vAlign w:val="center"/>
          </w:tcPr>
          <w:p w14:paraId="65EED7F6">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0907E96A">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234D3D04">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615DA118">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1台</w:t>
            </w:r>
          </w:p>
        </w:tc>
        <w:tc>
          <w:tcPr>
            <w:tcW w:w="1388" w:type="dxa"/>
            <w:vAlign w:val="center"/>
          </w:tcPr>
          <w:p w14:paraId="54803996">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46A1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2F9A86B4">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2C31EC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w:t>
      </w:r>
    </w:p>
    <w:p w14:paraId="4D7E74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p>
    <w:p w14:paraId="4B8959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p>
    <w:p w14:paraId="53611C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p>
    <w:p w14:paraId="3EB5EB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p>
    <w:p w14:paraId="51CF0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 xml:space="preserve"> 本合同约定价格为（</w:t>
      </w:r>
      <w:r>
        <w:rPr>
          <w:rFonts w:hint="eastAsia" w:ascii="宋体" w:hAnsi="宋体" w:eastAsia="宋体" w:cs="宋体"/>
          <w:color w:val="auto"/>
          <w:sz w:val="24"/>
          <w:lang w:eastAsia="zh-CN"/>
        </w:rPr>
        <w:t>□</w:t>
      </w:r>
      <w:r>
        <w:rPr>
          <w:rFonts w:hint="eastAsia" w:ascii="宋体" w:hAnsi="宋体" w:eastAsia="宋体" w:cs="宋体"/>
          <w:color w:val="auto"/>
          <w:sz w:val="24"/>
        </w:rPr>
        <w:t>固定总价</w:t>
      </w:r>
      <w:r>
        <w:rPr>
          <w:rFonts w:hint="eastAsia" w:ascii="宋体" w:hAnsi="宋体" w:eastAsia="宋体" w:cs="宋体"/>
          <w:color w:val="auto"/>
          <w:sz w:val="24"/>
          <w:lang w:eastAsia="zh-CN"/>
        </w:rPr>
        <w:t>☑</w:t>
      </w:r>
      <w:r>
        <w:rPr>
          <w:rFonts w:hint="eastAsia" w:ascii="宋体" w:hAnsi="宋体" w:eastAsia="宋体" w:cs="宋体"/>
          <w:color w:val="auto"/>
          <w:sz w:val="24"/>
        </w:rPr>
        <w:t>固定单价），不因物价、市场波动变更，约定价格包括且不限于设计费、材料费、人工费、安装费、包装费、运输费、装卸费、调试费、接口费、检测费、检验费、税费、保险费、售后服务费、附随服务费等在内所有费用。</w:t>
      </w:r>
    </w:p>
    <w:p w14:paraId="59B1CA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1.1.</w:t>
      </w:r>
      <w:r>
        <w:rPr>
          <w:rFonts w:hint="eastAsia" w:ascii="宋体" w:hAnsi="宋体" w:cs="宋体"/>
          <w:color w:val="auto"/>
          <w:sz w:val="24"/>
          <w:lang w:val="en-US" w:eastAsia="zh-CN"/>
        </w:rPr>
        <w:t>3</w:t>
      </w:r>
      <w:r>
        <w:rPr>
          <w:rFonts w:hint="eastAsia" w:ascii="宋体" w:hAnsi="宋体" w:eastAsia="宋体" w:cs="宋体"/>
          <w:color w:val="auto"/>
          <w:sz w:val="24"/>
        </w:rPr>
        <w:t xml:space="preserve"> </w:t>
      </w:r>
      <w:r>
        <w:rPr>
          <w:rFonts w:hint="eastAsia" w:ascii="宋体" w:hAnsi="宋体" w:cs="宋体"/>
          <w:color w:val="auto"/>
          <w:sz w:val="24"/>
        </w:rPr>
        <w:t>□本合同设备无需与甲方使用的信息系统对接。</w:t>
      </w:r>
      <w:r>
        <w:rPr>
          <w:rFonts w:hint="eastAsia" w:ascii="宋体" w:hAnsi="宋体" w:cs="宋体"/>
          <w:color w:val="auto"/>
          <w:sz w:val="24"/>
          <w:lang w:eastAsia="zh-CN"/>
        </w:rPr>
        <w:t>☑</w:t>
      </w:r>
      <w:r>
        <w:rPr>
          <w:rFonts w:hint="eastAsia" w:ascii="宋体" w:hAnsi="宋体" w:cs="宋体"/>
          <w:color w:val="auto"/>
          <w:sz w:val="24"/>
        </w:rPr>
        <w:t>本合同设备需要与甲方使用的信息系统</w:t>
      </w:r>
      <w:r>
        <w:rPr>
          <w:rFonts w:hint="eastAsia" w:ascii="宋体" w:hAnsi="宋体" w:cs="宋体"/>
          <w:color w:val="auto"/>
          <w:sz w:val="24"/>
          <w:lang w:eastAsia="zh-CN"/>
        </w:rPr>
        <w:t>（</w:t>
      </w:r>
      <w:r>
        <w:rPr>
          <w:rFonts w:hint="eastAsia" w:ascii="宋体" w:hAnsi="宋体" w:cs="宋体"/>
          <w:color w:val="0000FF"/>
          <w:sz w:val="24"/>
          <w:lang w:val="en-US" w:eastAsia="zh-CN"/>
        </w:rPr>
        <w:t>含消毒追溯系统</w:t>
      </w:r>
      <w:r>
        <w:rPr>
          <w:rFonts w:hint="eastAsia" w:ascii="宋体" w:hAnsi="宋体" w:cs="宋体"/>
          <w:color w:val="auto"/>
          <w:sz w:val="24"/>
          <w:lang w:eastAsia="zh-CN"/>
        </w:rPr>
        <w:t>）</w:t>
      </w:r>
      <w:r>
        <w:rPr>
          <w:rFonts w:hint="eastAsia" w:ascii="宋体" w:hAnsi="宋体" w:cs="宋体"/>
          <w:color w:val="auto"/>
          <w:sz w:val="24"/>
        </w:rPr>
        <w:t>对接</w:t>
      </w:r>
      <w:r>
        <w:rPr>
          <w:rFonts w:hint="eastAsia" w:ascii="宋体" w:hAnsi="宋体" w:cs="宋体"/>
          <w:color w:val="auto"/>
          <w:sz w:val="24"/>
          <w:lang w:val="en-US" w:eastAsia="zh-CN"/>
        </w:rPr>
        <w:t>时</w:t>
      </w:r>
      <w:r>
        <w:rPr>
          <w:rFonts w:hint="eastAsia" w:ascii="宋体" w:hAnsi="宋体" w:cs="宋体"/>
          <w:color w:val="auto"/>
          <w:sz w:val="24"/>
        </w:rPr>
        <w:t>，因对接产生的接</w:t>
      </w:r>
      <w:r>
        <w:rPr>
          <w:rFonts w:hint="eastAsia" w:ascii="宋体" w:hAnsi="宋体" w:cs="宋体"/>
          <w:color w:val="000000" w:themeColor="text1"/>
          <w:sz w:val="24"/>
          <w14:textFill>
            <w14:solidFill>
              <w14:schemeClr w14:val="tx1"/>
            </w14:solidFill>
          </w14:textFill>
        </w:rPr>
        <w:t>口开发等乙方及第三方需要收取的全部费用均由乙方承担。</w:t>
      </w:r>
    </w:p>
    <w:p w14:paraId="4974886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208948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3"/>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2F8AA1C5">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6DED">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79F9A15B">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19A05F3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4010F418">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5811">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8F2B">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26CE872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35C459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7E5">
            <w:pPr>
              <w:spacing w:beforeLines="0" w:afterLines="0"/>
              <w:jc w:val="both"/>
              <w:rPr>
                <w:rFonts w:hint="eastAsia" w:ascii="宋体" w:hAnsi="宋体" w:eastAsiaTheme="minorEastAsia" w:cstheme="minorBidi"/>
                <w:color w:val="000000"/>
                <w:kern w:val="2"/>
                <w:sz w:val="18"/>
                <w:szCs w:val="18"/>
                <w:lang w:val="en-US" w:eastAsia="zh-CN" w:bidi="ar-SA"/>
              </w:rPr>
            </w:pPr>
            <w:r>
              <w:rPr>
                <w:rFonts w:hint="eastAsia" w:asciiTheme="minorEastAsia" w:hAnsiTheme="minorEastAsia" w:cstheme="minorEastAsia"/>
                <w:i w:val="0"/>
                <w:iCs w:val="0"/>
                <w:color w:val="auto"/>
                <w:kern w:val="0"/>
                <w:sz w:val="22"/>
                <w:szCs w:val="22"/>
                <w:highlight w:val="none"/>
                <w:vertAlign w:val="baseline"/>
                <w:lang w:val="en-US" w:eastAsia="zh-CN" w:bidi="ar"/>
              </w:rPr>
              <w:t>过氧化氢低温等离子体灭菌器200过氧化氢卡匣</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6731D6EB">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C1D8D42">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302D">
            <w:pPr>
              <w:spacing w:beforeLines="0" w:afterLines="0"/>
              <w:jc w:val="center"/>
              <w:rPr>
                <w:rFonts w:hint="default" w:ascii="宋体" w:hAnsi="宋体" w:eastAsiaTheme="minorEastAsia" w:cstheme="minorBidi"/>
                <w:color w:val="000000"/>
                <w:kern w:val="2"/>
                <w:sz w:val="18"/>
                <w:szCs w:val="18"/>
                <w:lang w:val="en-US" w:eastAsia="zh-CN" w:bidi="ar-SA"/>
              </w:rPr>
            </w:pPr>
            <w:r>
              <w:rPr>
                <w:rFonts w:hint="eastAsia" w:ascii="宋体" w:hAnsi="宋体" w:cstheme="minorBidi"/>
                <w:color w:val="000000"/>
                <w:kern w:val="2"/>
                <w:sz w:val="18"/>
                <w:szCs w:val="18"/>
                <w:lang w:val="en-US" w:eastAsia="zh-CN" w:bidi="ar-SA"/>
              </w:rPr>
              <w:t>套</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95E7">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5600EAF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叁</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val="en-US" w:eastAsia="zh-CN"/>
          <w14:textFill>
            <w14:solidFill>
              <w14:schemeClr w14:val="tx1"/>
            </w14:solidFill>
          </w14:textFill>
        </w:rPr>
        <w:t xml:space="preserve"> 过氧化氢低温等离子体灭菌器（双门 )</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74F6B48D">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6F8006C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4E6A7F4B">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119188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52D628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1081E65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2204A12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4F2FE51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7D3029E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25CDE4E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468281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2EB04C3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DFD963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46F3C4ED">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DFB149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7B0A50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013E12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6A8E551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0AEF15E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3D0AD8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1C44D64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D73117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6E5F57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372D290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32D2E16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04B26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6B67BD2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4DDF90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230DA5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14:textFill>
            <w14:solidFill>
              <w14:schemeClr w14:val="tx1"/>
            </w14:solidFill>
          </w14:textFill>
        </w:rPr>
        <w:t>作为代表，跟踪、检查安装、调试现场。</w:t>
      </w:r>
    </w:p>
    <w:p w14:paraId="543C5E9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C8B54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0D18620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301825AE">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1416D1D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 xml:space="preserve"> 叁 </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1158416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473AE53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4EAAC3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7B989AD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721606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2905917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1F476B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714154F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1662C8B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09672EE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4B5340D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1C51A00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22149D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22C62B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536AD7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0427D7B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3A2BFE8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5119AE3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38F9228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754895A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438DC13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AC1FB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6F05E7F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2F149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7FC294CD">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39173C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DEE78A8">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5A1FD38">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2CCA3F0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85F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A34F60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55D43DB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48CED93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76879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7F1C1D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24A5036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彭春涛</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13027388172</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721294732@qq.com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13027388172</w:t>
      </w:r>
      <w:r>
        <w:rPr>
          <w:rFonts w:ascii="宋体" w:hAnsi="宋体" w:eastAsia="宋体" w:cs="宋体"/>
          <w:color w:val="000000" w:themeColor="text1"/>
          <w:sz w:val="24"/>
          <w14:textFill>
            <w14:solidFill>
              <w14:schemeClr w14:val="tx1"/>
            </w14:solidFill>
          </w14:textFill>
        </w:rPr>
        <w:t>。</w:t>
      </w:r>
    </w:p>
    <w:p w14:paraId="59708E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2CCCBD8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F7AC69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5190795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574867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548F4F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2299D6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427FC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5E33EC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44829E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0ADC0B7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D4003C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21CF27C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53C3F7D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6BAABA0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48389AD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5A51615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725F03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6DBB55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105AF86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2A381A3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5622B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21E9746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934D42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6BF10A0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5884A67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1A07154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730A209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711F699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份，甲方执肆份、乙方执壹份，自双方签字并盖章后生效。</w:t>
      </w:r>
    </w:p>
    <w:p w14:paraId="24DE1DB2">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721D91BC">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05B32C9E">
      <w:pPr>
        <w:pStyle w:val="12"/>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923786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47610C90">
      <w:pPr>
        <w:pStyle w:val="1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599B18C0">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7E898EB0">
      <w:pPr>
        <w:pStyle w:val="1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3668D6EB">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07E53877">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7622D1F7">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p>
    <w:p w14:paraId="275A7B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1F3CB8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122200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165518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419569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6B06F021">
      <w:pPr>
        <w:spacing w:line="480" w:lineRule="exact"/>
        <w:rPr>
          <w:rFonts w:hint="eastAsia" w:ascii="黑体" w:hAnsi="黑体" w:eastAsia="黑体" w:cs="黑体"/>
          <w:sz w:val="32"/>
          <w:szCs w:val="32"/>
        </w:rPr>
      </w:pPr>
      <w:r>
        <w:rPr>
          <w:rFonts w:ascii="宋体" w:hAnsi="宋体" w:eastAsia="宋体" w:cs="宋体"/>
          <w:sz w:val="24"/>
        </w:rPr>
        <w:drawing>
          <wp:anchor distT="0" distB="0" distL="114300" distR="114300" simplePos="0" relativeHeight="251659264" behindDoc="0" locked="0" layoutInCell="1" allowOverlap="1">
            <wp:simplePos x="0" y="0"/>
            <wp:positionH relativeFrom="column">
              <wp:posOffset>38100</wp:posOffset>
            </wp:positionH>
            <wp:positionV relativeFrom="paragraph">
              <wp:posOffset>377190</wp:posOffset>
            </wp:positionV>
            <wp:extent cx="5615305" cy="7988935"/>
            <wp:effectExtent l="0" t="0" r="4445" b="12065"/>
            <wp:wrapSquare wrapText="bothSides"/>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9"/>
                    <a:stretch>
                      <a:fillRect/>
                    </a:stretch>
                  </pic:blipFill>
                  <pic:spPr>
                    <a:xfrm>
                      <a:off x="0" y="0"/>
                      <a:ext cx="5615305" cy="7988935"/>
                    </a:xfrm>
                    <a:prstGeom prst="rect">
                      <a:avLst/>
                    </a:prstGeom>
                  </pic:spPr>
                </pic:pic>
              </a:graphicData>
            </a:graphic>
          </wp:anchor>
        </w:drawing>
      </w:r>
      <w:r>
        <w:rPr>
          <w:rFonts w:hint="eastAsia" w:ascii="黑体" w:hAnsi="黑体" w:eastAsia="黑体" w:cs="黑体"/>
          <w:sz w:val="32"/>
          <w:szCs w:val="32"/>
        </w:rPr>
        <w:t>附件：</w:t>
      </w:r>
    </w:p>
    <w:p w14:paraId="227001E0">
      <w:pPr>
        <w:spacing w:line="480" w:lineRule="exact"/>
        <w:rPr>
          <w:rFonts w:hint="eastAsia" w:ascii="宋体" w:hAnsi="宋体" w:eastAsia="宋体" w:cs="宋体"/>
          <w:sz w:val="24"/>
        </w:rPr>
      </w:pPr>
    </w:p>
    <w:p w14:paraId="55002253">
      <w:pPr>
        <w:spacing w:line="480" w:lineRule="exact"/>
        <w:rPr>
          <w:rFonts w:hint="eastAsia" w:ascii="宋体" w:hAnsi="宋体" w:eastAsia="宋体" w:cs="宋体"/>
          <w:sz w:val="24"/>
        </w:rPr>
      </w:pPr>
    </w:p>
    <w:p w14:paraId="2848D38D">
      <w:pPr>
        <w:spacing w:line="480" w:lineRule="exact"/>
        <w:rPr>
          <w:rFonts w:hint="eastAsia" w:ascii="宋体" w:hAnsi="宋体" w:eastAsia="宋体" w:cs="宋体"/>
          <w:sz w:val="24"/>
        </w:rPr>
      </w:pPr>
    </w:p>
    <w:p w14:paraId="1609F11D">
      <w:pPr>
        <w:spacing w:line="480" w:lineRule="exact"/>
        <w:rPr>
          <w:rFonts w:hint="eastAsia" w:ascii="宋体" w:hAnsi="宋体" w:eastAsia="宋体" w:cs="宋体"/>
          <w:sz w:val="24"/>
        </w:rPr>
      </w:pPr>
    </w:p>
    <w:p w14:paraId="5531761F">
      <w:pPr>
        <w:spacing w:line="480" w:lineRule="exact"/>
        <w:rPr>
          <w:rFonts w:hint="eastAsia" w:ascii="宋体" w:hAnsi="宋体" w:eastAsia="宋体" w:cs="宋体"/>
          <w:sz w:val="24"/>
        </w:rPr>
      </w:pPr>
    </w:p>
    <w:p w14:paraId="1D5C0BF1">
      <w:pPr>
        <w:spacing w:line="480" w:lineRule="exact"/>
        <w:rPr>
          <w:rFonts w:hint="eastAsia" w:ascii="宋体" w:hAnsi="宋体" w:eastAsia="宋体" w:cs="宋体"/>
          <w:sz w:val="24"/>
        </w:rPr>
      </w:pPr>
    </w:p>
    <w:p w14:paraId="33EAFCC5">
      <w:pPr>
        <w:spacing w:line="480" w:lineRule="exact"/>
        <w:rPr>
          <w:rFonts w:hint="eastAsia" w:ascii="宋体" w:hAnsi="宋体" w:eastAsia="宋体" w:cs="宋体"/>
          <w:sz w:val="24"/>
        </w:rPr>
      </w:pPr>
    </w:p>
    <w:p w14:paraId="0DAE4335">
      <w:pPr>
        <w:spacing w:line="480" w:lineRule="exact"/>
        <w:rPr>
          <w:rFonts w:hint="eastAsia" w:ascii="宋体" w:hAnsi="宋体" w:eastAsia="宋体" w:cs="宋体"/>
          <w:sz w:val="24"/>
        </w:rPr>
      </w:pPr>
    </w:p>
    <w:p w14:paraId="34A2261D">
      <w:pPr>
        <w:spacing w:line="480" w:lineRule="exact"/>
        <w:rPr>
          <w:rFonts w:hint="eastAsia" w:ascii="宋体" w:hAnsi="宋体" w:eastAsia="宋体" w:cs="宋体"/>
          <w:sz w:val="24"/>
        </w:rPr>
      </w:pPr>
    </w:p>
    <w:p w14:paraId="113A1CF0">
      <w:pPr>
        <w:spacing w:line="480" w:lineRule="exact"/>
        <w:rPr>
          <w:rFonts w:hint="eastAsia" w:ascii="宋体" w:hAnsi="宋体" w:eastAsia="宋体" w:cs="宋体"/>
          <w:sz w:val="24"/>
        </w:rPr>
      </w:pPr>
    </w:p>
    <w:p w14:paraId="59E42C74">
      <w:pPr>
        <w:spacing w:line="480" w:lineRule="exact"/>
        <w:rPr>
          <w:rFonts w:hint="eastAsia" w:ascii="宋体" w:hAnsi="宋体" w:eastAsia="宋体" w:cs="宋体"/>
          <w:sz w:val="24"/>
        </w:rPr>
      </w:pPr>
    </w:p>
    <w:p w14:paraId="1D205281">
      <w:pPr>
        <w:spacing w:line="480" w:lineRule="exact"/>
        <w:rPr>
          <w:rFonts w:hint="eastAsia" w:ascii="宋体" w:hAnsi="宋体" w:eastAsia="宋体" w:cs="宋体"/>
          <w:sz w:val="24"/>
        </w:rPr>
      </w:pPr>
    </w:p>
    <w:p w14:paraId="588942DA">
      <w:pPr>
        <w:spacing w:line="480" w:lineRule="exact"/>
        <w:rPr>
          <w:rFonts w:hint="eastAsia" w:ascii="宋体" w:hAnsi="宋体" w:eastAsia="宋体" w:cs="宋体"/>
          <w:sz w:val="24"/>
        </w:rPr>
      </w:pPr>
    </w:p>
    <w:p w14:paraId="14EEB46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ascii="宋体" w:hAnsi="宋体" w:eastAsia="宋体" w:cs="宋体"/>
          <w:sz w:val="24"/>
        </w:rPr>
        <w:drawing>
          <wp:anchor distT="0" distB="0" distL="114300" distR="114300" simplePos="0" relativeHeight="251662336" behindDoc="0" locked="0" layoutInCell="1" allowOverlap="1">
            <wp:simplePos x="0" y="0"/>
            <wp:positionH relativeFrom="column">
              <wp:posOffset>-116840</wp:posOffset>
            </wp:positionH>
            <wp:positionV relativeFrom="paragraph">
              <wp:posOffset>1338580</wp:posOffset>
            </wp:positionV>
            <wp:extent cx="5888990" cy="8423910"/>
            <wp:effectExtent l="0" t="0" r="16510" b="15240"/>
            <wp:wrapTopAndBottom/>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0"/>
                    <a:stretch>
                      <a:fillRect/>
                    </a:stretch>
                  </pic:blipFill>
                  <pic:spPr>
                    <a:xfrm>
                      <a:off x="0" y="0"/>
                      <a:ext cx="5888990" cy="8423910"/>
                    </a:xfrm>
                    <a:prstGeom prst="rect">
                      <a:avLst/>
                    </a:prstGeom>
                  </pic:spPr>
                </pic:pic>
              </a:graphicData>
            </a:graphic>
          </wp:anchor>
        </w:drawing>
      </w:r>
    </w:p>
    <w:p w14:paraId="58EBEBF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585365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67EF959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0641E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ascii="宋体" w:hAnsi="宋体" w:eastAsia="宋体" w:cs="宋体"/>
          <w:sz w:val="24"/>
        </w:rPr>
        <w:drawing>
          <wp:anchor distT="0" distB="0" distL="114300" distR="114300" simplePos="0" relativeHeight="251663360" behindDoc="0" locked="0" layoutInCell="1" allowOverlap="1">
            <wp:simplePos x="0" y="0"/>
            <wp:positionH relativeFrom="column">
              <wp:posOffset>-38100</wp:posOffset>
            </wp:positionH>
            <wp:positionV relativeFrom="paragraph">
              <wp:posOffset>224790</wp:posOffset>
            </wp:positionV>
            <wp:extent cx="5995670" cy="8456930"/>
            <wp:effectExtent l="0" t="0" r="5080" b="1270"/>
            <wp:wrapSquare wrapText="bothSides"/>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11"/>
                    <a:stretch>
                      <a:fillRect/>
                    </a:stretch>
                  </pic:blipFill>
                  <pic:spPr>
                    <a:xfrm>
                      <a:off x="647700" y="1139190"/>
                      <a:ext cx="5995670" cy="8456930"/>
                    </a:xfrm>
                    <a:prstGeom prst="rect">
                      <a:avLst/>
                    </a:prstGeom>
                  </pic:spPr>
                </pic:pic>
              </a:graphicData>
            </a:graphic>
          </wp:anchor>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ascii="宋体" w:hAnsi="宋体" w:eastAsia="宋体" w:cs="宋体"/>
          <w:sz w:val="24"/>
        </w:rPr>
        <w:drawing>
          <wp:anchor distT="0" distB="0" distL="114300" distR="114300" simplePos="0" relativeHeight="251661312" behindDoc="0" locked="0" layoutInCell="1" allowOverlap="1">
            <wp:simplePos x="0" y="0"/>
            <wp:positionH relativeFrom="column">
              <wp:posOffset>236220</wp:posOffset>
            </wp:positionH>
            <wp:positionV relativeFrom="paragraph">
              <wp:posOffset>113030</wp:posOffset>
            </wp:positionV>
            <wp:extent cx="5976620" cy="8301355"/>
            <wp:effectExtent l="0" t="0" r="5080" b="4445"/>
            <wp:wrapSquare wrapText="bothSides"/>
            <wp:docPr id="10"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
                    <pic:cNvPicPr>
                      <a:picLocks noChangeAspect="1"/>
                    </pic:cNvPicPr>
                  </pic:nvPicPr>
                  <pic:blipFill>
                    <a:blip r:embed="rId12"/>
                    <a:stretch>
                      <a:fillRect/>
                    </a:stretch>
                  </pic:blipFill>
                  <pic:spPr>
                    <a:xfrm>
                      <a:off x="0" y="0"/>
                      <a:ext cx="5976620" cy="8301355"/>
                    </a:xfrm>
                    <a:prstGeom prst="rect">
                      <a:avLst/>
                    </a:prstGeom>
                  </pic:spPr>
                </pic:pic>
              </a:graphicData>
            </a:graphic>
          </wp:anchor>
        </w:drawing>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lang w:val="en-US" w:eastAsia="zh-CN"/>
        </w:rPr>
      </w:pPr>
      <w:bookmarkStart w:id="1" w:name="_Toc16523574"/>
      <w:r>
        <w:rPr>
          <w:rFonts w:hint="eastAsia" w:ascii="方正小标宋简体" w:hAnsi="方正小标宋简体" w:eastAsia="方正小标宋简体" w:cs="方正小标宋简体"/>
          <w:color w:val="auto"/>
          <w:sz w:val="44"/>
          <w:szCs w:val="44"/>
          <w:lang w:val="en-US" w:eastAsia="zh-CN"/>
        </w:rPr>
        <w:t>第三章</w:t>
      </w:r>
      <w:bookmarkStart w:id="2" w:name="_Toc16523573"/>
      <w:r>
        <w:rPr>
          <w:rFonts w:hint="eastAsia" w:ascii="方正小标宋简体" w:hAnsi="方正小标宋简体" w:eastAsia="方正小标宋简体" w:cs="方正小标宋简体"/>
          <w:color w:val="auto"/>
          <w:sz w:val="44"/>
          <w:szCs w:val="44"/>
          <w:lang w:val="en-US" w:eastAsia="zh-CN"/>
        </w:rPr>
        <w:t>评标方法及标准</w:t>
      </w:r>
      <w:bookmarkEnd w:id="2"/>
    </w:p>
    <w:p w14:paraId="6BB39785">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3"/>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45E83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311A08B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32FC8297">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7E7C4B3E">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1E406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030411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9E5B0DB">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0CD61DC">
            <w:pPr>
              <w:jc w:val="center"/>
              <w:rPr>
                <w:rFonts w:hint="eastAsia" w:ascii="仿宋" w:hAnsi="仿宋" w:eastAsia="仿宋" w:cs="仿宋"/>
                <w:sz w:val="24"/>
                <w:szCs w:val="24"/>
              </w:rPr>
            </w:pPr>
            <w:r>
              <w:rPr>
                <w:rFonts w:hint="eastAsia" w:ascii="仿宋" w:hAnsi="仿宋" w:eastAsia="仿宋" w:cs="仿宋"/>
                <w:sz w:val="24"/>
                <w:szCs w:val="24"/>
              </w:rPr>
              <w:t>50%（设备45%+专机耗材5%）</w:t>
            </w:r>
          </w:p>
        </w:tc>
      </w:tr>
      <w:tr w14:paraId="3D8FD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7EC4995">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9105BC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1A6814C5">
            <w:pPr>
              <w:jc w:val="center"/>
              <w:rPr>
                <w:rFonts w:hint="eastAsia" w:ascii="仿宋" w:hAnsi="仿宋" w:eastAsia="仿宋" w:cs="仿宋"/>
                <w:sz w:val="24"/>
                <w:szCs w:val="24"/>
              </w:rPr>
            </w:pPr>
            <w:r>
              <w:rPr>
                <w:rFonts w:hint="eastAsia" w:ascii="仿宋" w:hAnsi="仿宋" w:eastAsia="仿宋" w:cs="仿宋"/>
                <w:sz w:val="24"/>
                <w:szCs w:val="24"/>
              </w:rPr>
              <w:t>40%</w:t>
            </w:r>
          </w:p>
        </w:tc>
      </w:tr>
      <w:tr w14:paraId="08265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39F7A2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3C9FEB03">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6BDF92C6">
            <w:pPr>
              <w:jc w:val="center"/>
              <w:rPr>
                <w:rFonts w:hint="eastAsia" w:ascii="仿宋" w:hAnsi="仿宋" w:eastAsia="仿宋" w:cs="仿宋"/>
                <w:sz w:val="24"/>
                <w:szCs w:val="24"/>
              </w:rPr>
            </w:pPr>
            <w:r>
              <w:rPr>
                <w:rFonts w:hint="eastAsia" w:ascii="仿宋" w:hAnsi="仿宋" w:eastAsia="仿宋" w:cs="仿宋"/>
                <w:sz w:val="24"/>
                <w:szCs w:val="24"/>
              </w:rPr>
              <w:t>10%</w:t>
            </w:r>
          </w:p>
        </w:tc>
      </w:tr>
      <w:tr w14:paraId="58AEB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1C8DD14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762A933A">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74128E91">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3"/>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75DDC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79E93CB1">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7022934C">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37483CF0">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5AD308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4B7BF88D">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7DC1D78A">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6E17972E">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5E0DFD2F">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设备价格权值占比为45%，专机专用耗材价格权值占比为5%；报价总分＝设备报价得分＋专机专用耗材报价得分。投标人的价格分统一按照以下公式计算：</w:t>
            </w:r>
          </w:p>
          <w:p w14:paraId="3199592E">
            <w:pPr>
              <w:jc w:val="left"/>
              <w:rPr>
                <w:rFonts w:hint="eastAsia" w:ascii="仿宋" w:hAnsi="仿宋" w:eastAsia="仿宋" w:cs="仿宋"/>
                <w:sz w:val="24"/>
                <w:szCs w:val="24"/>
              </w:rPr>
            </w:pPr>
            <w:r>
              <w:rPr>
                <w:rFonts w:hint="eastAsia" w:ascii="仿宋" w:hAnsi="仿宋" w:eastAsia="仿宋" w:cs="仿宋"/>
                <w:sz w:val="24"/>
                <w:szCs w:val="24"/>
              </w:rPr>
              <w:t>设备投标报价得分=（评标基准价/投标报价）×价格权值×100</w:t>
            </w:r>
          </w:p>
          <w:p w14:paraId="4B9AECCA">
            <w:pPr>
              <w:jc w:val="left"/>
              <w:rPr>
                <w:rFonts w:hint="eastAsia" w:ascii="仿宋" w:hAnsi="仿宋" w:eastAsia="仿宋" w:cs="仿宋"/>
                <w:sz w:val="24"/>
                <w:szCs w:val="24"/>
              </w:rPr>
            </w:pPr>
            <w:r>
              <w:rPr>
                <w:rFonts w:hint="eastAsia" w:ascii="仿宋" w:hAnsi="仿宋" w:eastAsia="仿宋" w:cs="仿宋"/>
                <w:sz w:val="24"/>
                <w:szCs w:val="24"/>
              </w:rPr>
              <w:t>专机专用耗材投标报价得分=（评标基准价/投标报价）×价格权值×100</w:t>
            </w:r>
          </w:p>
          <w:p w14:paraId="1C0BBCE7">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F0CFF1">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0727BE38">
      <w:pPr>
        <w:jc w:val="center"/>
        <w:rPr>
          <w:rFonts w:hint="eastAsia" w:ascii="仿宋" w:hAnsi="仿宋" w:eastAsia="仿宋" w:cs="仿宋"/>
          <w:sz w:val="24"/>
          <w:szCs w:val="24"/>
        </w:rPr>
      </w:pPr>
    </w:p>
    <w:p w14:paraId="44B6AE09">
      <w:pPr>
        <w:jc w:val="center"/>
        <w:rPr>
          <w:rFonts w:hint="eastAsia" w:ascii="仿宋" w:hAnsi="仿宋" w:eastAsia="仿宋" w:cs="仿宋"/>
          <w:sz w:val="24"/>
          <w:szCs w:val="24"/>
        </w:rPr>
      </w:pPr>
    </w:p>
    <w:p w14:paraId="5AA7DFCF">
      <w:pPr>
        <w:jc w:val="center"/>
        <w:rPr>
          <w:rFonts w:hint="eastAsia" w:ascii="仿宋" w:hAnsi="仿宋" w:eastAsia="仿宋" w:cs="仿宋"/>
          <w:sz w:val="24"/>
          <w:szCs w:val="24"/>
        </w:rPr>
      </w:pPr>
    </w:p>
    <w:p w14:paraId="64289275">
      <w:pPr>
        <w:jc w:val="center"/>
        <w:rPr>
          <w:rFonts w:hint="eastAsia" w:ascii="仿宋" w:hAnsi="仿宋" w:eastAsia="仿宋" w:cs="仿宋"/>
          <w:sz w:val="24"/>
          <w:szCs w:val="24"/>
        </w:rPr>
      </w:pPr>
    </w:p>
    <w:p w14:paraId="0013F47A">
      <w:pPr>
        <w:jc w:val="center"/>
        <w:rPr>
          <w:rFonts w:hint="eastAsia" w:ascii="仿宋" w:hAnsi="仿宋" w:eastAsia="仿宋" w:cs="仿宋"/>
          <w:sz w:val="24"/>
          <w:szCs w:val="24"/>
        </w:rPr>
      </w:pPr>
      <w:r>
        <w:rPr>
          <w:rFonts w:hint="eastAsia" w:ascii="仿宋" w:hAnsi="仿宋" w:eastAsia="仿宋" w:cs="仿宋"/>
          <w:sz w:val="24"/>
          <w:szCs w:val="24"/>
        </w:rPr>
        <w:br w:type="page"/>
      </w:r>
    </w:p>
    <w:p w14:paraId="4BE42FB4">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5225F3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1287594A">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49DBC2E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3F52ACDD">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6E6A9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3152DABB">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288CC65D">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0A98C903">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3352F0FB">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60E1E997">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10797FEE">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02240174">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06EF5DB5">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5EE3098D">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03638B64">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187EF861">
      <w:pPr>
        <w:jc w:val="center"/>
        <w:rPr>
          <w:rFonts w:hint="eastAsia" w:ascii="仿宋" w:hAnsi="仿宋" w:eastAsia="仿宋" w:cs="仿宋"/>
          <w:sz w:val="24"/>
          <w:szCs w:val="24"/>
        </w:rPr>
      </w:pPr>
    </w:p>
    <w:p w14:paraId="5C102FCD">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3"/>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820"/>
        <w:gridCol w:w="810"/>
        <w:gridCol w:w="4975"/>
      </w:tblGrid>
      <w:tr w14:paraId="52D36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60BC924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301A1CB2">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44F7BB9F">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0CD9F8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14D39F96">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72251E89">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29EF4DC7">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820" w:type="dxa"/>
            <w:tcBorders>
              <w:tl2br w:val="nil"/>
              <w:tr2bl w:val="nil"/>
            </w:tcBorders>
            <w:noWrap w:val="0"/>
            <w:vAlign w:val="center"/>
          </w:tcPr>
          <w:p w14:paraId="678009CD">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810" w:type="dxa"/>
            <w:tcBorders>
              <w:tl2br w:val="nil"/>
              <w:tr2bl w:val="nil"/>
            </w:tcBorders>
            <w:noWrap w:val="0"/>
            <w:vAlign w:val="center"/>
          </w:tcPr>
          <w:p w14:paraId="1CD8BBD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975" w:type="dxa"/>
            <w:tcBorders>
              <w:tl2br w:val="nil"/>
              <w:tr2bl w:val="nil"/>
            </w:tcBorders>
            <w:noWrap w:val="0"/>
            <w:vAlign w:val="center"/>
          </w:tcPr>
          <w:p w14:paraId="73624C65">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5EABF063">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17CCBCB1">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5A8E8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3B1D42D6">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4AD20699">
            <w:pPr>
              <w:jc w:val="center"/>
              <w:rPr>
                <w:rFonts w:hint="eastAsia" w:ascii="仿宋" w:hAnsi="仿宋" w:eastAsia="仿宋" w:cs="仿宋"/>
                <w:sz w:val="24"/>
                <w:szCs w:val="24"/>
              </w:rPr>
            </w:pPr>
          </w:p>
        </w:tc>
        <w:tc>
          <w:tcPr>
            <w:tcW w:w="820" w:type="dxa"/>
            <w:tcBorders>
              <w:tl2br w:val="nil"/>
              <w:tr2bl w:val="nil"/>
            </w:tcBorders>
            <w:noWrap w:val="0"/>
            <w:vAlign w:val="center"/>
          </w:tcPr>
          <w:p w14:paraId="4C50928C">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810" w:type="dxa"/>
            <w:tcBorders>
              <w:tl2br w:val="nil"/>
              <w:tr2bl w:val="nil"/>
            </w:tcBorders>
            <w:noWrap w:val="0"/>
            <w:vAlign w:val="center"/>
          </w:tcPr>
          <w:p w14:paraId="5BC5487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975" w:type="dxa"/>
            <w:tcBorders>
              <w:tl2br w:val="nil"/>
              <w:tr2bl w:val="nil"/>
            </w:tcBorders>
            <w:noWrap w:val="0"/>
            <w:vAlign w:val="center"/>
          </w:tcPr>
          <w:p w14:paraId="5F5351EE">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03C5559E">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104F88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1AB0A25B">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54CA1F2E">
            <w:pPr>
              <w:jc w:val="center"/>
              <w:rPr>
                <w:rFonts w:hint="eastAsia" w:ascii="仿宋" w:hAnsi="仿宋" w:eastAsia="仿宋" w:cs="仿宋"/>
                <w:sz w:val="24"/>
                <w:szCs w:val="24"/>
              </w:rPr>
            </w:pPr>
          </w:p>
        </w:tc>
        <w:tc>
          <w:tcPr>
            <w:tcW w:w="820" w:type="dxa"/>
            <w:tcBorders>
              <w:tl2br w:val="nil"/>
              <w:tr2bl w:val="nil"/>
            </w:tcBorders>
            <w:noWrap w:val="0"/>
            <w:vAlign w:val="center"/>
          </w:tcPr>
          <w:p w14:paraId="4A695C3E">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810" w:type="dxa"/>
            <w:tcBorders>
              <w:tl2br w:val="nil"/>
              <w:tr2bl w:val="nil"/>
            </w:tcBorders>
            <w:noWrap w:val="0"/>
            <w:vAlign w:val="center"/>
          </w:tcPr>
          <w:p w14:paraId="4233DE86">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975" w:type="dxa"/>
            <w:tcBorders>
              <w:tl2br w:val="nil"/>
              <w:tr2bl w:val="nil"/>
            </w:tcBorders>
            <w:noWrap w:val="0"/>
            <w:vAlign w:val="center"/>
          </w:tcPr>
          <w:p w14:paraId="6725617A">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055C1246">
      <w:pPr>
        <w:pStyle w:val="2"/>
        <w:numPr>
          <w:ilvl w:val="0"/>
          <w:numId w:val="0"/>
        </w:numPr>
        <w:spacing w:line="240" w:lineRule="auto"/>
        <w:jc w:val="both"/>
        <w:rPr>
          <w:rFonts w:hint="eastAsia" w:ascii="宋体" w:hAnsi="宋体" w:cs="宋体"/>
          <w:color w:val="auto"/>
          <w:sz w:val="30"/>
          <w:szCs w:val="30"/>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 xml:space="preserve">第四章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left"/>
        <w:rPr>
          <w:rFonts w:hint="eastAsia" w:eastAsia="宋体"/>
          <w:b/>
          <w:color w:val="auto"/>
          <w:sz w:val="24"/>
          <w:lang w:eastAsia="zh-CN"/>
        </w:rPr>
      </w:pPr>
      <w:r>
        <w:rPr>
          <w:rFonts w:hint="eastAsia"/>
          <w:b/>
          <w:color w:val="auto"/>
          <w:sz w:val="24"/>
          <w:lang w:val="en-US" w:eastAsia="zh-CN"/>
        </w:rPr>
        <w:t xml:space="preserve">           </w:t>
      </w:r>
      <w:r>
        <w:rPr>
          <w:rFonts w:hint="eastAsia"/>
          <w:b/>
          <w:color w:val="auto"/>
          <w:sz w:val="24"/>
          <w:lang w:eastAsia="zh-CN"/>
        </w:rPr>
        <w:t>注：此项内容需包含投标商品和配套专用耗材名称、数量、品牌、型号、单价、总价、等信息</w:t>
      </w:r>
    </w:p>
    <w:p w14:paraId="6EE9D265">
      <w:pPr>
        <w:pStyle w:val="19"/>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w:t>
      </w:r>
      <w:r>
        <w:rPr>
          <w:rFonts w:hint="eastAsia" w:ascii="宋体" w:hAnsi="宋体" w:cs="Times New Roman"/>
          <w:b w:val="0"/>
          <w:bCs w:val="0"/>
          <w:color w:val="auto"/>
          <w:kern w:val="2"/>
          <w:sz w:val="24"/>
          <w:szCs w:val="24"/>
          <w:lang w:val="en-US" w:eastAsia="zh-CN" w:bidi="ar-SA"/>
        </w:rPr>
        <w:t xml:space="preserve">    </w:t>
      </w:r>
      <w:r>
        <w:rPr>
          <w:rFonts w:hint="eastAsia" w:ascii="宋体" w:hAnsi="宋体" w:eastAsia="宋体" w:cs="Times New Roman"/>
          <w:b w:val="0"/>
          <w:bCs w:val="0"/>
          <w:color w:val="auto"/>
          <w:kern w:val="2"/>
          <w:sz w:val="24"/>
          <w:szCs w:val="24"/>
          <w:lang w:val="en-US" w:eastAsia="zh-CN" w:bidi="ar-SA"/>
        </w:rPr>
        <w:t xml:space="preserve">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1C1C7AD1">
      <w:pPr>
        <w:pStyle w:val="2"/>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1F48F73">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34583E1">
      <w:pPr>
        <w:rPr>
          <w:rFonts w:hint="eastAsia" w:ascii="宋体" w:hAnsi="宋体" w:cs="宋体"/>
          <w:color w:val="auto"/>
        </w:rPr>
      </w:pPr>
    </w:p>
    <w:p w14:paraId="0C36B7E3">
      <w:pPr>
        <w:rPr>
          <w:rFonts w:hint="eastAsia"/>
          <w:color w:val="auto"/>
        </w:rPr>
      </w:pPr>
    </w:p>
    <w:p w14:paraId="642A6E11">
      <w:pPr>
        <w:jc w:val="center"/>
        <w:rPr>
          <w:b/>
          <w:color w:val="auto"/>
          <w:sz w:val="24"/>
        </w:rPr>
      </w:pPr>
      <w:r>
        <w:rPr>
          <w:b/>
          <w:color w:val="auto"/>
          <w:sz w:val="28"/>
          <w:szCs w:val="28"/>
        </w:rPr>
        <w:t>第一部分、开标一览表</w:t>
      </w:r>
    </w:p>
    <w:p w14:paraId="31CF1AE0">
      <w:pPr>
        <w:jc w:val="center"/>
        <w:rPr>
          <w:b/>
          <w:color w:val="auto"/>
          <w:sz w:val="24"/>
        </w:rPr>
      </w:pPr>
    </w:p>
    <w:p w14:paraId="6D74B725">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5F8096E0">
      <w:pPr>
        <w:pStyle w:val="19"/>
        <w:rPr>
          <w:color w:val="auto"/>
        </w:rPr>
      </w:pPr>
    </w:p>
    <w:p w14:paraId="3009323F">
      <w:pPr>
        <w:adjustRightInd w:val="0"/>
        <w:snapToGrid w:val="0"/>
        <w:spacing w:line="360" w:lineRule="auto"/>
        <w:jc w:val="center"/>
        <w:rPr>
          <w:rFonts w:hint="eastAsia" w:ascii="宋体" w:hAnsi="宋体" w:cs="宋体"/>
          <w:b/>
          <w:color w:val="auto"/>
          <w:sz w:val="28"/>
          <w:szCs w:val="28"/>
        </w:rPr>
      </w:pPr>
    </w:p>
    <w:p w14:paraId="60B9049D">
      <w:pPr>
        <w:adjustRightInd w:val="0"/>
        <w:snapToGrid w:val="0"/>
        <w:spacing w:line="360" w:lineRule="auto"/>
        <w:jc w:val="center"/>
        <w:rPr>
          <w:rFonts w:hint="eastAsia" w:ascii="宋体" w:hAnsi="宋体" w:cs="宋体"/>
          <w:b/>
          <w:color w:val="auto"/>
          <w:sz w:val="28"/>
          <w:szCs w:val="28"/>
        </w:rPr>
      </w:pPr>
    </w:p>
    <w:p w14:paraId="47A9E7E6">
      <w:pPr>
        <w:adjustRightInd w:val="0"/>
        <w:snapToGrid w:val="0"/>
        <w:spacing w:line="360" w:lineRule="auto"/>
        <w:jc w:val="center"/>
        <w:rPr>
          <w:rFonts w:hint="eastAsia" w:ascii="宋体" w:hAnsi="宋体" w:cs="宋体"/>
          <w:b/>
          <w:color w:val="auto"/>
          <w:sz w:val="28"/>
          <w:szCs w:val="28"/>
        </w:rPr>
      </w:pPr>
    </w:p>
    <w:p w14:paraId="0B851203">
      <w:pPr>
        <w:adjustRightInd w:val="0"/>
        <w:snapToGrid w:val="0"/>
        <w:spacing w:line="360" w:lineRule="auto"/>
        <w:jc w:val="center"/>
        <w:rPr>
          <w:rFonts w:hint="eastAsia" w:ascii="宋体" w:hAnsi="宋体" w:cs="宋体"/>
          <w:b/>
          <w:color w:val="auto"/>
          <w:sz w:val="28"/>
          <w:szCs w:val="28"/>
        </w:rPr>
      </w:pPr>
    </w:p>
    <w:p w14:paraId="5B522B1B">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6BE0168">
      <w:pPr>
        <w:pStyle w:val="18"/>
        <w:rPr>
          <w:rFonts w:hint="eastAsia"/>
          <w:lang w:eastAsia="zh-CN"/>
        </w:rPr>
      </w:pPr>
    </w:p>
    <w:p w14:paraId="1C4CE19E">
      <w:pPr>
        <w:adjustRightInd w:val="0"/>
        <w:snapToGrid w:val="0"/>
        <w:spacing w:line="360" w:lineRule="auto"/>
        <w:jc w:val="center"/>
        <w:rPr>
          <w:rFonts w:hint="eastAsia" w:ascii="宋体" w:hAnsi="宋体" w:cs="宋体"/>
          <w:b/>
          <w:color w:val="auto"/>
          <w:sz w:val="24"/>
          <w:szCs w:val="20"/>
        </w:rPr>
      </w:pPr>
    </w:p>
    <w:p w14:paraId="5F76F163">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CD8A2E9">
      <w:pPr>
        <w:adjustRightInd w:val="0"/>
        <w:snapToGrid w:val="0"/>
        <w:spacing w:line="360" w:lineRule="auto"/>
        <w:rPr>
          <w:rFonts w:hint="eastAsia" w:ascii="宋体" w:hAnsi="宋体" w:cs="宋体"/>
          <w:b/>
          <w:color w:val="auto"/>
          <w:sz w:val="28"/>
          <w:szCs w:val="28"/>
        </w:rPr>
      </w:pPr>
    </w:p>
    <w:p w14:paraId="57FDFFD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5DC957A3">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8EF331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9B331C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387948B">
      <w:pPr>
        <w:adjustRightInd w:val="0"/>
        <w:snapToGrid w:val="0"/>
        <w:spacing w:line="360" w:lineRule="auto"/>
        <w:ind w:firstLine="480" w:firstLineChars="200"/>
        <w:rPr>
          <w:rFonts w:hint="eastAsia" w:ascii="宋体" w:hAnsi="宋体" w:cs="宋体"/>
          <w:color w:val="auto"/>
          <w:sz w:val="24"/>
        </w:rPr>
      </w:pPr>
    </w:p>
    <w:tbl>
      <w:tblPr>
        <w:tblStyle w:val="13"/>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FD0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5E52C6EF">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346FCCD3">
      <w:pPr>
        <w:adjustRightInd w:val="0"/>
        <w:snapToGrid w:val="0"/>
        <w:spacing w:line="360" w:lineRule="auto"/>
        <w:rPr>
          <w:rFonts w:hint="eastAsia" w:ascii="宋体" w:hAnsi="宋体" w:cs="宋体"/>
          <w:color w:val="auto"/>
          <w:sz w:val="24"/>
        </w:rPr>
      </w:pPr>
    </w:p>
    <w:tbl>
      <w:tblPr>
        <w:tblStyle w:val="13"/>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7CB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44E9FC1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1ED57AA">
      <w:pPr>
        <w:adjustRightInd w:val="0"/>
        <w:snapToGrid w:val="0"/>
        <w:spacing w:line="360" w:lineRule="auto"/>
        <w:rPr>
          <w:rFonts w:hint="eastAsia" w:ascii="宋体" w:hAnsi="宋体" w:cs="宋体"/>
          <w:color w:val="auto"/>
          <w:sz w:val="24"/>
        </w:rPr>
      </w:pPr>
    </w:p>
    <w:p w14:paraId="73683F9B">
      <w:pPr>
        <w:adjustRightInd w:val="0"/>
        <w:snapToGrid w:val="0"/>
        <w:spacing w:line="360" w:lineRule="auto"/>
        <w:rPr>
          <w:rFonts w:hint="eastAsia" w:ascii="宋体" w:hAnsi="宋体" w:cs="宋体"/>
          <w:color w:val="auto"/>
          <w:sz w:val="24"/>
        </w:rPr>
      </w:pPr>
    </w:p>
    <w:p w14:paraId="74E54024">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1F56670">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83F8CB4">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24EF6AB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E41FF70">
      <w:pPr>
        <w:adjustRightInd w:val="0"/>
        <w:snapToGrid w:val="0"/>
        <w:spacing w:line="360" w:lineRule="auto"/>
        <w:rPr>
          <w:rFonts w:hint="eastAsia" w:ascii="宋体" w:hAnsi="宋体" w:cs="宋体"/>
          <w:b/>
          <w:color w:val="auto"/>
          <w:sz w:val="28"/>
          <w:szCs w:val="28"/>
        </w:rPr>
      </w:pPr>
    </w:p>
    <w:p w14:paraId="0F5DBA54">
      <w:pPr>
        <w:rPr>
          <w:rFonts w:hint="eastAsia" w:ascii="宋体" w:hAnsi="宋体" w:cs="宋体"/>
          <w:b/>
          <w:color w:val="auto"/>
          <w:sz w:val="24"/>
          <w:szCs w:val="20"/>
        </w:rPr>
      </w:pPr>
      <w:r>
        <w:rPr>
          <w:rFonts w:hint="eastAsia" w:ascii="宋体" w:hAnsi="宋体" w:cs="宋体"/>
          <w:b/>
          <w:color w:val="auto"/>
          <w:sz w:val="24"/>
          <w:szCs w:val="20"/>
        </w:rPr>
        <w:br w:type="page"/>
      </w:r>
    </w:p>
    <w:p w14:paraId="2A1D0F17">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09B775A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DD6DC6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0DB7BF5D">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53678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98527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218121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265A087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2E36ED8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E4EEB9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0226D39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35752034">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60EB918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024C14A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ADBE66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64DDD7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55D549B2">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2C3DEF84">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6F3D623">
      <w:pPr>
        <w:adjustRightInd w:val="0"/>
        <w:snapToGrid w:val="0"/>
        <w:spacing w:line="360" w:lineRule="auto"/>
        <w:jc w:val="center"/>
        <w:rPr>
          <w:rFonts w:hint="eastAsia" w:ascii="宋体" w:hAnsi="宋体" w:cs="宋体"/>
          <w:b/>
          <w:color w:val="auto"/>
          <w:sz w:val="24"/>
          <w:szCs w:val="20"/>
        </w:rPr>
      </w:pPr>
    </w:p>
    <w:p w14:paraId="40F1283F">
      <w:pPr>
        <w:adjustRightInd w:val="0"/>
        <w:snapToGrid w:val="0"/>
        <w:spacing w:line="360" w:lineRule="auto"/>
        <w:rPr>
          <w:rFonts w:hint="eastAsia" w:ascii="宋体" w:hAnsi="宋体" w:cs="宋体"/>
          <w:b/>
          <w:color w:val="auto"/>
          <w:sz w:val="24"/>
          <w:szCs w:val="20"/>
        </w:rPr>
      </w:pPr>
    </w:p>
    <w:p w14:paraId="5128EA67">
      <w:pPr>
        <w:adjustRightInd w:val="0"/>
        <w:snapToGrid w:val="0"/>
        <w:spacing w:line="360" w:lineRule="auto"/>
        <w:rPr>
          <w:rFonts w:hint="eastAsia" w:ascii="宋体" w:hAnsi="宋体" w:cs="宋体"/>
          <w:b/>
          <w:color w:val="auto"/>
          <w:sz w:val="24"/>
          <w:szCs w:val="20"/>
        </w:rPr>
      </w:pPr>
    </w:p>
    <w:p w14:paraId="27E5A23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78E56FA9">
      <w:pPr>
        <w:adjustRightInd w:val="0"/>
        <w:snapToGrid w:val="0"/>
        <w:spacing w:line="360" w:lineRule="auto"/>
        <w:jc w:val="center"/>
        <w:rPr>
          <w:rFonts w:hint="eastAsia" w:ascii="宋体" w:hAnsi="宋体" w:cs="宋体"/>
          <w:b/>
          <w:color w:val="auto"/>
          <w:sz w:val="24"/>
          <w:szCs w:val="20"/>
        </w:rPr>
      </w:pPr>
    </w:p>
    <w:p w14:paraId="675A77B9">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3EFCC07C">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802804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9A5AFCB">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8865E0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D7A1C8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8FD500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6D76AF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6755BE39">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2DEE619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663AA6F9">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15BE5D0A">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CEF50E">
      <w:pPr>
        <w:jc w:val="left"/>
        <w:rPr>
          <w:rFonts w:hint="eastAsia" w:ascii="宋体" w:hAnsi="宋体" w:eastAsia="宋体" w:cs="Times New Roman"/>
          <w:b w:val="0"/>
          <w:bCs w:val="0"/>
          <w:color w:val="auto"/>
          <w:kern w:val="2"/>
          <w:sz w:val="24"/>
          <w:szCs w:val="24"/>
          <w:lang w:val="en-US" w:eastAsia="zh-CN" w:bidi="ar-SA"/>
        </w:rPr>
      </w:pPr>
    </w:p>
    <w:p w14:paraId="30756FE5">
      <w:pPr>
        <w:jc w:val="left"/>
        <w:rPr>
          <w:rFonts w:hint="eastAsia" w:ascii="宋体" w:hAnsi="宋体" w:eastAsia="宋体" w:cs="Times New Roman"/>
          <w:b w:val="0"/>
          <w:bCs w:val="0"/>
          <w:color w:val="auto"/>
          <w:kern w:val="2"/>
          <w:sz w:val="24"/>
          <w:szCs w:val="24"/>
          <w:lang w:val="en-US" w:eastAsia="zh-CN" w:bidi="ar-SA"/>
        </w:rPr>
      </w:pPr>
    </w:p>
    <w:p w14:paraId="15990E6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97D7B90">
      <w:pPr>
        <w:jc w:val="center"/>
        <w:rPr>
          <w:rFonts w:hint="eastAsia" w:ascii="宋体" w:hAnsi="宋体" w:cs="宋体"/>
          <w:b/>
          <w:color w:val="auto"/>
          <w:sz w:val="24"/>
        </w:rPr>
        <w:sectPr>
          <w:headerReference r:id="rId5" w:type="default"/>
          <w:footerReference r:id="rId6" w:type="default"/>
          <w:pgSz w:w="11906" w:h="16838"/>
          <w:pgMar w:top="1440" w:right="1080" w:bottom="1440" w:left="1080" w:header="567" w:footer="283" w:gutter="0"/>
          <w:pgNumType w:fmt="decimal" w:start="1"/>
          <w:cols w:space="720" w:num="1"/>
          <w:docGrid w:linePitch="312" w:charSpace="0"/>
        </w:sectPr>
      </w:pPr>
    </w:p>
    <w:p w14:paraId="2D0C4DC7">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62A84631">
      <w:pPr>
        <w:pStyle w:val="18"/>
        <w:rPr>
          <w:rFonts w:hint="eastAsia"/>
          <w:lang w:eastAsia="zh-CN"/>
        </w:rPr>
      </w:pPr>
    </w:p>
    <w:p w14:paraId="7C3A650F">
      <w:pPr>
        <w:spacing w:before="120" w:beforeLines="50" w:after="120" w:afterLines="50" w:line="276" w:lineRule="auto"/>
        <w:jc w:val="center"/>
        <w:rPr>
          <w:b/>
          <w:color w:val="auto"/>
          <w:sz w:val="24"/>
        </w:rPr>
      </w:pPr>
      <w:r>
        <w:rPr>
          <w:b/>
          <w:color w:val="auto"/>
          <w:sz w:val="24"/>
        </w:rPr>
        <w:t>采购需求响应/偏离表</w:t>
      </w:r>
    </w:p>
    <w:p w14:paraId="08E5B6D6">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7E6D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35B2D26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2E39D26F">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08D2C1B3">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515E670">
            <w:pPr>
              <w:adjustRightInd w:val="0"/>
              <w:snapToGrid w:val="0"/>
              <w:spacing w:before="50" w:line="360" w:lineRule="auto"/>
              <w:jc w:val="center"/>
              <w:rPr>
                <w:color w:val="auto"/>
              </w:rPr>
            </w:pPr>
            <w:r>
              <w:rPr>
                <w:color w:val="auto"/>
              </w:rPr>
              <w:t>投标文件应答</w:t>
            </w:r>
          </w:p>
        </w:tc>
        <w:tc>
          <w:tcPr>
            <w:tcW w:w="1513" w:type="dxa"/>
            <w:noWrap w:val="0"/>
            <w:vAlign w:val="center"/>
          </w:tcPr>
          <w:p w14:paraId="5FDFAC2D">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52B13AE">
            <w:pPr>
              <w:adjustRightInd w:val="0"/>
              <w:snapToGrid w:val="0"/>
              <w:spacing w:before="50" w:line="360" w:lineRule="auto"/>
              <w:ind w:left="-88" w:leftChars="-42"/>
              <w:jc w:val="center"/>
              <w:rPr>
                <w:color w:val="auto"/>
                <w:szCs w:val="21"/>
              </w:rPr>
            </w:pPr>
            <w:r>
              <w:rPr>
                <w:color w:val="auto"/>
                <w:szCs w:val="21"/>
              </w:rPr>
              <w:t>偏离说明</w:t>
            </w:r>
          </w:p>
        </w:tc>
      </w:tr>
      <w:tr w14:paraId="36F3D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29A584E">
            <w:pPr>
              <w:adjustRightInd w:val="0"/>
              <w:snapToGrid w:val="0"/>
              <w:spacing w:before="50" w:line="360" w:lineRule="auto"/>
              <w:ind w:left="-88" w:leftChars="-42"/>
              <w:jc w:val="center"/>
              <w:rPr>
                <w:color w:val="auto"/>
                <w:szCs w:val="21"/>
              </w:rPr>
            </w:pPr>
          </w:p>
        </w:tc>
        <w:tc>
          <w:tcPr>
            <w:tcW w:w="1877" w:type="dxa"/>
            <w:noWrap w:val="0"/>
            <w:vAlign w:val="center"/>
          </w:tcPr>
          <w:p w14:paraId="04FA1F79">
            <w:pPr>
              <w:adjustRightInd w:val="0"/>
              <w:snapToGrid w:val="0"/>
              <w:spacing w:before="50" w:line="360" w:lineRule="auto"/>
              <w:ind w:left="-88" w:leftChars="-42"/>
              <w:jc w:val="center"/>
              <w:rPr>
                <w:color w:val="auto"/>
                <w:szCs w:val="21"/>
              </w:rPr>
            </w:pPr>
          </w:p>
        </w:tc>
        <w:tc>
          <w:tcPr>
            <w:tcW w:w="1671" w:type="dxa"/>
            <w:noWrap w:val="0"/>
            <w:vAlign w:val="center"/>
          </w:tcPr>
          <w:p w14:paraId="111429EA">
            <w:pPr>
              <w:adjustRightInd w:val="0"/>
              <w:snapToGrid w:val="0"/>
              <w:spacing w:before="50" w:line="360" w:lineRule="auto"/>
              <w:ind w:left="-88" w:leftChars="-42"/>
              <w:jc w:val="center"/>
              <w:rPr>
                <w:color w:val="auto"/>
                <w:szCs w:val="21"/>
              </w:rPr>
            </w:pPr>
          </w:p>
        </w:tc>
        <w:tc>
          <w:tcPr>
            <w:tcW w:w="1608" w:type="dxa"/>
            <w:noWrap w:val="0"/>
            <w:vAlign w:val="center"/>
          </w:tcPr>
          <w:p w14:paraId="3F5C712D">
            <w:pPr>
              <w:adjustRightInd w:val="0"/>
              <w:snapToGrid w:val="0"/>
              <w:spacing w:before="50" w:line="360" w:lineRule="auto"/>
              <w:ind w:left="-88" w:leftChars="-42"/>
              <w:jc w:val="center"/>
              <w:rPr>
                <w:color w:val="auto"/>
                <w:szCs w:val="21"/>
              </w:rPr>
            </w:pPr>
          </w:p>
        </w:tc>
        <w:tc>
          <w:tcPr>
            <w:tcW w:w="1513" w:type="dxa"/>
            <w:noWrap w:val="0"/>
            <w:vAlign w:val="center"/>
          </w:tcPr>
          <w:p w14:paraId="1FD267E1">
            <w:pPr>
              <w:adjustRightInd w:val="0"/>
              <w:snapToGrid w:val="0"/>
              <w:spacing w:before="50" w:line="360" w:lineRule="auto"/>
              <w:ind w:left="-88" w:leftChars="-42"/>
              <w:jc w:val="center"/>
              <w:rPr>
                <w:color w:val="auto"/>
                <w:szCs w:val="21"/>
              </w:rPr>
            </w:pPr>
          </w:p>
        </w:tc>
        <w:tc>
          <w:tcPr>
            <w:tcW w:w="1061" w:type="dxa"/>
            <w:noWrap w:val="0"/>
            <w:vAlign w:val="center"/>
          </w:tcPr>
          <w:p w14:paraId="1B0463B5">
            <w:pPr>
              <w:adjustRightInd w:val="0"/>
              <w:snapToGrid w:val="0"/>
              <w:spacing w:before="50" w:line="360" w:lineRule="auto"/>
              <w:ind w:left="-88" w:leftChars="-42"/>
              <w:jc w:val="center"/>
              <w:rPr>
                <w:color w:val="auto"/>
                <w:szCs w:val="21"/>
              </w:rPr>
            </w:pPr>
          </w:p>
        </w:tc>
      </w:tr>
      <w:tr w14:paraId="3C6C5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DE623C7">
            <w:pPr>
              <w:adjustRightInd w:val="0"/>
              <w:snapToGrid w:val="0"/>
              <w:spacing w:before="50" w:line="360" w:lineRule="auto"/>
              <w:ind w:left="-88" w:leftChars="-42"/>
              <w:jc w:val="center"/>
              <w:rPr>
                <w:color w:val="auto"/>
                <w:szCs w:val="21"/>
              </w:rPr>
            </w:pPr>
          </w:p>
        </w:tc>
        <w:tc>
          <w:tcPr>
            <w:tcW w:w="1877" w:type="dxa"/>
            <w:noWrap w:val="0"/>
            <w:vAlign w:val="center"/>
          </w:tcPr>
          <w:p w14:paraId="0139CDB7">
            <w:pPr>
              <w:adjustRightInd w:val="0"/>
              <w:snapToGrid w:val="0"/>
              <w:spacing w:before="50" w:line="360" w:lineRule="auto"/>
              <w:ind w:left="-88" w:leftChars="-42"/>
              <w:jc w:val="center"/>
              <w:rPr>
                <w:color w:val="auto"/>
                <w:szCs w:val="21"/>
              </w:rPr>
            </w:pPr>
          </w:p>
        </w:tc>
        <w:tc>
          <w:tcPr>
            <w:tcW w:w="1671" w:type="dxa"/>
            <w:noWrap w:val="0"/>
            <w:vAlign w:val="center"/>
          </w:tcPr>
          <w:p w14:paraId="74FA9D80">
            <w:pPr>
              <w:adjustRightInd w:val="0"/>
              <w:snapToGrid w:val="0"/>
              <w:spacing w:before="50" w:line="360" w:lineRule="auto"/>
              <w:ind w:left="-88" w:leftChars="-42"/>
              <w:jc w:val="center"/>
              <w:rPr>
                <w:color w:val="auto"/>
                <w:szCs w:val="21"/>
              </w:rPr>
            </w:pPr>
          </w:p>
        </w:tc>
        <w:tc>
          <w:tcPr>
            <w:tcW w:w="1608" w:type="dxa"/>
            <w:noWrap w:val="0"/>
            <w:vAlign w:val="center"/>
          </w:tcPr>
          <w:p w14:paraId="4DF49294">
            <w:pPr>
              <w:adjustRightInd w:val="0"/>
              <w:snapToGrid w:val="0"/>
              <w:spacing w:before="50" w:line="360" w:lineRule="auto"/>
              <w:ind w:left="-88" w:leftChars="-42"/>
              <w:jc w:val="center"/>
              <w:rPr>
                <w:color w:val="auto"/>
                <w:szCs w:val="21"/>
              </w:rPr>
            </w:pPr>
          </w:p>
        </w:tc>
        <w:tc>
          <w:tcPr>
            <w:tcW w:w="1513" w:type="dxa"/>
            <w:noWrap w:val="0"/>
            <w:vAlign w:val="center"/>
          </w:tcPr>
          <w:p w14:paraId="72CDE795">
            <w:pPr>
              <w:adjustRightInd w:val="0"/>
              <w:snapToGrid w:val="0"/>
              <w:spacing w:before="50" w:line="360" w:lineRule="auto"/>
              <w:ind w:left="-88" w:leftChars="-42"/>
              <w:jc w:val="center"/>
              <w:rPr>
                <w:color w:val="auto"/>
                <w:szCs w:val="21"/>
              </w:rPr>
            </w:pPr>
          </w:p>
        </w:tc>
        <w:tc>
          <w:tcPr>
            <w:tcW w:w="1061" w:type="dxa"/>
            <w:noWrap w:val="0"/>
            <w:vAlign w:val="center"/>
          </w:tcPr>
          <w:p w14:paraId="35D7F53B">
            <w:pPr>
              <w:adjustRightInd w:val="0"/>
              <w:snapToGrid w:val="0"/>
              <w:spacing w:before="50" w:line="360" w:lineRule="auto"/>
              <w:ind w:left="-88" w:leftChars="-42"/>
              <w:jc w:val="center"/>
              <w:rPr>
                <w:color w:val="auto"/>
                <w:szCs w:val="21"/>
              </w:rPr>
            </w:pPr>
          </w:p>
        </w:tc>
      </w:tr>
      <w:tr w14:paraId="6DCDB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627" w:type="dxa"/>
            <w:noWrap w:val="0"/>
            <w:vAlign w:val="center"/>
          </w:tcPr>
          <w:p w14:paraId="77C5504F">
            <w:pPr>
              <w:adjustRightInd w:val="0"/>
              <w:snapToGrid w:val="0"/>
              <w:spacing w:before="50" w:line="360" w:lineRule="auto"/>
              <w:ind w:left="-88" w:leftChars="-42"/>
              <w:jc w:val="center"/>
              <w:rPr>
                <w:color w:val="auto"/>
                <w:szCs w:val="21"/>
              </w:rPr>
            </w:pPr>
          </w:p>
        </w:tc>
        <w:tc>
          <w:tcPr>
            <w:tcW w:w="1877" w:type="dxa"/>
            <w:noWrap w:val="0"/>
            <w:vAlign w:val="center"/>
          </w:tcPr>
          <w:p w14:paraId="3FC5B1D9">
            <w:pPr>
              <w:adjustRightInd w:val="0"/>
              <w:snapToGrid w:val="0"/>
              <w:spacing w:before="50" w:line="360" w:lineRule="auto"/>
              <w:ind w:left="-88" w:leftChars="-42"/>
              <w:jc w:val="center"/>
              <w:rPr>
                <w:color w:val="auto"/>
                <w:szCs w:val="21"/>
              </w:rPr>
            </w:pPr>
          </w:p>
        </w:tc>
        <w:tc>
          <w:tcPr>
            <w:tcW w:w="1671" w:type="dxa"/>
            <w:noWrap w:val="0"/>
            <w:vAlign w:val="center"/>
          </w:tcPr>
          <w:p w14:paraId="6B2107E1">
            <w:pPr>
              <w:adjustRightInd w:val="0"/>
              <w:snapToGrid w:val="0"/>
              <w:spacing w:before="50" w:line="360" w:lineRule="auto"/>
              <w:ind w:left="-88" w:leftChars="-42"/>
              <w:jc w:val="center"/>
              <w:rPr>
                <w:color w:val="auto"/>
                <w:szCs w:val="21"/>
              </w:rPr>
            </w:pPr>
          </w:p>
        </w:tc>
        <w:tc>
          <w:tcPr>
            <w:tcW w:w="1608" w:type="dxa"/>
            <w:noWrap w:val="0"/>
            <w:vAlign w:val="center"/>
          </w:tcPr>
          <w:p w14:paraId="50438157">
            <w:pPr>
              <w:adjustRightInd w:val="0"/>
              <w:snapToGrid w:val="0"/>
              <w:spacing w:before="50" w:line="360" w:lineRule="auto"/>
              <w:ind w:left="-88" w:leftChars="-42"/>
              <w:jc w:val="center"/>
              <w:rPr>
                <w:color w:val="auto"/>
                <w:szCs w:val="21"/>
              </w:rPr>
            </w:pPr>
          </w:p>
        </w:tc>
        <w:tc>
          <w:tcPr>
            <w:tcW w:w="1513" w:type="dxa"/>
            <w:noWrap w:val="0"/>
            <w:vAlign w:val="center"/>
          </w:tcPr>
          <w:p w14:paraId="2617429B">
            <w:pPr>
              <w:adjustRightInd w:val="0"/>
              <w:snapToGrid w:val="0"/>
              <w:spacing w:before="50" w:line="360" w:lineRule="auto"/>
              <w:ind w:left="-88" w:leftChars="-42"/>
              <w:jc w:val="center"/>
              <w:rPr>
                <w:color w:val="auto"/>
                <w:szCs w:val="21"/>
              </w:rPr>
            </w:pPr>
          </w:p>
        </w:tc>
        <w:tc>
          <w:tcPr>
            <w:tcW w:w="1061" w:type="dxa"/>
            <w:noWrap w:val="0"/>
            <w:vAlign w:val="center"/>
          </w:tcPr>
          <w:p w14:paraId="469BAD0E">
            <w:pPr>
              <w:adjustRightInd w:val="0"/>
              <w:snapToGrid w:val="0"/>
              <w:spacing w:before="50" w:line="360" w:lineRule="auto"/>
              <w:ind w:left="-88" w:leftChars="-42"/>
              <w:jc w:val="center"/>
              <w:rPr>
                <w:color w:val="auto"/>
                <w:szCs w:val="21"/>
              </w:rPr>
            </w:pPr>
          </w:p>
        </w:tc>
      </w:tr>
      <w:tr w14:paraId="46674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497E606C">
            <w:pPr>
              <w:rPr>
                <w:b/>
                <w:color w:val="auto"/>
              </w:rPr>
            </w:pPr>
          </w:p>
        </w:tc>
      </w:tr>
    </w:tbl>
    <w:p w14:paraId="40556A6B">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48C94C08">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7C43CBC0">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075DFE47">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0DA40BA3">
      <w:pPr>
        <w:pStyle w:val="19"/>
        <w:rPr>
          <w:color w:val="auto"/>
        </w:rPr>
      </w:pPr>
    </w:p>
    <w:p w14:paraId="0EFEE20B">
      <w:pPr>
        <w:pStyle w:val="18"/>
        <w:rPr>
          <w:rFonts w:hint="eastAsia"/>
          <w:lang w:eastAsia="zh-CN"/>
        </w:rPr>
      </w:pPr>
    </w:p>
    <w:p w14:paraId="2CB8A4F5"/>
    <w:p w14:paraId="58D1B8B1">
      <w:pPr>
        <w:pStyle w:val="19"/>
        <w:rPr>
          <w:color w:val="auto"/>
        </w:rPr>
      </w:pPr>
    </w:p>
    <w:p w14:paraId="43E00E01">
      <w:pPr>
        <w:pStyle w:val="18"/>
        <w:rPr>
          <w:rFonts w:hint="eastAsia"/>
          <w:lang w:eastAsia="zh-CN"/>
        </w:rPr>
      </w:pPr>
    </w:p>
    <w:p w14:paraId="53FA0AAC"/>
    <w:p w14:paraId="36507233"/>
    <w:p w14:paraId="5AA899CA"/>
    <w:p w14:paraId="2936BFC4"/>
    <w:p w14:paraId="740A0EF9"/>
    <w:p w14:paraId="57A7D16B"/>
    <w:p w14:paraId="003C5A4F"/>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9C88">
    <w:pPr>
      <w:pStyle w:val="9"/>
      <w:rPr>
        <w:rFonts w:hint="eastAsia" w:ascii="仿宋_GB2312" w:eastAsia="仿宋_GB2312"/>
        <w:bCs/>
        <w:u w:val="singl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20831">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D20831">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1A9478CC">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4788">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BD7ABD19"/>
    <w:multiLevelType w:val="singleLevel"/>
    <w:tmpl w:val="BD7ABD19"/>
    <w:lvl w:ilvl="0" w:tentative="0">
      <w:start w:val="1"/>
      <w:numFmt w:val="decimal"/>
      <w:suff w:val="nothing"/>
      <w:lvlText w:val="%1、"/>
      <w:lvlJc w:val="left"/>
    </w:lvl>
  </w:abstractNum>
  <w:abstractNum w:abstractNumId="2">
    <w:nsid w:val="EB67FE42"/>
    <w:multiLevelType w:val="singleLevel"/>
    <w:tmpl w:val="EB67FE4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CAD77BD"/>
    <w:rsid w:val="0E331420"/>
    <w:rsid w:val="0EDD1643"/>
    <w:rsid w:val="0FB9029C"/>
    <w:rsid w:val="10897B23"/>
    <w:rsid w:val="10914EF9"/>
    <w:rsid w:val="10B8663C"/>
    <w:rsid w:val="114A6E83"/>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4E375C9"/>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7DE919F"/>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3FEF41F9"/>
    <w:rsid w:val="3FF36FC1"/>
    <w:rsid w:val="403B4B34"/>
    <w:rsid w:val="4140452A"/>
    <w:rsid w:val="414D7889"/>
    <w:rsid w:val="41BB0BAE"/>
    <w:rsid w:val="425629F5"/>
    <w:rsid w:val="4284152B"/>
    <w:rsid w:val="429A4992"/>
    <w:rsid w:val="435B161D"/>
    <w:rsid w:val="43B25DAC"/>
    <w:rsid w:val="44771DFD"/>
    <w:rsid w:val="45D569C3"/>
    <w:rsid w:val="475F9F54"/>
    <w:rsid w:val="479B74B7"/>
    <w:rsid w:val="48735221"/>
    <w:rsid w:val="49E92B05"/>
    <w:rsid w:val="4A354E62"/>
    <w:rsid w:val="4AEE1A11"/>
    <w:rsid w:val="4B7F39F4"/>
    <w:rsid w:val="4BAE646F"/>
    <w:rsid w:val="4CAC1559"/>
    <w:rsid w:val="4D1D09A0"/>
    <w:rsid w:val="4D754257"/>
    <w:rsid w:val="4DCD6AB3"/>
    <w:rsid w:val="4E334DF1"/>
    <w:rsid w:val="4EE7662F"/>
    <w:rsid w:val="50216DCD"/>
    <w:rsid w:val="50540C20"/>
    <w:rsid w:val="506258C6"/>
    <w:rsid w:val="51AC28BD"/>
    <w:rsid w:val="52183ACC"/>
    <w:rsid w:val="5275566D"/>
    <w:rsid w:val="53238E8B"/>
    <w:rsid w:val="53B55872"/>
    <w:rsid w:val="544055F2"/>
    <w:rsid w:val="54AD4386"/>
    <w:rsid w:val="55D8243C"/>
    <w:rsid w:val="575FAF7E"/>
    <w:rsid w:val="581A7C72"/>
    <w:rsid w:val="583A4BD7"/>
    <w:rsid w:val="59C74B1F"/>
    <w:rsid w:val="5A886F59"/>
    <w:rsid w:val="5BDF167E"/>
    <w:rsid w:val="5F153ADC"/>
    <w:rsid w:val="604D5946"/>
    <w:rsid w:val="611B6B1B"/>
    <w:rsid w:val="62C222C2"/>
    <w:rsid w:val="632D7C40"/>
    <w:rsid w:val="63F39F53"/>
    <w:rsid w:val="64133D6A"/>
    <w:rsid w:val="64245572"/>
    <w:rsid w:val="674A3DD5"/>
    <w:rsid w:val="678E4F5D"/>
    <w:rsid w:val="67F3562A"/>
    <w:rsid w:val="67FFBBE3"/>
    <w:rsid w:val="680E122C"/>
    <w:rsid w:val="6A4E1D63"/>
    <w:rsid w:val="6C486FE4"/>
    <w:rsid w:val="6CA409DF"/>
    <w:rsid w:val="6DE375E4"/>
    <w:rsid w:val="6E8E5287"/>
    <w:rsid w:val="6FAC3B48"/>
    <w:rsid w:val="6FAD463B"/>
    <w:rsid w:val="6FBE332C"/>
    <w:rsid w:val="6FFF67CC"/>
    <w:rsid w:val="70CE0BC9"/>
    <w:rsid w:val="71554367"/>
    <w:rsid w:val="71584067"/>
    <w:rsid w:val="71F26E91"/>
    <w:rsid w:val="735201FF"/>
    <w:rsid w:val="737B50A4"/>
    <w:rsid w:val="73F40E72"/>
    <w:rsid w:val="74566F5C"/>
    <w:rsid w:val="74D6FB2A"/>
    <w:rsid w:val="750117A8"/>
    <w:rsid w:val="755B2270"/>
    <w:rsid w:val="75E27514"/>
    <w:rsid w:val="76920D75"/>
    <w:rsid w:val="76C47877"/>
    <w:rsid w:val="77423DFF"/>
    <w:rsid w:val="77FD832A"/>
    <w:rsid w:val="783B5EA9"/>
    <w:rsid w:val="78B114A6"/>
    <w:rsid w:val="79EB699D"/>
    <w:rsid w:val="79FFEA3A"/>
    <w:rsid w:val="7A3E5854"/>
    <w:rsid w:val="7ABA298D"/>
    <w:rsid w:val="7B0620DE"/>
    <w:rsid w:val="7B7D7C18"/>
    <w:rsid w:val="7BBF44BB"/>
    <w:rsid w:val="7BF15CE4"/>
    <w:rsid w:val="7C3A27E5"/>
    <w:rsid w:val="7D9727DD"/>
    <w:rsid w:val="7EFB4F6E"/>
    <w:rsid w:val="7F164138"/>
    <w:rsid w:val="7F1A5E95"/>
    <w:rsid w:val="7FFB0877"/>
    <w:rsid w:val="7FFE88A1"/>
    <w:rsid w:val="AFDF5C35"/>
    <w:rsid w:val="BFF77D2B"/>
    <w:rsid w:val="DBDE3CFA"/>
    <w:rsid w:val="DFF97BBC"/>
    <w:rsid w:val="DFFF05F4"/>
    <w:rsid w:val="ED6D9162"/>
    <w:rsid w:val="EF7B1925"/>
    <w:rsid w:val="FB6F87D3"/>
    <w:rsid w:val="FBBD03F1"/>
    <w:rsid w:val="FDF7EAA8"/>
    <w:rsid w:val="FDFF9C76"/>
    <w:rsid w:val="FEAFF452"/>
    <w:rsid w:val="FEE34724"/>
    <w:rsid w:val="FF1EFC35"/>
    <w:rsid w:val="FFC8EF32"/>
    <w:rsid w:val="FFD76697"/>
    <w:rsid w:val="FFE1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0"/>
    <w:pPr>
      <w:keepNext/>
      <w:keepLines/>
      <w:spacing w:line="360" w:lineRule="auto"/>
      <w:outlineLvl w:val="1"/>
    </w:pPr>
    <w:rPr>
      <w:b/>
      <w:bCs/>
      <w:sz w:val="24"/>
      <w:szCs w:val="32"/>
    </w:rPr>
  </w:style>
  <w:style w:type="paragraph" w:styleId="4">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Indent"/>
    <w:basedOn w:val="1"/>
    <w:autoRedefine/>
    <w:qFormat/>
    <w:uiPriority w:val="99"/>
    <w:pPr>
      <w:spacing w:line="400" w:lineRule="exact"/>
      <w:ind w:left="630"/>
    </w:pPr>
    <w:rPr>
      <w:rFonts w:ascii="楷体_GB2312"/>
      <w:sz w:val="30"/>
      <w:szCs w:val="30"/>
    </w:rPr>
  </w:style>
  <w:style w:type="paragraph" w:styleId="8">
    <w:name w:val="Date"/>
    <w:basedOn w:val="1"/>
    <w:next w:val="1"/>
    <w:qFormat/>
    <w:uiPriority w:val="0"/>
    <w:rPr>
      <w:color w:val="000000"/>
      <w:kern w:val="0"/>
      <w:sz w:val="3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7"/>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大标题"/>
    <w:basedOn w:val="1"/>
    <w:next w:val="12"/>
    <w:autoRedefine/>
    <w:qFormat/>
    <w:uiPriority w:val="0"/>
    <w:pPr>
      <w:jc w:val="center"/>
    </w:pPr>
    <w:rPr>
      <w:rFonts w:ascii="Arial" w:hAnsi="Arial" w:eastAsia="宋体"/>
      <w:b/>
      <w:sz w:val="28"/>
      <w:szCs w:val="24"/>
    </w:rPr>
  </w:style>
  <w:style w:type="paragraph" w:customStyle="1" w:styleId="1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2828</Words>
  <Characters>3174</Characters>
  <Lines>0</Lines>
  <Paragraphs>0</Paragraphs>
  <TotalTime>0</TotalTime>
  <ScaleCrop>false</ScaleCrop>
  <LinksUpToDate>false</LinksUpToDate>
  <CharactersWithSpaces>3216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2023-07-19T17:45:00Z</dcterms:created>
  <dc:creator>是小豹子</dc:creator>
  <cp:lastModifiedBy>沁sqr</cp:lastModifiedBy>
  <dcterms:modified xsi:type="dcterms:W3CDTF">2026-06-23T14:11:28Z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