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ED3ED">
      <w:pPr>
        <w:pStyle w:val="5"/>
        <w:snapToGrid w:val="0"/>
        <w:jc w:val="center"/>
        <w:rPr>
          <w:rFonts w:hint="eastAsia" w:ascii="Arial" w:hAnsi="Arial" w:eastAsia="方正小标宋简体" w:cs="Arial"/>
          <w:sz w:val="72"/>
          <w:szCs w:val="72"/>
        </w:rPr>
      </w:pPr>
      <w:bookmarkStart w:id="0" w:name="_Toc16523570"/>
    </w:p>
    <w:p w14:paraId="6165DD4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240C7846">
      <w:pPr>
        <w:pStyle w:val="5"/>
        <w:snapToGrid w:val="0"/>
        <w:jc w:val="center"/>
        <w:rPr>
          <w:rFonts w:hint="eastAsia" w:ascii="Arial" w:hAnsi="Arial" w:eastAsia="方正小标宋简体" w:cs="Arial"/>
          <w:sz w:val="72"/>
          <w:szCs w:val="72"/>
        </w:rPr>
      </w:pPr>
    </w:p>
    <w:p w14:paraId="635FE321">
      <w:pPr>
        <w:pStyle w:val="5"/>
        <w:snapToGrid w:val="0"/>
        <w:jc w:val="center"/>
        <w:rPr>
          <w:rFonts w:hint="eastAsia" w:ascii="Arial" w:hAnsi="Arial" w:eastAsia="方正小标宋简体" w:cs="Arial"/>
          <w:sz w:val="72"/>
          <w:szCs w:val="72"/>
        </w:rPr>
      </w:pPr>
    </w:p>
    <w:p w14:paraId="69D3AD3F">
      <w:pPr>
        <w:pStyle w:val="5"/>
        <w:snapToGrid w:val="0"/>
        <w:jc w:val="center"/>
        <w:rPr>
          <w:rFonts w:hint="eastAsia" w:ascii="Arial" w:hAnsi="Arial" w:eastAsia="方正小标宋简体" w:cs="Arial"/>
          <w:sz w:val="72"/>
          <w:szCs w:val="72"/>
        </w:rPr>
      </w:pPr>
    </w:p>
    <w:p w14:paraId="6760F3CC">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136B4FFC">
      <w:pPr>
        <w:pStyle w:val="5"/>
        <w:snapToGrid w:val="0"/>
        <w:jc w:val="center"/>
        <w:rPr>
          <w:rFonts w:ascii="Arial" w:hAnsi="Arial" w:cs="Arial"/>
          <w:sz w:val="32"/>
          <w:szCs w:val="32"/>
        </w:rPr>
      </w:pPr>
    </w:p>
    <w:p w14:paraId="344FBE05">
      <w:pPr>
        <w:pStyle w:val="21"/>
        <w:rPr>
          <w:rFonts w:ascii="Arial" w:hAnsi="Arial" w:cs="Arial"/>
          <w:sz w:val="32"/>
          <w:szCs w:val="32"/>
        </w:rPr>
      </w:pPr>
    </w:p>
    <w:p w14:paraId="3072D5FC">
      <w:pPr>
        <w:pStyle w:val="14"/>
        <w:rPr>
          <w:rFonts w:ascii="Arial" w:hAnsi="Arial" w:cs="Arial"/>
          <w:sz w:val="32"/>
          <w:szCs w:val="32"/>
        </w:rPr>
      </w:pPr>
    </w:p>
    <w:p w14:paraId="1CD32D3E">
      <w:pPr>
        <w:pStyle w:val="14"/>
        <w:rPr>
          <w:rFonts w:ascii="Arial" w:hAnsi="Arial" w:cs="Arial"/>
          <w:sz w:val="32"/>
          <w:szCs w:val="32"/>
        </w:rPr>
      </w:pPr>
    </w:p>
    <w:p w14:paraId="191865C5">
      <w:pPr>
        <w:pStyle w:val="14"/>
        <w:rPr>
          <w:rFonts w:ascii="Arial" w:hAnsi="Arial" w:cs="Arial"/>
          <w:sz w:val="32"/>
          <w:szCs w:val="32"/>
        </w:rPr>
      </w:pPr>
    </w:p>
    <w:p w14:paraId="00BD03D4">
      <w:pPr>
        <w:pStyle w:val="14"/>
        <w:rPr>
          <w:rFonts w:ascii="Arial" w:hAnsi="Arial" w:cs="Arial"/>
          <w:sz w:val="32"/>
          <w:szCs w:val="32"/>
        </w:rPr>
      </w:pPr>
    </w:p>
    <w:p w14:paraId="5B1AF6E9">
      <w:pPr>
        <w:pStyle w:val="14"/>
        <w:rPr>
          <w:rFonts w:ascii="Arial" w:hAnsi="Arial" w:cs="Arial"/>
          <w:sz w:val="32"/>
          <w:szCs w:val="32"/>
        </w:rPr>
      </w:pPr>
    </w:p>
    <w:p w14:paraId="5EDC9EA3">
      <w:pPr>
        <w:pStyle w:val="14"/>
        <w:rPr>
          <w:rFonts w:ascii="Arial" w:hAnsi="Arial" w:cs="Arial"/>
          <w:sz w:val="32"/>
          <w:szCs w:val="32"/>
        </w:rPr>
      </w:pPr>
    </w:p>
    <w:p w14:paraId="163589A0">
      <w:pPr>
        <w:pStyle w:val="14"/>
        <w:rPr>
          <w:rFonts w:ascii="Arial" w:hAnsi="Arial" w:cs="Arial"/>
          <w:sz w:val="32"/>
          <w:szCs w:val="32"/>
        </w:rPr>
      </w:pPr>
    </w:p>
    <w:p w14:paraId="22B3FB66">
      <w:pPr>
        <w:pStyle w:val="5"/>
        <w:snapToGrid w:val="0"/>
        <w:jc w:val="center"/>
        <w:rPr>
          <w:rFonts w:ascii="Arial" w:hAnsi="Arial" w:cs="Arial"/>
          <w:sz w:val="32"/>
          <w:szCs w:val="32"/>
        </w:rPr>
      </w:pPr>
    </w:p>
    <w:p w14:paraId="66BAB724">
      <w:pPr>
        <w:pStyle w:val="5"/>
        <w:snapToGrid w:val="0"/>
        <w:jc w:val="center"/>
        <w:rPr>
          <w:rFonts w:ascii="Arial" w:hAnsi="Arial" w:cs="Arial"/>
          <w:sz w:val="32"/>
          <w:szCs w:val="32"/>
        </w:rPr>
      </w:pPr>
    </w:p>
    <w:p w14:paraId="5BE24A3F">
      <w:pPr>
        <w:spacing w:line="360" w:lineRule="auto"/>
        <w:rPr>
          <w:rFonts w:hint="eastAsia"/>
          <w:bCs/>
          <w:sz w:val="32"/>
          <w:szCs w:val="32"/>
        </w:rPr>
      </w:pPr>
    </w:p>
    <w:p w14:paraId="677D4F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娄底市中心医院（含娄底医院）造价及工程结算审计咨询服务机构遴选项目</w:t>
      </w:r>
    </w:p>
    <w:p w14:paraId="018BCF4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5FDDD31C">
      <w:pPr>
        <w:spacing w:line="320" w:lineRule="exact"/>
        <w:jc w:val="left"/>
        <w:rPr>
          <w:sz w:val="24"/>
        </w:rPr>
      </w:pPr>
    </w:p>
    <w:p w14:paraId="1995CCAC">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7F0F5473">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535BB9EC">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2CCB5FF4">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娄底市中心医院（含娄底医院）造价及工程结算审计咨询服务机构遴选项目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1BEBAEE9">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62DF0C6F">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娄底市中心医院（含娄底医院）造价及工程结算审计咨询服务机构遴选项目</w:t>
      </w:r>
    </w:p>
    <w:p w14:paraId="6B936CE3">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3A3BCB1">
      <w:pPr>
        <w:pStyle w:val="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A912075">
      <w:pPr>
        <w:pStyle w:val="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入围供应商数量：评标委员会按照上条规定对满足遴选文件实质性要求的投标文件进行排序,按得分由高到低顺序入围5名中标人。</w:t>
      </w:r>
    </w:p>
    <w:p w14:paraId="444B7D8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253091B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724C35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3AD029D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C83B5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2CC2ACE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7BE4C39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E85C3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1E7FBF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1、投标截止时间、开标时间：详见医院官网挂网表</w:t>
      </w:r>
    </w:p>
    <w:p w14:paraId="51F1ED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45DDDEA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AAC438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84645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CA443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EBF167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C11F4A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65DB118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7EBE3A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3D174B2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F35927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D55C5B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2976E4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34CEDBE2">
      <w:pPr>
        <w:pStyle w:val="21"/>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1.7、技术参数负偏离大于等于1条的。</w:t>
      </w:r>
    </w:p>
    <w:p w14:paraId="02D4F01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BBE224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2.1、投标截止时间止，投标人少于7家的；</w:t>
      </w:r>
    </w:p>
    <w:p w14:paraId="2EACB20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2.2、经评标委员会评审后，有效投标人少于7家的。</w:t>
      </w:r>
    </w:p>
    <w:p w14:paraId="12F0A2BC">
      <w:pPr>
        <w:pStyle w:val="21"/>
        <w:rPr>
          <w:rFonts w:hint="eastAsia"/>
          <w:lang w:val="en-US" w:eastAsia="zh-CN"/>
        </w:rPr>
      </w:pPr>
    </w:p>
    <w:p w14:paraId="580E4949">
      <w:pPr>
        <w:pStyle w:val="21"/>
        <w:jc w:val="both"/>
        <w:rPr>
          <w:rFonts w:hint="default"/>
          <w:lang w:val="en-US" w:eastAsia="zh-CN"/>
        </w:rPr>
      </w:pPr>
    </w:p>
    <w:p w14:paraId="3F0337F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2CC6FF2">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FEA6B2">
      <w:pPr>
        <w:pStyle w:val="21"/>
        <w:rPr>
          <w:rFonts w:hint="eastAsia" w:ascii="宋体" w:hAnsi="宋体" w:cs="宋体"/>
          <w:b/>
          <w:bCs/>
          <w:color w:val="auto"/>
          <w:sz w:val="44"/>
          <w:szCs w:val="44"/>
          <w:lang w:val="en-US" w:eastAsia="zh-CN"/>
        </w:rPr>
      </w:pPr>
    </w:p>
    <w:p w14:paraId="0FCE0BE5">
      <w:pPr>
        <w:pStyle w:val="14"/>
        <w:rPr>
          <w:rFonts w:hint="eastAsia" w:ascii="宋体" w:hAnsi="宋体" w:cs="宋体"/>
          <w:b/>
          <w:bCs/>
          <w:color w:val="auto"/>
          <w:sz w:val="44"/>
          <w:szCs w:val="44"/>
          <w:lang w:val="en-US" w:eastAsia="zh-CN"/>
        </w:rPr>
      </w:pPr>
    </w:p>
    <w:p w14:paraId="44605275">
      <w:pPr>
        <w:rPr>
          <w:rFonts w:hint="eastAsia" w:ascii="宋体" w:hAnsi="宋体" w:cs="宋体"/>
          <w:b/>
          <w:bCs/>
          <w:color w:val="auto"/>
          <w:sz w:val="44"/>
          <w:szCs w:val="44"/>
          <w:lang w:val="en-US" w:eastAsia="zh-CN"/>
        </w:rPr>
      </w:pPr>
    </w:p>
    <w:p w14:paraId="2E1D6141">
      <w:pPr>
        <w:pStyle w:val="20"/>
        <w:rPr>
          <w:rFonts w:hint="eastAsia"/>
          <w:lang w:val="en-US" w:eastAsia="zh-CN"/>
        </w:rPr>
      </w:pPr>
    </w:p>
    <w:p w14:paraId="0E1CA901">
      <w:pPr>
        <w:rPr>
          <w:rFonts w:hint="eastAsia"/>
          <w:lang w:val="en-US" w:eastAsia="zh-CN"/>
        </w:rPr>
      </w:pPr>
      <w:r>
        <w:rPr>
          <w:rFonts w:hint="eastAsia"/>
          <w:lang w:val="en-US" w:eastAsia="zh-CN"/>
        </w:rPr>
        <w:br w:type="page"/>
      </w:r>
    </w:p>
    <w:p w14:paraId="43F3F7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6A1574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2C2AFAC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5"/>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C704D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A8E5AC9">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E26F2E">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C8F8A3">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服务期限</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F4744D9">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2690AC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A603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5656B6">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娄底市中心医院（含娄底医院）造价及工程结算审计咨询服务机构遴选项目</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D81A0B0">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5359A47">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三年不超过60万元</w:t>
            </w:r>
          </w:p>
        </w:tc>
      </w:tr>
    </w:tbl>
    <w:p w14:paraId="5E36B49A">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D9016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57D433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579476C9">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1E43B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项目内容：投标供应商提供娄底市中心医院造价及工程结算审计咨询服务，包括工程造价咨询服务和货物、服务采购项目价格咨询服务，工程项目预算评审，工程项目竣工结算评审（初审），工程项目竣工结算评审（复审）。具体单个项目咨询服务以医院通知为准。</w:t>
      </w:r>
    </w:p>
    <w:p w14:paraId="57C6B1E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1.工程造价咨询服务：提供工程项目造价咨询服务，并出具结论报告。</w:t>
      </w:r>
    </w:p>
    <w:p w14:paraId="2EA8137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2.货物、服务采购项目价格咨询服务：提供货物、服务采购项目价格咨询服务，并出具结论报告。</w:t>
      </w:r>
    </w:p>
    <w:p w14:paraId="4CB3A1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3.工程项目预算评审</w:t>
      </w:r>
    </w:p>
    <w:p w14:paraId="6E820B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（1）提供工程项目造价咨询评审服务，审核编制依据合法性、有效性和适用性； </w:t>
      </w:r>
    </w:p>
    <w:p w14:paraId="3C0BCCC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（2）审核补充项目计量规则的合理性、 适用性；</w:t>
      </w:r>
    </w:p>
    <w:p w14:paraId="2679F0D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（3）审核工程量清单的完整性，工程量清单项目编码的正确性，项目特征的正确性和充分性。审核工程计量的正确性；</w:t>
      </w:r>
    </w:p>
    <w:p w14:paraId="1112709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（4）审核工料机价格的准确性，有必要的需进行市场价格询价；</w:t>
      </w:r>
    </w:p>
    <w:p w14:paraId="2F99396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（5）项目特征描述正确性以及错项漏项等；</w:t>
      </w:r>
    </w:p>
    <w:p w14:paraId="233772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（6）审核施工方案及措施项目的合理性；</w:t>
      </w:r>
    </w:p>
    <w:p w14:paraId="132E2ED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（7）进行综合单价分析，审核工程计价的合理性；</w:t>
      </w:r>
    </w:p>
    <w:p w14:paraId="636E00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（8）分析、 审核措施项目及措施项目费的合理性，审核编制说明；</w:t>
      </w:r>
    </w:p>
    <w:p w14:paraId="6B936E9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（9）工程取费标准参照现行娄底市财评中心评审标准；</w:t>
      </w:r>
    </w:p>
    <w:p w14:paraId="53B289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（10）出具审核报告；</w:t>
      </w:r>
    </w:p>
    <w:p w14:paraId="756EFE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4.工程项目竣工结算评审（初审）</w:t>
      </w:r>
    </w:p>
    <w:p w14:paraId="20FB5F9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（1）审核结算编制依据的有效性和适用性；</w:t>
      </w:r>
    </w:p>
    <w:p w14:paraId="3D119F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（2）审核工程结算依据的完备性；</w:t>
      </w:r>
    </w:p>
    <w:p w14:paraId="0602057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（3）分析施工合同，审核结算方法的适用性；</w:t>
      </w:r>
    </w:p>
    <w:p w14:paraId="16BFF8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（4）对照竣工图以及建设方、施工方、监理方（如有）签证的工程量，审核工程量清单项目完整性；</w:t>
      </w:r>
    </w:p>
    <w:p w14:paraId="37CCB9F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（5）进行工程计量，审核工程量的准确性；</w:t>
      </w:r>
    </w:p>
    <w:p w14:paraId="358E86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（6）进行工程计价，审核工程计价的合理性；</w:t>
      </w:r>
    </w:p>
    <w:p w14:paraId="59BEAC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（7）审核新增项目综合单价分析的合理性；</w:t>
      </w:r>
    </w:p>
    <w:p w14:paraId="5C79F35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（8）审核签证、索赔、变更等造价的合理性；</w:t>
      </w:r>
    </w:p>
    <w:p w14:paraId="562F1A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（9）审核发现的异议，与编制单位进行技术核对，确定正确数据，并调整核对后工程量及造价；建筑材料、设备、机械等有异议，需进行市场询价。</w:t>
      </w:r>
    </w:p>
    <w:p w14:paraId="1EE723C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（10）出具审核报告书；</w:t>
      </w:r>
    </w:p>
    <w:p w14:paraId="3183FF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5.工程项目竣工结算评审（复审）</w:t>
      </w:r>
    </w:p>
    <w:p w14:paraId="2591EE0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（1）审核竣工结算评审（初审）结论的正确性</w:t>
      </w:r>
    </w:p>
    <w:p w14:paraId="13F40A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（2）出具审核报告书；</w:t>
      </w:r>
    </w:p>
    <w:p w14:paraId="4D715195">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（二）资格条件：</w:t>
      </w:r>
    </w:p>
    <w:p w14:paraId="11A0FACF">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FF0000"/>
          <w:kern w:val="0"/>
          <w:sz w:val="24"/>
          <w:szCs w:val="24"/>
          <w:lang w:val="en-US" w:eastAsia="zh-CN" w:bidi="ar-SA"/>
        </w:rPr>
      </w:pPr>
      <w:r>
        <w:rPr>
          <w:rFonts w:hint="default" w:asciiTheme="minorEastAsia" w:hAnsiTheme="minorEastAsia" w:eastAsiaTheme="minorEastAsia" w:cstheme="minorEastAsia"/>
          <w:b w:val="0"/>
          <w:bCs/>
          <w:color w:val="FF0000"/>
          <w:kern w:val="0"/>
          <w:sz w:val="24"/>
          <w:szCs w:val="24"/>
          <w:lang w:val="en-US" w:eastAsia="zh-CN" w:bidi="ar-SA"/>
        </w:rPr>
        <w:t>1.投标供应商须具备工程造价咨询资质，独立享受民事法律责任，并在人员、设备、资金等方面具有相应的服务能力。（提供证书复印件并</w:t>
      </w:r>
      <w:r>
        <w:rPr>
          <w:rFonts w:hint="eastAsia" w:asciiTheme="minorEastAsia" w:hAnsiTheme="minorEastAsia" w:eastAsiaTheme="minorEastAsia" w:cstheme="minorEastAsia"/>
          <w:b w:val="0"/>
          <w:bCs/>
          <w:color w:val="FF0000"/>
          <w:kern w:val="0"/>
          <w:sz w:val="24"/>
          <w:szCs w:val="24"/>
          <w:lang w:val="en-US" w:eastAsia="zh-CN" w:bidi="ar-SA"/>
        </w:rPr>
        <w:t>加盖单位公章</w:t>
      </w:r>
      <w:r>
        <w:rPr>
          <w:rFonts w:hint="default" w:asciiTheme="minorEastAsia" w:hAnsiTheme="minorEastAsia" w:eastAsiaTheme="minorEastAsia" w:cstheme="minorEastAsia"/>
          <w:b w:val="0"/>
          <w:bCs/>
          <w:color w:val="FF0000"/>
          <w:kern w:val="0"/>
          <w:sz w:val="24"/>
          <w:szCs w:val="24"/>
          <w:lang w:val="en-US" w:eastAsia="zh-CN" w:bidi="ar-SA"/>
        </w:rPr>
        <w:t>）。</w:t>
      </w:r>
    </w:p>
    <w:p w14:paraId="228DC8EB">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FF0000"/>
          <w:kern w:val="0"/>
          <w:sz w:val="24"/>
          <w:szCs w:val="24"/>
          <w:lang w:val="en-US" w:eastAsia="zh-CN" w:bidi="ar-SA"/>
        </w:rPr>
      </w:pPr>
      <w:r>
        <w:rPr>
          <w:rFonts w:hint="default" w:asciiTheme="minorEastAsia" w:hAnsiTheme="minorEastAsia" w:eastAsiaTheme="minorEastAsia" w:cstheme="minorEastAsia"/>
          <w:b w:val="0"/>
          <w:bCs/>
          <w:color w:val="FF0000"/>
          <w:kern w:val="0"/>
          <w:sz w:val="24"/>
          <w:szCs w:val="24"/>
          <w:lang w:val="en-US" w:eastAsia="zh-CN" w:bidi="ar-SA"/>
        </w:rPr>
        <w:t>2.项目负责人（项目经理）具有建设行政主管部门颁发的一级注册造价工程师执业资格证，注册单位名称须与投标人名称一致，同时具备高级工程师及以上职称。 （提供证书复印件</w:t>
      </w:r>
      <w:r>
        <w:rPr>
          <w:rFonts w:hint="eastAsia" w:asciiTheme="minorEastAsia" w:hAnsiTheme="minorEastAsia" w:eastAsiaTheme="minorEastAsia" w:cstheme="minorEastAsia"/>
          <w:b w:val="0"/>
          <w:bCs/>
          <w:color w:val="FF0000"/>
          <w:kern w:val="0"/>
          <w:sz w:val="24"/>
          <w:szCs w:val="24"/>
          <w:lang w:val="en-US" w:eastAsia="zh-CN" w:bidi="ar-SA"/>
        </w:rPr>
        <w:t>、项目负责人劳动合同和社保证明</w:t>
      </w:r>
      <w:r>
        <w:rPr>
          <w:rFonts w:hint="default" w:asciiTheme="minorEastAsia" w:hAnsiTheme="minorEastAsia" w:eastAsiaTheme="minorEastAsia" w:cstheme="minorEastAsia"/>
          <w:b w:val="0"/>
          <w:bCs/>
          <w:color w:val="FF0000"/>
          <w:kern w:val="0"/>
          <w:sz w:val="24"/>
          <w:szCs w:val="24"/>
          <w:lang w:val="en-US" w:eastAsia="zh-CN" w:bidi="ar-SA"/>
        </w:rPr>
        <w:t>并</w:t>
      </w:r>
      <w:r>
        <w:rPr>
          <w:rFonts w:hint="eastAsia" w:asciiTheme="minorEastAsia" w:hAnsiTheme="minorEastAsia" w:eastAsiaTheme="minorEastAsia" w:cstheme="minorEastAsia"/>
          <w:b w:val="0"/>
          <w:bCs/>
          <w:color w:val="FF0000"/>
          <w:kern w:val="0"/>
          <w:sz w:val="24"/>
          <w:szCs w:val="24"/>
          <w:lang w:val="en-US" w:eastAsia="zh-CN" w:bidi="ar-SA"/>
        </w:rPr>
        <w:t>加盖单位公章</w:t>
      </w:r>
      <w:r>
        <w:rPr>
          <w:rFonts w:hint="default" w:asciiTheme="minorEastAsia" w:hAnsiTheme="minorEastAsia" w:eastAsiaTheme="minorEastAsia" w:cstheme="minorEastAsia"/>
          <w:b w:val="0"/>
          <w:bCs/>
          <w:color w:val="FF0000"/>
          <w:kern w:val="0"/>
          <w:sz w:val="24"/>
          <w:szCs w:val="24"/>
          <w:lang w:val="en-US" w:eastAsia="zh-CN" w:bidi="ar-SA"/>
        </w:rPr>
        <w:t>）</w:t>
      </w:r>
    </w:p>
    <w:p w14:paraId="2E8FF056">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Theme="minorEastAsia" w:hAnsiTheme="minorEastAsia" w:eastAsiaTheme="minorEastAsia" w:cstheme="minorEastAsia"/>
          <w:b w:val="0"/>
          <w:bCs/>
          <w:color w:val="FF0000"/>
          <w:kern w:val="0"/>
          <w:sz w:val="24"/>
          <w:szCs w:val="24"/>
          <w:lang w:val="en-US" w:eastAsia="zh-CN" w:bidi="ar-SA"/>
        </w:rPr>
      </w:pPr>
      <w:r>
        <w:rPr>
          <w:rFonts w:hint="default" w:asciiTheme="minorEastAsia" w:hAnsiTheme="minorEastAsia" w:eastAsiaTheme="minorEastAsia" w:cstheme="minorEastAsia"/>
          <w:b w:val="0"/>
          <w:bCs/>
          <w:color w:val="FF0000"/>
          <w:kern w:val="0"/>
          <w:sz w:val="24"/>
          <w:szCs w:val="24"/>
          <w:lang w:val="en-US" w:eastAsia="zh-CN" w:bidi="ar-SA"/>
        </w:rPr>
        <w:t>3.投标供应商</w:t>
      </w:r>
      <w:r>
        <w:rPr>
          <w:rFonts w:hint="eastAsia" w:asciiTheme="minorEastAsia" w:hAnsiTheme="minorEastAsia" w:eastAsiaTheme="minorEastAsia" w:cstheme="minorEastAsia"/>
          <w:b w:val="0"/>
          <w:bCs/>
          <w:color w:val="FF0000"/>
          <w:kern w:val="0"/>
          <w:sz w:val="24"/>
          <w:szCs w:val="24"/>
          <w:lang w:val="en-US" w:eastAsia="zh-CN" w:bidi="ar-SA"/>
        </w:rPr>
        <w:t>提供的服务团队配备</w:t>
      </w:r>
      <w:r>
        <w:rPr>
          <w:rFonts w:hint="default" w:asciiTheme="minorEastAsia" w:hAnsiTheme="minorEastAsia" w:eastAsiaTheme="minorEastAsia" w:cstheme="minorEastAsia"/>
          <w:b w:val="0"/>
          <w:bCs/>
          <w:color w:val="FF0000"/>
          <w:kern w:val="0"/>
          <w:sz w:val="24"/>
          <w:szCs w:val="24"/>
          <w:lang w:val="en-US" w:eastAsia="zh-CN" w:bidi="ar-SA"/>
        </w:rPr>
        <w:t>拥有6人以上专业造价工作人员，其中一级注册造价工程师3人以上</w:t>
      </w:r>
      <w:r>
        <w:rPr>
          <w:rFonts w:hint="eastAsia" w:asciiTheme="minorEastAsia" w:hAnsiTheme="minorEastAsia" w:eastAsiaTheme="minorEastAsia" w:cstheme="minorEastAsia"/>
          <w:b w:val="0"/>
          <w:bCs/>
          <w:color w:val="FF0000"/>
          <w:kern w:val="0"/>
          <w:sz w:val="24"/>
          <w:szCs w:val="24"/>
          <w:lang w:val="en-US" w:eastAsia="zh-CN" w:bidi="ar-SA"/>
        </w:rPr>
        <w:t>，在接到医院通知后四十分钟内到达现场，全年365天随叫随到</w:t>
      </w:r>
      <w:r>
        <w:rPr>
          <w:rFonts w:hint="default" w:asciiTheme="minorEastAsia" w:hAnsiTheme="minorEastAsia" w:eastAsiaTheme="minorEastAsia" w:cstheme="minorEastAsia"/>
          <w:b w:val="0"/>
          <w:bCs/>
          <w:color w:val="FF0000"/>
          <w:kern w:val="0"/>
          <w:sz w:val="24"/>
          <w:szCs w:val="24"/>
          <w:lang w:val="en-US" w:eastAsia="zh-CN" w:bidi="ar-SA"/>
        </w:rPr>
        <w:t>。</w:t>
      </w:r>
      <w:r>
        <w:rPr>
          <w:rFonts w:hint="eastAsia" w:asciiTheme="minorEastAsia" w:hAnsiTheme="minorEastAsia" w:eastAsiaTheme="minorEastAsia" w:cstheme="minorEastAsia"/>
          <w:b w:val="0"/>
          <w:bCs/>
          <w:color w:val="FF0000"/>
          <w:kern w:val="0"/>
          <w:sz w:val="24"/>
          <w:szCs w:val="24"/>
          <w:lang w:val="en-US" w:eastAsia="zh-CN" w:bidi="ar-SA"/>
        </w:rPr>
        <w:t>（提供四十分钟内能到达现场证明材料、团队人员提供相关证书、劳动合同和社保证明，所有证明材料均需加盖单位公章）</w:t>
      </w:r>
    </w:p>
    <w:p w14:paraId="66C7212A">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4.投标供应商如在医院从事招标代理、财务相关委托服务，需提供承诺函，承诺中标后必须回避与中标单位有利益关联的项目，并遵守医院相关廉政制度。</w:t>
      </w:r>
    </w:p>
    <w:p w14:paraId="173B45ED">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（三）造价咨询服务费基准费率</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2388"/>
        <w:gridCol w:w="3021"/>
      </w:tblGrid>
      <w:tr w14:paraId="2644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19404B7C">
            <w:pPr>
              <w:spacing w:line="600" w:lineRule="exact"/>
              <w:rPr>
                <w:rFonts w:hint="eastAsia" w:ascii="仿宋" w:hAnsi="仿宋" w:eastAsia="仿宋" w:cs="仿宋"/>
                <w:sz w:val="24"/>
              </w:rPr>
            </w:pPr>
            <w:r>
              <w:rPr>
                <w:rFonts w:hint="eastAsia" w:ascii="仿宋" w:hAnsi="仿宋" w:eastAsia="仿宋" w:cs="仿宋"/>
                <w:sz w:val="24"/>
              </w:rPr>
              <w:t>服务项目名称</w:t>
            </w:r>
          </w:p>
        </w:tc>
        <w:tc>
          <w:tcPr>
            <w:tcW w:w="2388" w:type="dxa"/>
          </w:tcPr>
          <w:p w14:paraId="0B95A8A7">
            <w:pPr>
              <w:spacing w:line="600" w:lineRule="exact"/>
              <w:rPr>
                <w:rFonts w:hint="eastAsia" w:ascii="仿宋" w:hAnsi="仿宋" w:eastAsia="仿宋" w:cs="仿宋"/>
                <w:sz w:val="24"/>
              </w:rPr>
            </w:pPr>
            <w:r>
              <w:rPr>
                <w:rFonts w:hint="eastAsia" w:ascii="仿宋" w:hAnsi="仿宋" w:eastAsia="仿宋" w:cs="仿宋"/>
                <w:sz w:val="24"/>
              </w:rPr>
              <w:t>费率标准</w:t>
            </w:r>
          </w:p>
        </w:tc>
        <w:tc>
          <w:tcPr>
            <w:tcW w:w="3021" w:type="dxa"/>
          </w:tcPr>
          <w:p w14:paraId="3A96369F">
            <w:pPr>
              <w:spacing w:line="600" w:lineRule="exact"/>
              <w:rPr>
                <w:rFonts w:hint="eastAsia" w:ascii="仿宋" w:hAnsi="仿宋" w:eastAsia="仿宋" w:cs="仿宋"/>
                <w:sz w:val="24"/>
              </w:rPr>
            </w:pPr>
            <w:r>
              <w:rPr>
                <w:rFonts w:hint="eastAsia" w:ascii="仿宋" w:hAnsi="仿宋" w:eastAsia="仿宋" w:cs="仿宋"/>
                <w:sz w:val="24"/>
              </w:rPr>
              <w:t>取费基础</w:t>
            </w:r>
          </w:p>
        </w:tc>
      </w:tr>
      <w:tr w14:paraId="53CC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78805938">
            <w:pPr>
              <w:spacing w:line="600" w:lineRule="exact"/>
              <w:rPr>
                <w:rFonts w:hint="eastAsia" w:ascii="仿宋" w:hAnsi="仿宋" w:eastAsia="仿宋" w:cs="仿宋"/>
                <w:sz w:val="24"/>
              </w:rPr>
            </w:pPr>
            <w:r>
              <w:rPr>
                <w:rFonts w:hint="eastAsia" w:ascii="仿宋" w:hAnsi="仿宋" w:eastAsia="仿宋" w:cs="仿宋"/>
                <w:sz w:val="24"/>
              </w:rPr>
              <w:t>工程造价咨询</w:t>
            </w:r>
          </w:p>
        </w:tc>
        <w:tc>
          <w:tcPr>
            <w:tcW w:w="2388" w:type="dxa"/>
          </w:tcPr>
          <w:p w14:paraId="6406AA7B">
            <w:pPr>
              <w:spacing w:line="600" w:lineRule="exact"/>
              <w:rPr>
                <w:rFonts w:hint="eastAsia" w:ascii="仿宋" w:hAnsi="仿宋" w:eastAsia="仿宋" w:cs="仿宋"/>
                <w:sz w:val="24"/>
              </w:rPr>
            </w:pPr>
            <w:r>
              <w:rPr>
                <w:rFonts w:hint="eastAsia" w:ascii="仿宋" w:hAnsi="仿宋" w:eastAsia="仿宋" w:cs="仿宋"/>
                <w:sz w:val="24"/>
              </w:rPr>
              <w:t>3‰</w:t>
            </w:r>
          </w:p>
        </w:tc>
        <w:tc>
          <w:tcPr>
            <w:tcW w:w="3021" w:type="dxa"/>
          </w:tcPr>
          <w:p w14:paraId="1E0A07CD">
            <w:pPr>
              <w:spacing w:line="600" w:lineRule="exact"/>
              <w:rPr>
                <w:rFonts w:hint="eastAsia" w:ascii="仿宋" w:hAnsi="仿宋" w:eastAsia="仿宋" w:cs="仿宋"/>
                <w:sz w:val="24"/>
              </w:rPr>
            </w:pPr>
            <w:r>
              <w:rPr>
                <w:rFonts w:hint="eastAsia" w:ascii="仿宋" w:hAnsi="仿宋" w:eastAsia="仿宋" w:cs="仿宋"/>
                <w:sz w:val="24"/>
              </w:rPr>
              <w:t>按项目的预算</w:t>
            </w:r>
          </w:p>
        </w:tc>
      </w:tr>
      <w:tr w14:paraId="6A36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11E7BD2E">
            <w:pPr>
              <w:spacing w:line="600" w:lineRule="exact"/>
              <w:rPr>
                <w:rFonts w:hint="eastAsia" w:ascii="仿宋" w:hAnsi="仿宋" w:eastAsia="仿宋" w:cs="仿宋"/>
                <w:sz w:val="24"/>
              </w:rPr>
            </w:pPr>
            <w:r>
              <w:rPr>
                <w:rFonts w:hint="eastAsia" w:ascii="仿宋" w:hAnsi="仿宋" w:eastAsia="仿宋" w:cs="仿宋"/>
                <w:sz w:val="24"/>
              </w:rPr>
              <w:t>货物、服务造价咨询</w:t>
            </w:r>
          </w:p>
        </w:tc>
        <w:tc>
          <w:tcPr>
            <w:tcW w:w="2388" w:type="dxa"/>
          </w:tcPr>
          <w:p w14:paraId="2D0ACB56">
            <w:pPr>
              <w:spacing w:line="600" w:lineRule="exact"/>
              <w:rPr>
                <w:rFonts w:hint="eastAsia" w:ascii="仿宋" w:hAnsi="仿宋" w:eastAsia="仿宋" w:cs="仿宋"/>
                <w:sz w:val="24"/>
              </w:rPr>
            </w:pPr>
            <w:r>
              <w:rPr>
                <w:rFonts w:hint="eastAsia" w:ascii="仿宋" w:hAnsi="仿宋" w:eastAsia="仿宋" w:cs="仿宋"/>
                <w:sz w:val="24"/>
              </w:rPr>
              <w:t>2‰</w:t>
            </w:r>
          </w:p>
        </w:tc>
        <w:tc>
          <w:tcPr>
            <w:tcW w:w="3021" w:type="dxa"/>
          </w:tcPr>
          <w:p w14:paraId="600A2C72">
            <w:pPr>
              <w:spacing w:line="600" w:lineRule="exact"/>
              <w:rPr>
                <w:rFonts w:hint="eastAsia" w:ascii="仿宋" w:hAnsi="仿宋" w:eastAsia="仿宋" w:cs="仿宋"/>
                <w:sz w:val="24"/>
              </w:rPr>
            </w:pPr>
            <w:r>
              <w:rPr>
                <w:rFonts w:hint="eastAsia" w:ascii="仿宋" w:hAnsi="仿宋" w:eastAsia="仿宋" w:cs="仿宋"/>
                <w:sz w:val="24"/>
              </w:rPr>
              <w:t>按项目的预算</w:t>
            </w:r>
          </w:p>
        </w:tc>
      </w:tr>
      <w:tr w14:paraId="1AEA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529D788B">
            <w:pPr>
              <w:spacing w:line="600" w:lineRule="exact"/>
              <w:rPr>
                <w:rFonts w:hint="eastAsia" w:ascii="仿宋" w:hAnsi="仿宋" w:eastAsia="仿宋" w:cs="仿宋"/>
                <w:sz w:val="24"/>
              </w:rPr>
            </w:pPr>
            <w:r>
              <w:rPr>
                <w:rFonts w:hint="eastAsia" w:ascii="仿宋" w:hAnsi="仿宋" w:eastAsia="仿宋" w:cs="仿宋"/>
                <w:sz w:val="24"/>
              </w:rPr>
              <w:t>工程项目预算评审</w:t>
            </w:r>
          </w:p>
        </w:tc>
        <w:tc>
          <w:tcPr>
            <w:tcW w:w="2388" w:type="dxa"/>
          </w:tcPr>
          <w:p w14:paraId="5D744353">
            <w:pPr>
              <w:spacing w:line="600" w:lineRule="exact"/>
              <w:rPr>
                <w:rFonts w:hint="eastAsia" w:ascii="仿宋" w:hAnsi="仿宋" w:eastAsia="仿宋" w:cs="仿宋"/>
                <w:sz w:val="24"/>
              </w:rPr>
            </w:pPr>
            <w:r>
              <w:rPr>
                <w:rFonts w:hint="eastAsia" w:ascii="仿宋" w:hAnsi="仿宋" w:eastAsia="仿宋" w:cs="仿宋"/>
                <w:sz w:val="24"/>
              </w:rPr>
              <w:t>1.5‰</w:t>
            </w:r>
          </w:p>
        </w:tc>
        <w:tc>
          <w:tcPr>
            <w:tcW w:w="3021" w:type="dxa"/>
          </w:tcPr>
          <w:p w14:paraId="674216E7">
            <w:pPr>
              <w:spacing w:line="600" w:lineRule="exact"/>
              <w:rPr>
                <w:rFonts w:hint="eastAsia" w:ascii="仿宋" w:hAnsi="仿宋" w:eastAsia="仿宋" w:cs="仿宋"/>
                <w:sz w:val="24"/>
              </w:rPr>
            </w:pPr>
            <w:r>
              <w:rPr>
                <w:rFonts w:hint="eastAsia" w:ascii="仿宋" w:hAnsi="仿宋" w:eastAsia="仿宋" w:cs="仿宋"/>
                <w:sz w:val="24"/>
              </w:rPr>
              <w:t>按项目的预算造价</w:t>
            </w:r>
          </w:p>
        </w:tc>
      </w:tr>
      <w:tr w14:paraId="62E5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2F43221B">
            <w:pPr>
              <w:spacing w:line="600" w:lineRule="exact"/>
              <w:rPr>
                <w:rFonts w:hint="eastAsia" w:ascii="仿宋" w:hAnsi="仿宋" w:eastAsia="仿宋" w:cs="仿宋"/>
                <w:sz w:val="24"/>
              </w:rPr>
            </w:pPr>
            <w:r>
              <w:rPr>
                <w:rFonts w:hint="eastAsia" w:ascii="仿宋" w:hAnsi="仿宋" w:eastAsia="仿宋" w:cs="仿宋"/>
                <w:sz w:val="24"/>
              </w:rPr>
              <w:t>工程项目竣工结算评审（初审）</w:t>
            </w:r>
          </w:p>
        </w:tc>
        <w:tc>
          <w:tcPr>
            <w:tcW w:w="2388" w:type="dxa"/>
          </w:tcPr>
          <w:p w14:paraId="195819A4">
            <w:pPr>
              <w:spacing w:line="600" w:lineRule="exact"/>
              <w:rPr>
                <w:rFonts w:hint="eastAsia" w:ascii="仿宋" w:hAnsi="仿宋" w:eastAsia="仿宋" w:cs="仿宋"/>
                <w:sz w:val="24"/>
              </w:rPr>
            </w:pPr>
            <w:r>
              <w:rPr>
                <w:rFonts w:hint="eastAsia" w:ascii="仿宋" w:hAnsi="仿宋" w:eastAsia="仿宋" w:cs="仿宋"/>
                <w:sz w:val="24"/>
              </w:rPr>
              <w:t>2.5‰</w:t>
            </w:r>
          </w:p>
        </w:tc>
        <w:tc>
          <w:tcPr>
            <w:tcW w:w="3021" w:type="dxa"/>
          </w:tcPr>
          <w:p w14:paraId="12BE3068">
            <w:pPr>
              <w:spacing w:line="600" w:lineRule="exact"/>
              <w:rPr>
                <w:rFonts w:hint="eastAsia" w:ascii="仿宋" w:hAnsi="仿宋" w:eastAsia="仿宋" w:cs="仿宋"/>
                <w:sz w:val="24"/>
              </w:rPr>
            </w:pPr>
            <w:r>
              <w:rPr>
                <w:rFonts w:hint="eastAsia" w:ascii="仿宋" w:hAnsi="仿宋" w:eastAsia="仿宋" w:cs="仿宋"/>
                <w:sz w:val="24"/>
              </w:rPr>
              <w:t>按工程结算书</w:t>
            </w:r>
          </w:p>
        </w:tc>
      </w:tr>
      <w:tr w14:paraId="34EF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7BFCBC60">
            <w:pPr>
              <w:spacing w:line="600" w:lineRule="exact"/>
              <w:rPr>
                <w:rFonts w:hint="eastAsia" w:ascii="仿宋" w:hAnsi="仿宋" w:eastAsia="仿宋" w:cs="仿宋"/>
                <w:sz w:val="24"/>
              </w:rPr>
            </w:pPr>
            <w:r>
              <w:rPr>
                <w:rFonts w:hint="eastAsia" w:ascii="仿宋" w:hAnsi="仿宋" w:eastAsia="仿宋" w:cs="仿宋"/>
                <w:sz w:val="24"/>
              </w:rPr>
              <w:t>工程项目竣工结算评审（复审）</w:t>
            </w:r>
          </w:p>
        </w:tc>
        <w:tc>
          <w:tcPr>
            <w:tcW w:w="2388" w:type="dxa"/>
          </w:tcPr>
          <w:p w14:paraId="71D5CA74">
            <w:pPr>
              <w:spacing w:line="600" w:lineRule="exact"/>
              <w:rPr>
                <w:rFonts w:hint="eastAsia" w:ascii="仿宋" w:hAnsi="仿宋" w:eastAsia="仿宋" w:cs="仿宋"/>
                <w:sz w:val="24"/>
              </w:rPr>
            </w:pPr>
            <w:r>
              <w:rPr>
                <w:rFonts w:hint="eastAsia" w:ascii="仿宋" w:hAnsi="仿宋" w:eastAsia="仿宋" w:cs="仿宋"/>
                <w:sz w:val="24"/>
              </w:rPr>
              <w:t>1.5‰</w:t>
            </w:r>
          </w:p>
        </w:tc>
        <w:tc>
          <w:tcPr>
            <w:tcW w:w="3021" w:type="dxa"/>
          </w:tcPr>
          <w:p w14:paraId="756F4AE3">
            <w:pPr>
              <w:spacing w:line="600" w:lineRule="exact"/>
              <w:rPr>
                <w:rFonts w:hint="eastAsia" w:ascii="仿宋" w:hAnsi="仿宋" w:eastAsia="仿宋" w:cs="仿宋"/>
                <w:sz w:val="24"/>
              </w:rPr>
            </w:pPr>
            <w:r>
              <w:rPr>
                <w:rFonts w:hint="eastAsia" w:ascii="仿宋" w:hAnsi="仿宋" w:eastAsia="仿宋" w:cs="仿宋"/>
                <w:sz w:val="24"/>
              </w:rPr>
              <w:t>按工程结算书</w:t>
            </w:r>
          </w:p>
        </w:tc>
      </w:tr>
    </w:tbl>
    <w:p w14:paraId="2CC0EB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p>
    <w:p w14:paraId="19D651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注：工程咨询（不包括货物和服务）服务费最低1000元，不足最低标准的，按最低标准付费。预算金额超过1000万元以上的项目的造价费用可以在入围机构中进行二次议价。</w:t>
      </w:r>
    </w:p>
    <w:p w14:paraId="61C0C566">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仿宋" w:hAnsi="仿宋" w:eastAsia="仿宋" w:cs="仿宋"/>
          <w:kern w:val="2"/>
          <w:sz w:val="28"/>
          <w:szCs w:val="28"/>
          <w:lang w:val="en-US" w:eastAsia="zh-CN" w:bidi="ar-SA"/>
        </w:rPr>
        <w:t>（四）中标人义务与考核：</w:t>
      </w:r>
    </w:p>
    <w:p w14:paraId="71D498D6">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仿宋" w:hAnsi="仿宋" w:eastAsia="仿宋" w:cs="仿宋"/>
          <w:kern w:val="2"/>
          <w:sz w:val="28"/>
          <w:szCs w:val="28"/>
          <w:lang w:val="en-US" w:eastAsia="zh-CN" w:bidi="ar-SA"/>
        </w:rPr>
      </w:pPr>
      <w:r>
        <w:rPr>
          <w:rFonts w:hint="default" w:ascii="仿宋" w:hAnsi="仿宋" w:eastAsia="仿宋" w:cs="仿宋"/>
          <w:kern w:val="2"/>
          <w:sz w:val="28"/>
          <w:szCs w:val="28"/>
          <w:lang w:val="en-US" w:eastAsia="zh-CN" w:bidi="ar-SA"/>
        </w:rPr>
        <w:t>中标人必须严格按照国家有关行业规范及标准履行造价咨询服务义务，并对其出具的造价报告内容和结果的真实准确性承担法律责任。委托人对中标人出具的最终造价结果进行考核，以每个项目最终成交价为考核标准，中标人造价误差率应控制在 8% 以内，具体项目结论误差率8%，该项目服务费用按全款结算；如结论误差率≥ 8%且&lt;13%，该项目服务费用按全款的80%结算；如结论误差率≥13%且&lt;20%，该项目服务费用按全款的70%结算；如结论误差率≥20%，该项目服务费用不予结算。结论误差率=（具体项目结论价格-项目合同签订成交价格）/具体项目结论价格*100%。</w:t>
      </w:r>
    </w:p>
    <w:p w14:paraId="480DCEF3">
      <w:pPr>
        <w:pStyle w:val="20"/>
        <w:keepNext w:val="0"/>
        <w:keepLines w:val="0"/>
        <w:pageBreakBefore w:val="0"/>
        <w:widowControl/>
        <w:kinsoku/>
        <w:wordWrap/>
        <w:overflowPunct/>
        <w:topLinePunct w:val="0"/>
        <w:autoSpaceDE/>
        <w:autoSpaceDN/>
        <w:bidi w:val="0"/>
        <w:adjustRightInd w:val="0"/>
        <w:snapToGrid w:val="0"/>
        <w:spacing w:line="360" w:lineRule="auto"/>
        <w:ind w:firstLine="482"/>
        <w:textAlignment w:val="baseline"/>
        <w:rPr>
          <w:rFonts w:hint="default" w:ascii="仿宋" w:hAnsi="仿宋" w:eastAsia="仿宋" w:cs="仿宋"/>
          <w:kern w:val="2"/>
          <w:sz w:val="28"/>
          <w:szCs w:val="28"/>
          <w:lang w:val="en-US" w:eastAsia="zh-CN" w:bidi="ar-SA"/>
        </w:rPr>
      </w:pPr>
      <w:r>
        <w:rPr>
          <w:rFonts w:hint="default" w:ascii="仿宋" w:hAnsi="仿宋" w:eastAsia="仿宋" w:cs="仿宋"/>
          <w:kern w:val="2"/>
          <w:sz w:val="28"/>
          <w:szCs w:val="28"/>
          <w:lang w:val="en-US" w:eastAsia="zh-CN" w:bidi="ar-SA"/>
        </w:rPr>
        <w:t>中标人必须服从医院管理，承接每项具体业务时，医院根据中标人的业务特长、在遵循回避原则，不相容业务分离原则的前提下采取抽签或议价办法选择中介机构。中标人必须服从任务分配并按时完成造价或评审业务，如不服从管理的，医院不再委托业务。</w:t>
      </w:r>
    </w:p>
    <w:p w14:paraId="4D14E0F4">
      <w:pPr>
        <w:rPr>
          <w:rFonts w:hint="eastAsia" w:asciiTheme="minorEastAsia" w:hAnsiTheme="minorEastAsia" w:eastAsiaTheme="minorEastAsia" w:cstheme="minorEastAsia"/>
          <w:bCs/>
          <w:color w:val="auto"/>
          <w:kern w:val="0"/>
          <w:sz w:val="28"/>
          <w:szCs w:val="28"/>
          <w:lang w:val="en-US" w:eastAsia="zh-CN" w:bidi="ar-SA"/>
        </w:rPr>
      </w:pPr>
    </w:p>
    <w:p w14:paraId="761DBCF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B62F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84C1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w:t>
      </w:r>
    </w:p>
    <w:p w14:paraId="502C3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6DCB8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8AA75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53710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24EB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F0327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32405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258B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C46122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CE23FB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p>
    <w:p w14:paraId="35723E5D">
      <w:pPr>
        <w:spacing w:line="520" w:lineRule="exact"/>
        <w:jc w:val="center"/>
        <w:rPr>
          <w:rFonts w:ascii="宋体" w:hAnsi="宋体" w:eastAsia="宋体" w:cs="宋体"/>
          <w:color w:val="auto"/>
          <w:sz w:val="28"/>
          <w:szCs w:val="28"/>
        </w:rPr>
      </w:pPr>
      <w:r>
        <w:rPr>
          <w:rFonts w:hint="eastAsia" w:ascii="仿宋_GB2312" w:eastAsia="仿宋_GB2312" w:cs="仿宋_GB2312"/>
          <w:bCs/>
          <w:color w:val="auto"/>
          <w:kern w:val="0"/>
          <w:sz w:val="28"/>
          <w:szCs w:val="28"/>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合同编号：</w:t>
      </w:r>
    </w:p>
    <w:p w14:paraId="7E9B86FA">
      <w:pPr>
        <w:spacing w:line="520" w:lineRule="exact"/>
        <w:jc w:val="center"/>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rPr>
        <w:t>娄底市中心医院</w:t>
      </w:r>
      <w:r>
        <w:rPr>
          <w:rFonts w:hint="eastAsia" w:ascii="方正小标宋简体" w:hAnsi="方正小标宋简体" w:eastAsia="方正小标宋简体" w:cs="方正小标宋简体"/>
          <w:b w:val="0"/>
          <w:bCs w:val="0"/>
          <w:color w:val="auto"/>
          <w:sz w:val="36"/>
          <w:szCs w:val="36"/>
          <w:lang w:eastAsia="zh-CN"/>
        </w:rPr>
        <w:t>（</w:t>
      </w:r>
      <w:r>
        <w:rPr>
          <w:rFonts w:hint="eastAsia" w:ascii="方正小标宋简体" w:hAnsi="方正小标宋简体" w:eastAsia="方正小标宋简体" w:cs="方正小标宋简体"/>
          <w:b w:val="0"/>
          <w:bCs w:val="0"/>
          <w:color w:val="auto"/>
          <w:sz w:val="36"/>
          <w:szCs w:val="36"/>
          <w:lang w:val="en-US" w:eastAsia="zh-CN"/>
        </w:rPr>
        <w:t>娄底医院</w:t>
      </w:r>
      <w:r>
        <w:rPr>
          <w:rFonts w:hint="eastAsia" w:ascii="方正小标宋简体" w:hAnsi="方正小标宋简体" w:eastAsia="方正小标宋简体" w:cs="方正小标宋简体"/>
          <w:b w:val="0"/>
          <w:bCs w:val="0"/>
          <w:color w:val="auto"/>
          <w:sz w:val="36"/>
          <w:szCs w:val="36"/>
          <w:lang w:eastAsia="zh-CN"/>
        </w:rPr>
        <w:t>）</w:t>
      </w:r>
      <w:r>
        <w:rPr>
          <w:rFonts w:hint="eastAsia" w:ascii="方正小标宋简体" w:hAnsi="方正小标宋简体" w:eastAsia="方正小标宋简体" w:cs="方正小标宋简体"/>
          <w:b w:val="0"/>
          <w:bCs w:val="0"/>
          <w:color w:val="auto"/>
          <w:sz w:val="36"/>
          <w:szCs w:val="36"/>
        </w:rPr>
        <w:t>造价</w:t>
      </w:r>
      <w:r>
        <w:rPr>
          <w:rFonts w:hint="eastAsia" w:ascii="方正小标宋简体" w:hAnsi="方正小标宋简体" w:eastAsia="方正小标宋简体" w:cs="方正小标宋简体"/>
          <w:b w:val="0"/>
          <w:bCs w:val="0"/>
          <w:color w:val="auto"/>
          <w:sz w:val="36"/>
          <w:szCs w:val="36"/>
          <w:lang w:val="en-US" w:eastAsia="zh-CN"/>
        </w:rPr>
        <w:t>及</w:t>
      </w:r>
      <w:r>
        <w:rPr>
          <w:rFonts w:hint="eastAsia" w:ascii="方正小标宋简体" w:hAnsi="方正小标宋简体" w:eastAsia="方正小标宋简体" w:cs="方正小标宋简体"/>
          <w:b w:val="0"/>
          <w:bCs w:val="0"/>
          <w:color w:val="0000FF"/>
          <w:sz w:val="36"/>
          <w:szCs w:val="36"/>
          <w:lang w:val="en-US" w:eastAsia="zh-CN"/>
        </w:rPr>
        <w:t>工程</w:t>
      </w:r>
      <w:r>
        <w:rPr>
          <w:rFonts w:hint="eastAsia" w:ascii="方正小标宋简体" w:hAnsi="方正小标宋简体" w:eastAsia="方正小标宋简体" w:cs="方正小标宋简体"/>
          <w:b w:val="0"/>
          <w:bCs w:val="0"/>
          <w:color w:val="auto"/>
          <w:sz w:val="36"/>
          <w:szCs w:val="36"/>
          <w:lang w:val="en-US" w:eastAsia="zh-CN"/>
        </w:rPr>
        <w:t>结算</w:t>
      </w:r>
      <w:r>
        <w:rPr>
          <w:rFonts w:hint="eastAsia" w:ascii="方正小标宋简体" w:hAnsi="方正小标宋简体" w:eastAsia="方正小标宋简体" w:cs="方正小标宋简体"/>
          <w:b w:val="0"/>
          <w:bCs w:val="0"/>
          <w:color w:val="auto"/>
          <w:sz w:val="36"/>
          <w:szCs w:val="36"/>
        </w:rPr>
        <w:t>审计</w:t>
      </w:r>
    </w:p>
    <w:p w14:paraId="63FD53BF">
      <w:pPr>
        <w:spacing w:line="520" w:lineRule="exact"/>
        <w:jc w:val="center"/>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rPr>
        <w:t>咨询服务合同</w:t>
      </w:r>
    </w:p>
    <w:p w14:paraId="01C53850">
      <w:pPr>
        <w:spacing w:line="520" w:lineRule="exact"/>
        <w:rPr>
          <w:rFonts w:ascii="宋体" w:hAnsi="宋体" w:eastAsia="宋体" w:cs="宋体"/>
          <w:b/>
          <w:bCs/>
          <w:color w:val="auto"/>
          <w:sz w:val="28"/>
          <w:szCs w:val="28"/>
        </w:rPr>
      </w:pPr>
    </w:p>
    <w:p w14:paraId="265FF677">
      <w:pPr>
        <w:spacing w:line="520" w:lineRule="exact"/>
        <w:rPr>
          <w:rFonts w:hint="eastAsia" w:ascii="宋体" w:hAnsi="宋体" w:eastAsia="宋体" w:cs="宋体"/>
          <w:color w:val="auto"/>
          <w:sz w:val="24"/>
          <w:szCs w:val="24"/>
          <w:lang w:val="en-US" w:eastAsia="zh-CN"/>
        </w:rPr>
      </w:pPr>
      <w:bookmarkStart w:id="1" w:name="OLE_LINK2"/>
      <w:bookmarkStart w:id="2" w:name="OLE_LINK1"/>
      <w:bookmarkStart w:id="3" w:name="OLE_LINK3"/>
      <w:r>
        <w:rPr>
          <w:rFonts w:hint="eastAsia" w:ascii="宋体" w:hAnsi="宋体" w:eastAsia="宋体" w:cs="宋体"/>
          <w:b/>
          <w:bCs/>
          <w:color w:val="auto"/>
          <w:sz w:val="24"/>
          <w:szCs w:val="24"/>
        </w:rPr>
        <w:t>甲方：娄底市中心医院</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0000FF"/>
          <w:sz w:val="24"/>
          <w:szCs w:val="24"/>
          <w:lang w:val="en-US" w:eastAsia="zh-CN"/>
        </w:rPr>
        <w:t>广州医科大学附属第一医院娄底医院</w:t>
      </w:r>
    </w:p>
    <w:p w14:paraId="6F0DD1C8">
      <w:pPr>
        <w:spacing w:line="520" w:lineRule="exact"/>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lang w:eastAsia="zh-CN"/>
        </w:rPr>
        <w:t>统一社会信用代码</w:t>
      </w:r>
      <w:r>
        <w:rPr>
          <w:rFonts w:hint="eastAsia" w:ascii="宋体" w:hAnsi="宋体" w:eastAsia="宋体" w:cs="宋体"/>
          <w:color w:val="auto"/>
          <w:sz w:val="24"/>
          <w:szCs w:val="24"/>
        </w:rPr>
        <w:t>：12431300447162073W</w:t>
      </w:r>
      <w:r>
        <w:rPr>
          <w:rFonts w:hint="eastAsia" w:ascii="宋体" w:hAnsi="宋体" w:eastAsia="宋体" w:cs="宋体"/>
          <w:color w:val="auto"/>
          <w:sz w:val="24"/>
          <w:szCs w:val="24"/>
          <w:lang w:val="en-US" w:eastAsia="zh-CN"/>
        </w:rPr>
        <w:t>/</w:t>
      </w:r>
      <w:r>
        <w:rPr>
          <w:rFonts w:hint="eastAsia" w:ascii="宋体" w:hAnsi="宋体" w:eastAsia="宋体" w:cs="宋体"/>
          <w:color w:val="0000FF"/>
          <w:sz w:val="24"/>
          <w:szCs w:val="24"/>
          <w:lang w:val="en-US" w:eastAsia="zh-CN"/>
        </w:rPr>
        <w:t>12431300MB1P52227T</w:t>
      </w:r>
      <w:r>
        <w:rPr>
          <w:rFonts w:hint="eastAsia" w:ascii="宋体" w:hAnsi="宋体" w:eastAsia="宋体" w:cs="宋体"/>
          <w:color w:val="auto"/>
          <w:sz w:val="24"/>
          <w:szCs w:val="24"/>
          <w:lang w:val="en-US" w:eastAsia="zh-CN"/>
        </w:rPr>
        <w:t xml:space="preserve"> </w:t>
      </w:r>
    </w:p>
    <w:bookmarkEnd w:id="1"/>
    <w:bookmarkEnd w:id="2"/>
    <w:p w14:paraId="39B2F6EA">
      <w:pPr>
        <w:spacing w:line="520" w:lineRule="exact"/>
        <w:rPr>
          <w:rFonts w:ascii="宋体" w:hAnsi="宋体" w:eastAsia="宋体" w:cs="宋体"/>
          <w:b/>
          <w:bCs/>
          <w:color w:val="auto"/>
          <w:sz w:val="24"/>
          <w:szCs w:val="24"/>
        </w:rPr>
      </w:pPr>
      <w:r>
        <w:rPr>
          <w:rFonts w:hint="eastAsia" w:ascii="宋体" w:hAnsi="宋体" w:eastAsia="宋体" w:cs="宋体"/>
          <w:b/>
          <w:bCs/>
          <w:color w:val="auto"/>
          <w:sz w:val="24"/>
          <w:szCs w:val="24"/>
        </w:rPr>
        <w:t>乙方：</w:t>
      </w:r>
      <w:r>
        <w:rPr>
          <w:rFonts w:hint="eastAsia" w:ascii="宋体" w:hAnsi="宋体" w:eastAsia="宋体" w:cs="宋体"/>
          <w:b/>
          <w:bCs/>
          <w:color w:val="auto"/>
          <w:sz w:val="24"/>
          <w:szCs w:val="24"/>
          <w:u w:val="single"/>
        </w:rPr>
        <w:t xml:space="preserve">                                       </w:t>
      </w:r>
      <w:r>
        <w:rPr>
          <w:rFonts w:hint="eastAsia" w:ascii="宋体" w:hAnsi="宋体" w:eastAsia="宋体" w:cs="宋体"/>
          <w:b/>
          <w:bCs/>
          <w:color w:val="auto"/>
          <w:sz w:val="24"/>
          <w:szCs w:val="24"/>
        </w:rPr>
        <w:t xml:space="preserve"> </w:t>
      </w:r>
    </w:p>
    <w:p w14:paraId="75D8C5F5">
      <w:pPr>
        <w:spacing w:line="520" w:lineRule="exact"/>
        <w:rPr>
          <w:rFonts w:ascii="宋体" w:hAnsi="宋体" w:eastAsia="宋体" w:cs="宋体"/>
          <w:color w:val="auto"/>
          <w:sz w:val="24"/>
          <w:szCs w:val="24"/>
        </w:rPr>
      </w:pPr>
      <w:r>
        <w:rPr>
          <w:rFonts w:hint="eastAsia" w:ascii="宋体" w:hAnsi="宋体" w:eastAsia="宋体" w:cs="宋体"/>
          <w:color w:val="auto"/>
          <w:sz w:val="24"/>
          <w:szCs w:val="24"/>
          <w:lang w:eastAsia="zh-CN"/>
        </w:rPr>
        <w:t>统一社会信用代码</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5AC2D8F8">
      <w:pPr>
        <w:spacing w:line="520" w:lineRule="exact"/>
        <w:ind w:firstLine="480" w:firstLineChars="200"/>
        <w:rPr>
          <w:rFonts w:ascii="宋体" w:hAnsi="宋体" w:eastAsia="宋体" w:cs="宋体"/>
          <w:color w:val="auto"/>
          <w:sz w:val="24"/>
          <w:szCs w:val="24"/>
        </w:rPr>
      </w:pPr>
    </w:p>
    <w:bookmarkEnd w:id="3"/>
    <w:p w14:paraId="0252AF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甲方通过医院公开挂网方式遴选造价</w:t>
      </w:r>
      <w:r>
        <w:rPr>
          <w:rFonts w:hint="eastAsia" w:ascii="宋体" w:hAnsi="宋体" w:eastAsia="宋体" w:cs="宋体"/>
          <w:color w:val="auto"/>
          <w:sz w:val="24"/>
          <w:szCs w:val="24"/>
          <w:lang w:val="en-US" w:eastAsia="zh-CN"/>
        </w:rPr>
        <w:t>及</w:t>
      </w:r>
      <w:r>
        <w:rPr>
          <w:rFonts w:hint="eastAsia" w:ascii="宋体" w:hAnsi="宋体" w:eastAsia="宋体" w:cs="宋体"/>
          <w:color w:val="0000FF"/>
          <w:sz w:val="24"/>
          <w:szCs w:val="24"/>
          <w:lang w:val="en-US" w:eastAsia="zh-CN"/>
        </w:rPr>
        <w:t>工程</w:t>
      </w:r>
      <w:r>
        <w:rPr>
          <w:rFonts w:hint="eastAsia" w:ascii="宋体" w:hAnsi="宋体" w:eastAsia="宋体" w:cs="宋体"/>
          <w:color w:val="auto"/>
          <w:sz w:val="24"/>
          <w:szCs w:val="24"/>
          <w:lang w:val="en-US" w:eastAsia="zh-CN"/>
        </w:rPr>
        <w:t>结算</w:t>
      </w:r>
      <w:r>
        <w:rPr>
          <w:rFonts w:hint="eastAsia" w:ascii="宋体" w:hAnsi="宋体" w:eastAsia="宋体" w:cs="宋体"/>
          <w:color w:val="auto"/>
          <w:sz w:val="24"/>
          <w:szCs w:val="24"/>
        </w:rPr>
        <w:t>审计咨询服务机构，乙方入选。现依据《中华人民共和国民法典》等相关法律法规之规定，双方就甲方委托乙方提供造价</w:t>
      </w:r>
      <w:r>
        <w:rPr>
          <w:rFonts w:hint="eastAsia" w:ascii="宋体" w:hAnsi="宋体" w:eastAsia="宋体" w:cs="宋体"/>
          <w:color w:val="auto"/>
          <w:sz w:val="24"/>
          <w:szCs w:val="24"/>
          <w:lang w:val="en-US" w:eastAsia="zh-CN"/>
        </w:rPr>
        <w:t>及</w:t>
      </w:r>
      <w:r>
        <w:rPr>
          <w:rFonts w:hint="eastAsia" w:ascii="宋体" w:hAnsi="宋体" w:eastAsia="宋体" w:cs="宋体"/>
          <w:color w:val="0000FF"/>
          <w:sz w:val="24"/>
          <w:szCs w:val="24"/>
          <w:lang w:val="en-US" w:eastAsia="zh-CN"/>
        </w:rPr>
        <w:t>工程</w:t>
      </w:r>
      <w:r>
        <w:rPr>
          <w:rFonts w:hint="eastAsia" w:ascii="宋体" w:hAnsi="宋体" w:eastAsia="宋体" w:cs="宋体"/>
          <w:color w:val="auto"/>
          <w:sz w:val="24"/>
          <w:szCs w:val="24"/>
          <w:lang w:val="en-US" w:eastAsia="zh-CN"/>
        </w:rPr>
        <w:t>结算</w:t>
      </w:r>
      <w:r>
        <w:rPr>
          <w:rFonts w:hint="eastAsia" w:ascii="宋体" w:hAnsi="宋体" w:eastAsia="宋体" w:cs="宋体"/>
          <w:color w:val="auto"/>
          <w:sz w:val="24"/>
          <w:szCs w:val="24"/>
        </w:rPr>
        <w:t>审计咨询服务事宜达成一致，特订立本合同，以资共同遵守。</w:t>
      </w:r>
    </w:p>
    <w:p w14:paraId="6EE2724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一、</w:t>
      </w:r>
      <w:r>
        <w:rPr>
          <w:rFonts w:hint="eastAsia" w:ascii="宋体" w:hAnsi="宋体" w:eastAsia="宋体" w:cs="宋体"/>
          <w:b/>
          <w:bCs/>
          <w:color w:val="auto"/>
          <w:sz w:val="24"/>
          <w:szCs w:val="24"/>
        </w:rPr>
        <w:t>服务内容</w:t>
      </w:r>
    </w:p>
    <w:p w14:paraId="6AF887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1.1  乙方提供甲方造价</w:t>
      </w:r>
      <w:r>
        <w:rPr>
          <w:rFonts w:hint="eastAsia" w:ascii="宋体" w:hAnsi="宋体" w:eastAsia="宋体" w:cs="宋体"/>
          <w:color w:val="auto"/>
          <w:sz w:val="24"/>
          <w:szCs w:val="24"/>
          <w:lang w:val="en-US" w:eastAsia="zh-CN"/>
        </w:rPr>
        <w:t>及</w:t>
      </w:r>
      <w:r>
        <w:rPr>
          <w:rFonts w:hint="eastAsia" w:ascii="宋体" w:hAnsi="宋体" w:eastAsia="宋体" w:cs="宋体"/>
          <w:color w:val="0000FF"/>
          <w:sz w:val="24"/>
          <w:szCs w:val="24"/>
          <w:lang w:val="en-US" w:eastAsia="zh-CN"/>
        </w:rPr>
        <w:t>工程</w:t>
      </w:r>
      <w:r>
        <w:rPr>
          <w:rFonts w:hint="eastAsia" w:ascii="宋体" w:hAnsi="宋体" w:eastAsia="宋体" w:cs="宋体"/>
          <w:color w:val="auto"/>
          <w:sz w:val="24"/>
          <w:szCs w:val="24"/>
          <w:lang w:val="en-US" w:eastAsia="zh-CN"/>
        </w:rPr>
        <w:t>结算</w:t>
      </w:r>
      <w:r>
        <w:rPr>
          <w:rFonts w:hint="eastAsia" w:ascii="宋体" w:hAnsi="宋体" w:eastAsia="宋体" w:cs="宋体"/>
          <w:color w:val="auto"/>
          <w:sz w:val="24"/>
          <w:szCs w:val="24"/>
        </w:rPr>
        <w:t>审计咨询服务，具体如下：</w:t>
      </w:r>
    </w:p>
    <w:p w14:paraId="479DC44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szCs w:val="24"/>
        </w:rPr>
      </w:pPr>
      <w:r>
        <w:rPr>
          <w:rFonts w:hint="eastAsia" w:ascii="宋体" w:hAnsi="宋体" w:eastAsia="宋体" w:cs="宋体"/>
          <w:b/>
          <w:bCs/>
          <w:color w:val="auto"/>
          <w:sz w:val="24"/>
          <w:szCs w:val="24"/>
        </w:rPr>
        <w:t>1.1.1 工程项目</w:t>
      </w:r>
      <w:r>
        <w:rPr>
          <w:rFonts w:hint="eastAsia" w:ascii="宋体" w:hAnsi="宋体" w:eastAsia="宋体" w:cs="宋体"/>
          <w:b/>
          <w:bCs/>
          <w:color w:val="0000FF"/>
          <w:sz w:val="24"/>
          <w:szCs w:val="24"/>
        </w:rPr>
        <w:t>造价咨询</w:t>
      </w:r>
      <w:r>
        <w:rPr>
          <w:rFonts w:hint="eastAsia" w:ascii="宋体" w:hAnsi="宋体" w:eastAsia="宋体" w:cs="宋体"/>
          <w:b/>
          <w:bCs/>
          <w:color w:val="auto"/>
          <w:sz w:val="24"/>
          <w:szCs w:val="24"/>
        </w:rPr>
        <w:t>服务：</w:t>
      </w:r>
      <w:r>
        <w:rPr>
          <w:rFonts w:hint="eastAsia" w:ascii="宋体" w:hAnsi="宋体" w:eastAsia="宋体" w:cs="宋体"/>
          <w:color w:val="auto"/>
          <w:sz w:val="24"/>
          <w:szCs w:val="24"/>
        </w:rPr>
        <w:t>提供甲方工程项目</w:t>
      </w:r>
      <w:r>
        <w:rPr>
          <w:rFonts w:hint="eastAsia" w:ascii="宋体" w:hAnsi="宋体" w:eastAsia="宋体" w:cs="宋体"/>
          <w:color w:val="0000FF"/>
          <w:sz w:val="24"/>
          <w:szCs w:val="24"/>
        </w:rPr>
        <w:t>造价咨询服务</w:t>
      </w:r>
      <w:r>
        <w:rPr>
          <w:rFonts w:hint="eastAsia" w:ascii="宋体" w:hAnsi="宋体" w:eastAsia="宋体" w:cs="宋体"/>
          <w:color w:val="auto"/>
          <w:sz w:val="24"/>
          <w:szCs w:val="24"/>
        </w:rPr>
        <w:t>，并出具结论报告。</w:t>
      </w:r>
    </w:p>
    <w:p w14:paraId="0B6F543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szCs w:val="24"/>
          <w:highlight w:val="yellow"/>
        </w:rPr>
      </w:pPr>
      <w:r>
        <w:rPr>
          <w:rFonts w:hint="eastAsia" w:ascii="宋体" w:hAnsi="宋体" w:eastAsia="宋体" w:cs="宋体"/>
          <w:b/>
          <w:bCs/>
          <w:color w:val="auto"/>
          <w:sz w:val="24"/>
          <w:szCs w:val="24"/>
        </w:rPr>
        <w:t>1.1.2 货物、服务</w:t>
      </w:r>
      <w:r>
        <w:rPr>
          <w:rFonts w:hint="eastAsia" w:ascii="宋体" w:hAnsi="宋体" w:eastAsia="宋体" w:cs="宋体"/>
          <w:b/>
          <w:bCs/>
          <w:color w:val="0000FF"/>
          <w:sz w:val="24"/>
          <w:szCs w:val="24"/>
        </w:rPr>
        <w:t>采购项目价格咨询</w:t>
      </w:r>
      <w:r>
        <w:rPr>
          <w:rFonts w:hint="eastAsia" w:ascii="宋体" w:hAnsi="宋体" w:eastAsia="宋体" w:cs="宋体"/>
          <w:b/>
          <w:bCs/>
          <w:color w:val="auto"/>
          <w:sz w:val="24"/>
          <w:szCs w:val="24"/>
        </w:rPr>
        <w:t>服务：</w:t>
      </w:r>
      <w:r>
        <w:rPr>
          <w:rFonts w:hint="eastAsia" w:ascii="宋体" w:hAnsi="宋体" w:eastAsia="宋体" w:cs="宋体"/>
          <w:color w:val="auto"/>
          <w:sz w:val="24"/>
          <w:szCs w:val="24"/>
        </w:rPr>
        <w:t>提供甲方货物、服务采购项目</w:t>
      </w:r>
      <w:r>
        <w:rPr>
          <w:rFonts w:hint="eastAsia" w:ascii="宋体" w:hAnsi="宋体" w:eastAsia="宋体" w:cs="宋体"/>
          <w:color w:val="0000FF"/>
          <w:sz w:val="24"/>
          <w:szCs w:val="24"/>
        </w:rPr>
        <w:t>价格咨询服务</w:t>
      </w:r>
      <w:r>
        <w:rPr>
          <w:rFonts w:hint="eastAsia" w:ascii="宋体" w:hAnsi="宋体" w:eastAsia="宋体" w:cs="宋体"/>
          <w:color w:val="auto"/>
          <w:sz w:val="24"/>
          <w:szCs w:val="24"/>
        </w:rPr>
        <w:t>，并出具结论报告。</w:t>
      </w:r>
    </w:p>
    <w:p w14:paraId="7E534B4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szCs w:val="24"/>
        </w:rPr>
      </w:pPr>
      <w:r>
        <w:rPr>
          <w:rFonts w:hint="eastAsia" w:ascii="宋体" w:hAnsi="宋体" w:eastAsia="宋体" w:cs="宋体"/>
          <w:b/>
          <w:bCs/>
          <w:color w:val="auto"/>
          <w:sz w:val="24"/>
          <w:szCs w:val="24"/>
        </w:rPr>
        <w:t>1.1.3 工程项目预算评审服务：</w:t>
      </w:r>
      <w:r>
        <w:rPr>
          <w:rFonts w:hint="eastAsia" w:ascii="宋体" w:hAnsi="宋体" w:eastAsia="宋体" w:cs="宋体"/>
          <w:color w:val="0000FF"/>
          <w:sz w:val="24"/>
          <w:szCs w:val="24"/>
        </w:rPr>
        <w:t>提供甲方工程项目造价咨询评审服务</w:t>
      </w:r>
      <w:r>
        <w:rPr>
          <w:rFonts w:hint="eastAsia" w:ascii="宋体" w:hAnsi="宋体" w:eastAsia="宋体" w:cs="宋体"/>
          <w:color w:val="0000FF"/>
          <w:sz w:val="24"/>
          <w:szCs w:val="24"/>
          <w:lang w:eastAsia="zh-CN"/>
        </w:rPr>
        <w:t>，</w:t>
      </w:r>
      <w:r>
        <w:rPr>
          <w:rFonts w:hint="eastAsia" w:ascii="宋体" w:hAnsi="宋体" w:eastAsia="宋体" w:cs="宋体"/>
          <w:color w:val="auto"/>
          <w:sz w:val="24"/>
          <w:szCs w:val="24"/>
          <w:highlight w:val="none"/>
        </w:rPr>
        <w:t>审核工程项目</w:t>
      </w:r>
      <w:r>
        <w:rPr>
          <w:rFonts w:hint="eastAsia" w:ascii="宋体" w:hAnsi="宋体" w:eastAsia="宋体" w:cs="宋体"/>
          <w:color w:val="0000FF"/>
          <w:sz w:val="24"/>
          <w:szCs w:val="24"/>
        </w:rPr>
        <w:t>造价咨询</w:t>
      </w:r>
      <w:r>
        <w:rPr>
          <w:rFonts w:hint="eastAsia" w:ascii="宋体" w:hAnsi="宋体" w:eastAsia="宋体" w:cs="宋体"/>
          <w:color w:val="auto"/>
          <w:sz w:val="24"/>
          <w:szCs w:val="24"/>
          <w:highlight w:val="none"/>
        </w:rPr>
        <w:t>结论报告，包</w:t>
      </w:r>
      <w:r>
        <w:rPr>
          <w:rFonts w:hint="eastAsia" w:ascii="宋体" w:hAnsi="宋体" w:eastAsia="宋体" w:cs="宋体"/>
          <w:color w:val="auto"/>
          <w:sz w:val="24"/>
          <w:szCs w:val="24"/>
        </w:rPr>
        <w:t>括审核编制依据合法性、有效性和适用性，审核补充项目计量规则的合理性、适用性，审核工程量清单的完整性，工程量清单项目编码的正确性，项目特征的正确性和充分性，审核工程计量的正确性，审核工料机价格的准确性（有必要的需进行市场价格询价），审核项目特征描述正确性以及错项漏项等，审核施工方案及措施项目的合理性，审核</w:t>
      </w:r>
      <w:r>
        <w:rPr>
          <w:rFonts w:hint="eastAsia" w:ascii="宋体" w:hAnsi="宋体" w:eastAsia="宋体" w:cs="宋体"/>
          <w:color w:val="auto"/>
          <w:sz w:val="24"/>
          <w:szCs w:val="24"/>
          <w:lang w:val="en-US" w:eastAsia="zh-CN"/>
        </w:rPr>
        <w:t>并</w:t>
      </w:r>
      <w:r>
        <w:rPr>
          <w:rFonts w:hint="eastAsia" w:ascii="宋体" w:hAnsi="宋体" w:eastAsia="宋体" w:cs="宋体"/>
          <w:color w:val="auto"/>
          <w:sz w:val="24"/>
          <w:szCs w:val="24"/>
        </w:rPr>
        <w:t>分析综合单价，审核工程计价的合理性，分析、审核措施项目及措施项目费的合理性，审核编制说明，工程取费标准参照现行娄底市财评中心评审标准，并出具审核报告。</w:t>
      </w:r>
    </w:p>
    <w:p w14:paraId="6F02E3F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szCs w:val="24"/>
          <w:highlight w:val="none"/>
        </w:rPr>
      </w:pPr>
      <w:r>
        <w:rPr>
          <w:rFonts w:hint="eastAsia" w:ascii="宋体" w:hAnsi="宋体" w:eastAsia="宋体" w:cs="宋体"/>
          <w:b/>
          <w:bCs/>
          <w:color w:val="auto"/>
          <w:sz w:val="24"/>
          <w:szCs w:val="24"/>
        </w:rPr>
        <w:t>1.1.4 工程项目竣工结算评审（初审）服务：</w:t>
      </w:r>
      <w:r>
        <w:rPr>
          <w:rFonts w:hint="eastAsia" w:ascii="宋体" w:hAnsi="宋体" w:eastAsia="宋体" w:cs="宋体"/>
          <w:color w:val="auto"/>
          <w:sz w:val="24"/>
          <w:szCs w:val="24"/>
        </w:rPr>
        <w:t>审核结算编制依据的有效性和适用性；审核工程结算依据的完备性；分析施工合同，审核结算方法的适用性；对照竣工图以及建设方、施工方、监理方（如有）签证的工程量，审核工程量清单项目完整性；进行工程计量，审核工程量的准确性；进行工程计价，审核工程计价的合理性；审核新增项目综合单价分析的合理性；审核签证、索赔、变更等造价的合理性；审核发现的异议，与编制单位进行技术核对，确定正确数据，</w:t>
      </w:r>
      <w:r>
        <w:rPr>
          <w:rFonts w:hint="eastAsia" w:ascii="宋体" w:hAnsi="宋体" w:eastAsia="宋体" w:cs="宋体"/>
          <w:color w:val="auto"/>
          <w:sz w:val="24"/>
          <w:szCs w:val="24"/>
          <w:highlight w:val="none"/>
        </w:rPr>
        <w:t>并调整核对后工程量及造价；建筑材料、设备、机械等有异议，需进行市场询价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出具审核报告书。</w:t>
      </w:r>
    </w:p>
    <w:p w14:paraId="6FA48F0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szCs w:val="24"/>
        </w:rPr>
      </w:pPr>
      <w:r>
        <w:rPr>
          <w:rFonts w:hint="eastAsia" w:ascii="宋体" w:hAnsi="宋体" w:eastAsia="宋体" w:cs="宋体"/>
          <w:b/>
          <w:bCs/>
          <w:color w:val="auto"/>
          <w:sz w:val="24"/>
          <w:szCs w:val="24"/>
        </w:rPr>
        <w:t>1.1.5 工程项目竣工结算评审（复审）服务：</w:t>
      </w:r>
      <w:r>
        <w:rPr>
          <w:rFonts w:hint="eastAsia" w:ascii="宋体" w:hAnsi="宋体" w:eastAsia="宋体" w:cs="宋体"/>
          <w:color w:val="auto"/>
          <w:sz w:val="24"/>
          <w:szCs w:val="24"/>
        </w:rPr>
        <w:t>审核工程项目竣工结算评审（初审）结论的正确性并出具审核报告书。</w:t>
      </w:r>
    </w:p>
    <w:p w14:paraId="77405CC2">
      <w:pPr>
        <w:keepNext w:val="0"/>
        <w:keepLines w:val="0"/>
        <w:pageBreakBefore w:val="0"/>
        <w:widowControl w:val="0"/>
        <w:kinsoku/>
        <w:wordWrap/>
        <w:overflowPunct/>
        <w:topLinePunct w:val="0"/>
        <w:autoSpaceDE/>
        <w:autoSpaceDN/>
        <w:bidi w:val="0"/>
        <w:adjustRightInd/>
        <w:snapToGrid/>
        <w:spacing w:line="480" w:lineRule="exact"/>
        <w:ind w:firstLine="436" w:firstLineChars="200"/>
        <w:textAlignment w:val="auto"/>
        <w:rPr>
          <w:rFonts w:ascii="宋体" w:hAnsi="宋体" w:eastAsia="宋体" w:cs="宋体"/>
          <w:color w:val="auto"/>
          <w:spacing w:val="-11"/>
          <w:sz w:val="24"/>
          <w:szCs w:val="24"/>
        </w:rPr>
      </w:pPr>
      <w:r>
        <w:rPr>
          <w:rFonts w:hint="eastAsia" w:ascii="宋体" w:hAnsi="宋体" w:eastAsia="宋体" w:cs="宋体"/>
          <w:color w:val="auto"/>
          <w:spacing w:val="-11"/>
          <w:sz w:val="24"/>
          <w:szCs w:val="24"/>
        </w:rPr>
        <w:t>1.2 乙方提供服务的具体项目以甲方通知为准。乙方应在接到甲方通知</w:t>
      </w:r>
      <w:r>
        <w:rPr>
          <w:rFonts w:hint="eastAsia" w:ascii="宋体" w:hAnsi="宋体" w:eastAsia="宋体" w:cs="宋体"/>
          <w:color w:val="auto"/>
          <w:spacing w:val="-11"/>
          <w:sz w:val="24"/>
          <w:szCs w:val="24"/>
          <w:highlight w:val="none"/>
        </w:rPr>
        <w:t>之日起</w:t>
      </w:r>
      <w:r>
        <w:rPr>
          <w:rFonts w:hint="eastAsia" w:ascii="宋体" w:hAnsi="宋体" w:eastAsia="宋体" w:cs="宋体"/>
          <w:color w:val="auto"/>
          <w:spacing w:val="-11"/>
          <w:sz w:val="24"/>
          <w:szCs w:val="24"/>
          <w:highlight w:val="none"/>
          <w:u w:val="single"/>
          <w:lang w:val="en-US" w:eastAsia="zh-CN"/>
        </w:rPr>
        <w:t>10</w:t>
      </w:r>
      <w:r>
        <w:rPr>
          <w:rFonts w:hint="eastAsia" w:ascii="宋体" w:hAnsi="宋体" w:eastAsia="宋体" w:cs="宋体"/>
          <w:color w:val="auto"/>
          <w:spacing w:val="-11"/>
          <w:sz w:val="24"/>
          <w:szCs w:val="24"/>
          <w:highlight w:val="none"/>
        </w:rPr>
        <w:t>日</w:t>
      </w:r>
      <w:r>
        <w:rPr>
          <w:rFonts w:hint="eastAsia" w:ascii="宋体" w:hAnsi="宋体" w:eastAsia="宋体" w:cs="宋体"/>
          <w:color w:val="auto"/>
          <w:spacing w:val="-11"/>
          <w:sz w:val="24"/>
          <w:szCs w:val="24"/>
        </w:rPr>
        <w:t>内，完成具体项目服务并向甲方交付纸质结论一式叁份、电子档壹份。</w:t>
      </w:r>
    </w:p>
    <w:p w14:paraId="1329A11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二、</w:t>
      </w:r>
      <w:r>
        <w:rPr>
          <w:rFonts w:hint="eastAsia" w:ascii="宋体" w:hAnsi="宋体" w:eastAsia="宋体" w:cs="宋体"/>
          <w:b/>
          <w:bCs/>
          <w:color w:val="auto"/>
          <w:sz w:val="24"/>
          <w:szCs w:val="24"/>
        </w:rPr>
        <w:t>服务期限</w:t>
      </w:r>
    </w:p>
    <w:p w14:paraId="25A661C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服务期限为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0000FF"/>
          <w:sz w:val="24"/>
          <w:szCs w:val="24"/>
          <w:highlight w:val="none"/>
          <w:lang w:val="en-US" w:eastAsia="zh-CN"/>
        </w:rPr>
        <w:t>自本合同签订后</w:t>
      </w:r>
      <w:r>
        <w:rPr>
          <w:rFonts w:hint="eastAsia" w:ascii="宋体" w:hAnsi="宋体" w:eastAsia="宋体" w:cs="宋体"/>
          <w:color w:val="auto"/>
          <w:sz w:val="24"/>
          <w:szCs w:val="24"/>
          <w:highlight w:val="none"/>
        </w:rPr>
        <w:t>甲方</w:t>
      </w:r>
      <w:r>
        <w:rPr>
          <w:rFonts w:hint="eastAsia" w:ascii="宋体" w:hAnsi="宋体" w:eastAsia="宋体" w:cs="宋体"/>
          <w:color w:val="0000FF"/>
          <w:sz w:val="24"/>
          <w:szCs w:val="24"/>
          <w:highlight w:val="none"/>
          <w:lang w:val="en-US" w:eastAsia="zh-CN"/>
        </w:rPr>
        <w:t>向所有入围的服务机构支付</w:t>
      </w:r>
      <w:r>
        <w:rPr>
          <w:rFonts w:hint="eastAsia" w:ascii="宋体" w:hAnsi="宋体" w:eastAsia="宋体" w:cs="宋体"/>
          <w:color w:val="auto"/>
          <w:sz w:val="24"/>
          <w:szCs w:val="24"/>
          <w:highlight w:val="none"/>
        </w:rPr>
        <w:t>的服务费用总额达到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0000FF"/>
          <w:sz w:val="24"/>
          <w:szCs w:val="24"/>
          <w:highlight w:val="none"/>
          <w:u w:val="single"/>
          <w:lang w:val="en-US" w:eastAsia="zh-CN"/>
        </w:rPr>
        <w:t>60万</w:t>
      </w:r>
      <w:r>
        <w:rPr>
          <w:rFonts w:hint="eastAsia" w:ascii="宋体" w:hAnsi="宋体" w:eastAsia="宋体" w:cs="宋体"/>
          <w:color w:val="auto"/>
          <w:sz w:val="24"/>
          <w:szCs w:val="24"/>
          <w:highlight w:val="none"/>
          <w:u w:val="none"/>
          <w:lang w:val="en-US" w:eastAsia="zh-CN"/>
        </w:rPr>
        <w:t>元时止</w:t>
      </w:r>
      <w:r>
        <w:rPr>
          <w:rFonts w:hint="eastAsia" w:ascii="宋体" w:hAnsi="宋体" w:eastAsia="宋体" w:cs="宋体"/>
          <w:color w:val="0000FF"/>
          <w:sz w:val="24"/>
          <w:szCs w:val="24"/>
          <w:highlight w:val="none"/>
        </w:rPr>
        <w:t>，</w:t>
      </w:r>
      <w:r>
        <w:rPr>
          <w:rFonts w:hint="eastAsia" w:ascii="宋体" w:hAnsi="宋体" w:eastAsia="宋体" w:cs="宋体"/>
          <w:color w:val="0000FF"/>
          <w:sz w:val="24"/>
          <w:szCs w:val="24"/>
          <w:highlight w:val="none"/>
          <w:lang w:val="en-US" w:eastAsia="zh-CN"/>
        </w:rPr>
        <w:t>以先到者为准</w:t>
      </w:r>
      <w:r>
        <w:rPr>
          <w:rFonts w:hint="eastAsia" w:ascii="宋体" w:hAnsi="宋体" w:eastAsia="宋体" w:cs="宋体"/>
          <w:color w:val="auto"/>
          <w:sz w:val="24"/>
          <w:szCs w:val="24"/>
          <w:highlight w:val="none"/>
        </w:rPr>
        <w:t>。</w:t>
      </w:r>
    </w:p>
    <w:p w14:paraId="50A1F1C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甲方权利和义务</w:t>
      </w:r>
    </w:p>
    <w:p w14:paraId="5B8016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3.1 书面通知乙方开展具体项目服务，按照乙方提交的资料清单及时提供资料，并对资料的真实性、合法性负责。 </w:t>
      </w:r>
    </w:p>
    <w:p w14:paraId="6BD8175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3.2 如乙方需来甲方现场办公，由甲方负责协调。</w:t>
      </w:r>
    </w:p>
    <w:p w14:paraId="5195E0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3.3 有权向乙方询问工作进展情况及相关的内容，提出具体问题的意见和建议，并要求乙方予书面答复。</w:t>
      </w:r>
    </w:p>
    <w:p w14:paraId="4D7169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3.4 如甲方认为乙方工作人员存在工作态度、责任心、技术能力、协调能力等方面的问题，未按合同约定履行职责，已经或可能给甲方造成经济损失的，甲方有权要求更换工作人员。</w:t>
      </w:r>
    </w:p>
    <w:p w14:paraId="266811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highlight w:val="yellow"/>
        </w:rPr>
      </w:pPr>
      <w:r>
        <w:rPr>
          <w:rFonts w:hint="eastAsia" w:ascii="宋体" w:hAnsi="宋体" w:eastAsia="宋体" w:cs="宋体"/>
          <w:color w:val="auto"/>
          <w:sz w:val="24"/>
          <w:szCs w:val="24"/>
        </w:rPr>
        <w:t>3.5 甲方有权根据服务机构的业务特长，在遵循回避原则、不相容业务分离原则的前提下采取抽签或议价办法选择具体项目的服务机构</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如具体项目预算金额超过1000万元，甲方组织入围的服务机构对服务费用进行二次议价，</w:t>
      </w:r>
      <w:r>
        <w:rPr>
          <w:rFonts w:hint="eastAsia" w:ascii="宋体" w:hAnsi="宋体" w:eastAsia="宋体" w:cs="宋体"/>
          <w:color w:val="0000FF"/>
          <w:sz w:val="24"/>
          <w:szCs w:val="24"/>
          <w:lang w:val="en-US" w:eastAsia="zh-CN"/>
        </w:rPr>
        <w:t>乙方</w:t>
      </w:r>
      <w:r>
        <w:rPr>
          <w:rFonts w:hint="eastAsia" w:ascii="宋体" w:hAnsi="宋体" w:eastAsia="宋体" w:cs="宋体"/>
          <w:color w:val="0000FF"/>
          <w:sz w:val="24"/>
          <w:szCs w:val="24"/>
          <w:highlight w:val="none"/>
          <w:lang w:val="en-US" w:eastAsia="zh-CN"/>
        </w:rPr>
        <w:t>报价应低于</w:t>
      </w:r>
      <w:r>
        <w:rPr>
          <w:rFonts w:hint="eastAsia" w:ascii="宋体" w:hAnsi="宋体" w:eastAsia="宋体" w:cs="宋体"/>
          <w:color w:val="auto"/>
          <w:sz w:val="24"/>
          <w:szCs w:val="24"/>
          <w:highlight w:val="none"/>
        </w:rPr>
        <w:t>本合同约定</w:t>
      </w:r>
      <w:r>
        <w:rPr>
          <w:rFonts w:hint="eastAsia" w:ascii="宋体" w:hAnsi="宋体" w:eastAsia="宋体" w:cs="宋体"/>
          <w:color w:val="auto"/>
          <w:sz w:val="24"/>
          <w:szCs w:val="24"/>
          <w:highlight w:val="none"/>
          <w:lang w:val="en-US" w:eastAsia="zh-CN"/>
        </w:rPr>
        <w:t>的费用</w:t>
      </w:r>
      <w:r>
        <w:rPr>
          <w:rFonts w:hint="eastAsia" w:ascii="宋体" w:hAnsi="宋体" w:eastAsia="宋体" w:cs="宋体"/>
          <w:color w:val="auto"/>
          <w:sz w:val="24"/>
          <w:szCs w:val="24"/>
          <w:highlight w:val="none"/>
        </w:rPr>
        <w:t>标准。</w:t>
      </w:r>
    </w:p>
    <w:p w14:paraId="2835953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乙方权利和义务</w:t>
      </w:r>
    </w:p>
    <w:p w14:paraId="34EDA8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4.1 按照甲方通知提供具体项目的服务，在约定时间内出具结论报告及有关成果并对结论报告真实准确性负责，无条件接受甲方服务考核。乙方结论报告误差率应控制在</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%以内，如有违反，甲方有权按本合同约定扣除相应项目的服务费用。</w:t>
      </w:r>
    </w:p>
    <w:p w14:paraId="17A3F5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4.2 指派具备资质的咨询人员组成项目组提供服务，确保足够的人力、物力等资源</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保证按时按质按量完成</w:t>
      </w:r>
      <w:r>
        <w:rPr>
          <w:rFonts w:hint="eastAsia" w:ascii="宋体" w:hAnsi="宋体" w:eastAsia="宋体" w:cs="宋体"/>
          <w:color w:val="FF0000"/>
          <w:sz w:val="24"/>
          <w:szCs w:val="24"/>
          <w:lang w:val="en-US" w:eastAsia="zh-CN"/>
        </w:rPr>
        <w:t>甲方</w:t>
      </w:r>
      <w:r>
        <w:rPr>
          <w:rFonts w:hint="eastAsia" w:ascii="宋体" w:hAnsi="宋体" w:eastAsia="宋体" w:cs="宋体"/>
          <w:color w:val="auto"/>
          <w:sz w:val="24"/>
          <w:szCs w:val="24"/>
        </w:rPr>
        <w:t>委托</w:t>
      </w:r>
      <w:r>
        <w:rPr>
          <w:rFonts w:hint="eastAsia" w:ascii="宋体" w:hAnsi="宋体" w:eastAsia="宋体" w:cs="宋体"/>
          <w:color w:val="FF0000"/>
          <w:sz w:val="24"/>
          <w:szCs w:val="24"/>
          <w:lang w:val="en-US" w:eastAsia="zh-CN"/>
        </w:rPr>
        <w:t>事项</w:t>
      </w:r>
      <w:r>
        <w:rPr>
          <w:rFonts w:hint="eastAsia" w:ascii="宋体" w:hAnsi="宋体" w:eastAsia="宋体" w:cs="宋体"/>
          <w:color w:val="auto"/>
          <w:sz w:val="24"/>
          <w:szCs w:val="24"/>
        </w:rPr>
        <w:t>并出具报告。如乙方更换项目组人员应提前5个工作日书面报告甲方，经甲方同意后可以更换；如甲方提出更换项目组工作人员，乙方应在接到甲方通知之日起3日内更换到位。</w:t>
      </w:r>
    </w:p>
    <w:p w14:paraId="0DABA2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4.3 指派履行本合同的人员应完整、准确、真实反映并记录过程中的工作情况，做好审核资料、工作底稿整理、归集，并按规定格式和质量要求提供需求方案和评估文件。</w:t>
      </w:r>
    </w:p>
    <w:p w14:paraId="12933E9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4.4 乙方负责与自筹资金投资预算控制、评审及竣工结算评审业务有关的第三方/第三人的协调，为服务工作提供外部条件，如需外聘专家协助，由乙方承担由此产生的费用。</w:t>
      </w:r>
    </w:p>
    <w:p w14:paraId="143E11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4.5 乙方在收到甲方提供的资料信息时应进行书面签收，如对资料信息有异议的，乙方应在收到之日起2个工作日内向甲方反映，否则视为认可甲方提供的资料信息，后续因资料信息错误或者缺陷等而导致的一切后果由乙方自行承担。</w:t>
      </w:r>
    </w:p>
    <w:p w14:paraId="0B88BA6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 乙方无条件认可甲方选择具体项目的服务机构方式，积极响应参与，</w:t>
      </w:r>
      <w:r>
        <w:rPr>
          <w:rFonts w:hint="eastAsia" w:ascii="宋体" w:hAnsi="宋体" w:eastAsia="宋体" w:cs="宋体"/>
          <w:color w:val="auto"/>
          <w:sz w:val="24"/>
          <w:szCs w:val="24"/>
          <w:highlight w:val="none"/>
        </w:rPr>
        <w:t>并承诺</w:t>
      </w:r>
      <w:r>
        <w:rPr>
          <w:rFonts w:hint="eastAsia" w:ascii="宋体" w:hAnsi="宋体" w:eastAsia="宋体" w:cs="宋体"/>
          <w:color w:val="0000FF"/>
          <w:sz w:val="24"/>
          <w:szCs w:val="24"/>
          <w:highlight w:val="none"/>
        </w:rPr>
        <w:t>预算金额超过1000万元</w:t>
      </w:r>
      <w:r>
        <w:rPr>
          <w:rFonts w:hint="eastAsia" w:ascii="宋体" w:hAnsi="宋体" w:eastAsia="宋体" w:cs="宋体"/>
          <w:color w:val="0000FF"/>
          <w:sz w:val="24"/>
          <w:szCs w:val="24"/>
          <w:highlight w:val="none"/>
          <w:lang w:val="en-US" w:eastAsia="zh-CN"/>
        </w:rPr>
        <w:t>的</w:t>
      </w:r>
      <w:r>
        <w:rPr>
          <w:rFonts w:hint="eastAsia" w:ascii="宋体" w:hAnsi="宋体" w:eastAsia="宋体" w:cs="宋体"/>
          <w:color w:val="0000FF"/>
          <w:sz w:val="24"/>
          <w:szCs w:val="24"/>
          <w:highlight w:val="none"/>
        </w:rPr>
        <w:t>具体项目</w:t>
      </w:r>
      <w:r>
        <w:rPr>
          <w:rFonts w:hint="eastAsia" w:ascii="宋体" w:hAnsi="宋体" w:eastAsia="宋体" w:cs="宋体"/>
          <w:color w:val="auto"/>
          <w:sz w:val="24"/>
          <w:szCs w:val="24"/>
          <w:highlight w:val="none"/>
        </w:rPr>
        <w:t>二次报价的费用标准低于本合同约定的费用标准。</w:t>
      </w:r>
      <w:r>
        <w:rPr>
          <w:rFonts w:hint="eastAsia" w:ascii="宋体" w:hAnsi="宋体" w:eastAsia="宋体" w:cs="宋体"/>
          <w:color w:val="auto"/>
          <w:sz w:val="24"/>
          <w:szCs w:val="24"/>
        </w:rPr>
        <w:t>如甲方选定乙方为具体项目的服务机构，乙方必须按本合同约定完成服务，不得拒绝接受委托。</w:t>
      </w:r>
    </w:p>
    <w:p w14:paraId="16E2E8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4.7 甲方因3.4约定原因要求更换工作人员的，乙方应在接到甲方通知之日起</w:t>
      </w:r>
      <w:r>
        <w:rPr>
          <w:rFonts w:hint="eastAsia" w:ascii="宋体" w:hAnsi="宋体" w:eastAsia="宋体" w:cs="宋体"/>
          <w:color w:val="0000FF"/>
          <w:sz w:val="24"/>
          <w:szCs w:val="24"/>
          <w:u w:val="single"/>
          <w:lang w:val="en-US" w:eastAsia="zh-CN"/>
        </w:rPr>
        <w:t xml:space="preserve"> 3 </w:t>
      </w:r>
      <w:r>
        <w:rPr>
          <w:rFonts w:hint="eastAsia" w:ascii="宋体" w:hAnsi="宋体" w:eastAsia="宋体" w:cs="宋体"/>
          <w:color w:val="0000FF"/>
          <w:sz w:val="24"/>
          <w:szCs w:val="24"/>
          <w:u w:val="none"/>
          <w:lang w:val="en-US" w:eastAsia="zh-CN"/>
        </w:rPr>
        <w:t>日内按甲方要求更换到位</w:t>
      </w:r>
      <w:r>
        <w:rPr>
          <w:rFonts w:hint="eastAsia" w:ascii="宋体" w:hAnsi="宋体" w:eastAsia="宋体" w:cs="宋体"/>
          <w:color w:val="0000FF"/>
          <w:sz w:val="24"/>
          <w:szCs w:val="24"/>
          <w:lang w:val="en-US" w:eastAsia="zh-CN"/>
        </w:rPr>
        <w:t>。</w:t>
      </w:r>
    </w:p>
    <w:p w14:paraId="21EB4E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FF"/>
          <w:sz w:val="24"/>
          <w:szCs w:val="24"/>
          <w:highlight w:val="green"/>
          <w:lang w:val="en-US" w:eastAsia="zh-CN"/>
        </w:rPr>
      </w:pPr>
      <w:r>
        <w:rPr>
          <w:rFonts w:hint="eastAsia" w:ascii="宋体" w:hAnsi="宋体" w:eastAsia="宋体" w:cs="宋体"/>
          <w:color w:val="0000FF"/>
          <w:sz w:val="24"/>
          <w:szCs w:val="24"/>
          <w:highlight w:val="green"/>
          <w:lang w:val="en-US" w:eastAsia="zh-CN"/>
        </w:rPr>
        <w:t>4.8 服务期限内，乙方应回避与具体项目中标单位有利益关联的项目，不得参与可能与甲方存在利益相冲突的任何活动。如乙方违反本项约定，应按本合同约定承担相应的违约责任。</w:t>
      </w:r>
    </w:p>
    <w:p w14:paraId="3835234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知识产权</w:t>
      </w:r>
    </w:p>
    <w:p w14:paraId="79FA11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5.1 乙方为实施项目提供的所有资料及工作成果归甲方所有。乙方不得使用或者授权他人使用本合同项下的任何成果及相关信息，否则</w:t>
      </w:r>
      <w:r>
        <w:rPr>
          <w:rFonts w:hint="eastAsia" w:ascii="宋体" w:hAnsi="宋体" w:eastAsia="宋体" w:cs="宋体"/>
          <w:color w:val="0000FF"/>
          <w:sz w:val="24"/>
          <w:szCs w:val="24"/>
          <w:lang w:val="en-US" w:eastAsia="zh-CN"/>
        </w:rPr>
        <w:t>由乙方</w:t>
      </w:r>
      <w:r>
        <w:rPr>
          <w:rFonts w:hint="eastAsia" w:ascii="宋体" w:hAnsi="宋体" w:eastAsia="宋体" w:cs="宋体"/>
          <w:color w:val="0000FF"/>
          <w:sz w:val="24"/>
          <w:szCs w:val="24"/>
        </w:rPr>
        <w:t>承担法律责任和</w:t>
      </w:r>
      <w:r>
        <w:rPr>
          <w:rFonts w:hint="eastAsia" w:ascii="宋体" w:hAnsi="宋体" w:eastAsia="宋体" w:cs="宋体"/>
          <w:sz w:val="24"/>
          <w:szCs w:val="24"/>
        </w:rPr>
        <w:t>由此造成的甲方</w:t>
      </w:r>
      <w:r>
        <w:rPr>
          <w:rFonts w:hint="eastAsia" w:ascii="宋体" w:hAnsi="宋体" w:eastAsia="宋体" w:cs="宋体"/>
          <w:sz w:val="24"/>
          <w:szCs w:val="24"/>
          <w:lang w:val="en-US" w:eastAsia="zh-CN"/>
        </w:rPr>
        <w:t>全部</w:t>
      </w:r>
      <w:r>
        <w:rPr>
          <w:rFonts w:hint="eastAsia" w:ascii="宋体" w:hAnsi="宋体" w:eastAsia="宋体" w:cs="宋体"/>
          <w:sz w:val="24"/>
          <w:szCs w:val="24"/>
        </w:rPr>
        <w:t>经济损失</w:t>
      </w:r>
      <w:r>
        <w:rPr>
          <w:rFonts w:hint="eastAsia" w:ascii="宋体" w:hAnsi="宋体" w:eastAsia="宋体" w:cs="宋体"/>
          <w:color w:val="auto"/>
          <w:sz w:val="24"/>
          <w:szCs w:val="24"/>
        </w:rPr>
        <w:t>。</w:t>
      </w:r>
    </w:p>
    <w:p w14:paraId="2517757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5.2 乙方确保履行本合同不会侵犯第三方的知识产权或引发知识产权纠纷；如因乙方违反前述约定导致第三方向甲方主张任何权利，由乙方负责处理并赔偿甲方由此产生的诉讼费、差旅费、律师费等全部经济损失。</w:t>
      </w:r>
    </w:p>
    <w:p w14:paraId="328F497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风险承担</w:t>
      </w:r>
    </w:p>
    <w:p w14:paraId="3B9BCCB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6.1 乙方在履行本合同期间应当采取有效安全措施，如乙方及其指派人员在履行本合同过程(包括但不限于勘查等)中发生事故，给甲方、乙方或第三方人身、财产造成的所有损失，均由乙方负责处理和承担赔偿全部经济损失等所有法律责任。</w:t>
      </w:r>
    </w:p>
    <w:p w14:paraId="7CFA23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6.2 如甲方因乙方服务原因涉及纠纷、诉讼或被处以行政处罚，由乙方承担甲方因纠纷、诉讼、罚款等造成的全部经济损失。</w:t>
      </w:r>
    </w:p>
    <w:p w14:paraId="4EDDC5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廉洁条款</w:t>
      </w:r>
    </w:p>
    <w:p w14:paraId="190BF2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
          <w:bCs/>
          <w:color w:val="auto"/>
          <w:sz w:val="24"/>
          <w:szCs w:val="24"/>
        </w:rPr>
      </w:pPr>
      <w:r>
        <w:rPr>
          <w:rFonts w:hint="eastAsia" w:ascii="宋体" w:hAnsi="宋体" w:eastAsia="宋体" w:cs="宋体"/>
          <w:color w:val="auto"/>
          <w:sz w:val="24"/>
          <w:szCs w:val="24"/>
        </w:rPr>
        <w:t>7.1 乙方应严格遵守国家相关法律法规，涉及合同的有关业务活动必须坚持公开、公平、公正、诚信原则，不得参与可能与甲方利益相冲突的任何活动，不得为获取不正当利益损害国家、集体和甲方利益。</w:t>
      </w:r>
    </w:p>
    <w:p w14:paraId="6BC7553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u w:val="single"/>
        </w:rPr>
      </w:pPr>
      <w:r>
        <w:rPr>
          <w:rFonts w:hint="eastAsia" w:ascii="宋体" w:hAnsi="宋体" w:eastAsia="宋体" w:cs="宋体"/>
          <w:b/>
          <w:bCs/>
          <w:color w:val="auto"/>
          <w:sz w:val="24"/>
          <w:szCs w:val="24"/>
          <w:u w:val="single"/>
        </w:rPr>
        <w:t>7.2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w:t>
      </w:r>
    </w:p>
    <w:p w14:paraId="3878166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7.3 乙方违反前述廉洁约定的，甲方有权要求乙方按本合同约定向甲方支付违反廉洁条款的惩罚性违约金。</w:t>
      </w:r>
    </w:p>
    <w:p w14:paraId="2240A4A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八、</w:t>
      </w:r>
      <w:r>
        <w:rPr>
          <w:rFonts w:hint="eastAsia" w:ascii="宋体" w:hAnsi="宋体" w:eastAsia="宋体" w:cs="宋体"/>
          <w:b/>
          <w:bCs/>
          <w:color w:val="auto"/>
          <w:sz w:val="24"/>
          <w:szCs w:val="24"/>
        </w:rPr>
        <w:t>保密条款</w:t>
      </w:r>
    </w:p>
    <w:p w14:paraId="7F13752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8.1 本合同订立、履行、变更等产生的研究、商讨、交流等信息，履行本合同获悉的甲方商业秘密、运营信息、工作人员信息、患陪个人信息等，均属保密信息。乙方对履行本合同获悉的甲方商业秘密、业务信息及接触到的甲方内部文件资料（包括内部发文、各类通知及会议记录等）等内容应严格保密，不得擅自记录、复制、拍摄、摘抄、收藏等，不得将乙方的任何资料、数据透露或以其他方式提供给与履行合同无关的任何人员。</w:t>
      </w:r>
    </w:p>
    <w:p w14:paraId="3567F4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8.2 乙方应对保密信息采取有效手段严格保密，不得用于非本合同之目的或向第三方泄露。如政府部门、法院或其他有权部门要求乙方提供保密信息，乙方应当立即向甲方通报。</w:t>
      </w:r>
    </w:p>
    <w:p w14:paraId="6C85B7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8.3 因乙方未履行本合同保密义务造成甲方或第三方损失的，由乙方承担全部赔偿责任。</w:t>
      </w:r>
    </w:p>
    <w:p w14:paraId="5FA331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8.4 本合同保密条款在合同被认定无效、被撤销或终止、解除后仍然有效。</w:t>
      </w:r>
    </w:p>
    <w:p w14:paraId="7070CCE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九、</w:t>
      </w:r>
      <w:r>
        <w:rPr>
          <w:rFonts w:hint="eastAsia" w:ascii="宋体" w:hAnsi="宋体" w:eastAsia="宋体" w:cs="宋体"/>
          <w:b/>
          <w:bCs/>
          <w:color w:val="auto"/>
          <w:sz w:val="24"/>
          <w:szCs w:val="24"/>
        </w:rPr>
        <w:t>服务费用</w:t>
      </w:r>
      <w:r>
        <w:rPr>
          <w:rFonts w:hint="eastAsia" w:ascii="宋体" w:hAnsi="宋体" w:eastAsia="宋体" w:cs="宋体"/>
          <w:b/>
          <w:bCs/>
          <w:color w:val="0000FF"/>
          <w:sz w:val="24"/>
          <w:szCs w:val="24"/>
          <w:lang w:val="en-US" w:eastAsia="zh-CN"/>
        </w:rPr>
        <w:t>标准</w:t>
      </w:r>
      <w:r>
        <w:rPr>
          <w:rFonts w:hint="eastAsia" w:ascii="宋体" w:hAnsi="宋体" w:eastAsia="宋体" w:cs="宋体"/>
          <w:b/>
          <w:bCs/>
          <w:color w:val="auto"/>
          <w:sz w:val="24"/>
          <w:szCs w:val="24"/>
        </w:rPr>
        <w:t>及结算、支付</w:t>
      </w:r>
    </w:p>
    <w:p w14:paraId="1D3E6B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9.1 服务费用</w:t>
      </w:r>
      <w:r>
        <w:rPr>
          <w:rFonts w:hint="eastAsia" w:ascii="宋体" w:hAnsi="宋体" w:eastAsia="宋体" w:cs="宋体"/>
          <w:color w:val="0000FF"/>
          <w:sz w:val="24"/>
          <w:szCs w:val="24"/>
          <w:lang w:val="en-US" w:eastAsia="zh-CN"/>
        </w:rPr>
        <w:t>标准</w:t>
      </w:r>
    </w:p>
    <w:p w14:paraId="7E39B4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9.1.1 乙方服务费用按具体项目服务计算，标准如下：工程</w:t>
      </w:r>
      <w:r>
        <w:rPr>
          <w:rFonts w:hint="eastAsia" w:ascii="宋体" w:hAnsi="宋体" w:eastAsia="宋体" w:cs="宋体"/>
          <w:color w:val="0000FF"/>
          <w:sz w:val="24"/>
          <w:szCs w:val="24"/>
        </w:rPr>
        <w:t>造价咨询</w:t>
      </w:r>
      <w:r>
        <w:rPr>
          <w:rFonts w:hint="eastAsia" w:ascii="宋体" w:hAnsi="宋体" w:eastAsia="宋体" w:cs="宋体"/>
          <w:color w:val="auto"/>
          <w:sz w:val="24"/>
          <w:szCs w:val="24"/>
        </w:rPr>
        <w:t>服务费用为具体项目预算的千分之</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rPr>
        <w:t>），货物、服务</w:t>
      </w:r>
      <w:r>
        <w:rPr>
          <w:rFonts w:hint="eastAsia" w:ascii="宋体" w:hAnsi="宋体" w:eastAsia="宋体" w:cs="宋体"/>
          <w:color w:val="0000FF"/>
          <w:sz w:val="24"/>
          <w:szCs w:val="24"/>
        </w:rPr>
        <w:t>造价咨询</w:t>
      </w:r>
      <w:r>
        <w:rPr>
          <w:rFonts w:hint="eastAsia" w:ascii="宋体" w:hAnsi="宋体" w:eastAsia="宋体" w:cs="宋体"/>
          <w:color w:val="auto"/>
          <w:sz w:val="24"/>
          <w:szCs w:val="24"/>
        </w:rPr>
        <w:t>服务费用为具体项目预算的千分之</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rPr>
        <w:t>）；工程项目预算评审服务费用为具体工程项目预算造价的千分之</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rPr>
        <w:t>）；工程项目竣工结算评审（初审）服务费用为具体项目工程结算书金额的千分之</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rPr>
        <w:t>）；工程项目竣工结算评审（复审）服务费用为具体项目工程结算书金额的千分之</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rPr>
        <w:t>）；如</w:t>
      </w:r>
      <w:r>
        <w:rPr>
          <w:rFonts w:hint="eastAsia" w:ascii="宋体" w:hAnsi="宋体" w:eastAsia="宋体" w:cs="宋体"/>
          <w:color w:val="auto"/>
          <w:sz w:val="24"/>
          <w:szCs w:val="24"/>
          <w:lang w:val="en-US" w:eastAsia="zh-CN"/>
        </w:rPr>
        <w:t>工程项目</w:t>
      </w:r>
      <w:r>
        <w:rPr>
          <w:rFonts w:hint="eastAsia" w:ascii="宋体" w:hAnsi="宋体" w:eastAsia="宋体" w:cs="宋体"/>
          <w:color w:val="0000FF"/>
          <w:sz w:val="24"/>
          <w:szCs w:val="24"/>
        </w:rPr>
        <w:t>造价咨询</w:t>
      </w:r>
      <w:r>
        <w:rPr>
          <w:rFonts w:hint="eastAsia" w:ascii="宋体" w:hAnsi="宋体" w:eastAsia="宋体" w:cs="宋体"/>
          <w:color w:val="auto"/>
          <w:sz w:val="24"/>
          <w:szCs w:val="24"/>
        </w:rPr>
        <w:t>服务、工程项目预算评审服务、工程项目竣工结算评审（初审）服务、工程项目竣工结算评审（复审）服务的服务费用，按前述标准计算后不足1000元，则按1000元计。</w:t>
      </w:r>
    </w:p>
    <w:p w14:paraId="685E63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9.1.2 </w:t>
      </w:r>
      <w:r>
        <w:rPr>
          <w:rFonts w:hint="eastAsia" w:ascii="宋体" w:hAnsi="宋体" w:eastAsia="宋体" w:cs="宋体"/>
          <w:color w:val="0000FF"/>
          <w:sz w:val="24"/>
          <w:szCs w:val="24"/>
        </w:rPr>
        <w:t>预算金额超过1000万元的项目</w:t>
      </w:r>
      <w:r>
        <w:rPr>
          <w:rFonts w:hint="eastAsia" w:ascii="宋体" w:hAnsi="宋体" w:eastAsia="宋体" w:cs="宋体"/>
          <w:color w:val="0000FF"/>
          <w:sz w:val="24"/>
          <w:szCs w:val="24"/>
          <w:lang w:eastAsia="zh-CN"/>
        </w:rPr>
        <w:t>，</w:t>
      </w:r>
      <w:r>
        <w:rPr>
          <w:rFonts w:hint="eastAsia" w:ascii="宋体" w:hAnsi="宋体" w:eastAsia="宋体" w:cs="宋体"/>
          <w:color w:val="auto"/>
          <w:sz w:val="24"/>
          <w:szCs w:val="24"/>
        </w:rPr>
        <w:t>甲乙双方就</w:t>
      </w:r>
      <w:r>
        <w:rPr>
          <w:rFonts w:hint="eastAsia" w:ascii="宋体" w:hAnsi="宋体" w:eastAsia="宋体" w:cs="宋体"/>
          <w:color w:val="auto"/>
          <w:sz w:val="24"/>
          <w:szCs w:val="24"/>
          <w:lang w:val="en-US" w:eastAsia="zh-CN"/>
        </w:rPr>
        <w:t>该</w:t>
      </w:r>
      <w:r>
        <w:rPr>
          <w:rFonts w:hint="eastAsia" w:ascii="宋体" w:hAnsi="宋体" w:eastAsia="宋体" w:cs="宋体"/>
          <w:color w:val="auto"/>
          <w:sz w:val="24"/>
          <w:szCs w:val="24"/>
        </w:rPr>
        <w:t>项目进行二次议价，</w:t>
      </w:r>
      <w:r>
        <w:rPr>
          <w:rFonts w:hint="eastAsia" w:ascii="宋体" w:hAnsi="宋体" w:eastAsia="宋体" w:cs="宋体"/>
          <w:color w:val="0000FF"/>
          <w:sz w:val="24"/>
          <w:szCs w:val="24"/>
          <w:lang w:val="en-US" w:eastAsia="zh-CN"/>
        </w:rPr>
        <w:t>乙方</w:t>
      </w:r>
      <w:r>
        <w:rPr>
          <w:rFonts w:hint="eastAsia" w:ascii="宋体" w:hAnsi="宋体" w:eastAsia="宋体" w:cs="宋体"/>
          <w:color w:val="0000FF"/>
          <w:sz w:val="24"/>
          <w:szCs w:val="24"/>
        </w:rPr>
        <w:t>二次报价的费用标准</w:t>
      </w:r>
      <w:r>
        <w:rPr>
          <w:rFonts w:hint="eastAsia" w:ascii="宋体" w:hAnsi="宋体" w:eastAsia="宋体" w:cs="宋体"/>
          <w:color w:val="0000FF"/>
          <w:sz w:val="24"/>
          <w:szCs w:val="24"/>
          <w:lang w:val="en-US" w:eastAsia="zh-CN"/>
        </w:rPr>
        <w:t>应</w:t>
      </w:r>
      <w:r>
        <w:rPr>
          <w:rFonts w:hint="eastAsia" w:ascii="宋体" w:hAnsi="宋体" w:eastAsia="宋体" w:cs="宋体"/>
          <w:color w:val="0000FF"/>
          <w:sz w:val="24"/>
          <w:szCs w:val="24"/>
        </w:rPr>
        <w:t>低于本合同约定的费用标准</w:t>
      </w:r>
      <w:r>
        <w:rPr>
          <w:rFonts w:hint="eastAsia" w:ascii="宋体" w:hAnsi="宋体" w:eastAsia="宋体" w:cs="宋体"/>
          <w:color w:val="0000FF"/>
          <w:sz w:val="24"/>
          <w:szCs w:val="24"/>
          <w:lang w:eastAsia="zh-CN"/>
        </w:rPr>
        <w:t>，</w:t>
      </w:r>
      <w:r>
        <w:rPr>
          <w:rFonts w:hint="eastAsia" w:ascii="宋体" w:hAnsi="宋体" w:eastAsia="宋体" w:cs="宋体"/>
          <w:color w:val="auto"/>
          <w:sz w:val="24"/>
          <w:szCs w:val="24"/>
        </w:rPr>
        <w:t>该具体项目的服务费用按二次议价的标准计算。</w:t>
      </w:r>
    </w:p>
    <w:p w14:paraId="54B1072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9.1.3 本合同约定的服务费用已经包含乙方履行本合同正常工作、附加工作和额外工作的酬金、税费等所有费用，甲方不再另行支付附加工作和额外工作酬金等其他任何费用。</w:t>
      </w:r>
    </w:p>
    <w:p w14:paraId="7499D4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9.2 费用结算</w:t>
      </w:r>
    </w:p>
    <w:p w14:paraId="5BC2DC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9.2.1 甲乙双方每半年对服务费用进行一次结算。</w:t>
      </w:r>
    </w:p>
    <w:p w14:paraId="7D2AD4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9.2.2 甲方根据项目具体情况对</w:t>
      </w:r>
      <w:r>
        <w:rPr>
          <w:rFonts w:hint="eastAsia" w:ascii="宋体" w:hAnsi="宋体" w:eastAsia="宋体" w:cs="宋体"/>
          <w:color w:val="0000FF"/>
          <w:sz w:val="24"/>
          <w:szCs w:val="24"/>
        </w:rPr>
        <w:t>造价咨询</w:t>
      </w:r>
      <w:r>
        <w:rPr>
          <w:rFonts w:hint="eastAsia" w:ascii="宋体" w:hAnsi="宋体" w:eastAsia="宋体" w:cs="宋体"/>
          <w:color w:val="auto"/>
          <w:sz w:val="24"/>
          <w:szCs w:val="24"/>
        </w:rPr>
        <w:t>、评审服务费用进行考核确认：如具体项目结论误差率</w:t>
      </w:r>
      <w:r>
        <w:rPr>
          <w:rFonts w:hint="eastAsia" w:ascii="宋体" w:hAnsi="宋体" w:eastAsia="宋体" w:cs="宋体"/>
          <w:color w:val="0000FF"/>
          <w:sz w:val="24"/>
          <w:szCs w:val="24"/>
        </w:rPr>
        <w:t>&lt;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%，该项目服务费用按全款结算；如结论误差率≥</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%且&lt;1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%，该项目服务费用按全款的80%结算；如结论误差率≥1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%且</w:t>
      </w:r>
      <w:r>
        <w:rPr>
          <w:rFonts w:hint="eastAsia" w:ascii="宋体" w:hAnsi="宋体" w:eastAsia="宋体" w:cs="宋体"/>
          <w:color w:val="auto"/>
          <w:sz w:val="24"/>
          <w:szCs w:val="24"/>
          <w:lang w:val="en-US" w:eastAsia="zh-CN"/>
        </w:rPr>
        <w:t>&lt;20%，</w:t>
      </w:r>
      <w:r>
        <w:rPr>
          <w:rFonts w:hint="eastAsia" w:ascii="宋体" w:hAnsi="宋体" w:eastAsia="宋体" w:cs="宋体"/>
          <w:color w:val="auto"/>
          <w:sz w:val="24"/>
          <w:szCs w:val="24"/>
        </w:rPr>
        <w:t>该项目服务费用按全款的70%结算；如结论误差率≥</w:t>
      </w: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%，该项目服务费用不予结算。结论误差率=（具体项目结论价格-项目合同签订成交价格）/具体项目结论价格*100%。</w:t>
      </w:r>
    </w:p>
    <w:p w14:paraId="39DDFBC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9.2.3 乙方指定</w:t>
      </w:r>
      <w:r>
        <w:rPr>
          <w:rFonts w:hint="eastAsia" w:ascii="宋体" w:hAnsi="宋体" w:eastAsia="宋体" w:cs="宋体"/>
          <w:color w:val="auto"/>
          <w:sz w:val="24"/>
          <w:szCs w:val="24"/>
          <w:u w:val="single"/>
        </w:rPr>
        <w:t xml:space="preserve">         </w:t>
      </w:r>
      <w:r>
        <w:rPr>
          <w:rFonts w:hint="eastAsia" w:ascii="宋体" w:hAnsi="宋体" w:eastAsia="宋体" w:cs="宋体"/>
          <w:color w:val="0000FF"/>
          <w:sz w:val="24"/>
          <w:szCs w:val="24"/>
          <w:u w:val="none"/>
          <w:lang w:val="en-US" w:eastAsia="zh-CN"/>
        </w:rPr>
        <w:t>联系电话</w:t>
      </w:r>
      <w:r>
        <w:rPr>
          <w:rFonts w:hint="eastAsia" w:ascii="宋体" w:hAnsi="宋体" w:eastAsia="宋体" w:cs="宋体"/>
          <w:color w:val="0000FF"/>
          <w:sz w:val="24"/>
          <w:szCs w:val="24"/>
          <w:u w:val="single"/>
          <w:lang w:val="en-US" w:eastAsia="zh-CN"/>
        </w:rPr>
        <w:t xml:space="preserve">         </w:t>
      </w:r>
      <w:r>
        <w:rPr>
          <w:rFonts w:hint="eastAsia" w:ascii="宋体" w:hAnsi="宋体" w:eastAsia="宋体" w:cs="宋体"/>
          <w:color w:val="auto"/>
          <w:sz w:val="24"/>
          <w:szCs w:val="24"/>
        </w:rPr>
        <w:t>办理结算，如结算人员发生变更，乙方应及时通知甲方，否则承担一切后果。</w:t>
      </w:r>
    </w:p>
    <w:p w14:paraId="6C74876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9.3 费用支付</w:t>
      </w:r>
    </w:p>
    <w:p w14:paraId="109112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9.3.1 甲方在</w:t>
      </w:r>
      <w:r>
        <w:rPr>
          <w:rFonts w:hint="eastAsia" w:ascii="宋体" w:hAnsi="宋体" w:eastAsia="宋体" w:cs="宋体"/>
          <w:color w:val="0000FF"/>
          <w:sz w:val="24"/>
          <w:szCs w:val="24"/>
          <w:lang w:val="en-US" w:eastAsia="zh-CN"/>
        </w:rPr>
        <w:t>双方</w:t>
      </w:r>
      <w:r>
        <w:rPr>
          <w:rFonts w:hint="eastAsia" w:ascii="宋体" w:hAnsi="宋体" w:eastAsia="宋体" w:cs="宋体"/>
          <w:color w:val="auto"/>
          <w:sz w:val="24"/>
          <w:szCs w:val="24"/>
        </w:rPr>
        <w:t>结算确认之日起</w:t>
      </w:r>
      <w:r>
        <w:rPr>
          <w:rFonts w:hint="eastAsia" w:ascii="宋体" w:hAnsi="宋体" w:eastAsia="宋体" w:cs="宋体"/>
          <w:color w:val="auto"/>
          <w:sz w:val="24"/>
          <w:szCs w:val="24"/>
          <w:highlight w:val="green"/>
          <w:u w:val="single"/>
        </w:rPr>
        <w:t xml:space="preserve"> </w:t>
      </w:r>
      <w:r>
        <w:rPr>
          <w:rFonts w:hint="eastAsia" w:ascii="宋体" w:hAnsi="宋体" w:eastAsia="宋体" w:cs="宋体"/>
          <w:color w:val="0000FF"/>
          <w:sz w:val="24"/>
          <w:szCs w:val="24"/>
          <w:highlight w:val="green"/>
          <w:u w:val="single"/>
          <w:lang w:val="en-US" w:eastAsia="zh-CN"/>
        </w:rPr>
        <w:t>60</w:t>
      </w:r>
      <w:r>
        <w:rPr>
          <w:rFonts w:hint="eastAsia" w:ascii="宋体" w:hAnsi="宋体" w:eastAsia="宋体" w:cs="宋体"/>
          <w:color w:val="auto"/>
          <w:sz w:val="24"/>
          <w:szCs w:val="24"/>
          <w:highlight w:val="green"/>
          <w:u w:val="single"/>
        </w:rPr>
        <w:t xml:space="preserve"> </w:t>
      </w:r>
      <w:r>
        <w:rPr>
          <w:rFonts w:hint="eastAsia" w:ascii="宋体" w:hAnsi="宋体" w:eastAsia="宋体" w:cs="宋体"/>
          <w:color w:val="auto"/>
          <w:sz w:val="24"/>
          <w:szCs w:val="24"/>
          <w:highlight w:val="green"/>
        </w:rPr>
        <w:t>日</w:t>
      </w:r>
      <w:r>
        <w:rPr>
          <w:rFonts w:hint="eastAsia" w:ascii="宋体" w:hAnsi="宋体" w:eastAsia="宋体" w:cs="宋体"/>
          <w:color w:val="auto"/>
          <w:sz w:val="24"/>
          <w:szCs w:val="24"/>
        </w:rPr>
        <w:t>内通过银行转账方式一次性支付该次结算价款给乙方。</w:t>
      </w:r>
    </w:p>
    <w:p w14:paraId="477C14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9.3.2 乙方指定收款银行账户：开户名：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；账号：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04547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9.3.3 乙方须在甲方每次支付前提供以乙方名义开具的</w:t>
      </w:r>
      <w:r>
        <w:rPr>
          <w:rFonts w:hint="eastAsia" w:ascii="宋体" w:hAnsi="宋体" w:eastAsia="宋体" w:cs="宋体"/>
          <w:color w:val="0000FF"/>
          <w:sz w:val="24"/>
          <w:szCs w:val="24"/>
          <w:lang w:val="en-US" w:eastAsia="zh-CN"/>
        </w:rPr>
        <w:t>价税金额总额</w:t>
      </w:r>
      <w:r>
        <w:rPr>
          <w:rFonts w:hint="eastAsia" w:ascii="宋体" w:hAnsi="宋体" w:eastAsia="宋体" w:cs="宋体"/>
          <w:color w:val="auto"/>
          <w:sz w:val="24"/>
          <w:szCs w:val="24"/>
        </w:rPr>
        <w:t>与结算金额等额的增值税普通发票，如未提供，甲方顺延付款期限，由此产生的责任均由乙方自行承担。</w:t>
      </w:r>
    </w:p>
    <w:p w14:paraId="010238E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w:t>
      </w:r>
      <w:r>
        <w:rPr>
          <w:rFonts w:hint="eastAsia" w:ascii="宋体" w:hAnsi="宋体" w:eastAsia="宋体" w:cs="宋体"/>
          <w:b/>
          <w:bCs/>
          <w:color w:val="auto"/>
          <w:sz w:val="24"/>
          <w:szCs w:val="24"/>
        </w:rPr>
        <w:t>通知和送达</w:t>
      </w:r>
    </w:p>
    <w:p w14:paraId="2194EE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10.1 </w:t>
      </w:r>
      <w:r>
        <w:rPr>
          <w:rFonts w:ascii="宋体" w:hAnsi="宋体" w:eastAsia="宋体" w:cs="宋体"/>
          <w:color w:val="auto"/>
          <w:sz w:val="24"/>
          <w:szCs w:val="24"/>
        </w:rPr>
        <w:t>甲乙双方同意，与本合同有关的任何文书，应以书面方式送达本合同约定的联系方式。书面形式包括手机短信、微信、书面函件、电子邮件等形式。</w:t>
      </w:r>
    </w:p>
    <w:p w14:paraId="0289DD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10.2 </w:t>
      </w:r>
      <w:r>
        <w:rPr>
          <w:rFonts w:ascii="宋体" w:hAnsi="宋体" w:eastAsia="宋体" w:cs="宋体"/>
          <w:color w:val="auto"/>
          <w:sz w:val="24"/>
          <w:szCs w:val="24"/>
        </w:rPr>
        <w:t>双方确认的文书（包括未来可能发生的诉讼或仲裁活动中法院或仲裁机构的送达法律文书）送达地址：</w:t>
      </w:r>
    </w:p>
    <w:p w14:paraId="7FA48BE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10.2.1 </w:t>
      </w:r>
      <w:r>
        <w:rPr>
          <w:rFonts w:ascii="宋体" w:hAnsi="宋体" w:eastAsia="宋体" w:cs="宋体"/>
          <w:color w:val="auto"/>
          <w:sz w:val="24"/>
          <w:szCs w:val="24"/>
        </w:rPr>
        <w:t>甲方的文书送达地址：</w:t>
      </w:r>
      <w:r>
        <w:rPr>
          <w:rFonts w:ascii="宋体" w:hAnsi="宋体" w:eastAsia="宋体" w:cs="宋体"/>
          <w:color w:val="auto"/>
          <w:sz w:val="24"/>
          <w:szCs w:val="24"/>
          <w:u w:val="single"/>
        </w:rPr>
        <w:t>娄底市中心医院</w:t>
      </w:r>
      <w:r>
        <w:rPr>
          <w:rFonts w:hint="eastAsia" w:ascii="宋体" w:hAnsi="宋体" w:eastAsia="宋体" w:cs="宋体"/>
          <w:color w:val="auto"/>
          <w:sz w:val="24"/>
          <w:szCs w:val="24"/>
          <w:u w:val="single"/>
        </w:rPr>
        <w:t>监审</w:t>
      </w:r>
      <w:r>
        <w:rPr>
          <w:rFonts w:ascii="宋体" w:hAnsi="宋体" w:eastAsia="宋体" w:cs="宋体"/>
          <w:color w:val="auto"/>
          <w:sz w:val="24"/>
          <w:szCs w:val="24"/>
          <w:u w:val="single"/>
        </w:rPr>
        <w:t>科</w:t>
      </w:r>
      <w:r>
        <w:rPr>
          <w:rFonts w:ascii="宋体" w:hAnsi="宋体" w:eastAsia="宋体" w:cs="宋体"/>
          <w:color w:val="auto"/>
          <w:sz w:val="24"/>
          <w:szCs w:val="24"/>
        </w:rPr>
        <w:t>，收件人</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熊旭峰</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13873802626</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，电子邮箱：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11246517@qq.com</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w:t>
      </w:r>
      <w:r>
        <w:rPr>
          <w:rFonts w:ascii="宋体" w:hAnsi="宋体" w:eastAsia="宋体" w:cs="宋体"/>
          <w:color w:val="auto"/>
          <w:sz w:val="24"/>
          <w:szCs w:val="24"/>
        </w:rPr>
        <w:t xml:space="preserve">                 </w:t>
      </w:r>
    </w:p>
    <w:p w14:paraId="08264F5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10.2.2 </w:t>
      </w:r>
      <w:r>
        <w:rPr>
          <w:rFonts w:ascii="宋体" w:hAnsi="宋体" w:eastAsia="宋体" w:cs="宋体"/>
          <w:color w:val="auto"/>
          <w:sz w:val="24"/>
          <w:szCs w:val="24"/>
        </w:rPr>
        <w:t>乙方的文书送达地址：</w:t>
      </w:r>
      <w:r>
        <w:rPr>
          <w:rFonts w:hint="eastAsia" w:ascii="宋体" w:hAnsi="宋体" w:eastAsia="宋体" w:cs="宋体"/>
          <w:color w:val="auto"/>
          <w:sz w:val="24"/>
          <w:szCs w:val="24"/>
          <w:u w:val="single"/>
        </w:rPr>
        <w:t xml:space="preserve">                   </w:t>
      </w:r>
      <w:r>
        <w:rPr>
          <w:rFonts w:ascii="宋体" w:hAnsi="宋体" w:eastAsia="宋体" w:cs="宋体"/>
          <w:color w:val="auto"/>
          <w:sz w:val="24"/>
          <w:szCs w:val="24"/>
        </w:rPr>
        <w:t>，收件人：</w:t>
      </w:r>
      <w:r>
        <w:rPr>
          <w:rFonts w:hint="eastAsia" w:ascii="宋体" w:hAnsi="宋体" w:eastAsia="宋体" w:cs="宋体"/>
          <w:color w:val="auto"/>
          <w:sz w:val="24"/>
          <w:szCs w:val="24"/>
          <w:u w:val="single"/>
        </w:rPr>
        <w:t xml:space="preserve">        </w:t>
      </w:r>
      <w:r>
        <w:rPr>
          <w:rFonts w:ascii="宋体" w:hAnsi="宋体" w:eastAsia="宋体" w:cs="宋体"/>
          <w:color w:val="auto"/>
          <w:sz w:val="24"/>
          <w:szCs w:val="24"/>
        </w:rPr>
        <w:t>，联系电话：</w:t>
      </w:r>
      <w:r>
        <w:rPr>
          <w:rFonts w:hint="eastAsia" w:ascii="宋体" w:hAnsi="宋体" w:eastAsia="宋体" w:cs="宋体"/>
          <w:color w:val="auto"/>
          <w:sz w:val="24"/>
          <w:szCs w:val="24"/>
          <w:u w:val="single"/>
        </w:rPr>
        <w:t xml:space="preserve">            </w:t>
      </w:r>
      <w:r>
        <w:rPr>
          <w:rFonts w:ascii="宋体" w:hAnsi="宋体" w:eastAsia="宋体" w:cs="宋体"/>
          <w:color w:val="auto"/>
          <w:sz w:val="24"/>
          <w:szCs w:val="24"/>
        </w:rPr>
        <w:t>，电子邮箱：</w:t>
      </w:r>
      <w:r>
        <w:rPr>
          <w:rFonts w:hint="eastAsia" w:ascii="宋体" w:hAnsi="宋体" w:eastAsia="宋体" w:cs="宋体"/>
          <w:color w:val="auto"/>
          <w:sz w:val="24"/>
          <w:szCs w:val="24"/>
          <w:u w:val="single"/>
        </w:rPr>
        <w:t xml:space="preserve">            </w:t>
      </w:r>
      <w:r>
        <w:rPr>
          <w:rFonts w:ascii="宋体" w:hAnsi="宋体" w:eastAsia="宋体" w:cs="宋体"/>
          <w:color w:val="auto"/>
          <w:sz w:val="24"/>
          <w:szCs w:val="24"/>
        </w:rPr>
        <w:t>。</w:t>
      </w:r>
    </w:p>
    <w:p w14:paraId="6320F60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10.2.3 </w:t>
      </w:r>
      <w:r>
        <w:rPr>
          <w:rFonts w:ascii="宋体" w:hAnsi="宋体" w:eastAsia="宋体" w:cs="宋体"/>
          <w:color w:val="auto"/>
          <w:sz w:val="24"/>
          <w:szCs w:val="24"/>
        </w:rPr>
        <w:t>上述通知应被视为在下列时间送达：以快递或专人发送的，在收件人签收之日或拒收之日；以挂号邮件发出的，在发出之日起7个工作日；以电子邮件发出的，在电子邮件进入收件方电子邮箱服务器之日。</w:t>
      </w:r>
    </w:p>
    <w:p w14:paraId="54FECA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10.2.4 </w:t>
      </w:r>
      <w:r>
        <w:rPr>
          <w:rFonts w:ascii="宋体" w:hAnsi="宋体" w:eastAsia="宋体" w:cs="宋体"/>
          <w:color w:val="auto"/>
          <w:sz w:val="24"/>
          <w:szCs w:val="24"/>
        </w:rPr>
        <w:t>以上地址和联系方式，任何一方发生变更应在变更之日起</w:t>
      </w:r>
      <w:r>
        <w:rPr>
          <w:rFonts w:hint="eastAsia" w:ascii="宋体" w:hAnsi="宋体" w:eastAsia="宋体" w:cs="宋体"/>
          <w:color w:val="auto"/>
          <w:sz w:val="24"/>
          <w:szCs w:val="24"/>
        </w:rPr>
        <w:t>3</w:t>
      </w:r>
      <w:r>
        <w:rPr>
          <w:rFonts w:ascii="宋体" w:hAnsi="宋体" w:eastAsia="宋体" w:cs="宋体"/>
          <w:color w:val="auto"/>
          <w:sz w:val="24"/>
          <w:szCs w:val="24"/>
        </w:rPr>
        <w:t>日内通知对方。如未通知，一方按原地址送达的书面资料被退回的，退回之日视为送达之日。任何一方按照确认地址送到另一方的书面资料被拒绝签收导致邮件被退回的，退回之日视为送达之日。</w:t>
      </w:r>
    </w:p>
    <w:p w14:paraId="0D27889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十一、</w:t>
      </w:r>
      <w:r>
        <w:rPr>
          <w:rFonts w:hint="eastAsia" w:ascii="宋体" w:hAnsi="宋体" w:eastAsia="宋体" w:cs="宋体"/>
          <w:b/>
          <w:bCs/>
          <w:color w:val="auto"/>
          <w:sz w:val="24"/>
          <w:szCs w:val="24"/>
        </w:rPr>
        <w:t>合同的变更和解除</w:t>
      </w:r>
    </w:p>
    <w:p w14:paraId="5828B6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11.1 本合同未尽事宜，双方另行协商签订补充协议。</w:t>
      </w:r>
    </w:p>
    <w:p w14:paraId="3CF4C3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11.2 如甲方因政策变化等非自身主观原因不需要乙方提供服务，经书面通知乙方后可以提前终止本合同</w:t>
      </w:r>
      <w:r>
        <w:rPr>
          <w:rFonts w:hint="eastAsia" w:ascii="宋体" w:hAnsi="宋体" w:eastAsia="宋体" w:cs="宋体"/>
          <w:color w:val="0000FF"/>
          <w:sz w:val="24"/>
          <w:szCs w:val="24"/>
          <w:lang w:eastAsia="zh-CN"/>
        </w:rPr>
        <w:t>，</w:t>
      </w:r>
      <w:r>
        <w:rPr>
          <w:rFonts w:hint="eastAsia" w:ascii="宋体" w:hAnsi="宋体" w:eastAsia="宋体" w:cs="宋体"/>
          <w:color w:val="0000FF"/>
          <w:sz w:val="24"/>
          <w:szCs w:val="24"/>
          <w:lang w:val="en-US" w:eastAsia="zh-CN"/>
        </w:rPr>
        <w:t>双方根据本合同约定费用标准和实际完成项目进行结算</w:t>
      </w:r>
      <w:r>
        <w:rPr>
          <w:rFonts w:hint="eastAsia" w:ascii="宋体" w:hAnsi="宋体" w:eastAsia="宋体" w:cs="宋体"/>
          <w:color w:val="auto"/>
          <w:sz w:val="24"/>
          <w:szCs w:val="24"/>
        </w:rPr>
        <w:t>。</w:t>
      </w:r>
    </w:p>
    <w:p w14:paraId="06DAF37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11.3 如乙方存在以下情形之一，甲方有权单方解除合同：</w:t>
      </w:r>
    </w:p>
    <w:p w14:paraId="46D39DC0">
      <w:pPr>
        <w:keepNext w:val="0"/>
        <w:keepLines w:val="0"/>
        <w:pageBreakBefore w:val="0"/>
        <w:widowControl w:val="0"/>
        <w:kinsoku/>
        <w:wordWrap/>
        <w:overflowPunct/>
        <w:topLinePunct w:val="0"/>
        <w:autoSpaceDE/>
        <w:autoSpaceDN/>
        <w:bidi w:val="0"/>
        <w:adjustRightInd/>
        <w:snapToGrid/>
        <w:spacing w:line="480" w:lineRule="exact"/>
        <w:ind w:firstLine="456" w:firstLineChars="200"/>
        <w:textAlignment w:val="auto"/>
        <w:rPr>
          <w:rFonts w:ascii="宋体" w:hAnsi="宋体" w:eastAsia="宋体" w:cs="宋体"/>
          <w:color w:val="auto"/>
          <w:sz w:val="24"/>
          <w:szCs w:val="24"/>
        </w:rPr>
      </w:pPr>
      <w:r>
        <w:rPr>
          <w:rFonts w:hint="eastAsia" w:ascii="宋体" w:hAnsi="宋体" w:eastAsia="宋体" w:cs="宋体"/>
          <w:color w:val="auto"/>
          <w:spacing w:val="-6"/>
          <w:sz w:val="24"/>
          <w:szCs w:val="24"/>
        </w:rPr>
        <w:t>11.3.1 未按甲方要求在规定时间内提供合格报告，经甲方催告</w:t>
      </w:r>
      <w:r>
        <w:rPr>
          <w:rFonts w:hint="eastAsia" w:ascii="宋体" w:hAnsi="宋体" w:eastAsia="宋体" w:cs="宋体"/>
          <w:color w:val="auto"/>
          <w:spacing w:val="-6"/>
          <w:sz w:val="24"/>
          <w:szCs w:val="24"/>
          <w:highlight w:val="none"/>
        </w:rPr>
        <w:t>后</w:t>
      </w:r>
      <w:r>
        <w:rPr>
          <w:rFonts w:hint="eastAsia" w:ascii="宋体" w:hAnsi="宋体" w:eastAsia="宋体" w:cs="宋体"/>
          <w:color w:val="auto"/>
          <w:spacing w:val="-6"/>
          <w:sz w:val="24"/>
          <w:szCs w:val="24"/>
          <w:highlight w:val="none"/>
          <w:u w:val="single"/>
          <w:lang w:val="en-US" w:eastAsia="zh-CN"/>
        </w:rPr>
        <w:t xml:space="preserve">15 </w:t>
      </w:r>
      <w:r>
        <w:rPr>
          <w:rFonts w:hint="eastAsia" w:ascii="宋体" w:hAnsi="宋体" w:eastAsia="宋体" w:cs="宋体"/>
          <w:color w:val="auto"/>
          <w:spacing w:val="-6"/>
          <w:sz w:val="24"/>
          <w:szCs w:val="24"/>
          <w:highlight w:val="none"/>
        </w:rPr>
        <w:t>日</w:t>
      </w:r>
      <w:r>
        <w:rPr>
          <w:rFonts w:hint="eastAsia" w:ascii="宋体" w:hAnsi="宋体" w:eastAsia="宋体" w:cs="宋体"/>
          <w:color w:val="auto"/>
          <w:spacing w:val="-6"/>
          <w:sz w:val="24"/>
          <w:szCs w:val="24"/>
        </w:rPr>
        <w:t>仍不能提供的；</w:t>
      </w:r>
    </w:p>
    <w:p w14:paraId="3A67D2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11.3.2 经甲方发送更换工作人员的通知之日</w:t>
      </w:r>
      <w:r>
        <w:rPr>
          <w:rFonts w:hint="eastAsia" w:ascii="宋体" w:hAnsi="宋体" w:eastAsia="宋体" w:cs="宋体"/>
          <w:color w:val="auto"/>
          <w:sz w:val="24"/>
          <w:szCs w:val="24"/>
          <w:highlight w:val="none"/>
        </w:rPr>
        <w:t>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15</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rPr>
        <w:t>仍未更换到位的；</w:t>
      </w:r>
    </w:p>
    <w:p w14:paraId="0D4512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11.3.3 存在拒绝参与甲方组织的二次议价或拒不接收甲方指派项目情形的；</w:t>
      </w:r>
    </w:p>
    <w:p w14:paraId="659713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11.3.4 存在违反本合同第</w:t>
      </w:r>
      <w:r>
        <w:rPr>
          <w:rFonts w:hint="eastAsia" w:ascii="宋体" w:hAnsi="宋体" w:eastAsia="宋体" w:cs="宋体"/>
          <w:color w:val="auto"/>
          <w:sz w:val="24"/>
          <w:szCs w:val="24"/>
          <w:lang w:val="en-US" w:eastAsia="zh-CN"/>
        </w:rPr>
        <w:t>七</w:t>
      </w:r>
      <w:r>
        <w:rPr>
          <w:rFonts w:hint="eastAsia" w:ascii="宋体" w:hAnsi="宋体" w:eastAsia="宋体" w:cs="宋体"/>
          <w:color w:val="auto"/>
          <w:sz w:val="24"/>
          <w:szCs w:val="24"/>
        </w:rPr>
        <w:t>条、第</w:t>
      </w: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条约定情形的；</w:t>
      </w:r>
    </w:p>
    <w:p w14:paraId="4E95D6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11.3.5 </w:t>
      </w:r>
      <w:r>
        <w:rPr>
          <w:rFonts w:hint="eastAsia" w:ascii="宋体" w:hAnsi="宋体" w:eastAsia="宋体" w:cs="宋体"/>
          <w:sz w:val="24"/>
          <w:szCs w:val="24"/>
        </w:rPr>
        <w:t>履行本合同中</w:t>
      </w:r>
      <w:r>
        <w:rPr>
          <w:rFonts w:hint="eastAsia" w:ascii="宋体" w:hAnsi="宋体" w:eastAsia="宋体" w:cs="宋体"/>
          <w:color w:val="auto"/>
          <w:sz w:val="24"/>
          <w:szCs w:val="24"/>
        </w:rPr>
        <w:t>存在过错、过失，导致甲方经济损失的；</w:t>
      </w:r>
    </w:p>
    <w:p w14:paraId="4956EA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11.3.6 将合同项下义务转包、分包的</w:t>
      </w:r>
      <w:r>
        <w:rPr>
          <w:rFonts w:hint="eastAsia" w:ascii="宋体" w:hAnsi="宋体" w:eastAsia="宋体" w:cs="宋体"/>
          <w:color w:val="auto"/>
          <w:sz w:val="24"/>
          <w:szCs w:val="24"/>
          <w:lang w:eastAsia="zh-CN"/>
        </w:rPr>
        <w:t>；</w:t>
      </w:r>
    </w:p>
    <w:p w14:paraId="0476969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FF"/>
          <w:sz w:val="24"/>
          <w:szCs w:val="24"/>
          <w:u w:val="none"/>
          <w:lang w:val="en-US" w:eastAsia="zh-CN"/>
        </w:rPr>
      </w:pPr>
      <w:r>
        <w:rPr>
          <w:rFonts w:hint="eastAsia" w:ascii="宋体" w:hAnsi="宋体" w:eastAsia="宋体" w:cs="宋体"/>
          <w:color w:val="0000FF"/>
          <w:sz w:val="24"/>
          <w:szCs w:val="24"/>
          <w:lang w:val="en-US" w:eastAsia="zh-CN"/>
        </w:rPr>
        <w:t>11.3.7 乙方负责的具体项目结论误差率≥20%的达</w:t>
      </w:r>
      <w:r>
        <w:rPr>
          <w:rFonts w:hint="eastAsia" w:ascii="宋体" w:hAnsi="宋体" w:eastAsia="宋体" w:cs="宋体"/>
          <w:color w:val="0000FF"/>
          <w:sz w:val="24"/>
          <w:szCs w:val="24"/>
          <w:highlight w:val="none"/>
          <w:lang w:val="en-US" w:eastAsia="zh-CN"/>
        </w:rPr>
        <w:t>到</w:t>
      </w:r>
      <w:r>
        <w:rPr>
          <w:rFonts w:hint="eastAsia" w:ascii="宋体" w:hAnsi="宋体" w:eastAsia="宋体" w:cs="宋体"/>
          <w:color w:val="0000FF"/>
          <w:sz w:val="24"/>
          <w:szCs w:val="24"/>
          <w:highlight w:val="none"/>
          <w:u w:val="single"/>
          <w:lang w:val="en-US" w:eastAsia="zh-CN"/>
        </w:rPr>
        <w:t xml:space="preserve"> 15</w:t>
      </w:r>
      <w:r>
        <w:rPr>
          <w:rFonts w:hint="eastAsia" w:ascii="宋体" w:hAnsi="宋体" w:eastAsia="宋体" w:cs="宋体"/>
          <w:color w:val="0000FF"/>
          <w:sz w:val="24"/>
          <w:szCs w:val="24"/>
          <w:highlight w:val="none"/>
          <w:u w:val="none"/>
          <w:lang w:val="en-US" w:eastAsia="zh-CN"/>
        </w:rPr>
        <w:t>个</w:t>
      </w:r>
      <w:r>
        <w:rPr>
          <w:rFonts w:hint="eastAsia" w:ascii="宋体" w:hAnsi="宋体" w:eastAsia="宋体" w:cs="宋体"/>
          <w:color w:val="0000FF"/>
          <w:sz w:val="24"/>
          <w:szCs w:val="24"/>
          <w:u w:val="none"/>
          <w:lang w:val="en-US" w:eastAsia="zh-CN"/>
        </w:rPr>
        <w:t>的；</w:t>
      </w:r>
    </w:p>
    <w:p w14:paraId="3FF4BD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FF"/>
          <w:sz w:val="24"/>
          <w:szCs w:val="24"/>
          <w:highlight w:val="green"/>
          <w:u w:val="none"/>
          <w:lang w:val="en-US" w:eastAsia="zh-CN"/>
        </w:rPr>
      </w:pPr>
      <w:r>
        <w:rPr>
          <w:rFonts w:hint="eastAsia" w:ascii="宋体" w:hAnsi="宋体" w:eastAsia="宋体" w:cs="宋体"/>
          <w:color w:val="0000FF"/>
          <w:sz w:val="24"/>
          <w:szCs w:val="24"/>
          <w:highlight w:val="green"/>
          <w:u w:val="none"/>
          <w:lang w:val="en-US" w:eastAsia="zh-CN"/>
        </w:rPr>
        <w:t>11.3.8 乙方违反本合同4.8情形的。</w:t>
      </w:r>
    </w:p>
    <w:p w14:paraId="570FD91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十二、</w:t>
      </w:r>
      <w:r>
        <w:rPr>
          <w:rFonts w:hint="eastAsia" w:ascii="宋体" w:hAnsi="宋体" w:eastAsia="宋体" w:cs="宋体"/>
          <w:b/>
          <w:bCs/>
          <w:color w:val="auto"/>
          <w:sz w:val="24"/>
          <w:szCs w:val="24"/>
        </w:rPr>
        <w:t>违约责任</w:t>
      </w:r>
    </w:p>
    <w:p w14:paraId="2FC95C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12.1 甲方因11.2情形提前终止本合同无须承担违约责任，乙方不得因此要求甲方予以任何经济赔偿或补偿。</w:t>
      </w:r>
    </w:p>
    <w:p w14:paraId="24ACBB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12.2 乙方逾期提供合格报告的，每逾期一日，应</w:t>
      </w:r>
      <w:r>
        <w:rPr>
          <w:rFonts w:hint="eastAsia" w:ascii="宋体" w:hAnsi="宋体" w:eastAsia="宋体" w:cs="宋体"/>
          <w:color w:val="auto"/>
          <w:sz w:val="24"/>
          <w:szCs w:val="24"/>
          <w:lang w:val="en-US" w:eastAsia="zh-CN"/>
        </w:rPr>
        <w:t>按</w:t>
      </w:r>
      <w:r>
        <w:rPr>
          <w:rFonts w:hint="eastAsia" w:ascii="宋体" w:hAnsi="宋体" w:eastAsia="宋体" w:cs="宋体"/>
          <w:color w:val="0000FF"/>
          <w:sz w:val="24"/>
          <w:szCs w:val="24"/>
          <w:lang w:val="en-US" w:eastAsia="zh-CN"/>
        </w:rPr>
        <w:t>该具体项目服务费用的千分之三</w:t>
      </w:r>
      <w:r>
        <w:rPr>
          <w:rFonts w:hint="eastAsia" w:ascii="宋体" w:hAnsi="宋体" w:eastAsia="宋体" w:cs="宋体"/>
          <w:color w:val="auto"/>
          <w:sz w:val="24"/>
          <w:szCs w:val="24"/>
        </w:rPr>
        <w:t>向甲方支付违约金。</w:t>
      </w:r>
    </w:p>
    <w:p w14:paraId="748432A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12.</w:t>
      </w:r>
      <w:r>
        <w:rPr>
          <w:rFonts w:hint="eastAsia" w:ascii="宋体" w:hAnsi="宋体" w:eastAsia="宋体" w:cs="宋体"/>
          <w:b w:val="0"/>
          <w:bCs w:val="0"/>
          <w:color w:val="auto"/>
          <w:sz w:val="24"/>
          <w:szCs w:val="24"/>
          <w:u w:val="none"/>
          <w:lang w:val="en-US" w:eastAsia="zh-CN"/>
        </w:rPr>
        <w:t>3</w:t>
      </w:r>
      <w:r>
        <w:rPr>
          <w:rFonts w:hint="eastAsia" w:ascii="宋体" w:hAnsi="宋体" w:eastAsia="宋体" w:cs="宋体"/>
          <w:b w:val="0"/>
          <w:bCs w:val="0"/>
          <w:color w:val="auto"/>
          <w:sz w:val="24"/>
          <w:szCs w:val="24"/>
          <w:u w:val="none"/>
        </w:rPr>
        <w:t xml:space="preserve"> </w:t>
      </w:r>
      <w:r>
        <w:rPr>
          <w:rFonts w:ascii="宋体" w:hAnsi="宋体" w:eastAsia="宋体" w:cs="宋体"/>
          <w:b w:val="0"/>
          <w:bCs w:val="0"/>
          <w:color w:val="auto"/>
          <w:sz w:val="24"/>
          <w:szCs w:val="24"/>
          <w:u w:val="none"/>
        </w:rPr>
        <w:t>如</w:t>
      </w:r>
      <w:r>
        <w:rPr>
          <w:rFonts w:hint="eastAsia" w:ascii="宋体" w:hAnsi="宋体" w:eastAsia="宋体" w:cs="宋体"/>
          <w:b w:val="0"/>
          <w:bCs w:val="0"/>
          <w:color w:val="auto"/>
          <w:sz w:val="24"/>
          <w:szCs w:val="24"/>
          <w:u w:val="none"/>
        </w:rPr>
        <w:t>乙方单方解除合同或甲方</w:t>
      </w:r>
      <w:r>
        <w:rPr>
          <w:rFonts w:hint="eastAsia" w:ascii="宋体" w:hAnsi="宋体" w:eastAsia="宋体" w:cs="宋体"/>
          <w:b w:val="0"/>
          <w:bCs w:val="0"/>
          <w:color w:val="0000FF"/>
          <w:sz w:val="24"/>
          <w:szCs w:val="24"/>
          <w:u w:val="none"/>
          <w:lang w:val="en-US" w:eastAsia="zh-CN"/>
        </w:rPr>
        <w:t>因本合同11.3情形</w:t>
      </w:r>
      <w:r>
        <w:rPr>
          <w:rFonts w:hint="eastAsia" w:ascii="宋体" w:hAnsi="宋体" w:eastAsia="宋体" w:cs="宋体"/>
          <w:b w:val="0"/>
          <w:bCs w:val="0"/>
          <w:color w:val="auto"/>
          <w:sz w:val="24"/>
          <w:szCs w:val="24"/>
          <w:u w:val="none"/>
        </w:rPr>
        <w:t>解除合同的，乙方应赔偿甲方由此造成的全部经济损失</w:t>
      </w:r>
      <w:r>
        <w:rPr>
          <w:rFonts w:ascii="宋体" w:hAnsi="宋体" w:eastAsia="宋体" w:cs="宋体"/>
          <w:b w:val="0"/>
          <w:bCs w:val="0"/>
          <w:color w:val="auto"/>
          <w:sz w:val="24"/>
          <w:szCs w:val="24"/>
          <w:u w:val="none"/>
        </w:rPr>
        <w:t>（包括但不限于实际经济损失、期待利益损失、由此产生的诉讼费、律师费、鉴定费、差旅费等费用）</w:t>
      </w:r>
      <w:r>
        <w:rPr>
          <w:rFonts w:hint="eastAsia" w:ascii="宋体" w:hAnsi="宋体" w:eastAsia="宋体" w:cs="宋体"/>
          <w:b w:val="0"/>
          <w:bCs w:val="0"/>
          <w:color w:val="auto"/>
          <w:sz w:val="24"/>
          <w:szCs w:val="24"/>
          <w:u w:val="none"/>
        </w:rPr>
        <w:t>，并</w:t>
      </w:r>
      <w:r>
        <w:rPr>
          <w:rFonts w:hint="eastAsia" w:ascii="宋体" w:hAnsi="宋体" w:eastAsia="宋体" w:cs="宋体"/>
          <w:b w:val="0"/>
          <w:bCs w:val="0"/>
          <w:color w:val="0000FF"/>
          <w:sz w:val="24"/>
          <w:szCs w:val="24"/>
          <w:u w:val="none"/>
          <w:lang w:val="en-US" w:eastAsia="zh-CN"/>
        </w:rPr>
        <w:t>按服务期限内乙方累计应收取服务费的3倍</w:t>
      </w:r>
      <w:r>
        <w:rPr>
          <w:rFonts w:hint="eastAsia" w:ascii="宋体" w:hAnsi="宋体" w:eastAsia="宋体" w:cs="宋体"/>
          <w:b w:val="0"/>
          <w:bCs w:val="0"/>
          <w:color w:val="auto"/>
          <w:sz w:val="24"/>
          <w:szCs w:val="24"/>
          <w:u w:val="none"/>
        </w:rPr>
        <w:t>向甲方支付违约金。</w:t>
      </w:r>
    </w:p>
    <w:p w14:paraId="3FB8F4B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u w:val="single"/>
        </w:rPr>
      </w:pPr>
      <w:r>
        <w:rPr>
          <w:rFonts w:hint="eastAsia" w:ascii="宋体" w:hAnsi="宋体" w:eastAsia="宋体" w:cs="宋体"/>
          <w:b/>
          <w:bCs/>
          <w:color w:val="auto"/>
          <w:sz w:val="24"/>
          <w:szCs w:val="24"/>
          <w:u w:val="single"/>
        </w:rPr>
        <w:t>12.</w:t>
      </w:r>
      <w:r>
        <w:rPr>
          <w:rFonts w:hint="eastAsia" w:ascii="宋体" w:hAnsi="宋体" w:eastAsia="宋体" w:cs="宋体"/>
          <w:b/>
          <w:bCs/>
          <w:color w:val="auto"/>
          <w:sz w:val="24"/>
          <w:szCs w:val="24"/>
          <w:u w:val="single"/>
          <w:lang w:val="en-US" w:eastAsia="zh-CN"/>
        </w:rPr>
        <w:t>4</w:t>
      </w:r>
      <w:r>
        <w:rPr>
          <w:rFonts w:hint="eastAsia" w:ascii="宋体" w:hAnsi="宋体" w:eastAsia="宋体" w:cs="宋体"/>
          <w:b/>
          <w:bCs/>
          <w:color w:val="auto"/>
          <w:sz w:val="24"/>
          <w:szCs w:val="24"/>
          <w:u w:val="single"/>
        </w:rPr>
        <w:t xml:space="preserve"> 无论甲方在任意时候（不限于本合同履行期间）发现存在违反本合同廉洁条款的行为，乙方均须向甲方一次性支付惩罚性违约金</w:t>
      </w:r>
      <w:r>
        <w:rPr>
          <w:rFonts w:hint="eastAsia" w:ascii="宋体" w:hAnsi="宋体" w:eastAsia="宋体" w:cs="宋体"/>
          <w:b/>
          <w:bCs/>
          <w:color w:val="auto"/>
          <w:sz w:val="24"/>
          <w:szCs w:val="24"/>
          <w:u w:val="single"/>
          <w:lang w:eastAsia="zh-CN"/>
        </w:rPr>
        <w:t>，</w:t>
      </w:r>
      <w:r>
        <w:rPr>
          <w:rFonts w:hint="eastAsia" w:ascii="宋体" w:hAnsi="宋体" w:eastAsia="宋体" w:cs="宋体"/>
          <w:b/>
          <w:bCs/>
          <w:color w:val="0000FF"/>
          <w:sz w:val="24"/>
          <w:szCs w:val="24"/>
          <w:u w:val="single"/>
          <w:lang w:val="en-US" w:eastAsia="zh-CN"/>
        </w:rPr>
        <w:t>违约金标准按以下较高者为准：1.固定违约金为</w:t>
      </w:r>
      <w:r>
        <w:rPr>
          <w:rFonts w:hint="eastAsia" w:ascii="宋体" w:hAnsi="宋体" w:eastAsia="宋体" w:cs="宋体"/>
          <w:b/>
          <w:bCs/>
          <w:color w:val="0000FF"/>
          <w:sz w:val="24"/>
          <w:szCs w:val="24"/>
          <w:highlight w:val="none"/>
          <w:u w:val="single"/>
          <w:lang w:val="en-US" w:eastAsia="zh-CN"/>
        </w:rPr>
        <w:t>5万元</w:t>
      </w:r>
      <w:r>
        <w:rPr>
          <w:rFonts w:hint="eastAsia" w:ascii="宋体" w:hAnsi="宋体" w:eastAsia="宋体" w:cs="宋体"/>
          <w:b/>
          <w:bCs/>
          <w:color w:val="0000FF"/>
          <w:sz w:val="24"/>
          <w:szCs w:val="24"/>
          <w:u w:val="single"/>
          <w:lang w:val="en-US" w:eastAsia="zh-CN"/>
        </w:rPr>
        <w:t>；2.按乙方违反廉洁条款给甲方造成的实际经济损失金额30%计算。</w:t>
      </w:r>
      <w:r>
        <w:rPr>
          <w:rFonts w:hint="eastAsia" w:ascii="宋体" w:hAnsi="宋体" w:eastAsia="宋体" w:cs="宋体"/>
          <w:b/>
          <w:bCs/>
          <w:color w:val="auto"/>
          <w:sz w:val="24"/>
          <w:szCs w:val="24"/>
          <w:u w:val="single"/>
        </w:rPr>
        <w:t>如乙方除需承担违反廉洁条款的违约责任外，同时存在其他违约行为，乙方仍须就其他违约行为承担相应违约责任。</w:t>
      </w:r>
    </w:p>
    <w:p w14:paraId="03B0D6B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12.</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 依据本合同约定乙方应支付给甲方的违约金，甲方有权在应支付给乙方的任意价款中直接予以扣除，如扣除部分不足，乙方应在接到甲方通知后3日内补足。 </w:t>
      </w:r>
    </w:p>
    <w:p w14:paraId="08818BF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十三、</w:t>
      </w:r>
      <w:r>
        <w:rPr>
          <w:rFonts w:hint="eastAsia" w:ascii="宋体" w:hAnsi="宋体" w:eastAsia="宋体" w:cs="宋体"/>
          <w:b/>
          <w:bCs/>
          <w:color w:val="auto"/>
          <w:sz w:val="24"/>
          <w:szCs w:val="24"/>
        </w:rPr>
        <w:t>争议解决的方式</w:t>
      </w:r>
    </w:p>
    <w:p w14:paraId="6E6B09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13.1 本合同适用中华人民共和国法律，并按其解释。</w:t>
      </w:r>
    </w:p>
    <w:p w14:paraId="53366F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13.2 如双方在履行本合同过程中发生争议，双方应先协商解决，协商解决不成的，任一方均可向甲方所在地有管辖权的人民法院提起诉讼解决。</w:t>
      </w:r>
    </w:p>
    <w:p w14:paraId="2ECE773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十四、</w:t>
      </w:r>
      <w:r>
        <w:rPr>
          <w:rFonts w:hint="eastAsia" w:ascii="宋体" w:hAnsi="宋体" w:eastAsia="宋体" w:cs="宋体"/>
          <w:b/>
          <w:bCs/>
          <w:color w:val="auto"/>
          <w:sz w:val="24"/>
          <w:szCs w:val="24"/>
        </w:rPr>
        <w:t>附则</w:t>
      </w:r>
    </w:p>
    <w:p w14:paraId="66C7A3C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14.1 履行本合同中甲方发出的具体项目通知作为本合同的附件，与本合同具有同等法律效力。</w:t>
      </w:r>
    </w:p>
    <w:p w14:paraId="7277966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14.2 本合同组成文件及解释顺序如下：</w:t>
      </w:r>
      <w:r>
        <w:rPr>
          <w:rFonts w:hint="eastAsia" w:ascii="宋体" w:hAnsi="宋体" w:eastAsia="宋体" w:cs="宋体"/>
          <w:color w:val="0000FF"/>
          <w:sz w:val="24"/>
          <w:szCs w:val="24"/>
          <w:lang w:val="en-US" w:eastAsia="zh-CN"/>
        </w:rPr>
        <w:t>乙方在履行本协议过程中作出的书面承诺；补充协议；本协议及附件；中标通知书/成交通知书/议价结果公示/成交公告；投标文件/响应文件；招标文件/采购文件/采购需求；其他与本协议有关的资料。</w:t>
      </w:r>
    </w:p>
    <w:p w14:paraId="03DCD9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14.3 本合同一式四份，甲方执三份、乙方执一份，自双方签字并盖章后生效。</w:t>
      </w:r>
    </w:p>
    <w:p w14:paraId="2C1ACCE2">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宋体" w:hAnsi="宋体" w:eastAsia="宋体" w:cs="宋体"/>
          <w:b/>
          <w:bCs/>
          <w:color w:val="auto"/>
          <w:sz w:val="24"/>
          <w:szCs w:val="24"/>
        </w:rPr>
      </w:pPr>
    </w:p>
    <w:p w14:paraId="2FCF6C3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甲方（盖章）：</w:t>
      </w:r>
      <w:r>
        <w:rPr>
          <w:rFonts w:hint="eastAsia" w:ascii="宋体" w:hAnsi="宋体" w:eastAsia="宋体" w:cs="宋体"/>
          <w:color w:val="auto"/>
          <w:sz w:val="24"/>
          <w:szCs w:val="24"/>
          <w:lang w:val="en-US" w:eastAsia="zh-CN"/>
        </w:rPr>
        <w:t>娄底市中心医院</w:t>
      </w:r>
      <w:r>
        <w:rPr>
          <w:rFonts w:hint="eastAsia" w:ascii="宋体" w:hAnsi="宋体" w:eastAsia="宋体" w:cs="宋体"/>
          <w:color w:val="auto"/>
          <w:sz w:val="24"/>
          <w:szCs w:val="24"/>
        </w:rPr>
        <w:t xml:space="preserve">   乙方（盖章）：</w:t>
      </w:r>
    </w:p>
    <w:p w14:paraId="3197CB4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p>
    <w:p w14:paraId="3175A2D8">
      <w:pPr>
        <w:keepNext w:val="0"/>
        <w:keepLines w:val="0"/>
        <w:pageBreakBefore w:val="0"/>
        <w:widowControl w:val="0"/>
        <w:kinsoku/>
        <w:wordWrap/>
        <w:overflowPunct/>
        <w:topLinePunct w:val="0"/>
        <w:autoSpaceDE/>
        <w:autoSpaceDN/>
        <w:bidi w:val="0"/>
        <w:adjustRightInd/>
        <w:snapToGrid/>
        <w:spacing w:line="500" w:lineRule="exact"/>
        <w:ind w:firstLine="2160" w:firstLineChars="9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广州医科大学附属</w:t>
      </w:r>
    </w:p>
    <w:p w14:paraId="6CB17B89">
      <w:pPr>
        <w:keepNext w:val="0"/>
        <w:keepLines w:val="0"/>
        <w:pageBreakBefore w:val="0"/>
        <w:widowControl w:val="0"/>
        <w:kinsoku/>
        <w:wordWrap/>
        <w:overflowPunct/>
        <w:topLinePunct w:val="0"/>
        <w:autoSpaceDE/>
        <w:autoSpaceDN/>
        <w:bidi w:val="0"/>
        <w:adjustRightInd/>
        <w:snapToGrid/>
        <w:spacing w:line="500" w:lineRule="exact"/>
        <w:ind w:firstLine="2160" w:firstLineChars="9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第一医院娄底医院</w:t>
      </w:r>
    </w:p>
    <w:p w14:paraId="613CFC4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val="en-US" w:eastAsia="zh-CN"/>
        </w:rPr>
      </w:pPr>
    </w:p>
    <w:p w14:paraId="7F9E3C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法定代表人（签字）：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法定代表人（签字）：</w:t>
      </w:r>
    </w:p>
    <w:p w14:paraId="3C758A04">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 w:val="24"/>
          <w:szCs w:val="24"/>
        </w:rPr>
      </w:pPr>
    </w:p>
    <w:p w14:paraId="6518E50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 xml:space="preserve">或委托代理人（签字）：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或委托代理人（签字）：</w:t>
      </w:r>
    </w:p>
    <w:p w14:paraId="530D6556">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 w:val="24"/>
          <w:szCs w:val="24"/>
        </w:rPr>
      </w:pPr>
    </w:p>
    <w:p w14:paraId="7C79574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b/>
          <w:bCs/>
          <w:color w:val="auto"/>
          <w:sz w:val="24"/>
          <w:szCs w:val="24"/>
        </w:rPr>
      </w:pPr>
      <w:r>
        <w:rPr>
          <w:rFonts w:hint="eastAsia" w:ascii="宋体" w:hAnsi="宋体" w:eastAsia="宋体" w:cs="宋体"/>
          <w:color w:val="auto"/>
          <w:sz w:val="24"/>
          <w:szCs w:val="24"/>
        </w:rPr>
        <w:t xml:space="preserve">签订地点：娄底市娄星区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签订日期：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年  月  日 </w:t>
      </w:r>
      <w:r>
        <w:rPr>
          <w:rFonts w:hint="eastAsia" w:ascii="宋体" w:hAnsi="宋体" w:eastAsia="宋体" w:cs="宋体"/>
          <w:b/>
          <w:bCs/>
          <w:color w:val="auto"/>
          <w:sz w:val="24"/>
          <w:szCs w:val="24"/>
        </w:rPr>
        <w:t xml:space="preserve">  </w:t>
      </w:r>
    </w:p>
    <w:p w14:paraId="1A98F13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ascii="宋体" w:hAnsi="宋体" w:eastAsia="宋体" w:cs="宋体"/>
          <w:b/>
          <w:bCs/>
          <w:color w:val="auto"/>
          <w:sz w:val="24"/>
          <w:szCs w:val="24"/>
        </w:rPr>
      </w:pPr>
    </w:p>
    <w:p w14:paraId="0D614344">
      <w:pPr>
        <w:keepNext w:val="0"/>
        <w:keepLines w:val="0"/>
        <w:pageBreakBefore w:val="0"/>
        <w:widowControl w:val="0"/>
        <w:kinsoku/>
        <w:wordWrap/>
        <w:overflowPunct/>
        <w:topLinePunct w:val="0"/>
        <w:bidi w:val="0"/>
        <w:snapToGrid/>
        <w:spacing w:after="0" w:line="400" w:lineRule="exact"/>
        <w:ind w:firstLine="560" w:firstLineChars="200"/>
        <w:textAlignment w:val="auto"/>
        <w:rPr>
          <w:rFonts w:hint="eastAsia" w:ascii="仿宋_GB2312" w:hAnsi="仿宋" w:eastAsia="仿宋_GB2312" w:cs="仿宋_GB2312"/>
          <w:bCs/>
          <w:color w:val="auto"/>
          <w:kern w:val="0"/>
          <w:sz w:val="28"/>
          <w:szCs w:val="28"/>
        </w:rPr>
      </w:pPr>
      <w:bookmarkStart w:id="8" w:name="_GoBack"/>
      <w:bookmarkEnd w:id="8"/>
    </w:p>
    <w:p w14:paraId="1C2A0D9C">
      <w:pPr>
        <w:rPr>
          <w:rFonts w:hint="eastAsia" w:ascii="仿宋" w:hAnsi="仿宋" w:eastAsia="仿宋" w:cs="仿宋"/>
          <w:sz w:val="28"/>
          <w:szCs w:val="28"/>
        </w:rPr>
      </w:pPr>
      <w:r>
        <w:rPr>
          <w:rFonts w:hint="eastAsia" w:ascii="仿宋" w:hAnsi="仿宋" w:eastAsia="仿宋" w:cs="仿宋"/>
          <w:sz w:val="28"/>
          <w:szCs w:val="28"/>
        </w:rPr>
        <w:br w:type="page"/>
      </w:r>
    </w:p>
    <w:p w14:paraId="2D8BA7C8">
      <w:pPr>
        <w:rPr>
          <w:rFonts w:hint="default" w:ascii="宋体" w:hAnsi="宋体" w:eastAsia="宋体" w:cs="宋体"/>
          <w:color w:val="auto"/>
          <w:sz w:val="24"/>
          <w:szCs w:val="24"/>
          <w:lang w:val="en-US" w:eastAsia="zh-CN"/>
        </w:rPr>
      </w:pPr>
    </w:p>
    <w:p w14:paraId="2CC2C481">
      <w:pPr>
        <w:rPr>
          <w:rFonts w:hint="default" w:ascii="宋体" w:hAnsi="宋体" w:eastAsia="宋体" w:cs="宋体"/>
          <w:color w:val="auto"/>
          <w:sz w:val="24"/>
          <w:szCs w:val="24"/>
          <w:lang w:val="en-US" w:eastAsia="zh-CN"/>
        </w:rPr>
      </w:pPr>
    </w:p>
    <w:p w14:paraId="7F708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4" w:name="_Toc16523573"/>
      <w:r>
        <w:rPr>
          <w:rFonts w:hint="eastAsia" w:ascii="宋体" w:hAnsi="宋体" w:cs="宋体"/>
          <w:color w:val="auto"/>
          <w:sz w:val="44"/>
          <w:szCs w:val="44"/>
          <w:lang w:val="en-US" w:eastAsia="zh-CN"/>
        </w:rPr>
        <w:t>评标方法及标准</w:t>
      </w:r>
      <w:bookmarkEnd w:id="4"/>
    </w:p>
    <w:p w14:paraId="548EAA27">
      <w:pPr>
        <w:jc w:val="center"/>
        <w:rPr>
          <w:rFonts w:hint="eastAsia" w:ascii="仿宋" w:hAnsi="仿宋" w:eastAsia="仿宋" w:cs="仿宋"/>
          <w:sz w:val="24"/>
          <w:szCs w:val="24"/>
        </w:rPr>
      </w:pPr>
    </w:p>
    <w:tbl>
      <w:tblPr>
        <w:tblStyle w:val="33"/>
        <w:tblW w:w="91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25"/>
        <w:gridCol w:w="1554"/>
        <w:gridCol w:w="5900"/>
        <w:gridCol w:w="630"/>
      </w:tblGrid>
      <w:tr w14:paraId="6EECC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0" w:type="auto"/>
            <w:tcBorders>
              <w:top w:val="single" w:color="000000" w:sz="10" w:space="0"/>
              <w:left w:val="single" w:color="000000" w:sz="10" w:space="0"/>
            </w:tcBorders>
            <w:vAlign w:val="center"/>
          </w:tcPr>
          <w:p w14:paraId="6CCA1B1D">
            <w:pPr>
              <w:pStyle w:val="32"/>
              <w:snapToGrid w:val="0"/>
              <w:spacing w:before="31" w:line="240" w:lineRule="auto"/>
              <w:ind w:left="0" w:leftChars="0" w:right="0" w:rightChars="0" w:firstLine="0" w:firstLineChars="0"/>
              <w:jc w:val="center"/>
              <w:rPr>
                <w:rFonts w:hint="eastAsia" w:ascii="仿宋" w:hAnsi="仿宋" w:eastAsia="仿宋" w:cs="仿宋"/>
                <w:b/>
                <w:sz w:val="22"/>
                <w:szCs w:val="22"/>
              </w:rPr>
            </w:pPr>
            <w:r>
              <w:rPr>
                <w:rFonts w:hint="eastAsia" w:ascii="仿宋" w:hAnsi="仿宋" w:eastAsia="仿宋" w:cs="仿宋"/>
                <w:b/>
                <w:spacing w:val="-1"/>
                <w:position w:val="-1"/>
                <w:sz w:val="22"/>
                <w:szCs w:val="22"/>
              </w:rPr>
              <w:t>评审</w:t>
            </w:r>
            <w:r>
              <w:rPr>
                <w:rFonts w:hint="eastAsia" w:ascii="仿宋" w:hAnsi="仿宋" w:eastAsia="仿宋" w:cs="仿宋"/>
                <w:b/>
                <w:spacing w:val="8"/>
                <w:position w:val="-1"/>
                <w:sz w:val="22"/>
                <w:szCs w:val="22"/>
              </w:rPr>
              <w:t>因素</w:t>
            </w:r>
          </w:p>
        </w:tc>
        <w:tc>
          <w:tcPr>
            <w:tcW w:w="1554" w:type="dxa"/>
            <w:tcBorders>
              <w:top w:val="single" w:color="000000" w:sz="10" w:space="0"/>
            </w:tcBorders>
            <w:vAlign w:val="center"/>
          </w:tcPr>
          <w:p w14:paraId="427288E0">
            <w:pPr>
              <w:pStyle w:val="32"/>
              <w:snapToGrid w:val="0"/>
              <w:spacing w:before="188" w:line="240" w:lineRule="auto"/>
              <w:ind w:left="0" w:leftChars="0" w:right="0" w:rightChars="0" w:firstLine="0" w:firstLineChars="0"/>
              <w:jc w:val="center"/>
              <w:rPr>
                <w:rFonts w:hint="eastAsia" w:ascii="仿宋" w:hAnsi="仿宋" w:eastAsia="仿宋" w:cs="仿宋"/>
                <w:b/>
                <w:sz w:val="22"/>
                <w:szCs w:val="22"/>
              </w:rPr>
            </w:pPr>
            <w:r>
              <w:rPr>
                <w:rFonts w:hint="eastAsia" w:ascii="仿宋" w:hAnsi="仿宋" w:eastAsia="仿宋" w:cs="仿宋"/>
                <w:b/>
                <w:spacing w:val="2"/>
                <w:position w:val="-1"/>
                <w:sz w:val="22"/>
                <w:szCs w:val="22"/>
              </w:rPr>
              <w:t>评审项目</w:t>
            </w:r>
          </w:p>
        </w:tc>
        <w:tc>
          <w:tcPr>
            <w:tcW w:w="5900" w:type="dxa"/>
            <w:tcBorders>
              <w:top w:val="single" w:color="000000" w:sz="10" w:space="0"/>
            </w:tcBorders>
            <w:vAlign w:val="center"/>
          </w:tcPr>
          <w:p w14:paraId="630B033C">
            <w:pPr>
              <w:pStyle w:val="32"/>
              <w:snapToGrid w:val="0"/>
              <w:spacing w:before="186" w:line="240" w:lineRule="auto"/>
              <w:ind w:left="0" w:leftChars="0" w:right="0" w:rightChars="0" w:firstLine="0" w:firstLineChars="0"/>
              <w:jc w:val="center"/>
              <w:rPr>
                <w:rFonts w:hint="eastAsia" w:ascii="仿宋" w:hAnsi="仿宋" w:eastAsia="仿宋" w:cs="仿宋"/>
                <w:b/>
                <w:sz w:val="22"/>
                <w:szCs w:val="22"/>
              </w:rPr>
            </w:pPr>
            <w:r>
              <w:rPr>
                <w:rFonts w:hint="eastAsia" w:ascii="仿宋" w:hAnsi="仿宋" w:eastAsia="仿宋" w:cs="仿宋"/>
                <w:b/>
                <w:spacing w:val="8"/>
                <w:position w:val="-1"/>
                <w:sz w:val="22"/>
                <w:szCs w:val="22"/>
              </w:rPr>
              <w:t>评审内容</w:t>
            </w:r>
          </w:p>
        </w:tc>
        <w:tc>
          <w:tcPr>
            <w:tcW w:w="630" w:type="dxa"/>
            <w:tcBorders>
              <w:top w:val="single" w:color="000000" w:sz="10" w:space="0"/>
              <w:right w:val="single" w:color="000000" w:sz="10" w:space="0"/>
            </w:tcBorders>
            <w:vAlign w:val="center"/>
          </w:tcPr>
          <w:p w14:paraId="0A705F8C">
            <w:pPr>
              <w:pStyle w:val="32"/>
              <w:snapToGrid w:val="0"/>
              <w:spacing w:before="189" w:line="240" w:lineRule="auto"/>
              <w:ind w:left="0" w:leftChars="0" w:right="0" w:rightChars="0" w:firstLine="0" w:firstLineChars="0"/>
              <w:jc w:val="center"/>
              <w:rPr>
                <w:rFonts w:hint="eastAsia" w:ascii="仿宋" w:hAnsi="仿宋" w:eastAsia="仿宋" w:cs="仿宋"/>
                <w:b/>
                <w:sz w:val="22"/>
                <w:szCs w:val="22"/>
              </w:rPr>
            </w:pPr>
            <w:r>
              <w:rPr>
                <w:rFonts w:hint="eastAsia" w:ascii="仿宋" w:hAnsi="仿宋" w:eastAsia="仿宋" w:cs="仿宋"/>
                <w:b/>
                <w:spacing w:val="5"/>
                <w:position w:val="-1"/>
                <w:sz w:val="22"/>
                <w:szCs w:val="22"/>
              </w:rPr>
              <w:t>分值</w:t>
            </w:r>
          </w:p>
        </w:tc>
      </w:tr>
      <w:tr w14:paraId="760BA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0" w:type="auto"/>
            <w:tcBorders>
              <w:left w:val="single" w:color="000000" w:sz="10" w:space="0"/>
            </w:tcBorders>
            <w:vAlign w:val="center"/>
          </w:tcPr>
          <w:p w14:paraId="0BF298A7">
            <w:pPr>
              <w:pStyle w:val="32"/>
              <w:snapToGrid w:val="0"/>
              <w:spacing w:before="85" w:line="240" w:lineRule="auto"/>
              <w:ind w:left="0" w:leftChars="0" w:right="0" w:rightChars="0" w:firstLine="0" w:firstLineChars="0"/>
              <w:jc w:val="center"/>
              <w:rPr>
                <w:rFonts w:hint="eastAsia" w:ascii="仿宋" w:hAnsi="仿宋" w:eastAsia="仿宋" w:cs="仿宋"/>
                <w:sz w:val="22"/>
                <w:szCs w:val="22"/>
              </w:rPr>
            </w:pPr>
            <w:r>
              <w:rPr>
                <w:rFonts w:hint="eastAsia" w:ascii="仿宋" w:hAnsi="仿宋" w:eastAsia="仿宋" w:cs="仿宋"/>
                <w:spacing w:val="7"/>
                <w:sz w:val="22"/>
                <w:szCs w:val="22"/>
              </w:rPr>
              <w:t>价格</w:t>
            </w:r>
            <w:r>
              <w:rPr>
                <w:rFonts w:hint="eastAsia" w:ascii="仿宋" w:hAnsi="仿宋" w:eastAsia="仿宋" w:cs="仿宋"/>
                <w:sz w:val="22"/>
                <w:szCs w:val="22"/>
              </w:rPr>
              <w:t xml:space="preserve"> </w:t>
            </w:r>
            <w:r>
              <w:rPr>
                <w:rFonts w:hint="eastAsia" w:ascii="仿宋" w:hAnsi="仿宋" w:eastAsia="仿宋" w:cs="仿宋"/>
                <w:spacing w:val="4"/>
                <w:sz w:val="22"/>
                <w:szCs w:val="22"/>
              </w:rPr>
              <w:t>(</w:t>
            </w:r>
            <w:r>
              <w:rPr>
                <w:rFonts w:hint="eastAsia" w:ascii="仿宋" w:hAnsi="仿宋" w:eastAsia="仿宋" w:cs="仿宋"/>
                <w:spacing w:val="4"/>
                <w:sz w:val="22"/>
                <w:szCs w:val="22"/>
                <w:lang w:val="en-US" w:eastAsia="zh-CN"/>
              </w:rPr>
              <w:t>40</w:t>
            </w:r>
            <w:r>
              <w:rPr>
                <w:rFonts w:hint="eastAsia" w:ascii="仿宋" w:hAnsi="仿宋" w:eastAsia="仿宋" w:cs="仿宋"/>
                <w:spacing w:val="4"/>
                <w:sz w:val="22"/>
                <w:szCs w:val="22"/>
              </w:rPr>
              <w:t>分)</w:t>
            </w:r>
          </w:p>
        </w:tc>
        <w:tc>
          <w:tcPr>
            <w:tcW w:w="1554" w:type="dxa"/>
            <w:vAlign w:val="center"/>
          </w:tcPr>
          <w:p w14:paraId="3A53ACEF">
            <w:pPr>
              <w:pStyle w:val="32"/>
              <w:snapToGrid w:val="0"/>
              <w:spacing w:before="85" w:line="240" w:lineRule="auto"/>
              <w:ind w:left="0" w:leftChars="0" w:right="0" w:rightChars="0" w:firstLine="0" w:firstLineChars="0"/>
              <w:jc w:val="left"/>
              <w:rPr>
                <w:rFonts w:hint="eastAsia" w:ascii="仿宋" w:hAnsi="仿宋" w:eastAsia="仿宋" w:cs="仿宋"/>
                <w:spacing w:val="12"/>
                <w:kern w:val="2"/>
                <w:sz w:val="22"/>
                <w:szCs w:val="22"/>
                <w:lang w:val="en-US" w:eastAsia="en-US" w:bidi="ar-SA"/>
              </w:rPr>
            </w:pPr>
            <w:r>
              <w:rPr>
                <w:rFonts w:hint="eastAsia" w:ascii="仿宋" w:hAnsi="仿宋" w:eastAsia="仿宋" w:cs="仿宋"/>
                <w:spacing w:val="12"/>
                <w:kern w:val="2"/>
                <w:sz w:val="22"/>
                <w:szCs w:val="22"/>
                <w:lang w:val="en-US" w:eastAsia="en-US" w:bidi="ar-SA"/>
              </w:rPr>
              <w:t>投标报价</w:t>
            </w:r>
          </w:p>
        </w:tc>
        <w:tc>
          <w:tcPr>
            <w:tcW w:w="5900" w:type="dxa"/>
            <w:vAlign w:val="center"/>
          </w:tcPr>
          <w:p w14:paraId="65CEDE4F">
            <w:pPr>
              <w:spacing w:line="240" w:lineRule="auto"/>
              <w:jc w:val="left"/>
              <w:rPr>
                <w:rFonts w:hint="eastAsia" w:ascii="仿宋" w:hAnsi="仿宋" w:eastAsia="仿宋" w:cs="仿宋"/>
                <w:spacing w:val="12"/>
                <w:kern w:val="2"/>
                <w:sz w:val="22"/>
                <w:szCs w:val="22"/>
                <w:lang w:val="en-US" w:eastAsia="zh-CN" w:bidi="ar-SA"/>
              </w:rPr>
            </w:pPr>
            <w:r>
              <w:rPr>
                <w:rFonts w:hint="eastAsia" w:ascii="仿宋" w:hAnsi="仿宋" w:eastAsia="仿宋" w:cs="仿宋"/>
                <w:color w:val="auto"/>
                <w:sz w:val="22"/>
                <w:szCs w:val="22"/>
                <w:lang w:val="en-US" w:eastAsia="zh-CN"/>
              </w:rPr>
              <w:t>以</w:t>
            </w:r>
            <w:r>
              <w:rPr>
                <w:rFonts w:hint="eastAsia" w:ascii="仿宋" w:hAnsi="仿宋" w:eastAsia="仿宋" w:cs="仿宋"/>
                <w:spacing w:val="12"/>
                <w:kern w:val="2"/>
                <w:sz w:val="22"/>
                <w:szCs w:val="22"/>
                <w:lang w:val="en-US" w:eastAsia="zh-CN" w:bidi="ar-SA"/>
              </w:rPr>
              <w:t>本项目</w:t>
            </w:r>
            <w:r>
              <w:rPr>
                <w:rFonts w:hint="eastAsia" w:ascii="仿宋" w:hAnsi="仿宋" w:eastAsia="仿宋" w:cs="仿宋"/>
                <w:spacing w:val="12"/>
                <w:kern w:val="2"/>
                <w:sz w:val="22"/>
                <w:szCs w:val="22"/>
                <w:lang w:val="en-US" w:eastAsia="en-US" w:bidi="ar-SA"/>
              </w:rPr>
              <w:t>造价咨询服务费基准费率</w:t>
            </w:r>
            <w:r>
              <w:rPr>
                <w:rFonts w:hint="eastAsia" w:ascii="仿宋" w:hAnsi="仿宋" w:eastAsia="仿宋" w:cs="仿宋"/>
                <w:spacing w:val="12"/>
                <w:kern w:val="2"/>
                <w:sz w:val="22"/>
                <w:szCs w:val="22"/>
                <w:lang w:val="en-US" w:eastAsia="zh-CN" w:bidi="ar-SA"/>
              </w:rPr>
              <w:t>规定作为上限值，服务费收取每下浮10%计10分，报价下浮率最小报价单位是10%的整倍数，最多计40分。下浮40%的得满分。</w:t>
            </w:r>
          </w:p>
        </w:tc>
        <w:tc>
          <w:tcPr>
            <w:tcW w:w="630" w:type="dxa"/>
            <w:tcBorders>
              <w:right w:val="single" w:color="000000" w:sz="10" w:space="0"/>
            </w:tcBorders>
            <w:vAlign w:val="center"/>
          </w:tcPr>
          <w:p w14:paraId="08BFD70B">
            <w:pPr>
              <w:snapToGrid w:val="0"/>
              <w:spacing w:before="58" w:line="240" w:lineRule="auto"/>
              <w:ind w:left="0" w:leftChars="0" w:right="0" w:rightChars="0" w:firstLine="0" w:firstLineChars="0"/>
              <w:jc w:val="center"/>
              <w:rPr>
                <w:rFonts w:hint="eastAsia" w:ascii="仿宋" w:hAnsi="仿宋" w:eastAsia="仿宋" w:cs="仿宋"/>
                <w:sz w:val="22"/>
                <w:szCs w:val="22"/>
              </w:rPr>
            </w:pPr>
            <w:r>
              <w:rPr>
                <w:rFonts w:hint="eastAsia" w:ascii="仿宋" w:hAnsi="仿宋" w:eastAsia="仿宋" w:cs="仿宋"/>
                <w:spacing w:val="3"/>
                <w:sz w:val="22"/>
                <w:szCs w:val="22"/>
                <w:lang w:val="en-US" w:eastAsia="zh-CN"/>
              </w:rPr>
              <w:t>4</w:t>
            </w:r>
            <w:r>
              <w:rPr>
                <w:rFonts w:hint="eastAsia" w:ascii="仿宋" w:hAnsi="仿宋" w:eastAsia="仿宋" w:cs="仿宋"/>
                <w:spacing w:val="3"/>
                <w:sz w:val="22"/>
                <w:szCs w:val="22"/>
              </w:rPr>
              <w:t>0</w:t>
            </w:r>
          </w:p>
        </w:tc>
      </w:tr>
      <w:tr w14:paraId="533EA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0" w:type="auto"/>
            <w:vMerge w:val="restart"/>
            <w:tcBorders>
              <w:left w:val="single" w:color="000000" w:sz="10" w:space="0"/>
              <w:bottom w:val="nil"/>
            </w:tcBorders>
            <w:vAlign w:val="center"/>
          </w:tcPr>
          <w:p w14:paraId="12050212">
            <w:pPr>
              <w:pStyle w:val="32"/>
              <w:snapToGrid w:val="0"/>
              <w:spacing w:before="86" w:line="240" w:lineRule="auto"/>
              <w:ind w:left="0" w:leftChars="0" w:right="0" w:rightChars="0" w:firstLine="0" w:firstLineChars="0"/>
              <w:jc w:val="center"/>
              <w:rPr>
                <w:rFonts w:hint="eastAsia" w:ascii="仿宋" w:hAnsi="仿宋" w:eastAsia="仿宋" w:cs="仿宋"/>
                <w:sz w:val="22"/>
                <w:szCs w:val="22"/>
              </w:rPr>
            </w:pPr>
            <w:r>
              <w:rPr>
                <w:rFonts w:hint="eastAsia" w:ascii="仿宋" w:hAnsi="仿宋" w:eastAsia="仿宋" w:cs="仿宋"/>
                <w:spacing w:val="5"/>
                <w:sz w:val="22"/>
                <w:szCs w:val="22"/>
              </w:rPr>
              <w:t>商务部分</w:t>
            </w:r>
            <w:r>
              <w:rPr>
                <w:rFonts w:hint="eastAsia" w:ascii="仿宋" w:hAnsi="仿宋" w:eastAsia="仿宋" w:cs="仿宋"/>
                <w:spacing w:val="11"/>
                <w:sz w:val="22"/>
                <w:szCs w:val="22"/>
              </w:rPr>
              <w:t xml:space="preserve">  </w:t>
            </w:r>
            <w:r>
              <w:rPr>
                <w:rFonts w:hint="eastAsia" w:ascii="仿宋" w:hAnsi="仿宋" w:eastAsia="仿宋" w:cs="仿宋"/>
                <w:spacing w:val="5"/>
                <w:sz w:val="22"/>
                <w:szCs w:val="22"/>
              </w:rPr>
              <w:t>(3</w:t>
            </w:r>
            <w:r>
              <w:rPr>
                <w:rFonts w:hint="eastAsia" w:ascii="仿宋" w:hAnsi="仿宋" w:eastAsia="仿宋" w:cs="仿宋"/>
                <w:spacing w:val="5"/>
                <w:sz w:val="22"/>
                <w:szCs w:val="22"/>
                <w:lang w:val="en-US" w:eastAsia="zh-CN"/>
              </w:rPr>
              <w:t>0</w:t>
            </w:r>
            <w:r>
              <w:rPr>
                <w:rFonts w:hint="eastAsia" w:ascii="仿宋" w:hAnsi="仿宋" w:eastAsia="仿宋" w:cs="仿宋"/>
                <w:spacing w:val="6"/>
                <w:sz w:val="22"/>
                <w:szCs w:val="22"/>
              </w:rPr>
              <w:t>分)</w:t>
            </w:r>
            <w:r>
              <w:rPr>
                <w:rFonts w:hint="eastAsia" w:ascii="仿宋" w:hAnsi="仿宋" w:eastAsia="仿宋" w:cs="仿宋"/>
                <w:spacing w:val="22"/>
                <w:w w:val="101"/>
                <w:sz w:val="22"/>
                <w:szCs w:val="22"/>
              </w:rPr>
              <w:t xml:space="preserve">  </w:t>
            </w:r>
            <w:r>
              <w:rPr>
                <w:rFonts w:hint="eastAsia" w:ascii="仿宋" w:hAnsi="仿宋" w:eastAsia="仿宋" w:cs="仿宋"/>
                <w:spacing w:val="6"/>
                <w:sz w:val="22"/>
                <w:szCs w:val="22"/>
              </w:rPr>
              <w:t>)</w:t>
            </w:r>
          </w:p>
        </w:tc>
        <w:tc>
          <w:tcPr>
            <w:tcW w:w="1554" w:type="dxa"/>
            <w:vAlign w:val="center"/>
          </w:tcPr>
          <w:p w14:paraId="15153F55">
            <w:pPr>
              <w:pStyle w:val="32"/>
              <w:snapToGrid w:val="0"/>
              <w:spacing w:before="86"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5"/>
                <w:sz w:val="22"/>
                <w:szCs w:val="22"/>
              </w:rPr>
              <w:t>人员情况</w:t>
            </w:r>
          </w:p>
        </w:tc>
        <w:tc>
          <w:tcPr>
            <w:tcW w:w="5900" w:type="dxa"/>
            <w:vAlign w:val="center"/>
          </w:tcPr>
          <w:p w14:paraId="764A4EBB">
            <w:pPr>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240" w:lineRule="auto"/>
              <w:ind w:left="0" w:right="0"/>
              <w:jc w:val="left"/>
              <w:rPr>
                <w:rFonts w:hint="eastAsia" w:ascii="仿宋" w:hAnsi="仿宋" w:eastAsia="仿宋" w:cs="仿宋"/>
                <w:sz w:val="22"/>
                <w:szCs w:val="22"/>
              </w:rPr>
            </w:pPr>
            <w:r>
              <w:rPr>
                <w:rFonts w:hint="eastAsia" w:ascii="仿宋" w:hAnsi="仿宋" w:eastAsia="仿宋" w:cs="仿宋"/>
                <w:spacing w:val="12"/>
                <w:kern w:val="2"/>
                <w:sz w:val="22"/>
                <w:szCs w:val="22"/>
                <w:lang w:val="en-US" w:eastAsia="en-US" w:bidi="ar-SA"/>
              </w:rPr>
              <w:t>投标人拥有注册造价师人数:</w:t>
            </w:r>
            <w:r>
              <w:rPr>
                <w:rFonts w:hint="eastAsia" w:ascii="仿宋" w:hAnsi="仿宋" w:eastAsia="仿宋" w:cs="仿宋"/>
                <w:spacing w:val="12"/>
                <w:kern w:val="2"/>
                <w:sz w:val="22"/>
                <w:szCs w:val="22"/>
                <w:lang w:val="en-US" w:eastAsia="zh-CN" w:bidi="ar-SA"/>
              </w:rPr>
              <w:t>5</w:t>
            </w:r>
            <w:r>
              <w:rPr>
                <w:rFonts w:hint="eastAsia" w:ascii="仿宋" w:hAnsi="仿宋" w:eastAsia="仿宋" w:cs="仿宋"/>
                <w:spacing w:val="12"/>
                <w:kern w:val="2"/>
                <w:sz w:val="22"/>
                <w:szCs w:val="22"/>
                <w:lang w:val="en-US" w:eastAsia="en-US" w:bidi="ar-SA"/>
              </w:rPr>
              <w:t>人以下不计分;</w:t>
            </w:r>
            <w:r>
              <w:rPr>
                <w:rFonts w:hint="eastAsia" w:ascii="仿宋" w:hAnsi="仿宋" w:eastAsia="仿宋" w:cs="仿宋"/>
                <w:spacing w:val="12"/>
                <w:kern w:val="2"/>
                <w:sz w:val="22"/>
                <w:szCs w:val="22"/>
                <w:lang w:val="en-US" w:eastAsia="zh-CN" w:bidi="ar-SA"/>
              </w:rPr>
              <w:t>5</w:t>
            </w:r>
            <w:r>
              <w:rPr>
                <w:rFonts w:hint="eastAsia" w:ascii="仿宋" w:hAnsi="仿宋" w:eastAsia="仿宋" w:cs="仿宋"/>
                <w:spacing w:val="12"/>
                <w:kern w:val="2"/>
                <w:sz w:val="22"/>
                <w:szCs w:val="22"/>
                <w:lang w:val="en-US" w:eastAsia="en-US" w:bidi="ar-SA"/>
              </w:rPr>
              <w:t>人计5分，</w:t>
            </w:r>
            <w:r>
              <w:rPr>
                <w:rFonts w:hint="eastAsia" w:ascii="仿宋" w:hAnsi="仿宋" w:eastAsia="仿宋" w:cs="仿宋"/>
                <w:spacing w:val="12"/>
                <w:kern w:val="2"/>
                <w:sz w:val="22"/>
                <w:szCs w:val="22"/>
                <w:lang w:val="en-US" w:eastAsia="zh-CN" w:bidi="ar-SA"/>
              </w:rPr>
              <w:t>6</w:t>
            </w:r>
            <w:r>
              <w:rPr>
                <w:rFonts w:hint="eastAsia" w:ascii="仿宋" w:hAnsi="仿宋" w:eastAsia="仿宋" w:cs="仿宋"/>
                <w:spacing w:val="12"/>
                <w:kern w:val="2"/>
                <w:sz w:val="22"/>
                <w:szCs w:val="22"/>
                <w:lang w:val="en-US" w:eastAsia="en-US" w:bidi="ar-SA"/>
              </w:rPr>
              <w:t>-</w:t>
            </w:r>
            <w:r>
              <w:rPr>
                <w:rFonts w:hint="eastAsia" w:ascii="仿宋" w:hAnsi="仿宋" w:eastAsia="仿宋" w:cs="仿宋"/>
                <w:spacing w:val="12"/>
                <w:kern w:val="2"/>
                <w:sz w:val="22"/>
                <w:szCs w:val="22"/>
                <w:lang w:val="en-US" w:eastAsia="zh-CN" w:bidi="ar-SA"/>
              </w:rPr>
              <w:t>10</w:t>
            </w:r>
            <w:r>
              <w:rPr>
                <w:rFonts w:hint="eastAsia" w:ascii="仿宋" w:hAnsi="仿宋" w:eastAsia="仿宋" w:cs="仿宋"/>
                <w:spacing w:val="12"/>
                <w:kern w:val="2"/>
                <w:sz w:val="22"/>
                <w:szCs w:val="22"/>
                <w:lang w:val="en-US" w:eastAsia="en-US" w:bidi="ar-SA"/>
              </w:rPr>
              <w:t>人计</w:t>
            </w:r>
            <w:r>
              <w:rPr>
                <w:rFonts w:hint="eastAsia" w:ascii="仿宋" w:hAnsi="仿宋" w:eastAsia="仿宋" w:cs="仿宋"/>
                <w:spacing w:val="12"/>
                <w:kern w:val="2"/>
                <w:sz w:val="22"/>
                <w:szCs w:val="22"/>
                <w:lang w:val="en-US" w:eastAsia="zh-CN" w:bidi="ar-SA"/>
              </w:rPr>
              <w:t>8</w:t>
            </w:r>
            <w:r>
              <w:rPr>
                <w:rFonts w:hint="eastAsia" w:ascii="仿宋" w:hAnsi="仿宋" w:eastAsia="仿宋" w:cs="仿宋"/>
                <w:spacing w:val="12"/>
                <w:kern w:val="2"/>
                <w:sz w:val="22"/>
                <w:szCs w:val="22"/>
                <w:lang w:val="en-US" w:eastAsia="en-US" w:bidi="ar-SA"/>
              </w:rPr>
              <w:t>分，10人及以上计1</w:t>
            </w:r>
            <w:r>
              <w:rPr>
                <w:rFonts w:hint="eastAsia" w:ascii="仿宋" w:hAnsi="仿宋" w:eastAsia="仿宋" w:cs="仿宋"/>
                <w:spacing w:val="12"/>
                <w:kern w:val="2"/>
                <w:sz w:val="22"/>
                <w:szCs w:val="22"/>
                <w:lang w:val="en-US" w:eastAsia="zh-CN" w:bidi="ar-SA"/>
              </w:rPr>
              <w:t>0</w:t>
            </w:r>
            <w:r>
              <w:rPr>
                <w:rFonts w:hint="eastAsia" w:ascii="仿宋" w:hAnsi="仿宋" w:eastAsia="仿宋" w:cs="仿宋"/>
                <w:spacing w:val="12"/>
                <w:kern w:val="2"/>
                <w:sz w:val="22"/>
                <w:szCs w:val="22"/>
                <w:lang w:val="en-US" w:eastAsia="en-US" w:bidi="ar-SA"/>
              </w:rPr>
              <w:t>分提供相关人员的造价师证复印件和202</w:t>
            </w:r>
            <w:r>
              <w:rPr>
                <w:rFonts w:hint="eastAsia" w:ascii="仿宋" w:hAnsi="仿宋" w:eastAsia="仿宋" w:cs="仿宋"/>
                <w:spacing w:val="12"/>
                <w:kern w:val="2"/>
                <w:sz w:val="22"/>
                <w:szCs w:val="22"/>
                <w:lang w:val="en-US" w:eastAsia="zh-CN" w:bidi="ar-SA"/>
              </w:rPr>
              <w:t>4</w:t>
            </w:r>
            <w:r>
              <w:rPr>
                <w:rFonts w:hint="eastAsia" w:ascii="仿宋" w:hAnsi="仿宋" w:eastAsia="仿宋" w:cs="仿宋"/>
                <w:spacing w:val="12"/>
                <w:kern w:val="2"/>
                <w:sz w:val="22"/>
                <w:szCs w:val="22"/>
                <w:lang w:val="en-US" w:eastAsia="en-US" w:bidi="ar-SA"/>
              </w:rPr>
              <w:t>年连续六个月的社保缴纳证明(其中:达到退休年龄的人员可以提供劳务合同复印件)</w:t>
            </w:r>
          </w:p>
        </w:tc>
        <w:tc>
          <w:tcPr>
            <w:tcW w:w="630" w:type="dxa"/>
            <w:tcBorders>
              <w:right w:val="single" w:color="000000" w:sz="10" w:space="0"/>
            </w:tcBorders>
            <w:vAlign w:val="center"/>
          </w:tcPr>
          <w:p w14:paraId="26FB3022">
            <w:pPr>
              <w:snapToGrid w:val="0"/>
              <w:spacing w:before="58" w:line="240" w:lineRule="auto"/>
              <w:ind w:left="0" w:leftChars="0" w:right="0" w:rightChars="0" w:firstLine="0" w:firstLineChars="0"/>
              <w:jc w:val="center"/>
              <w:rPr>
                <w:rFonts w:hint="eastAsia" w:ascii="仿宋" w:hAnsi="仿宋" w:eastAsia="仿宋" w:cs="仿宋"/>
                <w:sz w:val="22"/>
                <w:szCs w:val="22"/>
                <w:lang w:eastAsia="zh-CN"/>
              </w:rPr>
            </w:pPr>
            <w:r>
              <w:rPr>
                <w:rFonts w:hint="eastAsia" w:ascii="仿宋" w:hAnsi="仿宋" w:eastAsia="仿宋" w:cs="仿宋"/>
                <w:spacing w:val="-2"/>
                <w:sz w:val="22"/>
                <w:szCs w:val="22"/>
              </w:rPr>
              <w:t>1</w:t>
            </w:r>
            <w:r>
              <w:rPr>
                <w:rFonts w:hint="eastAsia" w:ascii="仿宋" w:hAnsi="仿宋" w:eastAsia="仿宋" w:cs="仿宋"/>
                <w:spacing w:val="-2"/>
                <w:sz w:val="22"/>
                <w:szCs w:val="22"/>
                <w:lang w:val="en-US" w:eastAsia="zh-CN"/>
              </w:rPr>
              <w:t>0</w:t>
            </w:r>
          </w:p>
        </w:tc>
      </w:tr>
      <w:tr w14:paraId="57C16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0" w:type="auto"/>
            <w:vMerge w:val="continue"/>
            <w:tcBorders>
              <w:top w:val="nil"/>
              <w:left w:val="single" w:color="000000" w:sz="10" w:space="0"/>
              <w:bottom w:val="nil"/>
            </w:tcBorders>
            <w:vAlign w:val="center"/>
          </w:tcPr>
          <w:p w14:paraId="4AFB6BD8">
            <w:pPr>
              <w:snapToGrid w:val="0"/>
              <w:ind w:left="0" w:leftChars="0" w:right="0" w:rightChars="0" w:firstLine="0" w:firstLineChars="0"/>
              <w:jc w:val="center"/>
              <w:rPr>
                <w:rFonts w:hint="eastAsia" w:ascii="仿宋" w:hAnsi="仿宋" w:eastAsia="仿宋" w:cs="仿宋"/>
                <w:sz w:val="22"/>
                <w:szCs w:val="22"/>
              </w:rPr>
            </w:pPr>
          </w:p>
        </w:tc>
        <w:tc>
          <w:tcPr>
            <w:tcW w:w="1554" w:type="dxa"/>
            <w:vAlign w:val="center"/>
          </w:tcPr>
          <w:p w14:paraId="2ACB6D35">
            <w:pPr>
              <w:pStyle w:val="32"/>
              <w:snapToGrid w:val="0"/>
              <w:spacing w:before="85"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6"/>
                <w:sz w:val="22"/>
                <w:szCs w:val="22"/>
              </w:rPr>
              <w:t>项目业绩</w:t>
            </w:r>
          </w:p>
        </w:tc>
        <w:tc>
          <w:tcPr>
            <w:tcW w:w="5900" w:type="dxa"/>
            <w:vAlign w:val="center"/>
          </w:tcPr>
          <w:p w14:paraId="169E84D9">
            <w:pPr>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2"/>
                <w:kern w:val="2"/>
                <w:sz w:val="22"/>
                <w:szCs w:val="22"/>
                <w:lang w:val="en-US" w:eastAsia="en-US" w:bidi="ar-SA"/>
              </w:rPr>
              <w:t>近两年(202</w:t>
            </w:r>
            <w:r>
              <w:rPr>
                <w:rFonts w:hint="eastAsia" w:ascii="仿宋" w:hAnsi="仿宋" w:eastAsia="仿宋" w:cs="仿宋"/>
                <w:spacing w:val="12"/>
                <w:kern w:val="2"/>
                <w:sz w:val="22"/>
                <w:szCs w:val="22"/>
                <w:lang w:val="en-US" w:eastAsia="zh-CN" w:bidi="ar-SA"/>
              </w:rPr>
              <w:t>4</w:t>
            </w:r>
            <w:r>
              <w:rPr>
                <w:rFonts w:hint="eastAsia" w:ascii="仿宋" w:hAnsi="仿宋" w:eastAsia="仿宋" w:cs="仿宋"/>
                <w:spacing w:val="12"/>
                <w:kern w:val="2"/>
                <w:sz w:val="22"/>
                <w:szCs w:val="22"/>
                <w:lang w:val="en-US" w:eastAsia="en-US" w:bidi="ar-SA"/>
              </w:rPr>
              <w:t>年</w:t>
            </w:r>
            <w:r>
              <w:rPr>
                <w:rFonts w:hint="eastAsia" w:ascii="仿宋" w:hAnsi="仿宋" w:eastAsia="仿宋" w:cs="仿宋"/>
                <w:spacing w:val="12"/>
                <w:kern w:val="2"/>
                <w:sz w:val="22"/>
                <w:szCs w:val="22"/>
                <w:lang w:val="en-US" w:eastAsia="zh-CN" w:bidi="ar-SA"/>
              </w:rPr>
              <w:t>6</w:t>
            </w:r>
            <w:r>
              <w:rPr>
                <w:rFonts w:hint="eastAsia" w:ascii="仿宋" w:hAnsi="仿宋" w:eastAsia="仿宋" w:cs="仿宋"/>
                <w:spacing w:val="12"/>
                <w:kern w:val="2"/>
                <w:sz w:val="22"/>
                <w:szCs w:val="22"/>
                <w:lang w:val="en-US" w:eastAsia="en-US" w:bidi="ar-SA"/>
              </w:rPr>
              <w:t>月1日至本项目投标截止日期，以咨询报告出具日期为准)造价咨询金额(人民币)累计B(提供证明材料):B≤1亿计3分，1亿元以上每增加1亿加2分，以此类推，最多计1</w:t>
            </w:r>
            <w:r>
              <w:rPr>
                <w:rFonts w:hint="eastAsia" w:ascii="仿宋" w:hAnsi="仿宋" w:eastAsia="仿宋" w:cs="仿宋"/>
                <w:spacing w:val="12"/>
                <w:kern w:val="2"/>
                <w:sz w:val="22"/>
                <w:szCs w:val="22"/>
                <w:lang w:val="en-US" w:eastAsia="zh-CN" w:bidi="ar-SA"/>
              </w:rPr>
              <w:t>0</w:t>
            </w:r>
            <w:r>
              <w:rPr>
                <w:rFonts w:hint="eastAsia" w:ascii="仿宋" w:hAnsi="仿宋" w:eastAsia="仿宋" w:cs="仿宋"/>
                <w:spacing w:val="12"/>
                <w:kern w:val="2"/>
                <w:sz w:val="22"/>
                <w:szCs w:val="22"/>
                <w:lang w:val="en-US" w:eastAsia="en-US" w:bidi="ar-SA"/>
              </w:rPr>
              <w:t>分</w:t>
            </w:r>
          </w:p>
        </w:tc>
        <w:tc>
          <w:tcPr>
            <w:tcW w:w="630" w:type="dxa"/>
            <w:tcBorders>
              <w:right w:val="single" w:color="000000" w:sz="10" w:space="0"/>
            </w:tcBorders>
            <w:vAlign w:val="center"/>
          </w:tcPr>
          <w:p w14:paraId="2F10A671">
            <w:pPr>
              <w:snapToGrid w:val="0"/>
              <w:spacing w:before="58" w:line="240" w:lineRule="auto"/>
              <w:ind w:left="0" w:leftChars="0" w:right="0" w:rightChars="0" w:firstLine="0" w:firstLineChars="0"/>
              <w:jc w:val="center"/>
              <w:rPr>
                <w:rFonts w:hint="eastAsia" w:ascii="仿宋" w:hAnsi="仿宋" w:eastAsia="仿宋" w:cs="仿宋"/>
                <w:sz w:val="22"/>
                <w:szCs w:val="22"/>
                <w:lang w:eastAsia="zh-CN"/>
              </w:rPr>
            </w:pPr>
            <w:r>
              <w:rPr>
                <w:rFonts w:hint="eastAsia" w:ascii="仿宋" w:hAnsi="仿宋" w:eastAsia="仿宋" w:cs="仿宋"/>
                <w:spacing w:val="4"/>
                <w:sz w:val="22"/>
                <w:szCs w:val="22"/>
              </w:rPr>
              <w:t>1</w:t>
            </w:r>
            <w:r>
              <w:rPr>
                <w:rFonts w:hint="eastAsia" w:ascii="仿宋" w:hAnsi="仿宋" w:eastAsia="仿宋" w:cs="仿宋"/>
                <w:spacing w:val="4"/>
                <w:sz w:val="22"/>
                <w:szCs w:val="22"/>
                <w:lang w:val="en-US" w:eastAsia="zh-CN"/>
              </w:rPr>
              <w:t>0</w:t>
            </w:r>
          </w:p>
        </w:tc>
      </w:tr>
      <w:tr w14:paraId="5207E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0" w:type="auto"/>
            <w:vMerge w:val="continue"/>
            <w:tcBorders>
              <w:top w:val="nil"/>
              <w:left w:val="single" w:color="000000" w:sz="10" w:space="0"/>
            </w:tcBorders>
            <w:vAlign w:val="center"/>
          </w:tcPr>
          <w:p w14:paraId="3E59EBC3">
            <w:pPr>
              <w:snapToGrid w:val="0"/>
              <w:ind w:left="0" w:leftChars="0" w:right="0" w:rightChars="0" w:firstLine="0" w:firstLineChars="0"/>
              <w:jc w:val="center"/>
              <w:rPr>
                <w:rFonts w:hint="eastAsia" w:ascii="仿宋" w:hAnsi="仿宋" w:eastAsia="仿宋" w:cs="仿宋"/>
                <w:sz w:val="22"/>
                <w:szCs w:val="22"/>
              </w:rPr>
            </w:pPr>
          </w:p>
        </w:tc>
        <w:tc>
          <w:tcPr>
            <w:tcW w:w="1554" w:type="dxa"/>
            <w:vAlign w:val="center"/>
          </w:tcPr>
          <w:p w14:paraId="7CB946E9">
            <w:pPr>
              <w:pStyle w:val="32"/>
              <w:snapToGrid w:val="0"/>
              <w:spacing w:before="86"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3"/>
                <w:sz w:val="22"/>
                <w:szCs w:val="22"/>
              </w:rPr>
              <w:t>同类业绩</w:t>
            </w:r>
          </w:p>
        </w:tc>
        <w:tc>
          <w:tcPr>
            <w:tcW w:w="5900" w:type="dxa"/>
            <w:vAlign w:val="center"/>
          </w:tcPr>
          <w:p w14:paraId="3D711E77">
            <w:pPr>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2"/>
                <w:kern w:val="2"/>
                <w:sz w:val="22"/>
                <w:szCs w:val="22"/>
                <w:lang w:val="en-US" w:eastAsia="en-US" w:bidi="ar-SA"/>
              </w:rPr>
              <w:t>近两年(202</w:t>
            </w:r>
            <w:r>
              <w:rPr>
                <w:rFonts w:hint="eastAsia" w:ascii="仿宋" w:hAnsi="仿宋" w:eastAsia="仿宋" w:cs="仿宋"/>
                <w:spacing w:val="12"/>
                <w:kern w:val="2"/>
                <w:sz w:val="22"/>
                <w:szCs w:val="22"/>
                <w:lang w:val="en-US" w:eastAsia="zh-CN" w:bidi="ar-SA"/>
              </w:rPr>
              <w:t>4</w:t>
            </w:r>
            <w:r>
              <w:rPr>
                <w:rFonts w:hint="eastAsia" w:ascii="仿宋" w:hAnsi="仿宋" w:eastAsia="仿宋" w:cs="仿宋"/>
                <w:spacing w:val="12"/>
                <w:kern w:val="2"/>
                <w:sz w:val="22"/>
                <w:szCs w:val="22"/>
                <w:lang w:val="en-US" w:eastAsia="en-US" w:bidi="ar-SA"/>
              </w:rPr>
              <w:t>年</w:t>
            </w:r>
            <w:r>
              <w:rPr>
                <w:rFonts w:hint="eastAsia" w:ascii="仿宋" w:hAnsi="仿宋" w:eastAsia="仿宋" w:cs="仿宋"/>
                <w:spacing w:val="12"/>
                <w:kern w:val="2"/>
                <w:sz w:val="22"/>
                <w:szCs w:val="22"/>
                <w:lang w:val="en-US" w:eastAsia="zh-CN" w:bidi="ar-SA"/>
              </w:rPr>
              <w:t>6</w:t>
            </w:r>
            <w:r>
              <w:rPr>
                <w:rFonts w:hint="eastAsia" w:ascii="仿宋" w:hAnsi="仿宋" w:eastAsia="仿宋" w:cs="仿宋"/>
                <w:spacing w:val="12"/>
                <w:kern w:val="2"/>
                <w:sz w:val="22"/>
                <w:szCs w:val="22"/>
                <w:lang w:val="en-US" w:eastAsia="en-US" w:bidi="ar-SA"/>
              </w:rPr>
              <w:t>月1日至本项目投标截止日期，以咨询报告出具日期为准)完成过医院类工程造价咨询项目业绩，每个项目计3分，最多计1</w:t>
            </w:r>
            <w:r>
              <w:rPr>
                <w:rFonts w:hint="eastAsia" w:ascii="仿宋" w:hAnsi="仿宋" w:eastAsia="仿宋" w:cs="仿宋"/>
                <w:spacing w:val="12"/>
                <w:kern w:val="2"/>
                <w:sz w:val="22"/>
                <w:szCs w:val="22"/>
                <w:lang w:val="en-US" w:eastAsia="zh-CN" w:bidi="ar-SA"/>
              </w:rPr>
              <w:t>0</w:t>
            </w:r>
            <w:r>
              <w:rPr>
                <w:rFonts w:hint="eastAsia" w:ascii="仿宋" w:hAnsi="仿宋" w:eastAsia="仿宋" w:cs="仿宋"/>
                <w:spacing w:val="12"/>
                <w:kern w:val="2"/>
                <w:sz w:val="22"/>
                <w:szCs w:val="22"/>
                <w:lang w:val="en-US" w:eastAsia="en-US" w:bidi="ar-SA"/>
              </w:rPr>
              <w:t>分。(提供清单列表跟清晰的咨询报告扫描件)</w:t>
            </w:r>
          </w:p>
        </w:tc>
        <w:tc>
          <w:tcPr>
            <w:tcW w:w="630" w:type="dxa"/>
            <w:tcBorders>
              <w:right w:val="single" w:color="000000" w:sz="10" w:space="0"/>
            </w:tcBorders>
            <w:vAlign w:val="center"/>
          </w:tcPr>
          <w:p w14:paraId="204062E2">
            <w:pPr>
              <w:snapToGrid w:val="0"/>
              <w:spacing w:before="57" w:line="240" w:lineRule="auto"/>
              <w:ind w:left="0" w:leftChars="0" w:right="0" w:rightChars="0" w:firstLine="0" w:firstLineChars="0"/>
              <w:jc w:val="center"/>
              <w:rPr>
                <w:rFonts w:hint="eastAsia" w:ascii="仿宋" w:hAnsi="仿宋" w:eastAsia="仿宋" w:cs="仿宋"/>
                <w:sz w:val="22"/>
                <w:szCs w:val="22"/>
                <w:lang w:eastAsia="zh-CN"/>
              </w:rPr>
            </w:pPr>
            <w:r>
              <w:rPr>
                <w:rFonts w:hint="eastAsia" w:ascii="仿宋" w:hAnsi="仿宋" w:eastAsia="仿宋" w:cs="仿宋"/>
                <w:spacing w:val="-2"/>
                <w:sz w:val="22"/>
                <w:szCs w:val="22"/>
              </w:rPr>
              <w:t>1</w:t>
            </w:r>
            <w:r>
              <w:rPr>
                <w:rFonts w:hint="eastAsia" w:ascii="仿宋" w:hAnsi="仿宋" w:eastAsia="仿宋" w:cs="仿宋"/>
                <w:spacing w:val="-2"/>
                <w:sz w:val="22"/>
                <w:szCs w:val="22"/>
                <w:lang w:val="en-US" w:eastAsia="zh-CN"/>
              </w:rPr>
              <w:t>0</w:t>
            </w:r>
          </w:p>
        </w:tc>
      </w:tr>
      <w:tr w14:paraId="42579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0" w:type="auto"/>
            <w:vMerge w:val="restart"/>
            <w:tcBorders>
              <w:left w:val="single" w:color="000000" w:sz="10" w:space="0"/>
              <w:bottom w:val="nil"/>
            </w:tcBorders>
            <w:vAlign w:val="center"/>
          </w:tcPr>
          <w:p w14:paraId="754ED6A7">
            <w:pPr>
              <w:pStyle w:val="32"/>
              <w:snapToGrid w:val="0"/>
              <w:spacing w:before="85" w:line="240" w:lineRule="auto"/>
              <w:ind w:left="0" w:leftChars="0" w:right="0" w:rightChars="0" w:firstLine="0" w:firstLineChars="0"/>
              <w:jc w:val="center"/>
              <w:rPr>
                <w:rFonts w:hint="eastAsia" w:ascii="仿宋" w:hAnsi="仿宋" w:eastAsia="仿宋" w:cs="仿宋"/>
                <w:sz w:val="22"/>
                <w:szCs w:val="22"/>
              </w:rPr>
            </w:pPr>
            <w:r>
              <w:rPr>
                <w:rFonts w:hint="eastAsia" w:ascii="仿宋" w:hAnsi="仿宋" w:eastAsia="仿宋" w:cs="仿宋"/>
                <w:spacing w:val="7"/>
                <w:sz w:val="22"/>
                <w:szCs w:val="22"/>
              </w:rPr>
              <w:t>技术</w:t>
            </w:r>
            <w:r>
              <w:rPr>
                <w:rFonts w:hint="eastAsia" w:ascii="仿宋" w:hAnsi="仿宋" w:eastAsia="仿宋" w:cs="仿宋"/>
                <w:sz w:val="22"/>
                <w:szCs w:val="22"/>
              </w:rPr>
              <w:t xml:space="preserve"> </w:t>
            </w:r>
            <w:r>
              <w:rPr>
                <w:rFonts w:hint="eastAsia" w:ascii="仿宋" w:hAnsi="仿宋" w:eastAsia="仿宋" w:cs="仿宋"/>
                <w:spacing w:val="4"/>
                <w:sz w:val="22"/>
                <w:szCs w:val="22"/>
              </w:rPr>
              <w:t>(</w:t>
            </w:r>
            <w:r>
              <w:rPr>
                <w:rFonts w:hint="eastAsia" w:ascii="仿宋" w:hAnsi="仿宋" w:eastAsia="仿宋" w:cs="仿宋"/>
                <w:spacing w:val="4"/>
                <w:sz w:val="22"/>
                <w:szCs w:val="22"/>
                <w:lang w:val="en-US" w:eastAsia="zh-CN"/>
              </w:rPr>
              <w:t>30</w:t>
            </w:r>
            <w:r>
              <w:rPr>
                <w:rFonts w:hint="eastAsia" w:ascii="仿宋" w:hAnsi="仿宋" w:eastAsia="仿宋" w:cs="仿宋"/>
                <w:spacing w:val="4"/>
                <w:sz w:val="22"/>
                <w:szCs w:val="22"/>
              </w:rPr>
              <w:t>分)</w:t>
            </w:r>
          </w:p>
        </w:tc>
        <w:tc>
          <w:tcPr>
            <w:tcW w:w="1554" w:type="dxa"/>
            <w:vAlign w:val="center"/>
          </w:tcPr>
          <w:p w14:paraId="3813BE71">
            <w:pPr>
              <w:pStyle w:val="32"/>
              <w:snapToGrid w:val="0"/>
              <w:spacing w:before="205"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9"/>
                <w:sz w:val="22"/>
                <w:szCs w:val="22"/>
              </w:rPr>
              <w:t>工作目标、范</w:t>
            </w:r>
          </w:p>
          <w:p w14:paraId="5452F0B2">
            <w:pPr>
              <w:pStyle w:val="32"/>
              <w:snapToGrid w:val="0"/>
              <w:spacing w:before="14"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7"/>
                <w:sz w:val="22"/>
                <w:szCs w:val="22"/>
              </w:rPr>
              <w:t>围、依据和任</w:t>
            </w:r>
          </w:p>
          <w:p w14:paraId="6E602571">
            <w:pPr>
              <w:pStyle w:val="32"/>
              <w:snapToGrid w:val="0"/>
              <w:spacing w:before="16"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z w:val="22"/>
                <w:szCs w:val="22"/>
              </w:rPr>
              <w:t>务</w:t>
            </w:r>
          </w:p>
        </w:tc>
        <w:tc>
          <w:tcPr>
            <w:tcW w:w="5900" w:type="dxa"/>
            <w:vAlign w:val="center"/>
          </w:tcPr>
          <w:p w14:paraId="7E3A94A4">
            <w:pPr>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2"/>
                <w:kern w:val="2"/>
                <w:sz w:val="22"/>
                <w:szCs w:val="22"/>
                <w:lang w:val="en-US" w:eastAsia="en-US" w:bidi="ar-SA"/>
              </w:rPr>
              <w:t>根据投标人提供的方案进行横向对比，工作目标、范围、依据和任务明确、具体，计3-5分;基本明确，比较具体，基本符合要求，计2-3分;不够明确具体，计1分;未提供材料计0分。</w:t>
            </w:r>
          </w:p>
        </w:tc>
        <w:tc>
          <w:tcPr>
            <w:tcW w:w="630" w:type="dxa"/>
            <w:tcBorders>
              <w:right w:val="single" w:color="000000" w:sz="10" w:space="0"/>
            </w:tcBorders>
            <w:vAlign w:val="center"/>
          </w:tcPr>
          <w:p w14:paraId="04908049">
            <w:pPr>
              <w:snapToGrid w:val="0"/>
              <w:spacing w:before="58" w:line="240" w:lineRule="auto"/>
              <w:ind w:left="0" w:leftChars="0" w:right="0" w:rightChars="0" w:firstLine="0" w:firstLineChars="0"/>
              <w:jc w:val="center"/>
              <w:rPr>
                <w:rFonts w:hint="eastAsia" w:ascii="仿宋" w:hAnsi="仿宋" w:eastAsia="仿宋" w:cs="仿宋"/>
                <w:sz w:val="22"/>
                <w:szCs w:val="22"/>
              </w:rPr>
            </w:pPr>
            <w:r>
              <w:rPr>
                <w:rFonts w:hint="eastAsia" w:ascii="仿宋" w:hAnsi="仿宋" w:eastAsia="仿宋" w:cs="仿宋"/>
                <w:sz w:val="22"/>
                <w:szCs w:val="22"/>
              </w:rPr>
              <w:t>5</w:t>
            </w:r>
          </w:p>
        </w:tc>
      </w:tr>
      <w:tr w14:paraId="7BF3E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0" w:type="auto"/>
            <w:vMerge w:val="continue"/>
            <w:tcBorders>
              <w:top w:val="nil"/>
              <w:left w:val="single" w:color="000000" w:sz="10" w:space="0"/>
              <w:bottom w:val="nil"/>
            </w:tcBorders>
            <w:vAlign w:val="center"/>
          </w:tcPr>
          <w:p w14:paraId="07DD1461">
            <w:pPr>
              <w:snapToGrid w:val="0"/>
              <w:ind w:left="0" w:leftChars="0" w:right="0" w:rightChars="0" w:firstLine="0" w:firstLineChars="0"/>
              <w:jc w:val="center"/>
              <w:rPr>
                <w:rFonts w:hint="eastAsia" w:ascii="仿宋" w:hAnsi="仿宋" w:eastAsia="仿宋" w:cs="仿宋"/>
                <w:sz w:val="22"/>
                <w:szCs w:val="22"/>
              </w:rPr>
            </w:pPr>
          </w:p>
        </w:tc>
        <w:tc>
          <w:tcPr>
            <w:tcW w:w="1554" w:type="dxa"/>
            <w:vAlign w:val="center"/>
          </w:tcPr>
          <w:p w14:paraId="40B5466D">
            <w:pPr>
              <w:pStyle w:val="32"/>
              <w:snapToGrid w:val="0"/>
              <w:spacing w:before="85" w:line="240" w:lineRule="auto"/>
              <w:ind w:left="0" w:leftChars="0" w:right="0" w:rightChars="0" w:firstLine="0" w:firstLineChars="0"/>
              <w:jc w:val="left"/>
              <w:rPr>
                <w:rFonts w:hint="eastAsia" w:ascii="仿宋" w:hAnsi="仿宋" w:eastAsia="仿宋" w:cs="仿宋"/>
                <w:spacing w:val="12"/>
                <w:kern w:val="2"/>
                <w:sz w:val="22"/>
                <w:szCs w:val="22"/>
                <w:lang w:val="en-US" w:eastAsia="en-US" w:bidi="ar-SA"/>
              </w:rPr>
            </w:pPr>
            <w:r>
              <w:rPr>
                <w:rFonts w:hint="eastAsia" w:ascii="仿宋" w:hAnsi="仿宋" w:eastAsia="仿宋" w:cs="仿宋"/>
                <w:spacing w:val="12"/>
                <w:kern w:val="2"/>
                <w:sz w:val="22"/>
                <w:szCs w:val="22"/>
                <w:lang w:val="en-US" w:eastAsia="en-US" w:bidi="ar-SA"/>
              </w:rPr>
              <w:t>工作组织、工</w:t>
            </w:r>
          </w:p>
          <w:p w14:paraId="19ED2F3A">
            <w:pPr>
              <w:pStyle w:val="32"/>
              <w:snapToGrid w:val="0"/>
              <w:spacing w:before="15" w:line="240" w:lineRule="auto"/>
              <w:ind w:left="0" w:leftChars="0" w:right="0" w:rightChars="0" w:firstLine="0" w:firstLineChars="0"/>
              <w:jc w:val="left"/>
              <w:rPr>
                <w:rFonts w:hint="eastAsia" w:ascii="仿宋" w:hAnsi="仿宋" w:eastAsia="仿宋" w:cs="仿宋"/>
                <w:spacing w:val="12"/>
                <w:kern w:val="2"/>
                <w:sz w:val="22"/>
                <w:szCs w:val="22"/>
                <w:lang w:val="en-US" w:eastAsia="en-US" w:bidi="ar-SA"/>
              </w:rPr>
            </w:pPr>
            <w:r>
              <w:rPr>
                <w:rFonts w:hint="eastAsia" w:ascii="仿宋" w:hAnsi="仿宋" w:eastAsia="仿宋" w:cs="仿宋"/>
                <w:spacing w:val="12"/>
                <w:kern w:val="2"/>
                <w:sz w:val="22"/>
                <w:szCs w:val="22"/>
                <w:lang w:val="en-US" w:eastAsia="en-US" w:bidi="ar-SA"/>
              </w:rPr>
              <w:t>作计划和方</w:t>
            </w:r>
          </w:p>
          <w:p w14:paraId="38CF585B">
            <w:pPr>
              <w:pStyle w:val="32"/>
              <w:snapToGrid w:val="0"/>
              <w:spacing w:before="17"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2"/>
                <w:kern w:val="2"/>
                <w:sz w:val="22"/>
                <w:szCs w:val="22"/>
                <w:lang w:val="en-US" w:eastAsia="en-US" w:bidi="ar-SA"/>
              </w:rPr>
              <w:t>案</w:t>
            </w:r>
          </w:p>
        </w:tc>
        <w:tc>
          <w:tcPr>
            <w:tcW w:w="5900" w:type="dxa"/>
            <w:vAlign w:val="center"/>
          </w:tcPr>
          <w:p w14:paraId="1C39F222">
            <w:pPr>
              <w:pStyle w:val="32"/>
              <w:snapToGrid w:val="0"/>
              <w:spacing w:before="57"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2"/>
                <w:kern w:val="2"/>
                <w:sz w:val="22"/>
                <w:szCs w:val="22"/>
                <w:lang w:val="en-US" w:eastAsia="en-US" w:bidi="ar-SA"/>
              </w:rPr>
              <w:t>根据投标人提供的方案进行横向对比，对整个工程造价管理和审核有具体的科学、合理的工作计划和方案，工作组织形式合理、结构清晰、各工作人员职责任务明确、人员数量和人员专业结构配备合理，完全满足要求，计</w:t>
            </w:r>
            <w:r>
              <w:rPr>
                <w:rFonts w:hint="eastAsia" w:ascii="仿宋" w:hAnsi="仿宋" w:eastAsia="仿宋" w:cs="仿宋"/>
                <w:spacing w:val="12"/>
                <w:kern w:val="2"/>
                <w:sz w:val="22"/>
                <w:szCs w:val="22"/>
                <w:lang w:val="en-US" w:eastAsia="zh-CN" w:bidi="ar-SA"/>
              </w:rPr>
              <w:t>6-8</w:t>
            </w:r>
            <w:r>
              <w:rPr>
                <w:rFonts w:hint="eastAsia" w:ascii="仿宋" w:hAnsi="仿宋" w:eastAsia="仿宋" w:cs="仿宋"/>
                <w:spacing w:val="12"/>
                <w:kern w:val="2"/>
                <w:sz w:val="22"/>
                <w:szCs w:val="22"/>
                <w:lang w:val="en-US" w:eastAsia="en-US" w:bidi="ar-SA"/>
              </w:rPr>
              <w:t>分;计划方案和造价咨询组织及人员配备基本满足项目要求，计</w:t>
            </w:r>
            <w:r>
              <w:rPr>
                <w:rFonts w:hint="eastAsia" w:ascii="仿宋" w:hAnsi="仿宋" w:eastAsia="仿宋" w:cs="仿宋"/>
                <w:spacing w:val="12"/>
                <w:kern w:val="2"/>
                <w:sz w:val="22"/>
                <w:szCs w:val="22"/>
                <w:lang w:val="en-US" w:eastAsia="zh-CN" w:bidi="ar-SA"/>
              </w:rPr>
              <w:t>3</w:t>
            </w:r>
            <w:r>
              <w:rPr>
                <w:rFonts w:hint="eastAsia" w:ascii="仿宋" w:hAnsi="仿宋" w:eastAsia="仿宋" w:cs="仿宋"/>
                <w:spacing w:val="12"/>
                <w:kern w:val="2"/>
                <w:sz w:val="22"/>
                <w:szCs w:val="22"/>
                <w:lang w:val="en-US" w:eastAsia="en-US" w:bidi="ar-SA"/>
              </w:rPr>
              <w:t>-</w:t>
            </w:r>
            <w:r>
              <w:rPr>
                <w:rFonts w:hint="eastAsia" w:ascii="仿宋" w:hAnsi="仿宋" w:eastAsia="仿宋" w:cs="仿宋"/>
                <w:spacing w:val="12"/>
                <w:kern w:val="2"/>
                <w:sz w:val="22"/>
                <w:szCs w:val="22"/>
                <w:lang w:val="en-US" w:eastAsia="zh-CN" w:bidi="ar-SA"/>
              </w:rPr>
              <w:t>6</w:t>
            </w:r>
            <w:r>
              <w:rPr>
                <w:rFonts w:hint="eastAsia" w:ascii="仿宋" w:hAnsi="仿宋" w:eastAsia="仿宋" w:cs="仿宋"/>
                <w:spacing w:val="12"/>
                <w:kern w:val="2"/>
                <w:sz w:val="22"/>
                <w:szCs w:val="22"/>
                <w:lang w:val="en-US" w:eastAsia="en-US" w:bidi="ar-SA"/>
              </w:rPr>
              <w:t>分;有组织和方案但不够明确，计划不够合理，人员配备及职责分配较难满足要求，计1-</w:t>
            </w:r>
            <w:r>
              <w:rPr>
                <w:rFonts w:hint="eastAsia" w:ascii="仿宋" w:hAnsi="仿宋" w:eastAsia="仿宋" w:cs="仿宋"/>
                <w:spacing w:val="12"/>
                <w:kern w:val="2"/>
                <w:sz w:val="22"/>
                <w:szCs w:val="22"/>
                <w:lang w:val="en-US" w:eastAsia="zh-CN" w:bidi="ar-SA"/>
              </w:rPr>
              <w:t>2</w:t>
            </w:r>
            <w:r>
              <w:rPr>
                <w:rFonts w:hint="eastAsia" w:ascii="仿宋" w:hAnsi="仿宋" w:eastAsia="仿宋" w:cs="仿宋"/>
                <w:spacing w:val="12"/>
                <w:kern w:val="2"/>
                <w:sz w:val="22"/>
                <w:szCs w:val="22"/>
                <w:lang w:val="en-US" w:eastAsia="en-US" w:bidi="ar-SA"/>
              </w:rPr>
              <w:t>分;未提供材料计0分。</w:t>
            </w:r>
          </w:p>
        </w:tc>
        <w:tc>
          <w:tcPr>
            <w:tcW w:w="630" w:type="dxa"/>
            <w:tcBorders>
              <w:right w:val="single" w:color="000000" w:sz="10" w:space="0"/>
            </w:tcBorders>
            <w:vAlign w:val="center"/>
          </w:tcPr>
          <w:p w14:paraId="57266067">
            <w:pPr>
              <w:snapToGrid w:val="0"/>
              <w:spacing w:before="58" w:line="240" w:lineRule="auto"/>
              <w:ind w:left="0" w:leftChars="0" w:right="0" w:rightChars="0"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w:t>
            </w:r>
          </w:p>
        </w:tc>
      </w:tr>
      <w:tr w14:paraId="21B4A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0" w:type="auto"/>
            <w:vMerge w:val="continue"/>
            <w:tcBorders>
              <w:top w:val="nil"/>
              <w:left w:val="single" w:color="000000" w:sz="10" w:space="0"/>
              <w:bottom w:val="nil"/>
            </w:tcBorders>
            <w:vAlign w:val="center"/>
          </w:tcPr>
          <w:p w14:paraId="65B3E74F">
            <w:pPr>
              <w:snapToGrid w:val="0"/>
              <w:ind w:left="0" w:leftChars="0" w:right="0" w:rightChars="0" w:firstLine="0" w:firstLineChars="0"/>
              <w:jc w:val="center"/>
              <w:rPr>
                <w:rFonts w:hint="eastAsia" w:ascii="仿宋" w:hAnsi="仿宋" w:eastAsia="仿宋" w:cs="仿宋"/>
                <w:sz w:val="22"/>
                <w:szCs w:val="22"/>
              </w:rPr>
            </w:pPr>
          </w:p>
        </w:tc>
        <w:tc>
          <w:tcPr>
            <w:tcW w:w="1554" w:type="dxa"/>
            <w:vAlign w:val="center"/>
          </w:tcPr>
          <w:p w14:paraId="737F8091">
            <w:pPr>
              <w:pStyle w:val="32"/>
              <w:snapToGrid w:val="0"/>
              <w:spacing w:before="86" w:line="240" w:lineRule="auto"/>
              <w:ind w:left="0" w:leftChars="0" w:right="0" w:rightChars="0" w:firstLine="0" w:firstLineChars="0"/>
              <w:jc w:val="left"/>
              <w:rPr>
                <w:rFonts w:hint="eastAsia" w:ascii="仿宋" w:hAnsi="仿宋" w:eastAsia="仿宋" w:cs="仿宋"/>
                <w:spacing w:val="12"/>
                <w:kern w:val="2"/>
                <w:sz w:val="22"/>
                <w:szCs w:val="22"/>
                <w:lang w:val="en-US" w:eastAsia="en-US" w:bidi="ar-SA"/>
              </w:rPr>
            </w:pPr>
            <w:r>
              <w:rPr>
                <w:rFonts w:hint="eastAsia" w:ascii="仿宋" w:hAnsi="仿宋" w:eastAsia="仿宋" w:cs="仿宋"/>
                <w:spacing w:val="12"/>
                <w:kern w:val="2"/>
                <w:sz w:val="22"/>
                <w:szCs w:val="22"/>
                <w:lang w:val="en-US" w:eastAsia="en-US" w:bidi="ar-SA"/>
              </w:rPr>
              <w:t>质量保证</w:t>
            </w:r>
          </w:p>
          <w:p w14:paraId="06FFDDBC">
            <w:pPr>
              <w:pStyle w:val="32"/>
              <w:snapToGrid w:val="0"/>
              <w:spacing w:before="86"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2"/>
                <w:kern w:val="2"/>
                <w:sz w:val="22"/>
                <w:szCs w:val="22"/>
                <w:lang w:val="en-US" w:eastAsia="en-US" w:bidi="ar-SA"/>
              </w:rPr>
              <w:t>措施</w:t>
            </w:r>
          </w:p>
        </w:tc>
        <w:tc>
          <w:tcPr>
            <w:tcW w:w="5900" w:type="dxa"/>
            <w:vAlign w:val="center"/>
          </w:tcPr>
          <w:p w14:paraId="54A79385">
            <w:pPr>
              <w:pStyle w:val="32"/>
              <w:snapToGrid w:val="0"/>
              <w:spacing w:before="100" w:line="240" w:lineRule="auto"/>
              <w:ind w:left="0" w:leftChars="0" w:right="0" w:rightChars="0" w:firstLine="0" w:firstLineChars="0"/>
              <w:jc w:val="left"/>
              <w:rPr>
                <w:rFonts w:hint="eastAsia" w:ascii="仿宋" w:hAnsi="仿宋" w:eastAsia="仿宋" w:cs="仿宋"/>
                <w:sz w:val="22"/>
                <w:szCs w:val="22"/>
                <w:lang w:eastAsia="zh-CN"/>
              </w:rPr>
            </w:pPr>
            <w:r>
              <w:rPr>
                <w:rFonts w:hint="eastAsia" w:ascii="仿宋" w:hAnsi="仿宋" w:eastAsia="仿宋" w:cs="仿宋"/>
                <w:spacing w:val="19"/>
                <w:sz w:val="22"/>
                <w:szCs w:val="22"/>
              </w:rPr>
              <w:t>根据投标人提供的方案进行横向对比，根据方案中工程特点及造价咨询工作标准与要求，有优质服务承诺、进度保证措施、实施过程中突发事件处理机制及预案且质量控制制度及保证措施得力，计</w:t>
            </w:r>
            <w:r>
              <w:rPr>
                <w:rFonts w:hint="eastAsia" w:ascii="仿宋" w:hAnsi="仿宋" w:eastAsia="仿宋" w:cs="仿宋"/>
                <w:spacing w:val="19"/>
                <w:sz w:val="22"/>
                <w:szCs w:val="22"/>
                <w:lang w:val="en-US" w:eastAsia="zh-CN"/>
              </w:rPr>
              <w:t>6</w:t>
            </w:r>
            <w:r>
              <w:rPr>
                <w:rFonts w:hint="eastAsia" w:ascii="仿宋" w:hAnsi="仿宋" w:eastAsia="仿宋" w:cs="仿宋"/>
                <w:spacing w:val="19"/>
                <w:sz w:val="22"/>
                <w:szCs w:val="22"/>
              </w:rPr>
              <w:t>-</w:t>
            </w:r>
            <w:r>
              <w:rPr>
                <w:rFonts w:hint="eastAsia" w:ascii="仿宋" w:hAnsi="仿宋" w:eastAsia="仿宋" w:cs="仿宋"/>
                <w:spacing w:val="19"/>
                <w:sz w:val="22"/>
                <w:szCs w:val="22"/>
                <w:lang w:val="en-US" w:eastAsia="zh-CN"/>
              </w:rPr>
              <w:t>8</w:t>
            </w:r>
            <w:r>
              <w:rPr>
                <w:rFonts w:hint="eastAsia" w:ascii="仿宋" w:hAnsi="仿宋" w:eastAsia="仿宋" w:cs="仿宋"/>
                <w:spacing w:val="19"/>
                <w:sz w:val="22"/>
                <w:szCs w:val="22"/>
              </w:rPr>
              <w:t>分;机制基本合理、措施一般，计</w:t>
            </w:r>
            <w:r>
              <w:rPr>
                <w:rFonts w:hint="eastAsia" w:ascii="仿宋" w:hAnsi="仿宋" w:eastAsia="仿宋" w:cs="仿宋"/>
                <w:spacing w:val="19"/>
                <w:sz w:val="22"/>
                <w:szCs w:val="22"/>
                <w:lang w:val="en-US" w:eastAsia="zh-CN"/>
              </w:rPr>
              <w:t>2</w:t>
            </w:r>
            <w:r>
              <w:rPr>
                <w:rFonts w:hint="eastAsia" w:ascii="仿宋" w:hAnsi="仿宋" w:eastAsia="仿宋" w:cs="仿宋"/>
                <w:spacing w:val="19"/>
                <w:sz w:val="22"/>
                <w:szCs w:val="22"/>
              </w:rPr>
              <w:t>-</w:t>
            </w:r>
            <w:r>
              <w:rPr>
                <w:rFonts w:hint="eastAsia" w:ascii="仿宋" w:hAnsi="仿宋" w:eastAsia="仿宋" w:cs="仿宋"/>
                <w:spacing w:val="19"/>
                <w:sz w:val="22"/>
                <w:szCs w:val="22"/>
                <w:lang w:val="en-US" w:eastAsia="zh-CN"/>
              </w:rPr>
              <w:t>5</w:t>
            </w:r>
            <w:r>
              <w:rPr>
                <w:rFonts w:hint="eastAsia" w:ascii="仿宋" w:hAnsi="仿宋" w:eastAsia="仿宋" w:cs="仿宋"/>
                <w:spacing w:val="19"/>
                <w:sz w:val="22"/>
                <w:szCs w:val="22"/>
              </w:rPr>
              <w:t>分;机制欠合理，措施不力，计1分;未提供材料计0分</w:t>
            </w:r>
            <w:r>
              <w:rPr>
                <w:rFonts w:hint="eastAsia" w:ascii="仿宋" w:hAnsi="仿宋" w:eastAsia="仿宋" w:cs="仿宋"/>
                <w:spacing w:val="19"/>
                <w:sz w:val="22"/>
                <w:szCs w:val="22"/>
                <w:lang w:eastAsia="zh-CN"/>
              </w:rPr>
              <w:t>。</w:t>
            </w:r>
          </w:p>
        </w:tc>
        <w:tc>
          <w:tcPr>
            <w:tcW w:w="630" w:type="dxa"/>
            <w:tcBorders>
              <w:right w:val="single" w:color="000000" w:sz="10" w:space="0"/>
            </w:tcBorders>
            <w:vAlign w:val="center"/>
          </w:tcPr>
          <w:p w14:paraId="62457BBE">
            <w:pPr>
              <w:snapToGrid w:val="0"/>
              <w:spacing w:before="57" w:line="240" w:lineRule="auto"/>
              <w:ind w:left="0" w:leftChars="0" w:right="0" w:rightChars="0" w:firstLine="0" w:firstLineChars="0"/>
              <w:jc w:val="center"/>
              <w:rPr>
                <w:rFonts w:hint="eastAsia" w:ascii="仿宋" w:hAnsi="仿宋" w:eastAsia="仿宋" w:cs="仿宋"/>
                <w:sz w:val="22"/>
                <w:szCs w:val="22"/>
                <w:lang w:eastAsia="zh-CN"/>
              </w:rPr>
            </w:pPr>
            <w:r>
              <w:rPr>
                <w:rFonts w:hint="eastAsia" w:ascii="仿宋" w:hAnsi="仿宋" w:eastAsia="仿宋" w:cs="仿宋"/>
                <w:spacing w:val="-2"/>
                <w:sz w:val="22"/>
                <w:szCs w:val="22"/>
                <w:lang w:val="en-US" w:eastAsia="zh-CN"/>
              </w:rPr>
              <w:t>8</w:t>
            </w:r>
          </w:p>
        </w:tc>
      </w:tr>
      <w:tr w14:paraId="5420B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0" w:type="auto"/>
            <w:vMerge w:val="continue"/>
            <w:tcBorders>
              <w:top w:val="nil"/>
              <w:left w:val="single" w:color="000000" w:sz="10" w:space="0"/>
              <w:bottom w:val="nil"/>
            </w:tcBorders>
            <w:vAlign w:val="center"/>
          </w:tcPr>
          <w:p w14:paraId="5D2A55F9">
            <w:pPr>
              <w:snapToGrid w:val="0"/>
              <w:ind w:left="0" w:leftChars="0" w:right="0" w:rightChars="0" w:firstLine="0" w:firstLineChars="0"/>
              <w:jc w:val="center"/>
              <w:rPr>
                <w:rFonts w:hint="eastAsia" w:ascii="仿宋" w:hAnsi="仿宋" w:eastAsia="仿宋" w:cs="仿宋"/>
                <w:sz w:val="22"/>
                <w:szCs w:val="22"/>
              </w:rPr>
            </w:pPr>
          </w:p>
        </w:tc>
        <w:tc>
          <w:tcPr>
            <w:tcW w:w="1554" w:type="dxa"/>
            <w:vAlign w:val="center"/>
          </w:tcPr>
          <w:p w14:paraId="227AA31B">
            <w:pPr>
              <w:pStyle w:val="32"/>
              <w:snapToGrid w:val="0"/>
              <w:spacing w:before="86"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2"/>
                <w:kern w:val="2"/>
                <w:sz w:val="22"/>
                <w:szCs w:val="22"/>
                <w:lang w:val="en-US" w:eastAsia="en-US" w:bidi="ar-SA"/>
              </w:rPr>
              <w:t>工作程序和工作流程</w:t>
            </w:r>
          </w:p>
        </w:tc>
        <w:tc>
          <w:tcPr>
            <w:tcW w:w="5900" w:type="dxa"/>
            <w:vAlign w:val="center"/>
          </w:tcPr>
          <w:p w14:paraId="06BEBAC2">
            <w:pPr>
              <w:pStyle w:val="32"/>
              <w:snapToGrid w:val="0"/>
              <w:spacing w:before="59" w:line="240" w:lineRule="auto"/>
              <w:ind w:left="0" w:leftChars="0" w:right="0" w:rightChars="0" w:firstLine="0" w:firstLineChars="0"/>
              <w:jc w:val="left"/>
              <w:rPr>
                <w:rFonts w:hint="eastAsia" w:ascii="仿宋" w:hAnsi="仿宋" w:eastAsia="仿宋" w:cs="仿宋"/>
                <w:sz w:val="22"/>
                <w:szCs w:val="22"/>
                <w:lang w:eastAsia="zh-CN"/>
              </w:rPr>
            </w:pPr>
            <w:r>
              <w:rPr>
                <w:rFonts w:hint="eastAsia" w:ascii="仿宋" w:hAnsi="仿宋" w:eastAsia="仿宋" w:cs="仿宋"/>
                <w:spacing w:val="12"/>
                <w:kern w:val="2"/>
                <w:sz w:val="22"/>
                <w:szCs w:val="22"/>
                <w:lang w:val="en-US" w:eastAsia="en-US" w:bidi="ar-SA"/>
              </w:rPr>
              <w:t>根据投标人提供的方案进行横向对比，工程审计程序、审计工作流程设计详细、合理，内容和措施设计到位，对本项目具体有针对性，计</w:t>
            </w:r>
            <w:r>
              <w:rPr>
                <w:rFonts w:hint="eastAsia" w:ascii="仿宋" w:hAnsi="仿宋" w:eastAsia="仿宋" w:cs="仿宋"/>
                <w:spacing w:val="12"/>
                <w:kern w:val="2"/>
                <w:sz w:val="22"/>
                <w:szCs w:val="22"/>
                <w:lang w:val="en-US" w:eastAsia="zh-CN" w:bidi="ar-SA"/>
              </w:rPr>
              <w:t>4</w:t>
            </w:r>
            <w:r>
              <w:rPr>
                <w:rFonts w:hint="eastAsia" w:ascii="仿宋" w:hAnsi="仿宋" w:eastAsia="仿宋" w:cs="仿宋"/>
                <w:spacing w:val="12"/>
                <w:kern w:val="2"/>
                <w:sz w:val="22"/>
                <w:szCs w:val="22"/>
                <w:lang w:val="en-US" w:eastAsia="en-US" w:bidi="ar-SA"/>
              </w:rPr>
              <w:t>-</w:t>
            </w:r>
            <w:r>
              <w:rPr>
                <w:rFonts w:hint="eastAsia" w:ascii="仿宋" w:hAnsi="仿宋" w:eastAsia="仿宋" w:cs="仿宋"/>
                <w:spacing w:val="12"/>
                <w:kern w:val="2"/>
                <w:sz w:val="22"/>
                <w:szCs w:val="22"/>
                <w:lang w:val="en-US" w:eastAsia="zh-CN" w:bidi="ar-SA"/>
              </w:rPr>
              <w:t>6</w:t>
            </w:r>
            <w:r>
              <w:rPr>
                <w:rFonts w:hint="eastAsia" w:ascii="仿宋" w:hAnsi="仿宋" w:eastAsia="仿宋" w:cs="仿宋"/>
                <w:spacing w:val="12"/>
                <w:kern w:val="2"/>
                <w:sz w:val="22"/>
                <w:szCs w:val="22"/>
                <w:lang w:val="en-US" w:eastAsia="en-US" w:bidi="ar-SA"/>
              </w:rPr>
              <w:t>分;程序和流程欠详细，基本到位，计</w:t>
            </w:r>
            <w:r>
              <w:rPr>
                <w:rFonts w:hint="eastAsia" w:ascii="仿宋" w:hAnsi="仿宋" w:eastAsia="仿宋" w:cs="仿宋"/>
                <w:spacing w:val="12"/>
                <w:kern w:val="2"/>
                <w:sz w:val="22"/>
                <w:szCs w:val="22"/>
                <w:lang w:val="en-US" w:eastAsia="zh-CN" w:bidi="ar-SA"/>
              </w:rPr>
              <w:t>2</w:t>
            </w:r>
            <w:r>
              <w:rPr>
                <w:rFonts w:hint="eastAsia" w:ascii="仿宋" w:hAnsi="仿宋" w:eastAsia="仿宋" w:cs="仿宋"/>
                <w:spacing w:val="12"/>
                <w:kern w:val="2"/>
                <w:sz w:val="22"/>
                <w:szCs w:val="22"/>
                <w:lang w:val="en-US" w:eastAsia="en-US" w:bidi="ar-SA"/>
              </w:rPr>
              <w:t>-</w:t>
            </w:r>
            <w:r>
              <w:rPr>
                <w:rFonts w:hint="eastAsia" w:ascii="仿宋" w:hAnsi="仿宋" w:eastAsia="仿宋" w:cs="仿宋"/>
                <w:spacing w:val="12"/>
                <w:kern w:val="2"/>
                <w:sz w:val="22"/>
                <w:szCs w:val="22"/>
                <w:lang w:val="en-US" w:eastAsia="zh-CN" w:bidi="ar-SA"/>
              </w:rPr>
              <w:t>3</w:t>
            </w:r>
            <w:r>
              <w:rPr>
                <w:rFonts w:hint="eastAsia" w:ascii="仿宋" w:hAnsi="仿宋" w:eastAsia="仿宋" w:cs="仿宋"/>
                <w:spacing w:val="12"/>
                <w:kern w:val="2"/>
                <w:sz w:val="22"/>
                <w:szCs w:val="22"/>
                <w:lang w:val="en-US" w:eastAsia="en-US" w:bidi="ar-SA"/>
              </w:rPr>
              <w:t>分;程序和流程欠合理，计1分;未提供材料计0分</w:t>
            </w:r>
            <w:r>
              <w:rPr>
                <w:rFonts w:hint="eastAsia" w:ascii="仿宋" w:hAnsi="仿宋" w:eastAsia="仿宋" w:cs="仿宋"/>
                <w:spacing w:val="12"/>
                <w:kern w:val="2"/>
                <w:sz w:val="22"/>
                <w:szCs w:val="22"/>
                <w:lang w:val="en-US" w:eastAsia="zh-CN" w:bidi="ar-SA"/>
              </w:rPr>
              <w:t>。</w:t>
            </w:r>
          </w:p>
        </w:tc>
        <w:tc>
          <w:tcPr>
            <w:tcW w:w="630" w:type="dxa"/>
            <w:tcBorders>
              <w:right w:val="single" w:color="000000" w:sz="10" w:space="0"/>
            </w:tcBorders>
            <w:vAlign w:val="center"/>
          </w:tcPr>
          <w:p w14:paraId="345049D2">
            <w:pPr>
              <w:snapToGrid w:val="0"/>
              <w:spacing w:before="57" w:line="240" w:lineRule="auto"/>
              <w:ind w:left="0" w:leftChars="0" w:right="0" w:rightChars="0" w:firstLine="0" w:firstLineChars="0"/>
              <w:jc w:val="center"/>
              <w:rPr>
                <w:rFonts w:hint="eastAsia" w:ascii="仿宋" w:hAnsi="仿宋" w:eastAsia="仿宋" w:cs="仿宋"/>
                <w:sz w:val="22"/>
                <w:szCs w:val="22"/>
                <w:lang w:eastAsia="zh-CN"/>
              </w:rPr>
            </w:pPr>
            <w:r>
              <w:rPr>
                <w:rFonts w:hint="eastAsia" w:ascii="仿宋" w:hAnsi="仿宋" w:eastAsia="仿宋" w:cs="仿宋"/>
                <w:spacing w:val="-2"/>
                <w:sz w:val="22"/>
                <w:szCs w:val="22"/>
                <w:lang w:val="en-US" w:eastAsia="zh-CN"/>
              </w:rPr>
              <w:t>6</w:t>
            </w:r>
          </w:p>
        </w:tc>
      </w:tr>
      <w:tr w14:paraId="4D72E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025" w:type="dxa"/>
            <w:vMerge w:val="continue"/>
            <w:tcBorders>
              <w:top w:val="nil"/>
              <w:left w:val="single" w:color="000000" w:sz="10" w:space="0"/>
              <w:bottom w:val="single" w:color="000000" w:sz="10" w:space="0"/>
            </w:tcBorders>
            <w:vAlign w:val="center"/>
          </w:tcPr>
          <w:p w14:paraId="651D91B8">
            <w:pPr>
              <w:snapToGrid w:val="0"/>
              <w:ind w:left="0" w:leftChars="0" w:right="0" w:rightChars="0" w:firstLine="0" w:firstLineChars="0"/>
              <w:jc w:val="center"/>
              <w:rPr>
                <w:rFonts w:hint="eastAsia" w:ascii="仿宋" w:hAnsi="仿宋" w:eastAsia="仿宋" w:cs="仿宋"/>
                <w:sz w:val="22"/>
                <w:szCs w:val="22"/>
              </w:rPr>
            </w:pPr>
          </w:p>
        </w:tc>
        <w:tc>
          <w:tcPr>
            <w:tcW w:w="1554" w:type="dxa"/>
            <w:tcBorders>
              <w:bottom w:val="single" w:color="000000" w:sz="10" w:space="0"/>
            </w:tcBorders>
            <w:vAlign w:val="center"/>
          </w:tcPr>
          <w:p w14:paraId="54BD67A6">
            <w:pPr>
              <w:pStyle w:val="32"/>
              <w:snapToGrid w:val="0"/>
              <w:spacing w:before="86"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7"/>
                <w:sz w:val="22"/>
                <w:szCs w:val="22"/>
              </w:rPr>
              <w:t>合理化建议</w:t>
            </w:r>
          </w:p>
        </w:tc>
        <w:tc>
          <w:tcPr>
            <w:tcW w:w="5900" w:type="dxa"/>
            <w:tcBorders>
              <w:bottom w:val="single" w:color="000000" w:sz="10" w:space="0"/>
            </w:tcBorders>
            <w:vAlign w:val="center"/>
          </w:tcPr>
          <w:p w14:paraId="5048A812">
            <w:pPr>
              <w:pStyle w:val="32"/>
              <w:snapToGrid w:val="0"/>
              <w:spacing w:before="280" w:line="240" w:lineRule="auto"/>
              <w:ind w:left="0" w:leftChars="0" w:right="0" w:rightChars="0" w:firstLine="0" w:firstLineChars="0"/>
              <w:jc w:val="left"/>
              <w:rPr>
                <w:rFonts w:hint="eastAsia" w:ascii="仿宋" w:hAnsi="仿宋" w:eastAsia="仿宋" w:cs="仿宋"/>
                <w:sz w:val="22"/>
                <w:szCs w:val="22"/>
              </w:rPr>
            </w:pPr>
            <w:r>
              <w:rPr>
                <w:rFonts w:hint="eastAsia" w:ascii="仿宋" w:hAnsi="仿宋" w:eastAsia="仿宋" w:cs="仿宋"/>
                <w:spacing w:val="12"/>
                <w:kern w:val="2"/>
                <w:sz w:val="22"/>
                <w:szCs w:val="22"/>
                <w:lang w:val="en-US" w:eastAsia="en-US" w:bidi="ar-SA"/>
              </w:rPr>
              <w:t>根据投标人合理化建议进行横向对比，建议具有积极意义，具备可行性，计</w:t>
            </w:r>
            <w:r>
              <w:rPr>
                <w:rFonts w:hint="eastAsia" w:ascii="仿宋" w:hAnsi="仿宋" w:eastAsia="仿宋" w:cs="仿宋"/>
                <w:spacing w:val="12"/>
                <w:kern w:val="2"/>
                <w:sz w:val="22"/>
                <w:szCs w:val="22"/>
                <w:lang w:val="en-US" w:eastAsia="zh-CN" w:bidi="ar-SA"/>
              </w:rPr>
              <w:t>3</w:t>
            </w:r>
            <w:r>
              <w:rPr>
                <w:rFonts w:hint="eastAsia" w:ascii="仿宋" w:hAnsi="仿宋" w:eastAsia="仿宋" w:cs="仿宋"/>
                <w:spacing w:val="12"/>
                <w:kern w:val="2"/>
                <w:sz w:val="22"/>
                <w:szCs w:val="22"/>
                <w:lang w:val="en-US" w:eastAsia="en-US" w:bidi="ar-SA"/>
              </w:rPr>
              <w:t>分;提出合理化建议，但有欠缺，计</w:t>
            </w:r>
            <w:r>
              <w:rPr>
                <w:rFonts w:hint="eastAsia" w:ascii="仿宋" w:hAnsi="仿宋" w:eastAsia="仿宋" w:cs="仿宋"/>
                <w:spacing w:val="12"/>
                <w:kern w:val="2"/>
                <w:sz w:val="22"/>
                <w:szCs w:val="22"/>
                <w:lang w:val="en-US" w:eastAsia="zh-CN" w:bidi="ar-SA"/>
              </w:rPr>
              <w:t>1</w:t>
            </w:r>
            <w:r>
              <w:rPr>
                <w:rFonts w:hint="eastAsia" w:ascii="仿宋" w:hAnsi="仿宋" w:eastAsia="仿宋" w:cs="仿宋"/>
                <w:spacing w:val="12"/>
                <w:kern w:val="2"/>
                <w:sz w:val="22"/>
                <w:szCs w:val="22"/>
                <w:lang w:val="en-US" w:eastAsia="en-US" w:bidi="ar-SA"/>
              </w:rPr>
              <w:t>分，未提供的计0分。</w:t>
            </w:r>
          </w:p>
        </w:tc>
        <w:tc>
          <w:tcPr>
            <w:tcW w:w="630" w:type="dxa"/>
            <w:tcBorders>
              <w:bottom w:val="single" w:color="000000" w:sz="10" w:space="0"/>
              <w:right w:val="single" w:color="000000" w:sz="10" w:space="0"/>
            </w:tcBorders>
            <w:vAlign w:val="center"/>
          </w:tcPr>
          <w:p w14:paraId="10077771">
            <w:pPr>
              <w:snapToGrid w:val="0"/>
              <w:spacing w:before="57" w:line="240" w:lineRule="auto"/>
              <w:ind w:left="0" w:leftChars="0" w:right="0" w:rightChars="0" w:firstLine="0" w:firstLineChars="0"/>
              <w:jc w:val="center"/>
              <w:rPr>
                <w:rFonts w:hint="eastAsia" w:ascii="仿宋" w:hAnsi="仿宋" w:eastAsia="仿宋" w:cs="仿宋"/>
                <w:sz w:val="22"/>
                <w:szCs w:val="22"/>
                <w:lang w:eastAsia="zh-CN"/>
              </w:rPr>
            </w:pPr>
            <w:r>
              <w:rPr>
                <w:rFonts w:hint="eastAsia" w:ascii="仿宋" w:hAnsi="仿宋" w:eastAsia="仿宋" w:cs="仿宋"/>
                <w:spacing w:val="-2"/>
                <w:sz w:val="22"/>
                <w:szCs w:val="22"/>
                <w:lang w:val="en-US" w:eastAsia="zh-CN"/>
              </w:rPr>
              <w:t>3</w:t>
            </w:r>
          </w:p>
        </w:tc>
      </w:tr>
    </w:tbl>
    <w:p w14:paraId="3D5284D7">
      <w:pPr>
        <w:jc w:val="center"/>
        <w:rPr>
          <w:rFonts w:hint="eastAsia" w:ascii="仿宋" w:hAnsi="仿宋" w:eastAsia="仿宋" w:cs="仿宋"/>
          <w:sz w:val="24"/>
          <w:szCs w:val="24"/>
        </w:rPr>
      </w:pPr>
    </w:p>
    <w:p w14:paraId="1FFCB981">
      <w:pPr>
        <w:jc w:val="center"/>
        <w:rPr>
          <w:rFonts w:hint="eastAsia" w:ascii="仿宋" w:hAnsi="仿宋" w:eastAsia="仿宋" w:cs="仿宋"/>
          <w:sz w:val="24"/>
          <w:szCs w:val="24"/>
        </w:rPr>
      </w:pPr>
      <w:r>
        <w:rPr>
          <w:rFonts w:hint="eastAsia" w:ascii="仿宋" w:hAnsi="仿宋" w:eastAsia="仿宋" w:cs="仿宋"/>
          <w:sz w:val="24"/>
          <w:szCs w:val="24"/>
        </w:rPr>
        <w:t>注: 1、评标委员会对投标人评分的算数平均值 , 即为该投标人的最终评标得分  (不得去掉评分项目的最高评分和最低评分) ,评分分值计算保留小数点后两位  (小数点后第三位“ 四舍五入 ”)。</w:t>
      </w:r>
    </w:p>
    <w:p w14:paraId="37062A3F">
      <w:pPr>
        <w:jc w:val="center"/>
        <w:rPr>
          <w:rFonts w:hint="eastAsia" w:ascii="仿宋" w:hAnsi="仿宋" w:eastAsia="仿宋" w:cs="仿宋"/>
          <w:sz w:val="24"/>
          <w:szCs w:val="24"/>
        </w:rPr>
      </w:pPr>
      <w:r>
        <w:rPr>
          <w:rFonts w:hint="eastAsia" w:ascii="仿宋" w:hAnsi="仿宋" w:eastAsia="仿宋" w:cs="仿宋"/>
          <w:sz w:val="24"/>
          <w:szCs w:val="24"/>
        </w:rPr>
        <w:t>2、评标结果按最终评标得分由高到低顺序排列。综合得分相同的,按投标报价由低到高进行排列;综合得分且投标报价相同的 ,按技术得分由高到低进行排列。</w:t>
      </w:r>
    </w:p>
    <w:p w14:paraId="4F0B6473">
      <w:pPr>
        <w:jc w:val="center"/>
        <w:rPr>
          <w:rFonts w:hint="eastAsia" w:ascii="仿宋" w:hAnsi="仿宋" w:eastAsia="仿宋" w:cs="仿宋"/>
          <w:sz w:val="24"/>
          <w:szCs w:val="24"/>
        </w:rPr>
      </w:pPr>
      <w:r>
        <w:rPr>
          <w:rFonts w:hint="eastAsia" w:ascii="仿宋" w:hAnsi="仿宋" w:eastAsia="仿宋" w:cs="仿宋"/>
          <w:color w:val="FF0000"/>
          <w:sz w:val="24"/>
          <w:szCs w:val="24"/>
        </w:rPr>
        <w:t>3、本次投标报价参</w:t>
      </w:r>
      <w:r>
        <w:rPr>
          <w:rFonts w:hint="eastAsia" w:ascii="仿宋" w:hAnsi="仿宋" w:eastAsia="仿宋" w:cs="仿宋"/>
          <w:color w:val="FF0000"/>
          <w:sz w:val="24"/>
          <w:szCs w:val="24"/>
          <w:lang w:val="en-US" w:eastAsia="zh-CN"/>
        </w:rPr>
        <w:t>按照上文规定的</w:t>
      </w:r>
      <w:r>
        <w:rPr>
          <w:rFonts w:hint="eastAsia" w:ascii="仿宋" w:hAnsi="仿宋" w:eastAsia="仿宋" w:cs="仿宋"/>
          <w:color w:val="FF0000"/>
          <w:sz w:val="24"/>
          <w:szCs w:val="24"/>
        </w:rPr>
        <w:t>造价咨询服务费基准费率规定作为上限值,执行投标优惠(折扣)率</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lang w:val="en-US" w:eastAsia="zh-CN"/>
        </w:rPr>
        <w:t>投标人报价必须在上限价的基础上进行整体折扣，不得对不同项目报不同折扣，否则视为无效投标</w:t>
      </w:r>
      <w:r>
        <w:rPr>
          <w:rFonts w:hint="eastAsia" w:ascii="仿宋" w:hAnsi="仿宋" w:eastAsia="仿宋" w:cs="仿宋"/>
          <w:color w:val="FF0000"/>
          <w:sz w:val="24"/>
          <w:szCs w:val="24"/>
        </w:rPr>
        <w:t>。</w:t>
      </w:r>
      <w:r>
        <w:rPr>
          <w:rFonts w:hint="eastAsia" w:ascii="仿宋" w:hAnsi="仿宋" w:eastAsia="仿宋" w:cs="仿宋"/>
          <w:sz w:val="24"/>
          <w:szCs w:val="24"/>
        </w:rPr>
        <w:br w:type="page"/>
      </w:r>
    </w:p>
    <w:p w14:paraId="5294AC11">
      <w:pPr>
        <w:jc w:val="center"/>
        <w:rPr>
          <w:rFonts w:hint="eastAsia" w:ascii="仿宋" w:hAnsi="仿宋" w:eastAsia="仿宋" w:cs="仿宋"/>
          <w:sz w:val="24"/>
          <w:szCs w:val="24"/>
        </w:rPr>
      </w:pPr>
    </w:p>
    <w:p w14:paraId="6F76C45F">
      <w:pPr>
        <w:pStyle w:val="2"/>
        <w:numPr>
          <w:ilvl w:val="0"/>
          <w:numId w:val="0"/>
        </w:numPr>
        <w:spacing w:line="240" w:lineRule="auto"/>
        <w:ind w:left="2940" w:leftChars="0"/>
        <w:jc w:val="both"/>
        <w:rPr>
          <w:rFonts w:hint="eastAsia" w:ascii="宋体" w:hAnsi="宋体" w:cs="宋体"/>
          <w:color w:val="auto"/>
          <w:sz w:val="30"/>
          <w:szCs w:val="30"/>
        </w:rPr>
      </w:pPr>
      <w:bookmarkStart w:id="5"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7A4E95C4">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CAE84F">
      <w:pPr>
        <w:rPr>
          <w:rFonts w:hint="eastAsia" w:ascii="宋体" w:hAnsi="宋体" w:cs="宋体"/>
          <w:color w:val="auto"/>
        </w:rPr>
      </w:pPr>
    </w:p>
    <w:bookmarkEnd w:id="5"/>
    <w:p w14:paraId="09E4C51D">
      <w:pPr>
        <w:rPr>
          <w:rFonts w:hint="eastAsia"/>
          <w:color w:val="auto"/>
        </w:rPr>
      </w:pPr>
    </w:p>
    <w:p w14:paraId="37CD40BF">
      <w:pPr>
        <w:jc w:val="center"/>
        <w:rPr>
          <w:b/>
          <w:color w:val="auto"/>
          <w:sz w:val="24"/>
        </w:rPr>
      </w:pPr>
      <w:r>
        <w:rPr>
          <w:b/>
          <w:color w:val="auto"/>
          <w:sz w:val="28"/>
          <w:szCs w:val="28"/>
        </w:rPr>
        <w:t>第一部分、开标一览表</w:t>
      </w:r>
    </w:p>
    <w:p w14:paraId="6B1338EE">
      <w:pPr>
        <w:jc w:val="center"/>
        <w:rPr>
          <w:b/>
          <w:color w:val="auto"/>
          <w:sz w:val="24"/>
        </w:rPr>
      </w:pPr>
    </w:p>
    <w:p w14:paraId="3D3C4477">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5BF73B1">
      <w:pPr>
        <w:pStyle w:val="23"/>
        <w:rPr>
          <w:color w:val="auto"/>
        </w:rPr>
      </w:pPr>
    </w:p>
    <w:p w14:paraId="7D0A891F">
      <w:pPr>
        <w:adjustRightInd w:val="0"/>
        <w:snapToGrid w:val="0"/>
        <w:spacing w:line="360" w:lineRule="auto"/>
        <w:jc w:val="center"/>
        <w:rPr>
          <w:rFonts w:hint="eastAsia" w:ascii="宋体" w:hAnsi="宋体" w:cs="宋体"/>
          <w:b/>
          <w:color w:val="auto"/>
          <w:sz w:val="28"/>
          <w:szCs w:val="28"/>
        </w:rPr>
      </w:pPr>
    </w:p>
    <w:p w14:paraId="62BF4973">
      <w:pPr>
        <w:adjustRightInd w:val="0"/>
        <w:snapToGrid w:val="0"/>
        <w:spacing w:line="360" w:lineRule="auto"/>
        <w:jc w:val="center"/>
        <w:rPr>
          <w:rFonts w:hint="eastAsia" w:ascii="宋体" w:hAnsi="宋体" w:cs="宋体"/>
          <w:b/>
          <w:color w:val="auto"/>
          <w:sz w:val="28"/>
          <w:szCs w:val="28"/>
        </w:rPr>
      </w:pPr>
    </w:p>
    <w:p w14:paraId="0BBB54E5">
      <w:pPr>
        <w:adjustRightInd w:val="0"/>
        <w:snapToGrid w:val="0"/>
        <w:spacing w:line="360" w:lineRule="auto"/>
        <w:jc w:val="center"/>
        <w:rPr>
          <w:rFonts w:hint="eastAsia" w:ascii="宋体" w:hAnsi="宋体" w:cs="宋体"/>
          <w:b/>
          <w:color w:val="auto"/>
          <w:sz w:val="28"/>
          <w:szCs w:val="28"/>
        </w:rPr>
      </w:pPr>
    </w:p>
    <w:p w14:paraId="4CE6E22F">
      <w:pPr>
        <w:adjustRightInd w:val="0"/>
        <w:snapToGrid w:val="0"/>
        <w:spacing w:line="360" w:lineRule="auto"/>
        <w:jc w:val="center"/>
        <w:rPr>
          <w:rFonts w:hint="eastAsia" w:ascii="宋体" w:hAnsi="宋体" w:cs="宋体"/>
          <w:b/>
          <w:color w:val="auto"/>
          <w:sz w:val="28"/>
          <w:szCs w:val="28"/>
        </w:rPr>
      </w:pPr>
    </w:p>
    <w:p w14:paraId="1982FCFC">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171996F6">
      <w:pPr>
        <w:pStyle w:val="22"/>
        <w:rPr>
          <w:rFonts w:hint="eastAsia"/>
          <w:lang w:eastAsia="zh-CN"/>
        </w:rPr>
      </w:pPr>
    </w:p>
    <w:p w14:paraId="7FDE0FEA">
      <w:pPr>
        <w:adjustRightInd w:val="0"/>
        <w:snapToGrid w:val="0"/>
        <w:spacing w:line="360" w:lineRule="auto"/>
        <w:jc w:val="center"/>
        <w:rPr>
          <w:rFonts w:hint="eastAsia" w:ascii="宋体" w:hAnsi="宋体" w:cs="宋体"/>
          <w:b/>
          <w:color w:val="auto"/>
          <w:sz w:val="24"/>
          <w:szCs w:val="20"/>
        </w:rPr>
      </w:pPr>
    </w:p>
    <w:p w14:paraId="239AF00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9A4596C">
      <w:pPr>
        <w:adjustRightInd w:val="0"/>
        <w:snapToGrid w:val="0"/>
        <w:spacing w:line="360" w:lineRule="auto"/>
        <w:rPr>
          <w:rFonts w:hint="eastAsia" w:ascii="宋体" w:hAnsi="宋体" w:cs="宋体"/>
          <w:b/>
          <w:color w:val="auto"/>
          <w:sz w:val="28"/>
          <w:szCs w:val="28"/>
        </w:rPr>
      </w:pPr>
    </w:p>
    <w:p w14:paraId="7BE53E5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D5D124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ACAEB5">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0CBF8D2">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2A99B80">
      <w:pPr>
        <w:adjustRightInd w:val="0"/>
        <w:snapToGrid w:val="0"/>
        <w:spacing w:line="360" w:lineRule="auto"/>
        <w:ind w:firstLine="480" w:firstLineChars="200"/>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DF3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FA1957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0F0B2064">
      <w:pPr>
        <w:adjustRightInd w:val="0"/>
        <w:snapToGrid w:val="0"/>
        <w:spacing w:line="360" w:lineRule="auto"/>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1BA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4DE166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F769BE4">
      <w:pPr>
        <w:adjustRightInd w:val="0"/>
        <w:snapToGrid w:val="0"/>
        <w:spacing w:line="360" w:lineRule="auto"/>
        <w:rPr>
          <w:rFonts w:hint="eastAsia" w:ascii="宋体" w:hAnsi="宋体" w:cs="宋体"/>
          <w:color w:val="auto"/>
          <w:sz w:val="24"/>
        </w:rPr>
      </w:pPr>
    </w:p>
    <w:p w14:paraId="12DF4C75">
      <w:pPr>
        <w:adjustRightInd w:val="0"/>
        <w:snapToGrid w:val="0"/>
        <w:spacing w:line="360" w:lineRule="auto"/>
        <w:rPr>
          <w:rFonts w:hint="eastAsia" w:ascii="宋体" w:hAnsi="宋体" w:cs="宋体"/>
          <w:color w:val="auto"/>
          <w:sz w:val="24"/>
        </w:rPr>
      </w:pPr>
    </w:p>
    <w:p w14:paraId="5D331BA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239D7F17">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9BA960E">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032955DF">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6EEFB55">
      <w:pPr>
        <w:adjustRightInd w:val="0"/>
        <w:snapToGrid w:val="0"/>
        <w:spacing w:line="360" w:lineRule="auto"/>
        <w:rPr>
          <w:rFonts w:hint="eastAsia" w:ascii="宋体" w:hAnsi="宋体" w:cs="宋体"/>
          <w:b/>
          <w:color w:val="auto"/>
          <w:sz w:val="28"/>
          <w:szCs w:val="28"/>
        </w:rPr>
      </w:pPr>
    </w:p>
    <w:p w14:paraId="23D97461">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D173D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6169F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68F540D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6001F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6F3470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6F122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5C72C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6F9276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D73030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34B24CA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47A680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BFC6EF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54CE10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587F38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DC8F09C">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3D85C2">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F9A78D9">
      <w:pPr>
        <w:adjustRightInd w:val="0"/>
        <w:snapToGrid w:val="0"/>
        <w:spacing w:line="360" w:lineRule="auto"/>
        <w:jc w:val="center"/>
        <w:rPr>
          <w:rFonts w:hint="eastAsia" w:ascii="宋体" w:hAnsi="宋体" w:cs="宋体"/>
          <w:b/>
          <w:color w:val="auto"/>
          <w:sz w:val="24"/>
          <w:szCs w:val="20"/>
        </w:rPr>
      </w:pPr>
    </w:p>
    <w:p w14:paraId="00AEF35C">
      <w:pPr>
        <w:adjustRightInd w:val="0"/>
        <w:snapToGrid w:val="0"/>
        <w:spacing w:line="360" w:lineRule="auto"/>
        <w:rPr>
          <w:rFonts w:hint="eastAsia" w:ascii="宋体" w:hAnsi="宋体" w:cs="宋体"/>
          <w:b/>
          <w:color w:val="auto"/>
          <w:sz w:val="24"/>
          <w:szCs w:val="20"/>
        </w:rPr>
      </w:pPr>
    </w:p>
    <w:p w14:paraId="43C11026">
      <w:pPr>
        <w:adjustRightInd w:val="0"/>
        <w:snapToGrid w:val="0"/>
        <w:spacing w:line="360" w:lineRule="auto"/>
        <w:rPr>
          <w:rFonts w:hint="eastAsia" w:ascii="宋体" w:hAnsi="宋体" w:cs="宋体"/>
          <w:b/>
          <w:color w:val="auto"/>
          <w:sz w:val="24"/>
          <w:szCs w:val="20"/>
        </w:rPr>
      </w:pPr>
    </w:p>
    <w:p w14:paraId="1E91EA5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195D7F0">
      <w:pPr>
        <w:adjustRightInd w:val="0"/>
        <w:snapToGrid w:val="0"/>
        <w:spacing w:line="360" w:lineRule="auto"/>
        <w:jc w:val="center"/>
        <w:rPr>
          <w:rFonts w:hint="eastAsia" w:ascii="宋体" w:hAnsi="宋体" w:cs="宋体"/>
          <w:b/>
          <w:color w:val="auto"/>
          <w:sz w:val="24"/>
          <w:szCs w:val="20"/>
        </w:rPr>
      </w:pPr>
    </w:p>
    <w:p w14:paraId="0509E40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6B0A1D41">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A1DD13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6F09C8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62E1A2C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96F680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21294289">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247B201">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FD2A8F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2B0AF2E">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FBE94E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3450EFDE">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56CAA50A">
      <w:pPr>
        <w:jc w:val="left"/>
        <w:rPr>
          <w:rFonts w:hint="eastAsia" w:ascii="宋体" w:hAnsi="宋体" w:eastAsia="宋体" w:cs="Times New Roman"/>
          <w:b w:val="0"/>
          <w:bCs w:val="0"/>
          <w:color w:val="auto"/>
          <w:kern w:val="2"/>
          <w:sz w:val="24"/>
          <w:szCs w:val="24"/>
          <w:lang w:val="en-US" w:eastAsia="zh-CN" w:bidi="ar-SA"/>
        </w:rPr>
      </w:pPr>
    </w:p>
    <w:p w14:paraId="367E257E">
      <w:pPr>
        <w:jc w:val="left"/>
        <w:rPr>
          <w:rFonts w:hint="eastAsia" w:ascii="宋体" w:hAnsi="宋体" w:eastAsia="宋体" w:cs="Times New Roman"/>
          <w:b w:val="0"/>
          <w:bCs w:val="0"/>
          <w:color w:val="auto"/>
          <w:kern w:val="2"/>
          <w:sz w:val="24"/>
          <w:szCs w:val="24"/>
          <w:lang w:val="en-US" w:eastAsia="zh-CN" w:bidi="ar-SA"/>
        </w:rPr>
      </w:pPr>
    </w:p>
    <w:p w14:paraId="4278AB8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073AFE">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3615D5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6" w:name="_Toc486424819"/>
      <w:bookmarkStart w:id="7" w:name="_Toc476514128"/>
    </w:p>
    <w:p w14:paraId="2315B2F5">
      <w:pPr>
        <w:pStyle w:val="22"/>
        <w:rPr>
          <w:rFonts w:hint="eastAsia"/>
          <w:lang w:eastAsia="zh-CN"/>
        </w:rPr>
      </w:pPr>
    </w:p>
    <w:p w14:paraId="78E6FD22">
      <w:pPr>
        <w:spacing w:before="120" w:beforeLines="50" w:after="120" w:afterLines="50" w:line="276" w:lineRule="auto"/>
        <w:jc w:val="center"/>
        <w:rPr>
          <w:b/>
          <w:color w:val="auto"/>
          <w:sz w:val="24"/>
        </w:rPr>
      </w:pPr>
      <w:r>
        <w:rPr>
          <w:b/>
          <w:color w:val="auto"/>
          <w:sz w:val="24"/>
        </w:rPr>
        <w:t>采购需求响应/偏离表</w:t>
      </w:r>
    </w:p>
    <w:p w14:paraId="3623F803">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5"/>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0AFD4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7B78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6A9958CC">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51BAFDB">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53616095">
            <w:pPr>
              <w:adjustRightInd w:val="0"/>
              <w:snapToGrid w:val="0"/>
              <w:spacing w:before="50" w:line="360" w:lineRule="auto"/>
              <w:jc w:val="center"/>
              <w:rPr>
                <w:color w:val="auto"/>
              </w:rPr>
            </w:pPr>
            <w:r>
              <w:rPr>
                <w:color w:val="auto"/>
              </w:rPr>
              <w:t>投标文件应答</w:t>
            </w:r>
          </w:p>
        </w:tc>
        <w:tc>
          <w:tcPr>
            <w:tcW w:w="1513" w:type="dxa"/>
            <w:noWrap w:val="0"/>
            <w:vAlign w:val="center"/>
          </w:tcPr>
          <w:p w14:paraId="01BC7471">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D270AE5">
            <w:pPr>
              <w:adjustRightInd w:val="0"/>
              <w:snapToGrid w:val="0"/>
              <w:spacing w:before="50" w:line="360" w:lineRule="auto"/>
              <w:ind w:left="-88" w:leftChars="-42"/>
              <w:jc w:val="center"/>
              <w:rPr>
                <w:color w:val="auto"/>
                <w:szCs w:val="21"/>
              </w:rPr>
            </w:pPr>
            <w:r>
              <w:rPr>
                <w:color w:val="auto"/>
                <w:szCs w:val="21"/>
              </w:rPr>
              <w:t>偏离说明</w:t>
            </w:r>
          </w:p>
        </w:tc>
      </w:tr>
      <w:tr w14:paraId="7B8E6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15F9C5E8">
            <w:pPr>
              <w:adjustRightInd w:val="0"/>
              <w:snapToGrid w:val="0"/>
              <w:spacing w:before="50" w:line="360" w:lineRule="auto"/>
              <w:ind w:left="-88" w:leftChars="-42"/>
              <w:jc w:val="center"/>
              <w:rPr>
                <w:color w:val="auto"/>
                <w:szCs w:val="21"/>
              </w:rPr>
            </w:pPr>
          </w:p>
        </w:tc>
        <w:tc>
          <w:tcPr>
            <w:tcW w:w="1877" w:type="dxa"/>
            <w:noWrap w:val="0"/>
            <w:vAlign w:val="center"/>
          </w:tcPr>
          <w:p w14:paraId="392C23DD">
            <w:pPr>
              <w:adjustRightInd w:val="0"/>
              <w:snapToGrid w:val="0"/>
              <w:spacing w:before="50" w:line="360" w:lineRule="auto"/>
              <w:ind w:left="-88" w:leftChars="-42"/>
              <w:jc w:val="center"/>
              <w:rPr>
                <w:color w:val="auto"/>
                <w:szCs w:val="21"/>
              </w:rPr>
            </w:pPr>
          </w:p>
        </w:tc>
        <w:tc>
          <w:tcPr>
            <w:tcW w:w="1671" w:type="dxa"/>
            <w:noWrap w:val="0"/>
            <w:vAlign w:val="center"/>
          </w:tcPr>
          <w:p w14:paraId="23CF0271">
            <w:pPr>
              <w:adjustRightInd w:val="0"/>
              <w:snapToGrid w:val="0"/>
              <w:spacing w:before="50" w:line="360" w:lineRule="auto"/>
              <w:ind w:left="-88" w:leftChars="-42"/>
              <w:jc w:val="center"/>
              <w:rPr>
                <w:color w:val="auto"/>
                <w:szCs w:val="21"/>
              </w:rPr>
            </w:pPr>
          </w:p>
        </w:tc>
        <w:tc>
          <w:tcPr>
            <w:tcW w:w="1608" w:type="dxa"/>
            <w:noWrap w:val="0"/>
            <w:vAlign w:val="center"/>
          </w:tcPr>
          <w:p w14:paraId="7B00A98E">
            <w:pPr>
              <w:adjustRightInd w:val="0"/>
              <w:snapToGrid w:val="0"/>
              <w:spacing w:before="50" w:line="360" w:lineRule="auto"/>
              <w:ind w:left="-88" w:leftChars="-42"/>
              <w:jc w:val="center"/>
              <w:rPr>
                <w:color w:val="auto"/>
                <w:szCs w:val="21"/>
              </w:rPr>
            </w:pPr>
          </w:p>
        </w:tc>
        <w:tc>
          <w:tcPr>
            <w:tcW w:w="1513" w:type="dxa"/>
            <w:noWrap w:val="0"/>
            <w:vAlign w:val="center"/>
          </w:tcPr>
          <w:p w14:paraId="0AD37B28">
            <w:pPr>
              <w:adjustRightInd w:val="0"/>
              <w:snapToGrid w:val="0"/>
              <w:spacing w:before="50" w:line="360" w:lineRule="auto"/>
              <w:ind w:left="-88" w:leftChars="-42"/>
              <w:jc w:val="center"/>
              <w:rPr>
                <w:color w:val="auto"/>
                <w:szCs w:val="21"/>
              </w:rPr>
            </w:pPr>
          </w:p>
        </w:tc>
        <w:tc>
          <w:tcPr>
            <w:tcW w:w="1061" w:type="dxa"/>
            <w:noWrap w:val="0"/>
            <w:vAlign w:val="center"/>
          </w:tcPr>
          <w:p w14:paraId="529D8C41">
            <w:pPr>
              <w:adjustRightInd w:val="0"/>
              <w:snapToGrid w:val="0"/>
              <w:spacing w:before="50" w:line="360" w:lineRule="auto"/>
              <w:ind w:left="-88" w:leftChars="-42"/>
              <w:jc w:val="center"/>
              <w:rPr>
                <w:color w:val="auto"/>
                <w:szCs w:val="21"/>
              </w:rPr>
            </w:pPr>
          </w:p>
        </w:tc>
      </w:tr>
      <w:tr w14:paraId="0DB2B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9B3537A">
            <w:pPr>
              <w:adjustRightInd w:val="0"/>
              <w:snapToGrid w:val="0"/>
              <w:spacing w:before="50" w:line="360" w:lineRule="auto"/>
              <w:ind w:left="-88" w:leftChars="-42"/>
              <w:jc w:val="center"/>
              <w:rPr>
                <w:color w:val="auto"/>
                <w:szCs w:val="21"/>
              </w:rPr>
            </w:pPr>
          </w:p>
        </w:tc>
        <w:tc>
          <w:tcPr>
            <w:tcW w:w="1877" w:type="dxa"/>
            <w:noWrap w:val="0"/>
            <w:vAlign w:val="center"/>
          </w:tcPr>
          <w:p w14:paraId="443263BA">
            <w:pPr>
              <w:adjustRightInd w:val="0"/>
              <w:snapToGrid w:val="0"/>
              <w:spacing w:before="50" w:line="360" w:lineRule="auto"/>
              <w:ind w:left="-88" w:leftChars="-42"/>
              <w:jc w:val="center"/>
              <w:rPr>
                <w:color w:val="auto"/>
                <w:szCs w:val="21"/>
              </w:rPr>
            </w:pPr>
          </w:p>
        </w:tc>
        <w:tc>
          <w:tcPr>
            <w:tcW w:w="1671" w:type="dxa"/>
            <w:noWrap w:val="0"/>
            <w:vAlign w:val="center"/>
          </w:tcPr>
          <w:p w14:paraId="52A94067">
            <w:pPr>
              <w:adjustRightInd w:val="0"/>
              <w:snapToGrid w:val="0"/>
              <w:spacing w:before="50" w:line="360" w:lineRule="auto"/>
              <w:ind w:left="-88" w:leftChars="-42"/>
              <w:jc w:val="center"/>
              <w:rPr>
                <w:color w:val="auto"/>
                <w:szCs w:val="21"/>
              </w:rPr>
            </w:pPr>
          </w:p>
        </w:tc>
        <w:tc>
          <w:tcPr>
            <w:tcW w:w="1608" w:type="dxa"/>
            <w:noWrap w:val="0"/>
            <w:vAlign w:val="center"/>
          </w:tcPr>
          <w:p w14:paraId="6ECCA732">
            <w:pPr>
              <w:adjustRightInd w:val="0"/>
              <w:snapToGrid w:val="0"/>
              <w:spacing w:before="50" w:line="360" w:lineRule="auto"/>
              <w:ind w:left="-88" w:leftChars="-42"/>
              <w:jc w:val="center"/>
              <w:rPr>
                <w:color w:val="auto"/>
                <w:szCs w:val="21"/>
              </w:rPr>
            </w:pPr>
          </w:p>
        </w:tc>
        <w:tc>
          <w:tcPr>
            <w:tcW w:w="1513" w:type="dxa"/>
            <w:noWrap w:val="0"/>
            <w:vAlign w:val="center"/>
          </w:tcPr>
          <w:p w14:paraId="462274B4">
            <w:pPr>
              <w:adjustRightInd w:val="0"/>
              <w:snapToGrid w:val="0"/>
              <w:spacing w:before="50" w:line="360" w:lineRule="auto"/>
              <w:ind w:left="-88" w:leftChars="-42"/>
              <w:jc w:val="center"/>
              <w:rPr>
                <w:color w:val="auto"/>
                <w:szCs w:val="21"/>
              </w:rPr>
            </w:pPr>
          </w:p>
        </w:tc>
        <w:tc>
          <w:tcPr>
            <w:tcW w:w="1061" w:type="dxa"/>
            <w:noWrap w:val="0"/>
            <w:vAlign w:val="center"/>
          </w:tcPr>
          <w:p w14:paraId="0E725F2C">
            <w:pPr>
              <w:adjustRightInd w:val="0"/>
              <w:snapToGrid w:val="0"/>
              <w:spacing w:before="50" w:line="360" w:lineRule="auto"/>
              <w:ind w:left="-88" w:leftChars="-42"/>
              <w:jc w:val="center"/>
              <w:rPr>
                <w:color w:val="auto"/>
                <w:szCs w:val="21"/>
              </w:rPr>
            </w:pPr>
          </w:p>
        </w:tc>
      </w:tr>
      <w:tr w14:paraId="4172A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49B3BF3">
            <w:pPr>
              <w:adjustRightInd w:val="0"/>
              <w:snapToGrid w:val="0"/>
              <w:spacing w:before="50" w:line="360" w:lineRule="auto"/>
              <w:ind w:left="-88" w:leftChars="-42"/>
              <w:jc w:val="center"/>
              <w:rPr>
                <w:color w:val="auto"/>
                <w:szCs w:val="21"/>
              </w:rPr>
            </w:pPr>
          </w:p>
        </w:tc>
        <w:tc>
          <w:tcPr>
            <w:tcW w:w="1877" w:type="dxa"/>
            <w:noWrap w:val="0"/>
            <w:vAlign w:val="center"/>
          </w:tcPr>
          <w:p w14:paraId="50F13E98">
            <w:pPr>
              <w:adjustRightInd w:val="0"/>
              <w:snapToGrid w:val="0"/>
              <w:spacing w:before="50" w:line="360" w:lineRule="auto"/>
              <w:ind w:left="-88" w:leftChars="-42"/>
              <w:jc w:val="center"/>
              <w:rPr>
                <w:color w:val="auto"/>
                <w:szCs w:val="21"/>
              </w:rPr>
            </w:pPr>
          </w:p>
        </w:tc>
        <w:tc>
          <w:tcPr>
            <w:tcW w:w="1671" w:type="dxa"/>
            <w:noWrap w:val="0"/>
            <w:vAlign w:val="center"/>
          </w:tcPr>
          <w:p w14:paraId="7E1D6FCC">
            <w:pPr>
              <w:adjustRightInd w:val="0"/>
              <w:snapToGrid w:val="0"/>
              <w:spacing w:before="50" w:line="360" w:lineRule="auto"/>
              <w:ind w:left="-88" w:leftChars="-42"/>
              <w:jc w:val="center"/>
              <w:rPr>
                <w:color w:val="auto"/>
                <w:szCs w:val="21"/>
              </w:rPr>
            </w:pPr>
          </w:p>
        </w:tc>
        <w:tc>
          <w:tcPr>
            <w:tcW w:w="1608" w:type="dxa"/>
            <w:noWrap w:val="0"/>
            <w:vAlign w:val="center"/>
          </w:tcPr>
          <w:p w14:paraId="36B2B594">
            <w:pPr>
              <w:adjustRightInd w:val="0"/>
              <w:snapToGrid w:val="0"/>
              <w:spacing w:before="50" w:line="360" w:lineRule="auto"/>
              <w:ind w:left="-88" w:leftChars="-42"/>
              <w:jc w:val="center"/>
              <w:rPr>
                <w:color w:val="auto"/>
                <w:szCs w:val="21"/>
              </w:rPr>
            </w:pPr>
          </w:p>
        </w:tc>
        <w:tc>
          <w:tcPr>
            <w:tcW w:w="1513" w:type="dxa"/>
            <w:noWrap w:val="0"/>
            <w:vAlign w:val="center"/>
          </w:tcPr>
          <w:p w14:paraId="3101515A">
            <w:pPr>
              <w:adjustRightInd w:val="0"/>
              <w:snapToGrid w:val="0"/>
              <w:spacing w:before="50" w:line="360" w:lineRule="auto"/>
              <w:ind w:left="-88" w:leftChars="-42"/>
              <w:jc w:val="center"/>
              <w:rPr>
                <w:color w:val="auto"/>
                <w:szCs w:val="21"/>
              </w:rPr>
            </w:pPr>
          </w:p>
        </w:tc>
        <w:tc>
          <w:tcPr>
            <w:tcW w:w="1061" w:type="dxa"/>
            <w:noWrap w:val="0"/>
            <w:vAlign w:val="center"/>
          </w:tcPr>
          <w:p w14:paraId="227CF019">
            <w:pPr>
              <w:adjustRightInd w:val="0"/>
              <w:snapToGrid w:val="0"/>
              <w:spacing w:before="50" w:line="360" w:lineRule="auto"/>
              <w:ind w:left="-88" w:leftChars="-42"/>
              <w:jc w:val="center"/>
              <w:rPr>
                <w:color w:val="auto"/>
                <w:szCs w:val="21"/>
              </w:rPr>
            </w:pPr>
          </w:p>
        </w:tc>
      </w:tr>
      <w:tr w14:paraId="7E1A5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79645379">
            <w:pPr>
              <w:rPr>
                <w:b/>
                <w:color w:val="auto"/>
              </w:rPr>
            </w:pPr>
          </w:p>
        </w:tc>
      </w:tr>
    </w:tbl>
    <w:p w14:paraId="37BC78C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6"/>
    <w:bookmarkEnd w:id="7"/>
    <w:p w14:paraId="706D62E9">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35793618">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62212A7D">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7495F60F">
      <w:pPr>
        <w:pStyle w:val="23"/>
        <w:rPr>
          <w:color w:val="auto"/>
        </w:rPr>
      </w:pPr>
    </w:p>
    <w:p w14:paraId="45DD946D">
      <w:pPr>
        <w:pStyle w:val="22"/>
        <w:rPr>
          <w:rFonts w:hint="eastAsia"/>
          <w:lang w:eastAsia="zh-CN"/>
        </w:rPr>
      </w:pPr>
    </w:p>
    <w:p w14:paraId="592F7DB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2FC7">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C904">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7CC904">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CB1AD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2D8BF">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317D">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EC317D">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5C68B4DA">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B662">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2271D"/>
    <w:rsid w:val="02390242"/>
    <w:rsid w:val="025934DA"/>
    <w:rsid w:val="02E75D9A"/>
    <w:rsid w:val="03E43FAE"/>
    <w:rsid w:val="04653F41"/>
    <w:rsid w:val="048850CC"/>
    <w:rsid w:val="04B72FC8"/>
    <w:rsid w:val="04F57A38"/>
    <w:rsid w:val="050719CA"/>
    <w:rsid w:val="0537187E"/>
    <w:rsid w:val="05A10F52"/>
    <w:rsid w:val="06934BAA"/>
    <w:rsid w:val="06E91EC4"/>
    <w:rsid w:val="0714138F"/>
    <w:rsid w:val="072C3CBA"/>
    <w:rsid w:val="07415BA6"/>
    <w:rsid w:val="07583825"/>
    <w:rsid w:val="086F75C9"/>
    <w:rsid w:val="09C0303A"/>
    <w:rsid w:val="0A3F4F3C"/>
    <w:rsid w:val="0A510573"/>
    <w:rsid w:val="0A6D3244"/>
    <w:rsid w:val="0A8A74D4"/>
    <w:rsid w:val="0B29404E"/>
    <w:rsid w:val="0CAD77BD"/>
    <w:rsid w:val="0D330BC5"/>
    <w:rsid w:val="0DA85805"/>
    <w:rsid w:val="0E331420"/>
    <w:rsid w:val="0EDD1643"/>
    <w:rsid w:val="0FB9029C"/>
    <w:rsid w:val="10897B23"/>
    <w:rsid w:val="10914EF9"/>
    <w:rsid w:val="10B8663C"/>
    <w:rsid w:val="11627514"/>
    <w:rsid w:val="12080B62"/>
    <w:rsid w:val="12994AC5"/>
    <w:rsid w:val="129F447F"/>
    <w:rsid w:val="12C86253"/>
    <w:rsid w:val="1424680F"/>
    <w:rsid w:val="143947E8"/>
    <w:rsid w:val="14E40477"/>
    <w:rsid w:val="15060AC8"/>
    <w:rsid w:val="15125EAE"/>
    <w:rsid w:val="15675A4C"/>
    <w:rsid w:val="17F91BB8"/>
    <w:rsid w:val="17FF6068"/>
    <w:rsid w:val="193E7D91"/>
    <w:rsid w:val="1943608F"/>
    <w:rsid w:val="197D5C29"/>
    <w:rsid w:val="19C171E1"/>
    <w:rsid w:val="19E40286"/>
    <w:rsid w:val="19E91315"/>
    <w:rsid w:val="1AF56B46"/>
    <w:rsid w:val="1C795D39"/>
    <w:rsid w:val="1C995471"/>
    <w:rsid w:val="1CDB42B8"/>
    <w:rsid w:val="1CE412C7"/>
    <w:rsid w:val="1D5071B5"/>
    <w:rsid w:val="1DD7486D"/>
    <w:rsid w:val="1E79119D"/>
    <w:rsid w:val="1EE2244B"/>
    <w:rsid w:val="1F334F58"/>
    <w:rsid w:val="1F796B24"/>
    <w:rsid w:val="1FC602A8"/>
    <w:rsid w:val="1FE73549"/>
    <w:rsid w:val="2038045E"/>
    <w:rsid w:val="20AF0900"/>
    <w:rsid w:val="20B41DA7"/>
    <w:rsid w:val="21C61C7A"/>
    <w:rsid w:val="237801C2"/>
    <w:rsid w:val="2383771E"/>
    <w:rsid w:val="23F374DB"/>
    <w:rsid w:val="24881A32"/>
    <w:rsid w:val="25266F96"/>
    <w:rsid w:val="267547DF"/>
    <w:rsid w:val="272B6E6C"/>
    <w:rsid w:val="2750680E"/>
    <w:rsid w:val="27CF2BB7"/>
    <w:rsid w:val="28E81B29"/>
    <w:rsid w:val="28FD390A"/>
    <w:rsid w:val="29266E1A"/>
    <w:rsid w:val="29B45A41"/>
    <w:rsid w:val="2A174DA9"/>
    <w:rsid w:val="2AB010A8"/>
    <w:rsid w:val="2AC66F99"/>
    <w:rsid w:val="2C0A2E19"/>
    <w:rsid w:val="2C7642D0"/>
    <w:rsid w:val="2C8E2219"/>
    <w:rsid w:val="2CC97A35"/>
    <w:rsid w:val="2CDC672B"/>
    <w:rsid w:val="2DD77C64"/>
    <w:rsid w:val="2DDA1E78"/>
    <w:rsid w:val="2DE00B8C"/>
    <w:rsid w:val="2EAC037F"/>
    <w:rsid w:val="2EB67A5C"/>
    <w:rsid w:val="2F2148C9"/>
    <w:rsid w:val="2F6B4CBF"/>
    <w:rsid w:val="302741D2"/>
    <w:rsid w:val="308B184D"/>
    <w:rsid w:val="309C1E01"/>
    <w:rsid w:val="30BB11DD"/>
    <w:rsid w:val="31F17CD1"/>
    <w:rsid w:val="324F4D43"/>
    <w:rsid w:val="332742E9"/>
    <w:rsid w:val="33384C93"/>
    <w:rsid w:val="340F06E9"/>
    <w:rsid w:val="34754AFE"/>
    <w:rsid w:val="34C12F54"/>
    <w:rsid w:val="361110A5"/>
    <w:rsid w:val="362C6900"/>
    <w:rsid w:val="366241E2"/>
    <w:rsid w:val="36B66AAC"/>
    <w:rsid w:val="36E47928"/>
    <w:rsid w:val="372F7378"/>
    <w:rsid w:val="37BA0809"/>
    <w:rsid w:val="386073C0"/>
    <w:rsid w:val="38ED2343"/>
    <w:rsid w:val="38FF7404"/>
    <w:rsid w:val="39264AD8"/>
    <w:rsid w:val="395064D7"/>
    <w:rsid w:val="397348CD"/>
    <w:rsid w:val="3A315C04"/>
    <w:rsid w:val="3A8E0AB7"/>
    <w:rsid w:val="3A994AB7"/>
    <w:rsid w:val="3B3B544D"/>
    <w:rsid w:val="3B654F2B"/>
    <w:rsid w:val="3BB72BAE"/>
    <w:rsid w:val="3BBA2C40"/>
    <w:rsid w:val="3BE02474"/>
    <w:rsid w:val="3BFC7D2B"/>
    <w:rsid w:val="3C7C799C"/>
    <w:rsid w:val="3C8A61A4"/>
    <w:rsid w:val="3D5E17FF"/>
    <w:rsid w:val="3DF93413"/>
    <w:rsid w:val="3DFD1951"/>
    <w:rsid w:val="3E1F0DA4"/>
    <w:rsid w:val="3E584E51"/>
    <w:rsid w:val="3E6E70D5"/>
    <w:rsid w:val="3EBE1ADE"/>
    <w:rsid w:val="403B4B34"/>
    <w:rsid w:val="40B32632"/>
    <w:rsid w:val="4140452A"/>
    <w:rsid w:val="414D7889"/>
    <w:rsid w:val="41BB0BAE"/>
    <w:rsid w:val="425629F5"/>
    <w:rsid w:val="4284152B"/>
    <w:rsid w:val="429A4992"/>
    <w:rsid w:val="435B161D"/>
    <w:rsid w:val="43B25DAC"/>
    <w:rsid w:val="44771DFD"/>
    <w:rsid w:val="45D569C3"/>
    <w:rsid w:val="47715BF0"/>
    <w:rsid w:val="4791030F"/>
    <w:rsid w:val="479B74B7"/>
    <w:rsid w:val="48735221"/>
    <w:rsid w:val="48DB6397"/>
    <w:rsid w:val="497A0E45"/>
    <w:rsid w:val="49E92B05"/>
    <w:rsid w:val="4A354E62"/>
    <w:rsid w:val="4AEE1A11"/>
    <w:rsid w:val="4B237B3F"/>
    <w:rsid w:val="4B7F39F4"/>
    <w:rsid w:val="4BAE646F"/>
    <w:rsid w:val="4C2067C9"/>
    <w:rsid w:val="4C4D6AA3"/>
    <w:rsid w:val="4C7B27CD"/>
    <w:rsid w:val="4CAC1559"/>
    <w:rsid w:val="4D754257"/>
    <w:rsid w:val="4DCD6AB3"/>
    <w:rsid w:val="4EE7662F"/>
    <w:rsid w:val="50152D26"/>
    <w:rsid w:val="50216DCD"/>
    <w:rsid w:val="50540C20"/>
    <w:rsid w:val="506258C6"/>
    <w:rsid w:val="51AC28BD"/>
    <w:rsid w:val="52183ACC"/>
    <w:rsid w:val="521E2A7F"/>
    <w:rsid w:val="53B55872"/>
    <w:rsid w:val="53F40027"/>
    <w:rsid w:val="54065CB8"/>
    <w:rsid w:val="544055F2"/>
    <w:rsid w:val="54930851"/>
    <w:rsid w:val="54AD4386"/>
    <w:rsid w:val="55875942"/>
    <w:rsid w:val="55D8243C"/>
    <w:rsid w:val="56551179"/>
    <w:rsid w:val="581A7C72"/>
    <w:rsid w:val="583A4BD7"/>
    <w:rsid w:val="59C02DAD"/>
    <w:rsid w:val="59C51B68"/>
    <w:rsid w:val="59C74B1F"/>
    <w:rsid w:val="5A886F59"/>
    <w:rsid w:val="5BEF7E34"/>
    <w:rsid w:val="5C702F0F"/>
    <w:rsid w:val="5DB23133"/>
    <w:rsid w:val="604D5946"/>
    <w:rsid w:val="611B6B1B"/>
    <w:rsid w:val="62C222C2"/>
    <w:rsid w:val="62C4189F"/>
    <w:rsid w:val="632D7C40"/>
    <w:rsid w:val="64133D6A"/>
    <w:rsid w:val="64245572"/>
    <w:rsid w:val="651E34F7"/>
    <w:rsid w:val="656E4858"/>
    <w:rsid w:val="66C30AF5"/>
    <w:rsid w:val="672737CD"/>
    <w:rsid w:val="678E4F5D"/>
    <w:rsid w:val="67F3562A"/>
    <w:rsid w:val="680E122C"/>
    <w:rsid w:val="685B4601"/>
    <w:rsid w:val="69E01866"/>
    <w:rsid w:val="69EC3F9D"/>
    <w:rsid w:val="6A4E1D63"/>
    <w:rsid w:val="6AA026F2"/>
    <w:rsid w:val="6ACA059E"/>
    <w:rsid w:val="6B592423"/>
    <w:rsid w:val="6C486FE4"/>
    <w:rsid w:val="6CA409DF"/>
    <w:rsid w:val="6DE375E4"/>
    <w:rsid w:val="6E8E5287"/>
    <w:rsid w:val="6FAC3B48"/>
    <w:rsid w:val="6FAD463B"/>
    <w:rsid w:val="6FBE332C"/>
    <w:rsid w:val="70CE0BC9"/>
    <w:rsid w:val="711F5E39"/>
    <w:rsid w:val="71554367"/>
    <w:rsid w:val="71584067"/>
    <w:rsid w:val="71F045F5"/>
    <w:rsid w:val="71F26E91"/>
    <w:rsid w:val="72931CE4"/>
    <w:rsid w:val="73323386"/>
    <w:rsid w:val="735201FF"/>
    <w:rsid w:val="73714961"/>
    <w:rsid w:val="737B50A4"/>
    <w:rsid w:val="739F2A08"/>
    <w:rsid w:val="73A975A4"/>
    <w:rsid w:val="73F40E72"/>
    <w:rsid w:val="74370FDC"/>
    <w:rsid w:val="74566F5C"/>
    <w:rsid w:val="750117A8"/>
    <w:rsid w:val="755B2270"/>
    <w:rsid w:val="75DD41B7"/>
    <w:rsid w:val="75E27514"/>
    <w:rsid w:val="7612420D"/>
    <w:rsid w:val="76920D75"/>
    <w:rsid w:val="76C47877"/>
    <w:rsid w:val="77423DFF"/>
    <w:rsid w:val="783B5EA9"/>
    <w:rsid w:val="79EB699D"/>
    <w:rsid w:val="79F871CC"/>
    <w:rsid w:val="7A2C650E"/>
    <w:rsid w:val="7AFF5E62"/>
    <w:rsid w:val="7B0620DE"/>
    <w:rsid w:val="7BBF44BB"/>
    <w:rsid w:val="7BF15CE4"/>
    <w:rsid w:val="7C2B0102"/>
    <w:rsid w:val="7C3A27E5"/>
    <w:rsid w:val="7D9727DD"/>
    <w:rsid w:val="7DCB30EB"/>
    <w:rsid w:val="7E2F518C"/>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next w:val="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Intense Quote"/>
    <w:next w:val="1"/>
    <w:qFormat/>
    <w:uiPriority w:val="0"/>
    <w:pPr>
      <w:wordWrap w:val="0"/>
      <w:spacing w:before="360" w:after="360" w:line="278" w:lineRule="auto"/>
      <w:ind w:left="950" w:right="950"/>
      <w:jc w:val="center"/>
    </w:pPr>
    <w:rPr>
      <w:rFonts w:ascii="Times New Roman" w:hAnsi="Times New Roman" w:eastAsia="宋体" w:cs="Times New Roman"/>
      <w:i/>
      <w:sz w:val="21"/>
      <w:lang w:val="en-US" w:eastAsia="zh-CN" w:bidi="ar-SA"/>
    </w:rPr>
  </w:style>
  <w:style w:type="paragraph" w:styleId="7">
    <w:name w:val="Body Text"/>
    <w:basedOn w:val="1"/>
    <w:next w:val="1"/>
    <w:qFormat/>
    <w:uiPriority w:val="0"/>
    <w:pPr>
      <w:spacing w:after="120"/>
    </w:p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2"/>
    <w:basedOn w:val="1"/>
    <w:next w:val="7"/>
    <w:qFormat/>
    <w:uiPriority w:val="0"/>
    <w:pPr>
      <w:spacing w:after="120" w:line="480" w:lineRule="auto"/>
    </w:pPr>
  </w:style>
  <w:style w:type="paragraph" w:styleId="13">
    <w:name w:val="Normal (Web)"/>
    <w:basedOn w:val="1"/>
    <w:qFormat/>
    <w:uiPriority w:val="0"/>
    <w:rPr>
      <w:sz w:val="24"/>
    </w:rPr>
  </w:style>
  <w:style w:type="paragraph" w:styleId="14">
    <w:name w:val="Body Text First Indent 2"/>
    <w:basedOn w:val="8"/>
    <w:qFormat/>
    <w:uiPriority w:val="0"/>
    <w:pPr>
      <w:overflowPunct w:val="0"/>
      <w:adjustRightInd w:val="0"/>
      <w:spacing w:line="500" w:lineRule="exact"/>
      <w:ind w:firstLine="420" w:firstLineChars="200"/>
      <w:textAlignment w:val="baseline"/>
    </w:pPr>
    <w:rPr>
      <w:rFonts w:eastAsia="仿宋_GB2312"/>
      <w:kern w:val="28"/>
      <w:sz w:val="2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qFormat/>
    <w:uiPriority w:val="20"/>
    <w:rPr>
      <w:i/>
    </w:rPr>
  </w:style>
  <w:style w:type="character" w:styleId="19">
    <w:name w:val="Hyperlink"/>
    <w:basedOn w:val="17"/>
    <w:qFormat/>
    <w:uiPriority w:val="0"/>
    <w:rPr>
      <w:color w:val="0000FF"/>
      <w:u w:val="single"/>
    </w:rPr>
  </w:style>
  <w:style w:type="paragraph" w:customStyle="1" w:styleId="20">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1">
    <w:name w:val="大标题"/>
    <w:basedOn w:val="1"/>
    <w:next w:val="14"/>
    <w:qFormat/>
    <w:uiPriority w:val="0"/>
    <w:pPr>
      <w:jc w:val="center"/>
    </w:pPr>
    <w:rPr>
      <w:rFonts w:ascii="Arial" w:hAnsi="Arial" w:eastAsia="宋体"/>
      <w:b/>
      <w:sz w:val="28"/>
      <w:szCs w:val="24"/>
    </w:rPr>
  </w:style>
  <w:style w:type="paragraph" w:customStyle="1" w:styleId="22">
    <w:name w:val="列出段落1"/>
    <w:basedOn w:val="1"/>
    <w:qFormat/>
    <w:uiPriority w:val="99"/>
    <w:pPr>
      <w:ind w:firstLine="420" w:firstLineChars="200"/>
    </w:pPr>
  </w:style>
  <w:style w:type="paragraph" w:customStyle="1" w:styleId="23">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4">
    <w:name w:val="List Paragraph"/>
    <w:basedOn w:val="1"/>
    <w:qFormat/>
    <w:uiPriority w:val="34"/>
    <w:pPr>
      <w:ind w:firstLine="420" w:firstLineChars="200"/>
    </w:pPr>
    <w:rPr>
      <w:rFonts w:ascii="Calibri" w:hAnsi="Calibri"/>
      <w:szCs w:val="22"/>
    </w:rPr>
  </w:style>
  <w:style w:type="paragraph" w:customStyle="1" w:styleId="25">
    <w:name w:val="BodyText1I2"/>
    <w:basedOn w:val="26"/>
    <w:qFormat/>
    <w:uiPriority w:val="0"/>
    <w:pPr>
      <w:ind w:firstLine="420"/>
      <w:jc w:val="left"/>
    </w:pPr>
    <w:rPr>
      <w:rFonts w:ascii="Calibri" w:hAnsi="Calibri"/>
      <w:kern w:val="0"/>
    </w:rPr>
  </w:style>
  <w:style w:type="paragraph" w:customStyle="1" w:styleId="26">
    <w:name w:val="BodyTextIndent"/>
    <w:basedOn w:val="1"/>
    <w:qFormat/>
    <w:uiPriority w:val="0"/>
    <w:pPr>
      <w:spacing w:after="120"/>
      <w:ind w:left="420" w:leftChars="200"/>
    </w:pPr>
  </w:style>
  <w:style w:type="paragraph" w:customStyle="1" w:styleId="27">
    <w:name w:val="正文缩进4格"/>
    <w:basedOn w:val="28"/>
    <w:qFormat/>
    <w:uiPriority w:val="0"/>
    <w:pPr>
      <w:ind w:left="2" w:firstLine="538" w:firstLineChars="192"/>
    </w:pPr>
    <w:rPr>
      <w:color w:val="0000FF"/>
      <w:sz w:val="28"/>
    </w:rPr>
  </w:style>
  <w:style w:type="paragraph" w:customStyle="1" w:styleId="28">
    <w:name w:val="正文缩进2格"/>
    <w:basedOn w:val="1"/>
    <w:next w:val="1"/>
    <w:qFormat/>
    <w:uiPriority w:val="0"/>
    <w:pPr>
      <w:suppressAutoHyphens/>
      <w:spacing w:line="600" w:lineRule="exact"/>
      <w:ind w:firstLine="639"/>
    </w:pPr>
    <w:rPr>
      <w:rFonts w:ascii="Times New Roman" w:hAnsi="Times New Roman" w:eastAsia="宋体" w:cs="Times New Roman"/>
      <w:kern w:val="0"/>
      <w:sz w:val="20"/>
      <w:szCs w:val="20"/>
    </w:rPr>
  </w:style>
  <w:style w:type="paragraph" w:customStyle="1" w:styleId="29">
    <w:name w:val="Normal_8"/>
    <w:qFormat/>
    <w:uiPriority w:val="0"/>
    <w:pPr>
      <w:spacing w:after="160" w:line="278" w:lineRule="auto"/>
    </w:pPr>
    <w:rPr>
      <w:rFonts w:ascii="Times New Roman" w:hAnsi="Times New Roman" w:eastAsia="Times New Roman" w:cs="Times New Roman"/>
      <w:kern w:val="0"/>
      <w:sz w:val="24"/>
      <w:szCs w:val="24"/>
      <w:lang w:val="en-US" w:eastAsia="zh-CN" w:bidi="ar-SA"/>
    </w:rPr>
  </w:style>
  <w:style w:type="paragraph" w:customStyle="1" w:styleId="30">
    <w:name w:val="列出段落11"/>
    <w:basedOn w:val="1"/>
    <w:qFormat/>
    <w:uiPriority w:val="0"/>
    <w:pPr>
      <w:ind w:firstLine="420" w:firstLineChars="200"/>
    </w:pPr>
    <w:rPr>
      <w:rFonts w:ascii="Times New Roman" w:hAnsi="Times New Roman" w:eastAsia="宋体" w:cs="Times New Roman"/>
    </w:rPr>
  </w:style>
  <w:style w:type="table" w:customStyle="1" w:styleId="31">
    <w:name w:val="网格型1"/>
    <w:basedOn w:val="15"/>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
    <w:name w:val="Table Text"/>
    <w:basedOn w:val="1"/>
    <w:semiHidden/>
    <w:qFormat/>
    <w:uiPriority w:val="0"/>
    <w:rPr>
      <w:rFonts w:ascii="微软雅黑" w:hAnsi="微软雅黑" w:eastAsia="微软雅黑" w:cs="微软雅黑"/>
      <w:sz w:val="20"/>
      <w:szCs w:val="20"/>
      <w:lang w:val="en-US" w:eastAsia="en-US" w:bidi="ar-SA"/>
    </w:rPr>
  </w:style>
  <w:style w:type="table" w:customStyle="1" w:styleId="3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8712</Words>
  <Characters>9166</Characters>
  <Lines>0</Lines>
  <Paragraphs>0</Paragraphs>
  <TotalTime>0</TotalTime>
  <ScaleCrop>false</ScaleCrop>
  <LinksUpToDate>false</LinksUpToDate>
  <CharactersWithSpaces>9631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cp:lastPrinted>2026-05-15T07:02:00Z</cp:lastPrinted>
  <dcterms:modified xsi:type="dcterms:W3CDTF">2026-07-09T01:25:02Z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