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5"/>
        <w:snapToGrid w:val="0"/>
        <w:jc w:val="center"/>
        <w:rPr>
          <w:rFonts w:hint="eastAsia" w:ascii="Arial" w:hAnsi="Arial" w:eastAsia="方正小标宋简体" w:cs="Arial"/>
          <w:sz w:val="72"/>
          <w:szCs w:val="72"/>
        </w:rPr>
      </w:pPr>
      <w:bookmarkStart w:id="0" w:name="_Toc16523570"/>
    </w:p>
    <w:p w14:paraId="6165DD4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5"/>
        <w:snapToGrid w:val="0"/>
        <w:jc w:val="center"/>
        <w:rPr>
          <w:rFonts w:hint="eastAsia" w:ascii="Arial" w:hAnsi="Arial" w:eastAsia="方正小标宋简体" w:cs="Arial"/>
          <w:sz w:val="72"/>
          <w:szCs w:val="72"/>
        </w:rPr>
      </w:pPr>
    </w:p>
    <w:p w14:paraId="635FE321">
      <w:pPr>
        <w:pStyle w:val="5"/>
        <w:snapToGrid w:val="0"/>
        <w:jc w:val="center"/>
        <w:rPr>
          <w:rFonts w:hint="eastAsia" w:ascii="Arial" w:hAnsi="Arial" w:eastAsia="方正小标宋简体" w:cs="Arial"/>
          <w:sz w:val="72"/>
          <w:szCs w:val="72"/>
        </w:rPr>
      </w:pPr>
    </w:p>
    <w:p w14:paraId="69D3AD3F">
      <w:pPr>
        <w:pStyle w:val="5"/>
        <w:snapToGrid w:val="0"/>
        <w:jc w:val="center"/>
        <w:rPr>
          <w:rFonts w:hint="eastAsia" w:ascii="Arial" w:hAnsi="Arial" w:eastAsia="方正小标宋简体" w:cs="Arial"/>
          <w:sz w:val="72"/>
          <w:szCs w:val="72"/>
        </w:rPr>
      </w:pPr>
    </w:p>
    <w:p w14:paraId="6760F3CC">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5"/>
        <w:snapToGrid w:val="0"/>
        <w:jc w:val="center"/>
        <w:rPr>
          <w:rFonts w:ascii="Arial" w:hAnsi="Arial" w:cs="Arial"/>
          <w:sz w:val="32"/>
          <w:szCs w:val="32"/>
        </w:rPr>
      </w:pPr>
    </w:p>
    <w:p w14:paraId="344FBE05">
      <w:pPr>
        <w:pStyle w:val="21"/>
        <w:rPr>
          <w:rFonts w:ascii="Arial" w:hAnsi="Arial" w:cs="Arial"/>
          <w:sz w:val="32"/>
          <w:szCs w:val="32"/>
        </w:rPr>
      </w:pPr>
    </w:p>
    <w:p w14:paraId="3072D5FC">
      <w:pPr>
        <w:pStyle w:val="14"/>
        <w:rPr>
          <w:rFonts w:ascii="Arial" w:hAnsi="Arial" w:cs="Arial"/>
          <w:sz w:val="32"/>
          <w:szCs w:val="32"/>
        </w:rPr>
      </w:pPr>
    </w:p>
    <w:p w14:paraId="1CD32D3E">
      <w:pPr>
        <w:pStyle w:val="14"/>
        <w:rPr>
          <w:rFonts w:ascii="Arial" w:hAnsi="Arial" w:cs="Arial"/>
          <w:sz w:val="32"/>
          <w:szCs w:val="32"/>
        </w:rPr>
      </w:pPr>
    </w:p>
    <w:p w14:paraId="191865C5">
      <w:pPr>
        <w:pStyle w:val="14"/>
        <w:rPr>
          <w:rFonts w:ascii="Arial" w:hAnsi="Arial" w:cs="Arial"/>
          <w:sz w:val="32"/>
          <w:szCs w:val="32"/>
        </w:rPr>
      </w:pPr>
    </w:p>
    <w:p w14:paraId="00BD03D4">
      <w:pPr>
        <w:pStyle w:val="14"/>
        <w:rPr>
          <w:rFonts w:ascii="Arial" w:hAnsi="Arial" w:cs="Arial"/>
          <w:sz w:val="32"/>
          <w:szCs w:val="32"/>
        </w:rPr>
      </w:pPr>
    </w:p>
    <w:p w14:paraId="5B1AF6E9">
      <w:pPr>
        <w:pStyle w:val="14"/>
        <w:rPr>
          <w:rFonts w:ascii="Arial" w:hAnsi="Arial" w:cs="Arial"/>
          <w:sz w:val="32"/>
          <w:szCs w:val="32"/>
        </w:rPr>
      </w:pPr>
    </w:p>
    <w:p w14:paraId="5EDC9EA3">
      <w:pPr>
        <w:pStyle w:val="14"/>
        <w:rPr>
          <w:rFonts w:ascii="Arial" w:hAnsi="Arial" w:cs="Arial"/>
          <w:sz w:val="32"/>
          <w:szCs w:val="32"/>
        </w:rPr>
      </w:pPr>
    </w:p>
    <w:p w14:paraId="163589A0">
      <w:pPr>
        <w:pStyle w:val="14"/>
        <w:rPr>
          <w:rFonts w:ascii="Arial" w:hAnsi="Arial" w:cs="Arial"/>
          <w:sz w:val="32"/>
          <w:szCs w:val="32"/>
        </w:rPr>
      </w:pPr>
    </w:p>
    <w:p w14:paraId="22B3FB66">
      <w:pPr>
        <w:pStyle w:val="5"/>
        <w:snapToGrid w:val="0"/>
        <w:jc w:val="center"/>
        <w:rPr>
          <w:rFonts w:ascii="Arial" w:hAnsi="Arial" w:cs="Arial"/>
          <w:sz w:val="32"/>
          <w:szCs w:val="32"/>
        </w:rPr>
      </w:pPr>
    </w:p>
    <w:p w14:paraId="66BAB724">
      <w:pPr>
        <w:pStyle w:val="5"/>
        <w:snapToGrid w:val="0"/>
        <w:jc w:val="center"/>
        <w:rPr>
          <w:rFonts w:ascii="Arial" w:hAnsi="Arial" w:cs="Arial"/>
          <w:sz w:val="32"/>
          <w:szCs w:val="32"/>
        </w:rPr>
      </w:pPr>
    </w:p>
    <w:p w14:paraId="5BE24A3F">
      <w:pPr>
        <w:spacing w:line="360" w:lineRule="auto"/>
        <w:rPr>
          <w:rFonts w:hint="eastAsia"/>
          <w:bCs/>
          <w:sz w:val="32"/>
          <w:szCs w:val="32"/>
        </w:rPr>
      </w:pPr>
    </w:p>
    <w:p w14:paraId="677D4FE9">
      <w:pPr>
        <w:jc w:val="center"/>
        <w:rPr>
          <w:rFonts w:hint="eastAsia" w:ascii="微软雅黑" w:hAnsi="微软雅黑" w:eastAsia="微软雅黑" w:cs="微软雅黑"/>
          <w:b w:val="0"/>
          <w:kern w:val="2"/>
          <w:sz w:val="36"/>
          <w:szCs w:val="36"/>
          <w:lang w:val="en-US" w:eastAsia="zh-CN" w:bidi="ar-SA"/>
        </w:rPr>
      </w:pPr>
      <w:r>
        <w:rPr>
          <w:rFonts w:hint="eastAsia"/>
          <w:bCs/>
          <w:sz w:val="32"/>
          <w:szCs w:val="32"/>
        </w:rPr>
        <w:t>项目名称：</w:t>
      </w:r>
      <w:r>
        <w:rPr>
          <w:rFonts w:hint="eastAsia" w:ascii="微软雅黑" w:hAnsi="微软雅黑" w:eastAsia="微软雅黑" w:cs="微软雅黑"/>
          <w:sz w:val="36"/>
          <w:szCs w:val="36"/>
        </w:rPr>
        <w:t>娄底市中心医院</w:t>
      </w:r>
      <w:r>
        <w:rPr>
          <w:rFonts w:hint="eastAsia" w:ascii="微软雅黑" w:hAnsi="微软雅黑" w:eastAsia="微软雅黑" w:cs="微软雅黑"/>
          <w:sz w:val="36"/>
          <w:szCs w:val="36"/>
          <w:lang w:val="en-US" w:eastAsia="zh-CN"/>
        </w:rPr>
        <w:t>助听器验配中心</w:t>
      </w:r>
      <w:r>
        <w:rPr>
          <w:rFonts w:hint="eastAsia" w:ascii="微软雅黑" w:hAnsi="微软雅黑" w:eastAsia="微软雅黑" w:cs="微软雅黑"/>
          <w:b w:val="0"/>
          <w:kern w:val="2"/>
          <w:sz w:val="36"/>
          <w:szCs w:val="36"/>
          <w:lang w:val="en-US" w:eastAsia="zh-CN" w:bidi="ar-SA"/>
        </w:rPr>
        <w:t>第三方便民服务项目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娄底市中心医院助听器验配中心第三方便民服务项目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1BEBAEE9">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娄底市中心医院助听器验配中心第三方便民服务项目</w:t>
      </w:r>
    </w:p>
    <w:p w14:paraId="6B936CE3">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3A3BCB1">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按招标文件评分规则进行评审，以评审结果排序，综合评分得分相同的，得分相同的，按公益岗位服务项得分由高到低顺序排列，公益岗位服务项得分相同的，按企业实力指标优劣顺序排列。</w:t>
      </w:r>
    </w:p>
    <w:p w14:paraId="444B7D8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1、投标截止时间、开标时间：详见医院官网挂网表</w:t>
      </w:r>
    </w:p>
    <w:p w14:paraId="51F1ED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21"/>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1.7、技术参数负偏离大于等于1条的。</w:t>
      </w:r>
    </w:p>
    <w:p w14:paraId="02D4F01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2F0A2BC">
      <w:pPr>
        <w:pStyle w:val="21"/>
        <w:rPr>
          <w:rFonts w:hint="eastAsia"/>
          <w:lang w:val="en-US" w:eastAsia="zh-CN"/>
        </w:rPr>
      </w:pPr>
    </w:p>
    <w:p w14:paraId="580E4949">
      <w:pPr>
        <w:pStyle w:val="21"/>
        <w:jc w:val="both"/>
        <w:rPr>
          <w:rFonts w:hint="default"/>
          <w:lang w:val="en-US" w:eastAsia="zh-CN"/>
        </w:rPr>
      </w:pPr>
    </w:p>
    <w:p w14:paraId="3F0337F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21"/>
        <w:rPr>
          <w:rFonts w:hint="eastAsia" w:ascii="宋体" w:hAnsi="宋体" w:cs="宋体"/>
          <w:b/>
          <w:bCs/>
          <w:color w:val="auto"/>
          <w:sz w:val="44"/>
          <w:szCs w:val="44"/>
          <w:lang w:val="en-US" w:eastAsia="zh-CN"/>
        </w:rPr>
      </w:pPr>
    </w:p>
    <w:p w14:paraId="0FCE0BE5">
      <w:pPr>
        <w:pStyle w:val="14"/>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20"/>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5"/>
        <w:tblW w:w="653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177"/>
        <w:gridCol w:w="3697"/>
        <w:gridCol w:w="1665"/>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7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369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服务期限</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117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369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娄底市中心医院助听器验配中心第三方便民服务项目</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三年</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400DA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（一）、项目基本信息：</w:t>
      </w:r>
    </w:p>
    <w:p w14:paraId="283183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1、合作场地：医院门诊楼四楼指定区域，使用面积约20㎡，内设独立验配功能室；医院提供场地、基础水电、网络配套</w:t>
      </w:r>
    </w:p>
    <w:p w14:paraId="54879FC3">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2、项目性质：公立医院第三方便民配套服务，严格区分医疗核心业务与第三方配套服务，严禁医疗业务外包；医院负责医疗诊断、质控、处方等医疗核心工作，供应商仅提供非医疗配套运营服务 </w:t>
      </w:r>
    </w:p>
    <w:p w14:paraId="4D715195">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（二）总体需求：</w:t>
      </w:r>
    </w:p>
    <w:p w14:paraId="5178A8C1">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供应商全额承担助听器验配中心装修改造、全套专业设备采购、信息化系统搭建、持证专业人员驻场、辅听设备供应链、运营维护、售后维修、听力档案管理、公益科普、学科共建等全部投入与运营成本；医院提供场地、专家资源，并实施医疗质量、价格、服务、行风、安全生产全流程统一监管。供应商自主经营、自负盈亏，独立承担经营、产品、人员、投诉纠纷、赔偿、行政处罚等全部法律责任。</w:t>
      </w:r>
    </w:p>
    <w:p w14:paraId="7A48347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2、供应商须完整提供以下听力健康配套便民服务，不得超范围开展医疗诊断、开具处方等医疗行为：</w:t>
      </w:r>
    </w:p>
    <w:p w14:paraId="3851568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2.1、助听器医学验配、真耳分析、设备校准调试、佩戴效果评估、终身售后维护保养；</w:t>
      </w:r>
    </w:p>
    <w:p w14:paraId="14AD5A35">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2.2、院内及社区听力普查、耳健康科普宣教、患者标准化听力电子档案建立与全周期管理；</w:t>
      </w:r>
    </w:p>
    <w:p w14:paraId="1ABA32C2">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2.3、配合医院开展听力相关科研教学、专业技术培训、听力辅具临床试验配套保障工作。</w:t>
      </w:r>
    </w:p>
    <w:p w14:paraId="23C96069">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3、投标人建立完整产品溯源台账，所有货品渠道正规，杜绝三无、假冒、过期医疗器械。</w:t>
      </w:r>
    </w:p>
    <w:p w14:paraId="5FDDAF4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4、投标人派驻驻场助听器验配人员数量不得少于1名，从业人员需取得国家正规认可的助听器验配四级及以上职业资格，熟练掌握听力诊断、听力辅具选配调试等全套专业技能。</w:t>
      </w:r>
    </w:p>
    <w:p w14:paraId="35C29DCB">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5、投标人全额出资采购并配齐以下全套专业听力验配设备，设备须符合医疗级检测标准，定期校验并提供校验报告：</w:t>
      </w:r>
    </w:p>
    <w:p w14:paraId="4E7C428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纯音测听仪、真耳分析仪、电脑、Hi-Pro、听力辅具编程软件等助听设备。</w:t>
      </w:r>
    </w:p>
    <w:p w14:paraId="173B45E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（三）资格资质要求：</w:t>
      </w:r>
    </w:p>
    <w:p w14:paraId="70914545">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1、投标人持有有效二类医疗器械经营备案凭证</w:t>
      </w:r>
    </w:p>
    <w:p w14:paraId="4B74F430">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投标人投放的全部听力辅具产品均为第二类医疗器械，须提供有效期内的医疗器械注册证（含质保协议），注册证载明产品型号、规格需与实际投放产品一致，证件失效、信息不匹配均按无效资质处理。所有产品需要具有相应的质检报告。</w:t>
      </w:r>
    </w:p>
    <w:p w14:paraId="282E2380">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3、品牌授权资质：中标人承诺中标后提供助听器生产厂家出具的有效授权书。</w:t>
      </w:r>
    </w:p>
    <w:p w14:paraId="7925DE3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（四）、供应商建设及运营投入要求：</w:t>
      </w:r>
    </w:p>
    <w:p w14:paraId="14B8F041">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1</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场地建设投入：全额出资完成20㎡场地标准化隔音验配室装修，装修方案、平面布局、隔音标准须提交医院审核通过后方可施工；</w:t>
      </w:r>
    </w:p>
    <w:p w14:paraId="3CCB80A7">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硬件投入：全额承担全套检测验配设备、信息化档案系统采购、安装、定期维保、设备年度校验费用；</w:t>
      </w:r>
    </w:p>
    <w:p w14:paraId="4BD3C147">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3</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人员成本投入：全额承担驻场验配师、工作人员薪酬、社保、工装、培训等全部人力成本；</w:t>
      </w:r>
    </w:p>
    <w:p w14:paraId="17F86B46">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4</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日常运营成本：全额承担场地水电、物业、清洁消毒、耗材、宣传物料、售后维修、公益活动等全部费用；</w:t>
      </w:r>
    </w:p>
    <w:p w14:paraId="1542A71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5</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公益配套投入：免费提供不少于2个公益岗位供医院统筹使用，可额外增加公益岗位提升综合评分；</w:t>
      </w:r>
      <w:r>
        <w:rPr>
          <w:rFonts w:hint="default" w:asciiTheme="minorEastAsia" w:hAnsiTheme="minorEastAsia" w:eastAsiaTheme="minorEastAsia" w:cstheme="minorEastAsia"/>
          <w:b w:val="0"/>
          <w:bCs/>
          <w:color w:val="FF0000"/>
          <w:kern w:val="0"/>
          <w:sz w:val="24"/>
          <w:szCs w:val="24"/>
          <w:lang w:val="en-US" w:eastAsia="zh-CN" w:bidi="ar-SA"/>
        </w:rPr>
        <w:t>全程配合医院开展免费听力筛查、社区科普等公益服务，</w:t>
      </w:r>
      <w:r>
        <w:rPr>
          <w:rFonts w:hint="default" w:asciiTheme="minorEastAsia" w:hAnsiTheme="minorEastAsia" w:eastAsiaTheme="minorEastAsia" w:cstheme="minorEastAsia"/>
          <w:b w:val="0"/>
          <w:bCs/>
          <w:color w:val="auto"/>
          <w:kern w:val="0"/>
          <w:sz w:val="24"/>
          <w:szCs w:val="24"/>
          <w:lang w:val="en-US" w:eastAsia="zh-CN" w:bidi="ar-SA"/>
        </w:rPr>
        <w:t>不得收取群众任何公益项目费用。</w:t>
      </w:r>
    </w:p>
    <w:p w14:paraId="2B1E4ECF">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w:t>
      </w:r>
      <w:r>
        <w:rPr>
          <w:rFonts w:hint="default" w:asciiTheme="minorEastAsia" w:hAnsiTheme="minorEastAsia" w:eastAsiaTheme="minorEastAsia" w:cstheme="minorEastAsia"/>
          <w:b w:val="0"/>
          <w:bCs/>
          <w:color w:val="auto"/>
          <w:kern w:val="0"/>
          <w:sz w:val="24"/>
          <w:szCs w:val="24"/>
          <w:lang w:val="en-US" w:eastAsia="zh-CN" w:bidi="ar-SA"/>
        </w:rPr>
        <w:t>供应商所有助听器、调试服务、维修项目、配套耗材实行明码标价，统一制作加盖公章的价目表，提交医院耳鼻咽喉头颈外科、监审科双重审核备案后对外公示；</w:t>
      </w:r>
    </w:p>
    <w:p w14:paraId="6B1987E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w:t>
      </w:r>
      <w:r>
        <w:rPr>
          <w:rFonts w:hint="default" w:asciiTheme="minorEastAsia" w:hAnsiTheme="minorEastAsia" w:eastAsiaTheme="minorEastAsia" w:cstheme="minorEastAsia"/>
          <w:b w:val="0"/>
          <w:bCs/>
          <w:color w:val="auto"/>
          <w:kern w:val="0"/>
          <w:sz w:val="24"/>
          <w:szCs w:val="24"/>
          <w:lang w:val="en-US" w:eastAsia="zh-CN" w:bidi="ar-SA"/>
        </w:rPr>
        <w:t>产品定价上限：同品牌、同型号助听器售价不得高于省内同级三甲医院市场均价，医院有权定期核查比价；</w:t>
      </w:r>
    </w:p>
    <w:p w14:paraId="0A25AFF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w:t>
      </w:r>
      <w:r>
        <w:rPr>
          <w:rFonts w:hint="default" w:asciiTheme="minorEastAsia" w:hAnsiTheme="minorEastAsia" w:eastAsiaTheme="minorEastAsia" w:cstheme="minorEastAsia"/>
          <w:b w:val="0"/>
          <w:bCs/>
          <w:color w:val="auto"/>
          <w:kern w:val="0"/>
          <w:sz w:val="24"/>
          <w:szCs w:val="24"/>
          <w:lang w:val="en-US" w:eastAsia="zh-CN" w:bidi="ar-SA"/>
        </w:rPr>
        <w:t>调价管理：任何产品涨价、新增收费项目必须重新提交医院审核备案，私自调价、加价视为严重违约；</w:t>
      </w:r>
    </w:p>
    <w:p w14:paraId="2411A9B6">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w:t>
      </w:r>
      <w:r>
        <w:rPr>
          <w:rFonts w:hint="default" w:asciiTheme="minorEastAsia" w:hAnsiTheme="minorEastAsia" w:eastAsiaTheme="minorEastAsia" w:cstheme="minorEastAsia"/>
          <w:b w:val="0"/>
          <w:bCs/>
          <w:color w:val="auto"/>
          <w:kern w:val="0"/>
          <w:sz w:val="24"/>
          <w:szCs w:val="24"/>
          <w:lang w:val="en-US" w:eastAsia="zh-CN" w:bidi="ar-SA"/>
        </w:rPr>
        <w:t>严禁价格违规行为：禁止隐形收费、捆绑销售、强制搭配耗材、低价引流诱导加价、价格欺诈；</w:t>
      </w:r>
    </w:p>
    <w:p w14:paraId="692B75F0">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w:t>
      </w:r>
      <w:r>
        <w:rPr>
          <w:rFonts w:hint="default" w:asciiTheme="minorEastAsia" w:hAnsiTheme="minorEastAsia" w:eastAsiaTheme="minorEastAsia" w:cstheme="minorEastAsia"/>
          <w:b w:val="0"/>
          <w:bCs/>
          <w:color w:val="auto"/>
          <w:kern w:val="0"/>
          <w:sz w:val="24"/>
          <w:szCs w:val="24"/>
          <w:lang w:val="en-US" w:eastAsia="zh-CN" w:bidi="ar-SA"/>
        </w:rPr>
        <w:t>台账管理：完整留存销售小票、收款台账、进货记录，医院每月抽查核对收费数据。</w:t>
      </w:r>
    </w:p>
    <w:p w14:paraId="2864F8C4">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w:t>
      </w:r>
      <w:r>
        <w:rPr>
          <w:rFonts w:hint="default" w:asciiTheme="minorEastAsia" w:hAnsiTheme="minorEastAsia" w:eastAsiaTheme="minorEastAsia" w:cstheme="minorEastAsia"/>
          <w:b w:val="0"/>
          <w:bCs/>
          <w:color w:val="auto"/>
          <w:kern w:val="0"/>
          <w:sz w:val="24"/>
          <w:szCs w:val="24"/>
          <w:lang w:val="en-US" w:eastAsia="zh-CN" w:bidi="ar-SA"/>
        </w:rPr>
        <w:t>服务规范：工作人员统一着装、持证上岗，文明规范服务；服务话术客观真实，严禁夸大助听器疗效、虚假宣传、拦截就诊患者私下推销、诱导强制消费；严禁向医院医护、行政人员输送回扣、礼品、利益输送等商业贿赂行为；</w:t>
      </w:r>
    </w:p>
    <w:p w14:paraId="77433298">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w:t>
      </w:r>
      <w:r>
        <w:rPr>
          <w:rFonts w:hint="default" w:asciiTheme="minorEastAsia" w:hAnsiTheme="minorEastAsia" w:eastAsiaTheme="minorEastAsia" w:cstheme="minorEastAsia"/>
          <w:b w:val="0"/>
          <w:bCs/>
          <w:color w:val="auto"/>
          <w:kern w:val="0"/>
          <w:sz w:val="24"/>
          <w:szCs w:val="24"/>
          <w:lang w:val="en-US" w:eastAsia="zh-CN" w:bidi="ar-SA"/>
        </w:rPr>
        <w:t>档案管理：为所有服务患者建立永久电子听力健康档案，完整记录听力检测、验配、调试、复查、售后全流程信息，医院可随时调阅；</w:t>
      </w:r>
    </w:p>
    <w:p w14:paraId="7E674ABB">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w:t>
      </w:r>
      <w:r>
        <w:rPr>
          <w:rFonts w:hint="default" w:asciiTheme="minorEastAsia" w:hAnsiTheme="minorEastAsia" w:eastAsiaTheme="minorEastAsia" w:cstheme="minorEastAsia"/>
          <w:b w:val="0"/>
          <w:bCs/>
          <w:color w:val="auto"/>
          <w:kern w:val="0"/>
          <w:sz w:val="24"/>
          <w:szCs w:val="24"/>
          <w:lang w:val="en-US" w:eastAsia="zh-CN" w:bidi="ar-SA"/>
        </w:rPr>
        <w:t>售后体系：建立7×24小时售后响应机制，接到患者调试、维修需求及时处置；建立助听器保养、复测、故障维修标准化流程；</w:t>
      </w:r>
    </w:p>
    <w:p w14:paraId="1EBBBD6A">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w:t>
      </w:r>
      <w:r>
        <w:rPr>
          <w:rFonts w:hint="default" w:asciiTheme="minorEastAsia" w:hAnsiTheme="minorEastAsia" w:eastAsiaTheme="minorEastAsia" w:cstheme="minorEastAsia"/>
          <w:b w:val="0"/>
          <w:bCs/>
          <w:color w:val="auto"/>
          <w:kern w:val="0"/>
          <w:sz w:val="24"/>
          <w:szCs w:val="24"/>
          <w:lang w:val="en-US" w:eastAsia="zh-CN" w:bidi="ar-SA"/>
        </w:rPr>
        <w:t>投诉处置：收到医院转交或患者直接投诉，24小时内响应，3日内完成调解、赔付、整改，形成投诉闭环台账；因产品、服务产生的一切赔偿、舆情、行政处罚全部由供应商承担；</w:t>
      </w:r>
    </w:p>
    <w:p w14:paraId="1CE1CAE5">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w:t>
      </w:r>
      <w:r>
        <w:rPr>
          <w:rFonts w:hint="default" w:asciiTheme="minorEastAsia" w:hAnsiTheme="minorEastAsia" w:eastAsiaTheme="minorEastAsia" w:cstheme="minorEastAsia"/>
          <w:b w:val="0"/>
          <w:bCs/>
          <w:color w:val="auto"/>
          <w:kern w:val="0"/>
          <w:sz w:val="24"/>
          <w:szCs w:val="24"/>
          <w:lang w:val="en-US" w:eastAsia="zh-CN" w:bidi="ar-SA"/>
        </w:rPr>
        <w:t>院感与安全管理：严格落实医院院感消毒、消防安全、用电安全管理制度，定期开展安全自查，承担全部安全事故责任；</w:t>
      </w:r>
    </w:p>
    <w:p w14:paraId="3F1F7DFF">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w:t>
      </w:r>
      <w:r>
        <w:rPr>
          <w:rFonts w:hint="default" w:asciiTheme="minorEastAsia" w:hAnsiTheme="minorEastAsia" w:eastAsiaTheme="minorEastAsia" w:cstheme="minorEastAsia"/>
          <w:b w:val="0"/>
          <w:bCs/>
          <w:color w:val="auto"/>
          <w:kern w:val="0"/>
          <w:sz w:val="24"/>
          <w:szCs w:val="24"/>
          <w:lang w:val="en-US" w:eastAsia="zh-CN" w:bidi="ar-SA"/>
        </w:rPr>
        <w:t>宣传物料管理：所有海报、宣传单、科普短视频、宣传话术须提前报送医院审核，未经审核不得使用，禁止冒用医院名义进行商业营销。</w:t>
      </w:r>
    </w:p>
    <w:p w14:paraId="0EEBB6AE">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（五）考核</w:t>
      </w:r>
    </w:p>
    <w:p w14:paraId="66F3E9A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r>
        <w:rPr>
          <w:rFonts w:hint="default" w:asciiTheme="minorEastAsia" w:hAnsiTheme="minorEastAsia" w:eastAsiaTheme="minorEastAsia" w:cstheme="minorEastAsia"/>
          <w:b w:val="0"/>
          <w:bCs/>
          <w:color w:val="auto"/>
          <w:kern w:val="0"/>
          <w:sz w:val="24"/>
          <w:szCs w:val="24"/>
          <w:lang w:val="en-US" w:eastAsia="zh-CN" w:bidi="ar-SA"/>
        </w:rPr>
        <w:t>日常巡查：病友服务中心联合耳鼻喉</w:t>
      </w:r>
      <w:r>
        <w:rPr>
          <w:rFonts w:hint="eastAsia" w:asciiTheme="minorEastAsia" w:hAnsiTheme="minorEastAsia" w:eastAsiaTheme="minorEastAsia" w:cstheme="minorEastAsia"/>
          <w:b w:val="0"/>
          <w:bCs/>
          <w:color w:val="auto"/>
          <w:kern w:val="0"/>
          <w:sz w:val="24"/>
          <w:szCs w:val="24"/>
          <w:lang w:val="en-US" w:eastAsia="zh-CN" w:bidi="ar-SA"/>
        </w:rPr>
        <w:t>头颈外</w:t>
      </w:r>
      <w:r>
        <w:rPr>
          <w:rFonts w:hint="default" w:asciiTheme="minorEastAsia" w:hAnsiTheme="minorEastAsia" w:eastAsiaTheme="minorEastAsia" w:cstheme="minorEastAsia"/>
          <w:b w:val="0"/>
          <w:bCs/>
          <w:color w:val="auto"/>
          <w:kern w:val="0"/>
          <w:sz w:val="24"/>
          <w:szCs w:val="24"/>
          <w:lang w:val="en-US" w:eastAsia="zh-CN" w:bidi="ar-SA"/>
        </w:rPr>
        <w:t>科每周现场抽查、每月全面检查，建立巡查台账，对场地、人员、价格、服务、质量问题下达整改通知书，限期闭环整改；</w:t>
      </w:r>
    </w:p>
    <w:p w14:paraId="5E8E00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季度质量考核：每季度从设备管理、验配专业度、售后保障、患者满意度、价格合规、公益服务6大维度开展量化考核，合格分数线80分；低于80分限期7日整改，复查不合格暂停服务；</w:t>
      </w:r>
    </w:p>
    <w:p w14:paraId="429C621B">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3</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年度综合评估：每年合作到期前30日开展年度总评，考核不合格不予续签年度合作协议；</w:t>
      </w:r>
    </w:p>
    <w:p w14:paraId="5879077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4</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价格专项监管：医院每月核查销售台账、随机比价，对价格违规行为实施警告、扣除保证金、暂停服务、单方解约等处置；</w:t>
      </w:r>
    </w:p>
    <w:p w14:paraId="31F07A8C">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首次价格违规：书面警告，3日内整改，扣除20%履约保证金；</w:t>
      </w:r>
    </w:p>
    <w:p w14:paraId="0DADCCEA">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二次价格违规：暂停乙方经营服务7日，扣除50%履约保证金；</w:t>
      </w:r>
    </w:p>
    <w:p w14:paraId="592A2F18">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三次及以上价格违规：甲方单方终止协议，全额没收履约保证金，乙方3日内撤离场地。</w:t>
      </w:r>
    </w:p>
    <w:p w14:paraId="0B8B2DF0">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5</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纪检全程监督：医院纪检监察室对项目遴选、运营、廉洁风险全流程监督，查实商业贿赂立即取消合作并上报主管部门。</w:t>
      </w:r>
    </w:p>
    <w:p w14:paraId="7C09B74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w:t>
      </w:r>
      <w:r>
        <w:rPr>
          <w:rFonts w:hint="default" w:asciiTheme="minorEastAsia" w:hAnsiTheme="minorEastAsia" w:eastAsiaTheme="minorEastAsia" w:cstheme="minorEastAsia"/>
          <w:b w:val="0"/>
          <w:bCs/>
          <w:color w:val="auto"/>
          <w:kern w:val="0"/>
          <w:sz w:val="24"/>
          <w:szCs w:val="24"/>
          <w:lang w:val="en-US" w:eastAsia="zh-CN" w:bidi="ar-SA"/>
        </w:rPr>
        <w:t xml:space="preserve"> 出现以下任一情况，医院有权单方终止合作协议、没收全部履约保证金、不予任何补偿，并将供应商列入医院合作黑名单：</w:t>
      </w:r>
    </w:p>
    <w:p w14:paraId="656C332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6.1产品无正规资质、假冒伪劣、价格欺诈、虚假宣传、诱导消费、商业贿赂；</w:t>
      </w:r>
    </w:p>
    <w:p w14:paraId="2A0A9BE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6.2擅自转让、转包、分包或以其他形式变相转委托给第三方；</w:t>
      </w:r>
    </w:p>
    <w:p w14:paraId="246B6F4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6.3擅自更换项目负责人或核心持证验配师；</w:t>
      </w:r>
    </w:p>
    <w:p w14:paraId="6BCBEAF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6.4擅自变更服务方案、工作制度、服务标准、收费标准及方式，损害患者利益。</w:t>
      </w:r>
    </w:p>
    <w:p w14:paraId="2E95338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6.5 拒不执行甲方关于医疗质量、院感防控、价格管控、行风廉洁等方面的监管指令，或收到限期整改通知后，在限定期限内仍未整改或整改不合格。</w:t>
      </w:r>
    </w:p>
    <w:p w14:paraId="2420169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6.6发生重大产品质量事故、医疗配套安全事故、群体性投诉舆情；</w:t>
      </w:r>
    </w:p>
    <w:p w14:paraId="0F21CD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6.7 月度发生3次及以上有效投诉、重大服务纠纷、舆情事件的；</w:t>
      </w:r>
    </w:p>
    <w:p w14:paraId="1B7F4D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6.8 发生虚假宣传、诱导消费、商业贿赂的；</w:t>
      </w:r>
    </w:p>
    <w:p w14:paraId="013C509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6.9 发生三次及以上价格违规的；</w:t>
      </w:r>
    </w:p>
    <w:p w14:paraId="569870D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6.10 年度综合考核不合格；</w:t>
      </w:r>
    </w:p>
    <w:p w14:paraId="0696A19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6.11 以医院名义诱导患方或强迫患方接受乙方服务。</w:t>
      </w:r>
    </w:p>
    <w:p w14:paraId="48CC378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6.12 在工作中辱骂他人、打架斗殴等违反法律法规、工作制度、医院管理制度的情形。</w:t>
      </w:r>
    </w:p>
    <w:p w14:paraId="65231B0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6.13 存在协议中规定的其他需解除协议的情况的。</w:t>
      </w:r>
    </w:p>
    <w:p w14:paraId="79602671">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（六）保证金：</w:t>
      </w:r>
    </w:p>
    <w:p w14:paraId="07B02EBF">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中标供应商须在合作协议签订3个工作日内，向医院足额缴纳履约保证金（伍万元人民币），用于赔付患者纠纷、抵扣违规违约金、修复场地损坏、补偿医院名誉损失；合作期内无违规、无未结清纠纷，年度协议到期无息退还；保证金不足覆盖损失的，医院有权向供应商追偿。</w:t>
      </w:r>
    </w:p>
    <w:p w14:paraId="4D14E0F4">
      <w:pPr>
        <w:rPr>
          <w:rFonts w:hint="eastAsia" w:asciiTheme="minorEastAsia" w:hAnsiTheme="minorEastAsia" w:eastAsiaTheme="minorEastAsia" w:cstheme="minorEastAsia"/>
          <w:bCs/>
          <w:color w:val="auto"/>
          <w:kern w:val="0"/>
          <w:sz w:val="28"/>
          <w:szCs w:val="28"/>
          <w:lang w:val="en-US" w:eastAsia="zh-CN" w:bidi="ar-SA"/>
        </w:rPr>
      </w:pPr>
    </w:p>
    <w:p w14:paraId="761DBCF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2AFCBAD">
      <w:pPr>
        <w:jc w:val="center"/>
        <w:rPr>
          <w:rFonts w:hint="eastAsia" w:ascii="仿宋" w:hAnsi="仿宋" w:eastAsia="仿宋" w:cs="仿宋"/>
          <w:sz w:val="28"/>
          <w:szCs w:val="28"/>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sz w:val="28"/>
          <w:szCs w:val="28"/>
          <w:lang w:val="en-US" w:eastAsia="zh-CN"/>
        </w:rPr>
        <w:t>合同编号：</w:t>
      </w:r>
    </w:p>
    <w:p w14:paraId="45028153">
      <w:pPr>
        <w:jc w:val="cente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助听器</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验配中心第三方便民服务合作协议</w:t>
      </w:r>
    </w:p>
    <w:p w14:paraId="6E5E15E0">
      <w:pPr>
        <w:rPr>
          <w:rFonts w:hint="eastAsia" w:ascii="仿宋" w:hAnsi="仿宋" w:eastAsia="仿宋" w:cs="仿宋"/>
          <w:sz w:val="28"/>
          <w:szCs w:val="28"/>
        </w:rPr>
      </w:pPr>
    </w:p>
    <w:p w14:paraId="6187C769">
      <w:pPr>
        <w:rPr>
          <w:rFonts w:hint="eastAsia" w:ascii="仿宋" w:hAnsi="仿宋" w:eastAsia="仿宋" w:cs="仿宋"/>
          <w:sz w:val="28"/>
          <w:szCs w:val="28"/>
        </w:rPr>
      </w:pPr>
      <w:r>
        <w:rPr>
          <w:rFonts w:hint="eastAsia" w:ascii="仿宋" w:hAnsi="仿宋" w:eastAsia="仿宋" w:cs="仿宋"/>
          <w:sz w:val="28"/>
          <w:szCs w:val="28"/>
        </w:rPr>
        <w:t>甲方：娄底市中心医院</w:t>
      </w:r>
    </w:p>
    <w:p w14:paraId="4D8212C7">
      <w:pPr>
        <w:rPr>
          <w:rFonts w:hint="eastAsia" w:ascii="仿宋" w:hAnsi="仿宋" w:eastAsia="仿宋" w:cs="仿宋"/>
          <w:sz w:val="28"/>
          <w:szCs w:val="28"/>
        </w:rPr>
      </w:pPr>
      <w:r>
        <w:rPr>
          <w:rFonts w:hint="eastAsia" w:ascii="仿宋" w:hAnsi="仿宋" w:eastAsia="仿宋" w:cs="仿宋"/>
          <w:sz w:val="28"/>
          <w:szCs w:val="28"/>
        </w:rPr>
        <w:t>法定代表人：杨吉军</w:t>
      </w:r>
    </w:p>
    <w:p w14:paraId="3049AAAB">
      <w:pPr>
        <w:rPr>
          <w:rFonts w:hint="eastAsia" w:ascii="仿宋" w:hAnsi="仿宋" w:eastAsia="仿宋" w:cs="仿宋"/>
          <w:sz w:val="28"/>
          <w:szCs w:val="28"/>
        </w:rPr>
      </w:pPr>
      <w:r>
        <w:rPr>
          <w:rFonts w:hint="eastAsia" w:ascii="仿宋" w:hAnsi="仿宋" w:eastAsia="仿宋" w:cs="仿宋"/>
          <w:sz w:val="28"/>
          <w:szCs w:val="28"/>
        </w:rPr>
        <w:t>统一社会信用代码：12431300447162073W</w:t>
      </w:r>
    </w:p>
    <w:p w14:paraId="0719EC85">
      <w:pPr>
        <w:rPr>
          <w:rFonts w:hint="eastAsia" w:ascii="仿宋" w:hAnsi="仿宋" w:eastAsia="仿宋" w:cs="仿宋"/>
          <w:sz w:val="28"/>
          <w:szCs w:val="28"/>
        </w:rPr>
      </w:pPr>
      <w:r>
        <w:rPr>
          <w:rFonts w:hint="eastAsia" w:ascii="仿宋" w:hAnsi="仿宋" w:eastAsia="仿宋" w:cs="仿宋"/>
          <w:sz w:val="28"/>
          <w:szCs w:val="28"/>
        </w:rPr>
        <w:t>地址：娄底市长青中街51号</w:t>
      </w:r>
    </w:p>
    <w:p w14:paraId="49663DA8">
      <w:pPr>
        <w:rPr>
          <w:rFonts w:hint="eastAsia" w:ascii="仿宋" w:hAnsi="仿宋" w:eastAsia="仿宋" w:cs="仿宋"/>
          <w:sz w:val="28"/>
          <w:szCs w:val="28"/>
        </w:rPr>
      </w:pPr>
    </w:p>
    <w:p w14:paraId="7315A9C8">
      <w:pPr>
        <w:rPr>
          <w:rFonts w:hint="eastAsia" w:ascii="仿宋" w:hAnsi="仿宋" w:eastAsia="仿宋" w:cs="仿宋"/>
          <w:sz w:val="28"/>
          <w:szCs w:val="28"/>
        </w:rPr>
      </w:pPr>
      <w:r>
        <w:rPr>
          <w:rFonts w:hint="eastAsia" w:ascii="仿宋" w:hAnsi="仿宋" w:eastAsia="仿宋" w:cs="仿宋"/>
          <w:sz w:val="28"/>
          <w:szCs w:val="28"/>
        </w:rPr>
        <w:t>乙方（第三方运营服务方）：</w:t>
      </w:r>
    </w:p>
    <w:p w14:paraId="2FBAB85E">
      <w:pPr>
        <w:rPr>
          <w:rFonts w:hint="eastAsia" w:ascii="仿宋" w:hAnsi="仿宋" w:eastAsia="仿宋" w:cs="仿宋"/>
          <w:sz w:val="28"/>
          <w:szCs w:val="28"/>
        </w:rPr>
      </w:pPr>
      <w:r>
        <w:rPr>
          <w:rFonts w:hint="eastAsia" w:ascii="仿宋" w:hAnsi="仿宋" w:eastAsia="仿宋" w:cs="仿宋"/>
          <w:sz w:val="28"/>
          <w:szCs w:val="28"/>
        </w:rPr>
        <w:t>法定代表人：</w:t>
      </w:r>
    </w:p>
    <w:p w14:paraId="58D6F024">
      <w:pPr>
        <w:rPr>
          <w:rFonts w:hint="eastAsia" w:ascii="仿宋" w:hAnsi="仿宋" w:eastAsia="仿宋" w:cs="仿宋"/>
          <w:sz w:val="28"/>
          <w:szCs w:val="28"/>
        </w:rPr>
      </w:pPr>
      <w:r>
        <w:rPr>
          <w:rFonts w:hint="eastAsia" w:ascii="仿宋" w:hAnsi="仿宋" w:eastAsia="仿宋" w:cs="仿宋"/>
          <w:sz w:val="28"/>
          <w:szCs w:val="28"/>
        </w:rPr>
        <w:t>统一社会信用代码：</w:t>
      </w:r>
    </w:p>
    <w:p w14:paraId="54B0354E">
      <w:pPr>
        <w:rPr>
          <w:rFonts w:hint="eastAsia" w:ascii="仿宋" w:hAnsi="仿宋" w:eastAsia="仿宋" w:cs="仿宋"/>
          <w:sz w:val="28"/>
          <w:szCs w:val="28"/>
        </w:rPr>
      </w:pPr>
      <w:r>
        <w:rPr>
          <w:rFonts w:hint="eastAsia" w:ascii="仿宋" w:hAnsi="仿宋" w:eastAsia="仿宋" w:cs="仿宋"/>
          <w:sz w:val="28"/>
          <w:szCs w:val="28"/>
        </w:rPr>
        <w:t>地址：</w:t>
      </w:r>
    </w:p>
    <w:p w14:paraId="321B82AA">
      <w:pPr>
        <w:rPr>
          <w:rFonts w:hint="eastAsia" w:ascii="仿宋" w:hAnsi="仿宋" w:eastAsia="仿宋" w:cs="仿宋"/>
          <w:sz w:val="28"/>
          <w:szCs w:val="28"/>
        </w:rPr>
      </w:pPr>
      <w:r>
        <w:rPr>
          <w:rFonts w:hint="eastAsia" w:ascii="仿宋" w:hAnsi="仿宋" w:eastAsia="仿宋" w:cs="仿宋"/>
          <w:sz w:val="28"/>
          <w:szCs w:val="28"/>
        </w:rPr>
        <w:t xml:space="preserve"> </w:t>
      </w:r>
    </w:p>
    <w:p w14:paraId="130D28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val="en-US" w:eastAsia="zh-CN"/>
        </w:rPr>
        <w:t>甲方通过</w:t>
      </w:r>
      <w:r>
        <w:rPr>
          <w:rFonts w:hint="eastAsia" w:ascii="仿宋" w:hAnsi="仿宋" w:eastAsia="仿宋" w:cs="仿宋"/>
          <w:color w:val="auto"/>
          <w:sz w:val="28"/>
          <w:szCs w:val="28"/>
          <w:u w:val="single"/>
          <w:lang w:val="en-US" w:eastAsia="zh-CN"/>
        </w:rPr>
        <w:t xml:space="preserve"> 公开遴选 </w:t>
      </w:r>
      <w:r>
        <w:rPr>
          <w:rFonts w:hint="eastAsia" w:ascii="仿宋" w:hAnsi="仿宋" w:eastAsia="仿宋" w:cs="仿宋"/>
          <w:color w:val="auto"/>
          <w:sz w:val="28"/>
          <w:szCs w:val="28"/>
          <w:lang w:val="en-US" w:eastAsia="zh-CN"/>
        </w:rPr>
        <w:t>方式选定乙方作为助听器验配中心第三方便民服务合作供应商。双方</w:t>
      </w:r>
      <w:r>
        <w:rPr>
          <w:rFonts w:hint="eastAsia" w:ascii="仿宋" w:hAnsi="仿宋" w:eastAsia="仿宋" w:cs="仿宋"/>
          <w:color w:val="auto"/>
          <w:sz w:val="28"/>
          <w:szCs w:val="28"/>
        </w:rPr>
        <w:t>依据《中华人民共和国民法典》《医疗器械监督管理条例》《医疗机构管理条例》《关于推进耳与听力健康工作的指导意见》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国卫医政发〔2025〕10号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及国有资产管理相关规定</w:t>
      </w:r>
      <w:r>
        <w:rPr>
          <w:rFonts w:hint="eastAsia" w:ascii="仿宋" w:hAnsi="仿宋" w:eastAsia="仿宋" w:cs="仿宋"/>
          <w:color w:val="auto"/>
          <w:sz w:val="28"/>
          <w:szCs w:val="28"/>
        </w:rPr>
        <w:t>，甲方提供场地、医疗质控</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rPr>
        <w:t>全流程监管，乙方全额投资建设</w:t>
      </w:r>
      <w:r>
        <w:rPr>
          <w:rFonts w:hint="eastAsia" w:ascii="仿宋" w:hAnsi="仿宋" w:eastAsia="仿宋" w:cs="仿宋"/>
          <w:color w:val="auto"/>
          <w:sz w:val="28"/>
          <w:szCs w:val="28"/>
          <w:lang w:val="en-US" w:eastAsia="zh-CN"/>
        </w:rPr>
        <w:t>助听器便民验配服务点</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提供非医疗配套便民服务。双方明确</w:t>
      </w:r>
      <w:r>
        <w:rPr>
          <w:rFonts w:hint="eastAsia" w:ascii="仿宋" w:hAnsi="仿宋" w:eastAsia="仿宋" w:cs="仿宋"/>
          <w:color w:val="auto"/>
          <w:sz w:val="28"/>
          <w:szCs w:val="28"/>
        </w:rPr>
        <w:t>区分医疗核心业务与第三方配套服务，严禁医疗外包，坚持公立医院公</w:t>
      </w:r>
      <w:r>
        <w:rPr>
          <w:rFonts w:hint="eastAsia" w:ascii="仿宋" w:hAnsi="仿宋" w:eastAsia="仿宋" w:cs="仿宋"/>
          <w:sz w:val="28"/>
          <w:szCs w:val="28"/>
        </w:rPr>
        <w:t>益属性，甲乙双方本着公开合规、权责清晰、风险可控、互利共赢原则，订立本协议。</w:t>
      </w:r>
    </w:p>
    <w:p w14:paraId="000B420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第一条 合作基本约定</w:t>
      </w:r>
    </w:p>
    <w:p w14:paraId="5BE558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 合作场地</w:t>
      </w:r>
    </w:p>
    <w:p w14:paraId="654395D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sz w:val="28"/>
          <w:szCs w:val="28"/>
        </w:rPr>
        <w:t>甲方提供门诊楼四楼指定区域，总面积约20㎡，含独立验配功能室，提供基础水电、网络配套。</w:t>
      </w:r>
      <w:r>
        <w:rPr>
          <w:rFonts w:hint="eastAsia" w:ascii="仿宋" w:hAnsi="仿宋" w:eastAsia="仿宋" w:cs="仿宋"/>
          <w:color w:val="auto"/>
          <w:sz w:val="28"/>
          <w:szCs w:val="28"/>
        </w:rPr>
        <w:t xml:space="preserve">乙方不得擅自改变场地用途或扩大使用范围。 </w:t>
      </w:r>
    </w:p>
    <w:p w14:paraId="44C4004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1.2 合作期限</w:t>
      </w:r>
    </w:p>
    <w:p w14:paraId="7C5FC02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1.2.1 合同期限为1年，自2026年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日起至2027年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日止；合同期限届满前30日，如乙方经甲方年度综合考核合格，合同期限可顺延，每次顺延期限以1年为限，顺延次数以2次为限；每次顺延，甲乙双方需另行签订合作协议。</w:t>
      </w:r>
    </w:p>
    <w:p w14:paraId="2D80D6D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1.2.2 如乙方经甲方年度综合</w:t>
      </w:r>
      <w:r>
        <w:rPr>
          <w:rFonts w:hint="eastAsia" w:ascii="仿宋" w:hAnsi="仿宋" w:eastAsia="仿宋" w:cs="仿宋"/>
          <w:color w:val="auto"/>
          <w:sz w:val="28"/>
          <w:szCs w:val="28"/>
        </w:rPr>
        <w:t>考核不合格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甲方有权不再续签</w:t>
      </w:r>
      <w:r>
        <w:rPr>
          <w:rFonts w:hint="eastAsia" w:ascii="仿宋" w:hAnsi="仿宋" w:eastAsia="仿宋" w:cs="仿宋"/>
          <w:color w:val="auto"/>
          <w:sz w:val="28"/>
          <w:szCs w:val="28"/>
          <w:lang w:eastAsia="zh-CN"/>
        </w:rPr>
        <w:t>且不承担任何赔偿责任</w:t>
      </w:r>
      <w:r>
        <w:rPr>
          <w:rFonts w:hint="eastAsia" w:ascii="仿宋" w:hAnsi="仿宋" w:eastAsia="仿宋" w:cs="仿宋"/>
          <w:color w:val="auto"/>
          <w:sz w:val="28"/>
          <w:szCs w:val="28"/>
        </w:rPr>
        <w:t>。</w:t>
      </w:r>
    </w:p>
    <w:p w14:paraId="7E4E584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 合作性质</w:t>
      </w:r>
    </w:p>
    <w:p w14:paraId="7048C60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本项目为院内助听器便民验配服务，不构成医疗科室承包、出租、托管或变相分配收益。乙方系独立经营主体，不得以甲方名义开展诊疗活动，或以甲方名义开展任何助听器销售、验配宣传经营活动。</w:t>
      </w:r>
    </w:p>
    <w:p w14:paraId="071A044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业务边界</w:t>
      </w:r>
    </w:p>
    <w:p w14:paraId="67CB363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甲方负责听力诊断、病情评估、医疗处方出具、医疗质量控制、院感管理、医疗安全、专科诊疗、学科教学科研</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rPr>
        <w:t>医疗核心</w:t>
      </w:r>
      <w:r>
        <w:rPr>
          <w:rFonts w:hint="eastAsia" w:ascii="仿宋" w:hAnsi="仿宋" w:eastAsia="仿宋" w:cs="仿宋"/>
          <w:color w:val="auto"/>
          <w:sz w:val="28"/>
          <w:szCs w:val="28"/>
          <w:lang w:val="en-US" w:eastAsia="zh-CN"/>
        </w:rPr>
        <w:t>业务</w:t>
      </w:r>
      <w:r>
        <w:rPr>
          <w:rFonts w:hint="eastAsia" w:ascii="仿宋" w:hAnsi="仿宋" w:eastAsia="仿宋" w:cs="仿宋"/>
          <w:color w:val="auto"/>
          <w:sz w:val="28"/>
          <w:szCs w:val="28"/>
        </w:rPr>
        <w:t>。甲方不向乙方出借、出租医疗执业资质。</w:t>
      </w:r>
    </w:p>
    <w:p w14:paraId="1FDD027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乙方仅提供场地装修改造、听力检测设备采购投入、信息化系统搭建、持证验配师驻场、助听器及辅听设备供应、设备调试、真耳分析、售后维修保养、听力健康档案管理、科普宣教、公益筛查配套执行</w:t>
      </w:r>
      <w:r>
        <w:rPr>
          <w:rFonts w:hint="eastAsia" w:ascii="仿宋" w:hAnsi="仿宋" w:eastAsia="仿宋" w:cs="仿宋"/>
          <w:color w:val="auto"/>
          <w:sz w:val="28"/>
          <w:szCs w:val="28"/>
          <w:lang w:val="en-US" w:eastAsia="zh-CN"/>
        </w:rPr>
        <w:t>等非医疗</w:t>
      </w:r>
      <w:r>
        <w:rPr>
          <w:rFonts w:hint="eastAsia" w:ascii="仿宋" w:hAnsi="仿宋" w:eastAsia="仿宋" w:cs="仿宋"/>
          <w:color w:val="auto"/>
          <w:sz w:val="28"/>
          <w:szCs w:val="28"/>
        </w:rPr>
        <w:t>配套便民服务</w:t>
      </w:r>
      <w:r>
        <w:rPr>
          <w:rFonts w:hint="eastAsia" w:ascii="仿宋" w:hAnsi="仿宋" w:eastAsia="仿宋" w:cs="仿宋"/>
          <w:color w:val="auto"/>
          <w:sz w:val="28"/>
          <w:szCs w:val="28"/>
          <w:lang w:val="en-US" w:eastAsia="zh-CN"/>
        </w:rPr>
        <w:t>；</w:t>
      </w:r>
    </w:p>
    <w:p w14:paraId="71285B7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1.4.3 乙方严禁开展任何听力诊断、病情评估、处方开具、医学建议、侵入性操作等医疗行为；严禁伪造、冒用甲方医疗文书或印章。</w:t>
      </w:r>
    </w:p>
    <w:p w14:paraId="1476C6D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乙方配套</w:t>
      </w:r>
      <w:r>
        <w:rPr>
          <w:rFonts w:hint="eastAsia" w:ascii="仿宋" w:hAnsi="仿宋" w:eastAsia="仿宋" w:cs="仿宋"/>
          <w:color w:val="auto"/>
          <w:sz w:val="28"/>
          <w:szCs w:val="28"/>
          <w:highlight w:val="none"/>
        </w:rPr>
        <w:t>服务范围</w:t>
      </w:r>
    </w:p>
    <w:p w14:paraId="688B0A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1.5.</w:t>
      </w: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助听器医学验配、真耳分析、设备校准调试、佩戴效果评估、终身售后维护保养；</w:t>
      </w:r>
    </w:p>
    <w:p w14:paraId="0902914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1.5.2 </w:t>
      </w:r>
      <w:r>
        <w:rPr>
          <w:rFonts w:hint="eastAsia" w:ascii="仿宋" w:hAnsi="仿宋" w:eastAsia="仿宋" w:cs="仿宋"/>
          <w:color w:val="auto"/>
          <w:sz w:val="28"/>
          <w:szCs w:val="28"/>
          <w:highlight w:val="none"/>
        </w:rPr>
        <w:t>院内及社区听力普查、耳健康科普宣教、患者标准化听力电子档案建立与全周期管理（仅限非医疗数据）；</w:t>
      </w:r>
    </w:p>
    <w:p w14:paraId="564C731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1.5.3 </w:t>
      </w:r>
      <w:r>
        <w:rPr>
          <w:rFonts w:hint="eastAsia" w:ascii="仿宋" w:hAnsi="仿宋" w:eastAsia="仿宋" w:cs="仿宋"/>
          <w:color w:val="auto"/>
          <w:sz w:val="28"/>
          <w:szCs w:val="28"/>
          <w:highlight w:val="none"/>
        </w:rPr>
        <w:t>配合</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开展听力相关科研教学、专业技术培训、听力辅具临床试验配套保障工作。</w:t>
      </w:r>
    </w:p>
    <w:p w14:paraId="302EA7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 合作模式 </w:t>
      </w:r>
    </w:p>
    <w:p w14:paraId="61DBAF9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甲方出场地、强监管、控医疗质量；乙方全额承担装修、设备、人员、耗材、水电物业、运营、售后全部成本，自主经营、自负盈亏，独立承担经营、产品、人员、舆情、民事赔偿及行政处罚全部法律责任。</w:t>
      </w:r>
    </w:p>
    <w:p w14:paraId="74E1019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黑体" w:hAnsi="黑体" w:eastAsia="黑体" w:cs="黑体"/>
          <w:b w:val="0"/>
          <w:bCs w:val="0"/>
          <w:color w:val="auto"/>
          <w:sz w:val="28"/>
          <w:szCs w:val="28"/>
        </w:rPr>
        <w:t>第</w:t>
      </w:r>
      <w:r>
        <w:rPr>
          <w:rFonts w:hint="eastAsia" w:ascii="黑体" w:hAnsi="黑体" w:eastAsia="黑体" w:cs="黑体"/>
          <w:b w:val="0"/>
          <w:bCs w:val="0"/>
          <w:color w:val="auto"/>
          <w:sz w:val="28"/>
          <w:szCs w:val="28"/>
          <w:lang w:val="en-US" w:eastAsia="zh-CN"/>
        </w:rPr>
        <w:t>二</w:t>
      </w:r>
      <w:r>
        <w:rPr>
          <w:rFonts w:hint="eastAsia" w:ascii="黑体" w:hAnsi="黑体" w:eastAsia="黑体" w:cs="黑体"/>
          <w:b w:val="0"/>
          <w:bCs w:val="0"/>
          <w:color w:val="auto"/>
          <w:sz w:val="28"/>
          <w:szCs w:val="28"/>
        </w:rPr>
        <w:t>条</w:t>
      </w:r>
      <w:r>
        <w:rPr>
          <w:rFonts w:hint="eastAsia" w:ascii="黑体" w:hAnsi="黑体" w:eastAsia="黑体" w:cs="黑体"/>
          <w:b w:val="0"/>
          <w:bCs w:val="0"/>
          <w:sz w:val="28"/>
          <w:szCs w:val="28"/>
        </w:rPr>
        <w:t xml:space="preserve"> 甲方权利与义务</w:t>
      </w:r>
      <w:r>
        <w:rPr>
          <w:rFonts w:hint="eastAsia" w:ascii="仿宋" w:hAnsi="仿宋" w:eastAsia="仿宋" w:cs="仿宋"/>
          <w:sz w:val="28"/>
          <w:szCs w:val="28"/>
        </w:rPr>
        <w:t xml:space="preserve"> </w:t>
      </w:r>
    </w:p>
    <w:p w14:paraId="743E52F6">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2.1 甲方权利</w:t>
      </w:r>
    </w:p>
    <w:p w14:paraId="6DC4317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1</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全维度监管权：对乙方资质、人员、设备、装修方案、服务流程、产品价格、宣传物料、服务质量、行风廉洁、安全生产、院感、投诉处置实施常态化监管，有权制止一切违规经营行为。</w:t>
      </w:r>
    </w:p>
    <w:p w14:paraId="1EE09F0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 xml:space="preserve">.1.2 </w:t>
      </w:r>
      <w:r>
        <w:rPr>
          <w:rFonts w:hint="eastAsia" w:ascii="仿宋" w:hAnsi="仿宋" w:eastAsia="仿宋" w:cs="仿宋"/>
          <w:sz w:val="28"/>
          <w:szCs w:val="28"/>
        </w:rPr>
        <w:t>方案审定权：乙方场地装修图纸、设备采购清单、信息化系统、价目表、宣传海报、科普材料、运营制度均须提交</w:t>
      </w:r>
      <w:r>
        <w:rPr>
          <w:rFonts w:hint="eastAsia" w:ascii="仿宋" w:hAnsi="仿宋" w:eastAsia="仿宋" w:cs="仿宋"/>
          <w:sz w:val="28"/>
          <w:szCs w:val="28"/>
          <w:highlight w:val="none"/>
        </w:rPr>
        <w:t>甲方审核，</w:t>
      </w:r>
      <w:r>
        <w:rPr>
          <w:rFonts w:hint="eastAsia" w:ascii="仿宋" w:hAnsi="仿宋" w:eastAsia="仿宋" w:cs="仿宋"/>
          <w:sz w:val="28"/>
          <w:szCs w:val="28"/>
        </w:rPr>
        <w:t>未经审核不得实施。</w:t>
      </w:r>
    </w:p>
    <w:p w14:paraId="7A4393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考核处置权：实行季度专项考核、年度综合评估，对乙方违规行为可采取口头警告、书面限期整改、暂停对外服务、扣除履约保证金、单方终止协议、列入医院合作黑名单等处置措施。</w:t>
      </w:r>
    </w:p>
    <w:p w14:paraId="7E1D041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4</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价格管控权：</w:t>
      </w:r>
      <w:r>
        <w:rPr>
          <w:rFonts w:hint="eastAsia" w:ascii="仿宋" w:hAnsi="仿宋" w:eastAsia="仿宋" w:cs="仿宋"/>
          <w:color w:val="auto"/>
          <w:sz w:val="28"/>
          <w:szCs w:val="28"/>
          <w:lang w:val="en-US" w:eastAsia="zh-CN"/>
        </w:rPr>
        <w:t>对</w:t>
      </w:r>
      <w:r>
        <w:rPr>
          <w:rFonts w:hint="eastAsia" w:ascii="仿宋" w:hAnsi="仿宋" w:eastAsia="仿宋" w:cs="仿宋"/>
          <w:color w:val="auto"/>
          <w:sz w:val="28"/>
          <w:szCs w:val="28"/>
        </w:rPr>
        <w:t>乙方所有助听器、辅具、配套服务收费标准</w:t>
      </w:r>
      <w:r>
        <w:rPr>
          <w:rFonts w:hint="eastAsia" w:ascii="仿宋" w:hAnsi="仿宋" w:eastAsia="仿宋" w:cs="仿宋"/>
          <w:color w:val="auto"/>
          <w:sz w:val="28"/>
          <w:szCs w:val="28"/>
          <w:lang w:val="en-US" w:eastAsia="zh-CN"/>
        </w:rPr>
        <w:t>进行监督及定期核查比价</w:t>
      </w:r>
      <w:r>
        <w:rPr>
          <w:rFonts w:hint="eastAsia" w:ascii="仿宋" w:hAnsi="仿宋" w:eastAsia="仿宋" w:cs="仿宋"/>
          <w:color w:val="auto"/>
          <w:sz w:val="28"/>
          <w:szCs w:val="28"/>
        </w:rPr>
        <w:t>，要求乙方定价不高于省内同级三甲医院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有权随时核查销售台账、收费单据，制止价格虚高、隐形收费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甲方有权每月抽查核对收费数据。</w:t>
      </w:r>
    </w:p>
    <w:p w14:paraId="75E9D3C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5</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人员管理权：乙方驻场验配师、工作人员上岗资质、人员变更必须经甲方书面审批；有权要求乙方更换服务不规范、存在营销诱导、违反行风纪律的工作人员。</w:t>
      </w:r>
    </w:p>
    <w:p w14:paraId="3FBF481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6</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公益统筹权：统筹安排乙方开展院内、社区公益听力筛查、免费测听等公益服务，乙方须无条件配合。</w:t>
      </w:r>
    </w:p>
    <w:p w14:paraId="06B10AD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7</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纪检监督权：医院纪检监察室全程监督合作全过程，核查廉洁风险、商业回扣、利益输送等违规问题。</w:t>
      </w:r>
    </w:p>
    <w:p w14:paraId="66382842">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 xml:space="preserve">2.2 </w:t>
      </w:r>
      <w:r>
        <w:rPr>
          <w:rFonts w:hint="eastAsia" w:ascii="仿宋" w:hAnsi="仿宋" w:eastAsia="仿宋" w:cs="仿宋"/>
          <w:b/>
          <w:bCs/>
          <w:sz w:val="28"/>
          <w:szCs w:val="28"/>
          <w:lang w:val="en-US" w:eastAsia="zh-CN"/>
        </w:rPr>
        <w:t>甲</w:t>
      </w:r>
      <w:r>
        <w:rPr>
          <w:rFonts w:hint="eastAsia" w:ascii="仿宋" w:hAnsi="仿宋" w:eastAsia="仿宋" w:cs="仿宋"/>
          <w:b/>
          <w:bCs/>
          <w:sz w:val="28"/>
          <w:szCs w:val="28"/>
        </w:rPr>
        <w:t>方义务</w:t>
      </w:r>
    </w:p>
    <w:p w14:paraId="4A5BE2F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向乙方提供</w:t>
      </w:r>
      <w:r>
        <w:rPr>
          <w:rFonts w:hint="eastAsia" w:ascii="仿宋" w:hAnsi="仿宋" w:eastAsia="仿宋" w:cs="仿宋"/>
          <w:color w:val="auto"/>
          <w:sz w:val="28"/>
          <w:szCs w:val="28"/>
        </w:rPr>
        <w:t>约定场地，保障通水、通电、基础网络正常使用；告知乙方院内消防、院感、后勤、行风、财务</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rPr>
        <w:t>各项管理制度。</w:t>
      </w:r>
    </w:p>
    <w:p w14:paraId="4673E23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 xml:space="preserve">2.2 </w:t>
      </w:r>
      <w:r>
        <w:rPr>
          <w:rFonts w:hint="eastAsia" w:ascii="仿宋" w:hAnsi="仿宋" w:eastAsia="仿宋" w:cs="仿宋"/>
          <w:sz w:val="28"/>
          <w:szCs w:val="28"/>
        </w:rPr>
        <w:t>安排专科医师负责听力医疗诊断、处方、医疗质控，为乙方提供医疗专业技术指导与培训。</w:t>
      </w:r>
    </w:p>
    <w:p w14:paraId="0DEA03E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2.2.</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牵头搭建患者投诉受理渠道，收到群众投诉后24小时内通知乙方限期处置，同步监督整改闭环。</w:t>
      </w:r>
    </w:p>
    <w:p w14:paraId="41120E0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2.2.</w:t>
      </w:r>
      <w:r>
        <w:rPr>
          <w:rFonts w:hint="eastAsia" w:ascii="仿宋" w:hAnsi="仿宋" w:eastAsia="仿宋" w:cs="仿宋"/>
          <w:sz w:val="28"/>
          <w:szCs w:val="28"/>
        </w:rPr>
        <w:t>4</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不干预乙方合规范围内的正常配套运营，不指定助听器品牌、不强制乙方采购特定产品，不索取不正当利益。</w:t>
      </w:r>
    </w:p>
    <w:p w14:paraId="143EDE5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第三条 乙方权利与义务</w:t>
      </w:r>
    </w:p>
    <w:p w14:paraId="5A205682">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3.1 乙方权利</w:t>
      </w:r>
    </w:p>
    <w:p w14:paraId="26A68B5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在完全合规、接受甲方统一监管前提下，使用约定场地开展本协议约定的</w:t>
      </w:r>
      <w:r>
        <w:rPr>
          <w:rFonts w:hint="eastAsia" w:ascii="仿宋" w:hAnsi="仿宋" w:eastAsia="仿宋" w:cs="仿宋"/>
          <w:color w:val="auto"/>
          <w:sz w:val="28"/>
          <w:szCs w:val="28"/>
          <w:lang w:val="en-US" w:eastAsia="zh-CN"/>
        </w:rPr>
        <w:t>助听器</w:t>
      </w:r>
      <w:r>
        <w:rPr>
          <w:rFonts w:hint="eastAsia" w:ascii="仿宋" w:hAnsi="仿宋" w:eastAsia="仿宋" w:cs="仿宋"/>
          <w:color w:val="auto"/>
          <w:sz w:val="28"/>
          <w:szCs w:val="28"/>
        </w:rPr>
        <w:t>配套便民服务，享有合法经营收益。</w:t>
      </w:r>
    </w:p>
    <w:p w14:paraId="731F9B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3.1.</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自主采购符合国家医疗器械标准的听力设备、助听器产品</w:t>
      </w:r>
      <w:r>
        <w:rPr>
          <w:rFonts w:hint="eastAsia" w:ascii="仿宋" w:hAnsi="仿宋" w:eastAsia="仿宋" w:cs="仿宋"/>
          <w:color w:val="auto"/>
          <w:sz w:val="28"/>
          <w:szCs w:val="28"/>
          <w:lang w:val="en-US" w:eastAsia="zh-CN"/>
        </w:rPr>
        <w:t>及型号</w:t>
      </w:r>
      <w:r>
        <w:rPr>
          <w:rFonts w:hint="eastAsia" w:ascii="仿宋" w:hAnsi="仿宋" w:eastAsia="仿宋" w:cs="仿宋"/>
          <w:color w:val="auto"/>
          <w:sz w:val="28"/>
          <w:szCs w:val="28"/>
        </w:rPr>
        <w:t>，拥有正规厂家完整授权资质，产品方案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价目表（含</w:t>
      </w:r>
      <w:r>
        <w:rPr>
          <w:rFonts w:hint="eastAsia" w:ascii="仿宋" w:hAnsi="仿宋" w:eastAsia="仿宋" w:cs="仿宋"/>
          <w:color w:val="auto"/>
          <w:sz w:val="28"/>
          <w:szCs w:val="28"/>
        </w:rPr>
        <w:t>助听器、调试服务、维修项目、配套耗材</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rPr>
        <w:t>提前报备甲方审核。</w:t>
      </w:r>
    </w:p>
    <w:p w14:paraId="0D2D1D2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3.1.</w:t>
      </w: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对甲方超出协议约定、不合理干预经营的行为，可书面向甲方提出异议协商。</w:t>
      </w:r>
    </w:p>
    <w:p w14:paraId="79FC799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FF0000"/>
          <w:sz w:val="28"/>
          <w:szCs w:val="28"/>
          <w:highlight w:val="none"/>
          <w:lang w:eastAsia="zh-CN"/>
        </w:rPr>
      </w:pPr>
      <w:r>
        <w:rPr>
          <w:rFonts w:hint="eastAsia" w:ascii="仿宋" w:hAnsi="仿宋" w:eastAsia="仿宋" w:cs="仿宋"/>
          <w:color w:val="FF0000"/>
          <w:sz w:val="28"/>
          <w:szCs w:val="28"/>
          <w:highlight w:val="none"/>
          <w:lang w:val="en-US" w:eastAsia="zh-CN"/>
        </w:rPr>
        <w:t>3.1.</w:t>
      </w:r>
      <w:r>
        <w:rPr>
          <w:rFonts w:hint="eastAsia" w:ascii="仿宋" w:hAnsi="仿宋" w:eastAsia="仿宋" w:cs="仿宋"/>
          <w:color w:val="FF0000"/>
          <w:sz w:val="28"/>
          <w:szCs w:val="28"/>
          <w:highlight w:val="none"/>
        </w:rPr>
        <w:t>4</w:t>
      </w:r>
      <w:r>
        <w:rPr>
          <w:rFonts w:hint="eastAsia" w:ascii="仿宋" w:hAnsi="仿宋" w:eastAsia="仿宋" w:cs="仿宋"/>
          <w:color w:val="FF0000"/>
          <w:sz w:val="28"/>
          <w:szCs w:val="28"/>
          <w:highlight w:val="none"/>
          <w:lang w:val="en-US" w:eastAsia="zh-CN"/>
        </w:rPr>
        <w:t xml:space="preserve"> </w:t>
      </w:r>
      <w:r>
        <w:rPr>
          <w:rFonts w:hint="eastAsia" w:ascii="仿宋" w:hAnsi="仿宋" w:eastAsia="仿宋" w:cs="仿宋"/>
          <w:color w:val="FF0000"/>
          <w:sz w:val="28"/>
          <w:szCs w:val="28"/>
          <w:highlight w:val="none"/>
          <w:lang w:eastAsia="zh-CN"/>
        </w:rPr>
        <w:t>本</w:t>
      </w:r>
      <w:r>
        <w:rPr>
          <w:rFonts w:hint="eastAsia" w:ascii="仿宋" w:hAnsi="仿宋" w:eastAsia="仿宋" w:cs="仿宋"/>
          <w:color w:val="FF0000"/>
          <w:sz w:val="28"/>
          <w:szCs w:val="28"/>
          <w:highlight w:val="none"/>
          <w:lang w:val="en-US" w:eastAsia="zh-CN"/>
        </w:rPr>
        <w:t>项目</w:t>
      </w:r>
      <w:bookmarkStart w:id="5" w:name="_GoBack"/>
      <w:bookmarkEnd w:id="5"/>
      <w:r>
        <w:rPr>
          <w:rFonts w:hint="eastAsia" w:ascii="仿宋" w:hAnsi="仿宋" w:eastAsia="仿宋" w:cs="仿宋"/>
          <w:color w:val="FF0000"/>
          <w:sz w:val="28"/>
          <w:szCs w:val="28"/>
          <w:highlight w:val="none"/>
          <w:lang w:eastAsia="zh-CN"/>
        </w:rPr>
        <w:t>考核合格</w:t>
      </w:r>
      <w:r>
        <w:rPr>
          <w:rFonts w:hint="eastAsia" w:ascii="仿宋" w:hAnsi="仿宋" w:eastAsia="仿宋" w:cs="仿宋"/>
          <w:color w:val="FF0000"/>
          <w:sz w:val="28"/>
          <w:szCs w:val="28"/>
          <w:highlight w:val="none"/>
          <w:lang w:val="en-US" w:eastAsia="zh-CN"/>
        </w:rPr>
        <w:t>后，有权参与项目下一轮公开遴选。</w:t>
      </w:r>
    </w:p>
    <w:p w14:paraId="6FC41D6D">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3.2 乙方义务</w:t>
      </w:r>
    </w:p>
    <w:p w14:paraId="516BCE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全额投资建设义务：自行出资完成场地标准化隔音验配室装修，装修方案、平面布局、隔音标准</w:t>
      </w:r>
      <w:r>
        <w:rPr>
          <w:rFonts w:hint="eastAsia" w:ascii="仿宋" w:hAnsi="仿宋" w:eastAsia="仿宋" w:cs="仿宋"/>
          <w:color w:val="auto"/>
          <w:sz w:val="28"/>
          <w:szCs w:val="28"/>
          <w:lang w:val="en-US" w:eastAsia="zh-CN"/>
        </w:rPr>
        <w:t>须提交甲方审核后方可施工；</w:t>
      </w:r>
      <w:r>
        <w:rPr>
          <w:rFonts w:hint="eastAsia" w:ascii="仿宋" w:hAnsi="仿宋" w:eastAsia="仿宋" w:cs="仿宋"/>
          <w:color w:val="auto"/>
          <w:sz w:val="28"/>
          <w:szCs w:val="28"/>
        </w:rPr>
        <w:t>采购纯音测听仪、真耳分析仪、Hi-Pro编程设备、电脑等全套专业设备</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负责设备定期校验、维保，出具年度校验报告；</w:t>
      </w:r>
      <w:r>
        <w:rPr>
          <w:rFonts w:hint="eastAsia" w:ascii="仿宋" w:hAnsi="仿宋" w:eastAsia="仿宋" w:cs="仿宋"/>
          <w:color w:val="auto"/>
          <w:sz w:val="28"/>
          <w:szCs w:val="28"/>
        </w:rPr>
        <w:t>搭建听力电子档案信息化系统</w:t>
      </w:r>
      <w:r>
        <w:rPr>
          <w:rFonts w:hint="eastAsia" w:ascii="仿宋" w:hAnsi="仿宋" w:eastAsia="仿宋" w:cs="仿宋"/>
          <w:color w:val="auto"/>
          <w:sz w:val="28"/>
          <w:szCs w:val="28"/>
          <w:lang w:val="en-US" w:eastAsia="zh-CN"/>
        </w:rPr>
        <w:t>并负责维护</w:t>
      </w:r>
      <w:r>
        <w:rPr>
          <w:rFonts w:hint="eastAsia" w:ascii="仿宋" w:hAnsi="仿宋" w:eastAsia="仿宋" w:cs="仿宋"/>
          <w:color w:val="auto"/>
          <w:sz w:val="28"/>
          <w:szCs w:val="28"/>
        </w:rPr>
        <w:t>，所有设备、装修标准须符合甲方医疗专科要求。</w:t>
      </w:r>
    </w:p>
    <w:p w14:paraId="722B847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人员资质合规义务</w:t>
      </w:r>
    </w:p>
    <w:p w14:paraId="12F6A00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3.2.2.1 </w:t>
      </w:r>
      <w:r>
        <w:rPr>
          <w:rFonts w:hint="eastAsia" w:ascii="仿宋" w:hAnsi="仿宋" w:eastAsia="仿宋" w:cs="仿宋"/>
          <w:color w:val="auto"/>
          <w:sz w:val="28"/>
          <w:szCs w:val="28"/>
        </w:rPr>
        <w:t>配备不少于1名取得国家正规认可的助听器验配四级及以上职业资格</w:t>
      </w:r>
      <w:r>
        <w:rPr>
          <w:rFonts w:hint="eastAsia" w:ascii="仿宋" w:hAnsi="仿宋" w:eastAsia="仿宋" w:cs="仿宋"/>
          <w:color w:val="auto"/>
          <w:sz w:val="28"/>
          <w:szCs w:val="28"/>
          <w:lang w:val="en-US" w:eastAsia="zh-CN"/>
        </w:rPr>
        <w:t>的</w:t>
      </w:r>
      <w:r>
        <w:rPr>
          <w:rFonts w:hint="eastAsia" w:ascii="仿宋" w:hAnsi="仿宋" w:eastAsia="仿宋" w:cs="仿宋"/>
          <w:color w:val="auto"/>
          <w:sz w:val="28"/>
          <w:szCs w:val="28"/>
        </w:rPr>
        <w:t>验配师驻场，在岗人员总数不少于1人</w:t>
      </w:r>
      <w:r>
        <w:rPr>
          <w:rFonts w:hint="eastAsia" w:ascii="仿宋" w:hAnsi="仿宋" w:eastAsia="仿宋" w:cs="仿宋"/>
          <w:color w:val="auto"/>
          <w:sz w:val="28"/>
          <w:szCs w:val="28"/>
          <w:lang w:eastAsia="zh-CN"/>
        </w:rPr>
        <w:t>。</w:t>
      </w:r>
    </w:p>
    <w:p w14:paraId="3837176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3.2.2.2 </w:t>
      </w:r>
      <w:r>
        <w:rPr>
          <w:rFonts w:hint="eastAsia" w:ascii="仿宋" w:hAnsi="仿宋" w:eastAsia="仿宋" w:cs="仿宋"/>
          <w:color w:val="auto"/>
          <w:sz w:val="28"/>
          <w:szCs w:val="28"/>
        </w:rPr>
        <w:t>向甲方提供全部人员资格证书、连续社保证明，人员离职、更换必须提前15日书面报备甲方，经甲方同意后方可变更</w:t>
      </w:r>
      <w:r>
        <w:rPr>
          <w:rFonts w:hint="eastAsia" w:ascii="仿宋" w:hAnsi="仿宋" w:eastAsia="仿宋" w:cs="仿宋"/>
          <w:color w:val="auto"/>
          <w:sz w:val="28"/>
          <w:szCs w:val="28"/>
          <w:lang w:eastAsia="zh-CN"/>
        </w:rPr>
        <w:t>。</w:t>
      </w:r>
    </w:p>
    <w:p w14:paraId="078A988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val="en-US" w:eastAsia="zh-CN"/>
        </w:rPr>
        <w:t xml:space="preserve">3.2.2.3 </w:t>
      </w:r>
      <w:r>
        <w:rPr>
          <w:rFonts w:hint="eastAsia" w:ascii="仿宋" w:hAnsi="仿宋" w:eastAsia="仿宋" w:cs="仿宋"/>
          <w:color w:val="auto"/>
          <w:sz w:val="28"/>
          <w:szCs w:val="28"/>
        </w:rPr>
        <w:t>全体工作人员统一着装、持证上岗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文明服务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定期参</w:t>
      </w:r>
      <w:r>
        <w:rPr>
          <w:rFonts w:hint="eastAsia" w:ascii="仿宋" w:hAnsi="仿宋" w:eastAsia="仿宋" w:cs="仿宋"/>
          <w:sz w:val="28"/>
          <w:szCs w:val="28"/>
        </w:rPr>
        <w:t>加甲方组织的院感、行风、医疗规范培训。</w:t>
      </w:r>
    </w:p>
    <w:p w14:paraId="6A180C2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3.2.</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产品与价格管控义务</w:t>
      </w:r>
    </w:p>
    <w:p w14:paraId="5C88D2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 xml:space="preserve">3.2.3.1 </w:t>
      </w:r>
      <w:r>
        <w:rPr>
          <w:rFonts w:hint="eastAsia" w:ascii="仿宋" w:hAnsi="仿宋" w:eastAsia="仿宋" w:cs="仿宋"/>
          <w:color w:val="auto"/>
          <w:sz w:val="28"/>
          <w:szCs w:val="28"/>
        </w:rPr>
        <w:t>所有助听器、听力耗材具备医疗器械注册证、厂家正规授权、质检报告，建立完整进货溯源台账，禁止三无、过期、假冒产品</w:t>
      </w:r>
      <w:r>
        <w:rPr>
          <w:rFonts w:hint="eastAsia" w:ascii="仿宋" w:hAnsi="仿宋" w:eastAsia="仿宋" w:cs="仿宋"/>
          <w:color w:val="auto"/>
          <w:sz w:val="28"/>
          <w:szCs w:val="28"/>
          <w:lang w:eastAsia="zh-CN"/>
        </w:rPr>
        <w:t>。</w:t>
      </w:r>
    </w:p>
    <w:p w14:paraId="392B5AA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3.2.3.2 所有助听器、调试服务、维修项目、配套耗材</w:t>
      </w:r>
      <w:r>
        <w:rPr>
          <w:rFonts w:hint="eastAsia" w:ascii="仿宋" w:hAnsi="仿宋" w:eastAsia="仿宋" w:cs="仿宋"/>
          <w:color w:val="auto"/>
          <w:sz w:val="28"/>
          <w:szCs w:val="28"/>
        </w:rPr>
        <w:t>定价书面报备甲方审核备案，对外</w:t>
      </w:r>
      <w:r>
        <w:rPr>
          <w:rFonts w:hint="eastAsia" w:ascii="仿宋" w:hAnsi="仿宋" w:eastAsia="仿宋" w:cs="仿宋"/>
          <w:color w:val="auto"/>
          <w:sz w:val="28"/>
          <w:szCs w:val="28"/>
          <w:lang w:val="en-US" w:eastAsia="zh-CN"/>
        </w:rPr>
        <w:t>公示</w:t>
      </w:r>
      <w:r>
        <w:rPr>
          <w:rFonts w:hint="eastAsia" w:ascii="仿宋" w:hAnsi="仿宋" w:eastAsia="仿宋" w:cs="仿宋"/>
          <w:color w:val="auto"/>
          <w:sz w:val="28"/>
          <w:szCs w:val="28"/>
        </w:rPr>
        <w:t>明码标价，售价不得高于省内同级三甲医院同类产品均价；</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任何产品涨价、新增收费项目必须重新提交</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审核备案</w:t>
      </w:r>
      <w:r>
        <w:rPr>
          <w:rFonts w:hint="eastAsia" w:ascii="仿宋" w:hAnsi="仿宋" w:eastAsia="仿宋" w:cs="仿宋"/>
          <w:color w:val="auto"/>
          <w:sz w:val="28"/>
          <w:szCs w:val="28"/>
          <w:lang w:eastAsia="zh-CN"/>
        </w:rPr>
        <w:t>。</w:t>
      </w:r>
    </w:p>
    <w:p w14:paraId="40FFDE9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3.2.3.3 </w:t>
      </w:r>
      <w:r>
        <w:rPr>
          <w:rFonts w:hint="eastAsia" w:ascii="仿宋" w:hAnsi="仿宋" w:eastAsia="仿宋" w:cs="仿宋"/>
          <w:color w:val="auto"/>
          <w:sz w:val="28"/>
          <w:szCs w:val="28"/>
        </w:rPr>
        <w:t>严禁私自涨价、捆绑销售、隐形收费、强制搭配耗材、低价引流</w:t>
      </w:r>
      <w:r>
        <w:rPr>
          <w:rFonts w:hint="eastAsia" w:ascii="仿宋" w:hAnsi="仿宋" w:eastAsia="仿宋" w:cs="仿宋"/>
          <w:sz w:val="28"/>
          <w:szCs w:val="28"/>
        </w:rPr>
        <w:t>后</w:t>
      </w:r>
      <w:r>
        <w:rPr>
          <w:rFonts w:hint="eastAsia" w:ascii="仿宋" w:hAnsi="仿宋" w:eastAsia="仿宋" w:cs="仿宋"/>
          <w:color w:val="auto"/>
          <w:sz w:val="28"/>
          <w:szCs w:val="28"/>
        </w:rPr>
        <w:t>强制加价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价格欺诈。</w:t>
      </w:r>
    </w:p>
    <w:p w14:paraId="799699A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3.2.3.4 完整留存销售小票、收款台账、进货记录，配合甲方每月抽查核对收费数据。</w:t>
      </w:r>
    </w:p>
    <w:p w14:paraId="5E6C511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3.2.</w:t>
      </w:r>
      <w:r>
        <w:rPr>
          <w:rFonts w:hint="eastAsia" w:ascii="仿宋" w:hAnsi="仿宋" w:eastAsia="仿宋" w:cs="仿宋"/>
          <w:sz w:val="28"/>
          <w:szCs w:val="28"/>
        </w:rPr>
        <w:t>4</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运营与服务义务</w:t>
      </w:r>
    </w:p>
    <w:p w14:paraId="6A12A9C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3.2.4.1 </w:t>
      </w:r>
      <w:r>
        <w:rPr>
          <w:rFonts w:hint="eastAsia" w:ascii="仿宋" w:hAnsi="仿宋" w:eastAsia="仿宋" w:cs="仿宋"/>
          <w:sz w:val="28"/>
          <w:szCs w:val="28"/>
        </w:rPr>
        <w:t>建立标准化售后服务体系，提供助听器调试、维修、保养、效果复测，建立患者终身听力电子档案</w:t>
      </w:r>
      <w:r>
        <w:rPr>
          <w:rFonts w:hint="eastAsia" w:ascii="仿宋" w:hAnsi="仿宋" w:eastAsia="仿宋" w:cs="仿宋"/>
          <w:sz w:val="28"/>
          <w:szCs w:val="28"/>
          <w:lang w:eastAsia="zh-CN"/>
        </w:rPr>
        <w:t>。</w:t>
      </w:r>
    </w:p>
    <w:p w14:paraId="5C8C05E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highlight w:val="yellow"/>
          <w:lang w:val="en-US"/>
        </w:rPr>
      </w:pPr>
      <w:r>
        <w:rPr>
          <w:rFonts w:hint="eastAsia" w:ascii="仿宋" w:hAnsi="仿宋" w:eastAsia="仿宋" w:cs="仿宋"/>
          <w:color w:val="auto"/>
          <w:sz w:val="28"/>
          <w:szCs w:val="28"/>
          <w:lang w:val="en-US" w:eastAsia="zh-CN"/>
        </w:rPr>
        <w:t xml:space="preserve">3.2.4.2 </w:t>
      </w:r>
      <w:r>
        <w:rPr>
          <w:rFonts w:hint="eastAsia" w:ascii="仿宋" w:hAnsi="仿宋" w:eastAsia="仿宋" w:cs="仿宋"/>
          <w:color w:val="auto"/>
          <w:sz w:val="28"/>
          <w:szCs w:val="28"/>
        </w:rPr>
        <w:t>规范服务话术，严禁</w:t>
      </w:r>
      <w:r>
        <w:rPr>
          <w:rFonts w:hint="eastAsia" w:ascii="仿宋" w:hAnsi="仿宋" w:eastAsia="仿宋" w:cs="仿宋"/>
          <w:color w:val="auto"/>
          <w:sz w:val="28"/>
          <w:szCs w:val="28"/>
          <w:highlight w:val="none"/>
          <w:lang w:val="en-US" w:eastAsia="zh-CN"/>
        </w:rPr>
        <w:t>工作人员</w:t>
      </w:r>
      <w:r>
        <w:rPr>
          <w:rFonts w:hint="eastAsia" w:ascii="仿宋" w:hAnsi="仿宋" w:eastAsia="仿宋" w:cs="仿宋"/>
          <w:color w:val="auto"/>
          <w:sz w:val="28"/>
          <w:szCs w:val="28"/>
        </w:rPr>
        <w:t>夸大</w:t>
      </w:r>
      <w:r>
        <w:rPr>
          <w:rFonts w:hint="eastAsia" w:ascii="仿宋" w:hAnsi="仿宋" w:eastAsia="仿宋" w:cs="仿宋"/>
          <w:color w:val="auto"/>
          <w:sz w:val="28"/>
          <w:szCs w:val="28"/>
          <w:highlight w:val="none"/>
        </w:rPr>
        <w:t>助听器疗效、虚假宣传、拦截就诊患者私下推销、诱导强制消费</w:t>
      </w:r>
      <w:r>
        <w:rPr>
          <w:rFonts w:hint="eastAsia" w:ascii="仿宋" w:hAnsi="仿宋" w:eastAsia="仿宋" w:cs="仿宋"/>
          <w:color w:val="auto"/>
          <w:sz w:val="28"/>
          <w:szCs w:val="28"/>
          <w:highlight w:val="none"/>
          <w:lang w:val="en-US" w:eastAsia="zh-CN"/>
        </w:rPr>
        <w:t>等行为。</w:t>
      </w:r>
    </w:p>
    <w:p w14:paraId="2FCB764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3.2.4.3 </w:t>
      </w:r>
      <w:r>
        <w:rPr>
          <w:rFonts w:hint="eastAsia" w:ascii="仿宋" w:hAnsi="仿宋" w:eastAsia="仿宋" w:cs="仿宋"/>
          <w:color w:val="auto"/>
          <w:sz w:val="28"/>
          <w:szCs w:val="28"/>
        </w:rPr>
        <w:t>不得转包、分包本合作项目，不得引入</w:t>
      </w:r>
      <w:r>
        <w:rPr>
          <w:rFonts w:hint="eastAsia" w:ascii="仿宋" w:hAnsi="仿宋" w:eastAsia="仿宋" w:cs="仿宋"/>
          <w:color w:val="auto"/>
          <w:sz w:val="28"/>
          <w:szCs w:val="28"/>
          <w:lang w:val="en-US" w:eastAsia="zh-CN"/>
        </w:rPr>
        <w:t>其他方</w:t>
      </w:r>
      <w:r>
        <w:rPr>
          <w:rFonts w:hint="eastAsia" w:ascii="仿宋" w:hAnsi="仿宋" w:eastAsia="仿宋" w:cs="仿宋"/>
          <w:color w:val="auto"/>
          <w:sz w:val="28"/>
          <w:szCs w:val="28"/>
        </w:rPr>
        <w:t>机构驻场经营。</w:t>
      </w:r>
    </w:p>
    <w:p w14:paraId="3718548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5</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成本与场地管理义务：全额承担场地水电、物业、耗材、设备维修、场地日常清洁消毒、公益活动全部费用；严格落实院感消毒、消防安全</w:t>
      </w:r>
      <w:r>
        <w:rPr>
          <w:rFonts w:hint="eastAsia" w:ascii="仿宋" w:hAnsi="仿宋" w:eastAsia="仿宋" w:cs="仿宋"/>
          <w:color w:val="auto"/>
          <w:sz w:val="28"/>
          <w:szCs w:val="28"/>
          <w:lang w:eastAsia="zh-CN"/>
        </w:rPr>
        <w:t>、用电安全</w:t>
      </w:r>
      <w:r>
        <w:rPr>
          <w:rFonts w:hint="eastAsia" w:ascii="仿宋" w:hAnsi="仿宋" w:eastAsia="仿宋" w:cs="仿宋"/>
          <w:color w:val="auto"/>
          <w:sz w:val="28"/>
          <w:szCs w:val="28"/>
        </w:rPr>
        <w:t>规范，定期自查安全隐患</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并承担所有安全生产事故的法律责任和赔偿责任</w:t>
      </w:r>
      <w:r>
        <w:rPr>
          <w:rFonts w:hint="eastAsia" w:ascii="仿宋" w:hAnsi="仿宋" w:eastAsia="仿宋" w:cs="仿宋"/>
          <w:color w:val="auto"/>
          <w:sz w:val="28"/>
          <w:szCs w:val="28"/>
        </w:rPr>
        <w:t>。</w:t>
      </w:r>
    </w:p>
    <w:p w14:paraId="50C3C4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6</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投诉与纠纷处置义务：收到甲方转交或患者直接投诉，24小时内响应，3日内完成调解、赔付、整改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形成投诉闭环台账；因产品质量、服务态度、违规营销产生的医患纠纷、赔偿、行政处罚全部由乙方承担。</w:t>
      </w:r>
    </w:p>
    <w:p w14:paraId="377DE35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3.2.7 </w:t>
      </w:r>
      <w:r>
        <w:rPr>
          <w:rFonts w:hint="eastAsia" w:ascii="仿宋" w:hAnsi="仿宋" w:eastAsia="仿宋" w:cs="仿宋"/>
          <w:color w:val="auto"/>
          <w:sz w:val="28"/>
          <w:szCs w:val="28"/>
        </w:rPr>
        <w:t>公益配套义务：提供不少于</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个公益岗位供甲方使用，配合甲方完成年度社区听力普查、免费听力筛查、健康科普等公益工作</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不得收取群众任何公益项目费用。</w:t>
      </w:r>
    </w:p>
    <w:p w14:paraId="4450310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u w:val="none"/>
        </w:rPr>
      </w:pPr>
      <w:r>
        <w:rPr>
          <w:rFonts w:hint="eastAsia" w:ascii="仿宋" w:hAnsi="仿宋" w:eastAsia="仿宋" w:cs="仿宋"/>
          <w:color w:val="auto"/>
          <w:sz w:val="28"/>
          <w:szCs w:val="28"/>
          <w:lang w:val="en-US" w:eastAsia="zh-CN"/>
        </w:rPr>
        <w:t>3.2.</w:t>
      </w:r>
      <w:r>
        <w:rPr>
          <w:rFonts w:hint="eastAsia" w:ascii="仿宋" w:hAnsi="仿宋" w:eastAsia="仿宋" w:cs="仿宋"/>
          <w:color w:val="auto"/>
          <w:sz w:val="28"/>
          <w:szCs w:val="28"/>
        </w:rPr>
        <w:t>8</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资料报备义务：营业执照、医</w:t>
      </w:r>
      <w:r>
        <w:rPr>
          <w:rFonts w:hint="eastAsia" w:ascii="仿宋" w:hAnsi="仿宋" w:eastAsia="仿宋" w:cs="仿宋"/>
          <w:sz w:val="28"/>
          <w:szCs w:val="28"/>
        </w:rPr>
        <w:t>疗器械经营备案、厂家授权、人员资质、设备校验报告到期前15日更新并提交甲方复核存档。</w:t>
      </w:r>
      <w:r>
        <w:rPr>
          <w:rFonts w:hint="eastAsia" w:ascii="仿宋" w:hAnsi="仿宋" w:eastAsia="仿宋" w:cs="仿宋"/>
          <w:sz w:val="28"/>
          <w:szCs w:val="28"/>
          <w:u w:val="none"/>
          <w:lang w:val="en-US" w:eastAsia="zh-CN"/>
        </w:rPr>
        <w:t>同时向市卫健委、市场监管局等部门进行备案，办理相关手续。</w:t>
      </w:r>
    </w:p>
    <w:p w14:paraId="23B9272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第四条 服务质量</w:t>
      </w:r>
      <w:r>
        <w:rPr>
          <w:rFonts w:hint="eastAsia" w:ascii="黑体" w:hAnsi="黑体" w:eastAsia="黑体" w:cs="黑体"/>
          <w:b w:val="0"/>
          <w:bCs w:val="0"/>
          <w:sz w:val="28"/>
          <w:szCs w:val="28"/>
          <w:lang w:eastAsia="zh-CN"/>
        </w:rPr>
        <w:t>、</w:t>
      </w:r>
      <w:r>
        <w:rPr>
          <w:rFonts w:hint="eastAsia" w:ascii="黑体" w:hAnsi="黑体" w:eastAsia="黑体" w:cs="黑体"/>
          <w:b w:val="0"/>
          <w:bCs w:val="0"/>
          <w:sz w:val="28"/>
          <w:szCs w:val="28"/>
        </w:rPr>
        <w:t>价格专项监管细则</w:t>
      </w:r>
    </w:p>
    <w:p w14:paraId="7EB1434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4.1 服务质量与运营管理要求</w:t>
      </w:r>
    </w:p>
    <w:p w14:paraId="7E1A297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4.1.1 </w:t>
      </w:r>
      <w:r>
        <w:rPr>
          <w:rFonts w:hint="eastAsia" w:ascii="仿宋" w:hAnsi="仿宋" w:eastAsia="仿宋" w:cs="仿宋"/>
          <w:sz w:val="28"/>
          <w:szCs w:val="28"/>
        </w:rPr>
        <w:t>服务规范：工作人员统一着装、持证上岗，文明规范服务；服务客观真实，严禁夸大助听器疗效、虚假宣传、拦截就诊患者私下推销、诱导强制消费；</w:t>
      </w:r>
    </w:p>
    <w:p w14:paraId="3B07021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4.1.</w:t>
      </w:r>
      <w:r>
        <w:rPr>
          <w:rFonts w:hint="eastAsia" w:ascii="仿宋" w:hAnsi="仿宋" w:eastAsia="仿宋" w:cs="仿宋"/>
          <w:sz w:val="28"/>
          <w:szCs w:val="28"/>
        </w:rPr>
        <w:t>2</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档案管理：为所有服务患者建立永久电子听力健康档案，完整记录听力检测、验配、调试、复查、售后全流程信息，</w:t>
      </w:r>
      <w:r>
        <w:rPr>
          <w:rFonts w:hint="eastAsia" w:ascii="仿宋" w:hAnsi="仿宋" w:eastAsia="仿宋" w:cs="仿宋"/>
          <w:sz w:val="28"/>
          <w:szCs w:val="28"/>
          <w:lang w:val="en-US" w:eastAsia="zh-CN"/>
        </w:rPr>
        <w:t>甲方</w:t>
      </w:r>
      <w:r>
        <w:rPr>
          <w:rFonts w:hint="eastAsia" w:ascii="仿宋" w:hAnsi="仿宋" w:eastAsia="仿宋" w:cs="仿宋"/>
          <w:sz w:val="28"/>
          <w:szCs w:val="28"/>
        </w:rPr>
        <w:t>可随时调阅；</w:t>
      </w:r>
    </w:p>
    <w:p w14:paraId="18F1335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4.1.</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售后体系：建立7×24小时售后响应机制，接到患者调试、维修需求及时处置；建立助听器保养、复测、故障维修标准化流程；</w:t>
      </w:r>
    </w:p>
    <w:p w14:paraId="0FFAF53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highlight w:val="yellow"/>
        </w:rPr>
      </w:pPr>
      <w:r>
        <w:rPr>
          <w:rFonts w:hint="eastAsia" w:ascii="仿宋" w:hAnsi="仿宋" w:eastAsia="仿宋" w:cs="仿宋"/>
          <w:sz w:val="28"/>
          <w:szCs w:val="28"/>
          <w:lang w:val="en-US" w:eastAsia="zh-CN"/>
        </w:rPr>
        <w:t>4.1.</w:t>
      </w:r>
      <w:r>
        <w:rPr>
          <w:rFonts w:hint="eastAsia" w:ascii="仿宋" w:hAnsi="仿宋" w:eastAsia="仿宋" w:cs="仿宋"/>
          <w:sz w:val="28"/>
          <w:szCs w:val="28"/>
        </w:rPr>
        <w:t>4</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投诉处置：收到</w:t>
      </w:r>
      <w:r>
        <w:rPr>
          <w:rFonts w:hint="eastAsia" w:ascii="仿宋" w:hAnsi="仿宋" w:eastAsia="仿宋" w:cs="仿宋"/>
          <w:sz w:val="28"/>
          <w:szCs w:val="28"/>
          <w:lang w:val="en-US" w:eastAsia="zh-CN"/>
        </w:rPr>
        <w:t>甲方</w:t>
      </w:r>
      <w:r>
        <w:rPr>
          <w:rFonts w:hint="eastAsia" w:ascii="仿宋" w:hAnsi="仿宋" w:eastAsia="仿宋" w:cs="仿宋"/>
          <w:sz w:val="28"/>
          <w:szCs w:val="28"/>
        </w:rPr>
        <w:t>转交或患者直接投诉，24小时内响应，3日内完成调解、赔付、整改，形成投诉闭环台账；</w:t>
      </w:r>
      <w:r>
        <w:rPr>
          <w:rFonts w:hint="eastAsia" w:ascii="仿宋" w:hAnsi="仿宋" w:eastAsia="仿宋" w:cs="仿宋"/>
          <w:sz w:val="28"/>
          <w:szCs w:val="28"/>
          <w:highlight w:val="none"/>
        </w:rPr>
        <w:t>因产品、服务产生的一切赔偿、舆情、行政处罚全部由</w:t>
      </w:r>
      <w:r>
        <w:rPr>
          <w:rFonts w:hint="eastAsia" w:ascii="仿宋" w:hAnsi="仿宋" w:eastAsia="仿宋" w:cs="仿宋"/>
          <w:sz w:val="28"/>
          <w:szCs w:val="28"/>
          <w:highlight w:val="none"/>
          <w:lang w:val="en-US" w:eastAsia="zh-CN"/>
        </w:rPr>
        <w:t>乙方</w:t>
      </w:r>
      <w:r>
        <w:rPr>
          <w:rFonts w:hint="eastAsia" w:ascii="仿宋" w:hAnsi="仿宋" w:eastAsia="仿宋" w:cs="仿宋"/>
          <w:sz w:val="28"/>
          <w:szCs w:val="28"/>
          <w:highlight w:val="none"/>
        </w:rPr>
        <w:t>承担；</w:t>
      </w:r>
    </w:p>
    <w:p w14:paraId="4BE7BF9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4.1.</w:t>
      </w:r>
      <w:r>
        <w:rPr>
          <w:rFonts w:hint="eastAsia" w:ascii="仿宋" w:hAnsi="仿宋" w:eastAsia="仿宋" w:cs="仿宋"/>
          <w:sz w:val="28"/>
          <w:szCs w:val="28"/>
        </w:rPr>
        <w:t>5</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院感与安全管理：严格落实医院院感消毒、消防安全、用电安全管理制度，定期开展安全自查，承担全部安全事故责任；</w:t>
      </w:r>
    </w:p>
    <w:p w14:paraId="46622DA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4.1.</w:t>
      </w:r>
      <w:r>
        <w:rPr>
          <w:rFonts w:hint="eastAsia" w:ascii="仿宋" w:hAnsi="仿宋" w:eastAsia="仿宋" w:cs="仿宋"/>
          <w:color w:val="auto"/>
          <w:sz w:val="28"/>
          <w:szCs w:val="28"/>
        </w:rPr>
        <w:t>6</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宣传物料管理：所有海报、宣传单、科普短视频、宣传话术须提前报送</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审核，未经审核不得使用，禁止冒用</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医院名义进行商业营销。</w:t>
      </w:r>
    </w:p>
    <w:p w14:paraId="5D061B8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4.2 服务质量全流程监管</w:t>
      </w:r>
    </w:p>
    <w:p w14:paraId="7F1BF07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4.2.</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日常巡查机制</w:t>
      </w:r>
    </w:p>
    <w:p w14:paraId="489E3F7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病友服务中心联合耳鼻喉科实行每周现场抽查、每月全面检查，巡查内容包含：场地环境卫生、消毒院感落实、工作人员持证上岗、服务操作规范、档案建立完整度、售后响应时效，建立纸质巡查台账，记录问题、整改时限、复查结果，形成闭环管理。</w:t>
      </w:r>
    </w:p>
    <w:p w14:paraId="0F30F9E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4.2.</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季度质量考核</w:t>
      </w:r>
    </w:p>
    <w:p w14:paraId="20473FC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每季度从设备运行、验配专业度、康复指导、售后维修、患者满意度五大维度</w:t>
      </w:r>
      <w:r>
        <w:rPr>
          <w:rFonts w:hint="eastAsia" w:ascii="仿宋" w:hAnsi="仿宋" w:eastAsia="仿宋" w:cs="仿宋"/>
          <w:color w:val="auto"/>
          <w:sz w:val="28"/>
          <w:szCs w:val="28"/>
          <w:lang w:val="en-US" w:eastAsia="zh-CN"/>
        </w:rPr>
        <w:t>对乙方服务</w:t>
      </w:r>
      <w:r>
        <w:rPr>
          <w:rFonts w:hint="eastAsia" w:ascii="仿宋" w:hAnsi="仿宋" w:eastAsia="仿宋" w:cs="仿宋"/>
          <w:color w:val="auto"/>
          <w:sz w:val="28"/>
          <w:szCs w:val="28"/>
        </w:rPr>
        <w:t>打分，满分100分，80分以上合格；低于80分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甲方向乙方</w:t>
      </w:r>
      <w:r>
        <w:rPr>
          <w:rFonts w:hint="eastAsia" w:ascii="仿宋" w:hAnsi="仿宋" w:eastAsia="仿宋" w:cs="仿宋"/>
          <w:color w:val="auto"/>
          <w:sz w:val="28"/>
          <w:szCs w:val="28"/>
        </w:rPr>
        <w:t>下达整改通知书，</w:t>
      </w:r>
      <w:r>
        <w:rPr>
          <w:rFonts w:hint="eastAsia" w:ascii="仿宋" w:hAnsi="仿宋" w:eastAsia="仿宋" w:cs="仿宋"/>
          <w:color w:val="auto"/>
          <w:sz w:val="28"/>
          <w:szCs w:val="28"/>
          <w:lang w:val="en-US" w:eastAsia="zh-CN"/>
        </w:rPr>
        <w:t>乙方应自接到通知书之日起</w:t>
      </w:r>
      <w:r>
        <w:rPr>
          <w:rFonts w:hint="eastAsia" w:ascii="仿宋" w:hAnsi="仿宋" w:eastAsia="仿宋" w:cs="仿宋"/>
          <w:color w:val="auto"/>
          <w:sz w:val="28"/>
          <w:szCs w:val="28"/>
        </w:rPr>
        <w:t>7日内整改完成，</w:t>
      </w:r>
      <w:r>
        <w:rPr>
          <w:rFonts w:hint="eastAsia" w:ascii="仿宋" w:hAnsi="仿宋" w:eastAsia="仿宋" w:cs="仿宋"/>
          <w:color w:val="auto"/>
          <w:sz w:val="28"/>
          <w:szCs w:val="28"/>
          <w:lang w:val="en-US" w:eastAsia="zh-CN"/>
        </w:rPr>
        <w:t>经甲方</w:t>
      </w:r>
      <w:r>
        <w:rPr>
          <w:rFonts w:hint="eastAsia" w:ascii="仿宋" w:hAnsi="仿宋" w:eastAsia="仿宋" w:cs="仿宋"/>
          <w:color w:val="auto"/>
          <w:sz w:val="28"/>
          <w:szCs w:val="28"/>
        </w:rPr>
        <w:t>复查仍不合格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甲方有权</w:t>
      </w:r>
      <w:r>
        <w:rPr>
          <w:rFonts w:hint="eastAsia" w:ascii="仿宋" w:hAnsi="仿宋" w:eastAsia="仿宋" w:cs="仿宋"/>
          <w:color w:val="auto"/>
          <w:sz w:val="28"/>
          <w:szCs w:val="28"/>
        </w:rPr>
        <w:t>暂停乙方服务。</w:t>
      </w:r>
    </w:p>
    <w:p w14:paraId="69E939C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4.2.</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人员质量监管</w:t>
      </w:r>
    </w:p>
    <w:p w14:paraId="5B963F6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甲方每半年复核</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全体驻场人员资质、社保、验配师证书；</w:t>
      </w:r>
      <w:r>
        <w:rPr>
          <w:rFonts w:hint="eastAsia" w:ascii="仿宋" w:hAnsi="仿宋" w:eastAsia="仿宋" w:cs="仿宋"/>
          <w:color w:val="auto"/>
          <w:sz w:val="28"/>
          <w:szCs w:val="28"/>
          <w:lang w:val="en-US" w:eastAsia="zh-CN"/>
        </w:rPr>
        <w:t>如发现存在乙方人员</w:t>
      </w:r>
      <w:r>
        <w:rPr>
          <w:rFonts w:hint="eastAsia" w:ascii="仿宋" w:hAnsi="仿宋" w:eastAsia="仿宋" w:cs="仿宋"/>
          <w:color w:val="auto"/>
          <w:sz w:val="28"/>
          <w:szCs w:val="28"/>
        </w:rPr>
        <w:t>无资质</w:t>
      </w: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rPr>
        <w:t>证书过期</w:t>
      </w: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rPr>
        <w:t>擅自更换人员未报备</w:t>
      </w:r>
      <w:r>
        <w:rPr>
          <w:rFonts w:hint="eastAsia" w:ascii="仿宋" w:hAnsi="仿宋" w:eastAsia="仿宋" w:cs="仿宋"/>
          <w:color w:val="auto"/>
          <w:sz w:val="28"/>
          <w:szCs w:val="28"/>
          <w:lang w:val="en-US" w:eastAsia="zh-CN"/>
        </w:rPr>
        <w:t>的情况</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甲方有权</w:t>
      </w:r>
      <w:r>
        <w:rPr>
          <w:rFonts w:hint="eastAsia" w:ascii="仿宋" w:hAnsi="仿宋" w:eastAsia="仿宋" w:cs="仿宋"/>
          <w:color w:val="auto"/>
          <w:sz w:val="28"/>
          <w:szCs w:val="28"/>
        </w:rPr>
        <w:t>立即停止乙方经营，</w:t>
      </w:r>
      <w:r>
        <w:rPr>
          <w:rFonts w:hint="eastAsia" w:ascii="仿宋" w:hAnsi="仿宋" w:eastAsia="仿宋" w:cs="仿宋"/>
          <w:color w:val="auto"/>
          <w:sz w:val="28"/>
          <w:szCs w:val="28"/>
          <w:lang w:val="en-US" w:eastAsia="zh-CN"/>
        </w:rPr>
        <w:t>要求乙方</w:t>
      </w:r>
      <w:r>
        <w:rPr>
          <w:rFonts w:hint="eastAsia" w:ascii="仿宋" w:hAnsi="仿宋" w:eastAsia="仿宋" w:cs="仿宋"/>
          <w:color w:val="auto"/>
          <w:sz w:val="28"/>
          <w:szCs w:val="28"/>
        </w:rPr>
        <w:t>限期清退违规人员。</w:t>
      </w:r>
    </w:p>
    <w:p w14:paraId="4C88B5D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4.2.</w:t>
      </w:r>
      <w:r>
        <w:rPr>
          <w:rFonts w:hint="eastAsia" w:ascii="仿宋" w:hAnsi="仿宋" w:eastAsia="仿宋" w:cs="仿宋"/>
          <w:color w:val="auto"/>
          <w:sz w:val="28"/>
          <w:szCs w:val="28"/>
        </w:rPr>
        <w:t>4</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产品质量溯源监管</w:t>
      </w:r>
    </w:p>
    <w:p w14:paraId="17F258D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甲方每月抽查乙方进货台账、厂家授权、医疗器械注册证、产品合格证；</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每季度随机抽检在售助听器产品，</w:t>
      </w:r>
      <w:r>
        <w:rPr>
          <w:rFonts w:hint="eastAsia" w:ascii="仿宋" w:hAnsi="仿宋" w:eastAsia="仿宋" w:cs="仿宋"/>
          <w:color w:val="auto"/>
          <w:sz w:val="28"/>
          <w:szCs w:val="28"/>
          <w:lang w:val="en-US" w:eastAsia="zh-CN"/>
        </w:rPr>
        <w:t>如发现存在</w:t>
      </w:r>
      <w:r>
        <w:rPr>
          <w:rFonts w:hint="eastAsia" w:ascii="仿宋" w:hAnsi="仿宋" w:eastAsia="仿宋" w:cs="仿宋"/>
          <w:color w:val="auto"/>
          <w:sz w:val="28"/>
          <w:szCs w:val="28"/>
        </w:rPr>
        <w:t>无正规溯源</w:t>
      </w: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rPr>
        <w:t>不合格产品</w:t>
      </w:r>
      <w:r>
        <w:rPr>
          <w:rFonts w:hint="eastAsia" w:ascii="仿宋" w:hAnsi="仿宋" w:eastAsia="仿宋" w:cs="仿宋"/>
          <w:color w:val="auto"/>
          <w:sz w:val="28"/>
          <w:szCs w:val="28"/>
          <w:lang w:val="en-US" w:eastAsia="zh-CN"/>
        </w:rPr>
        <w:t>的情况，甲方有权要求乙方</w:t>
      </w:r>
      <w:r>
        <w:rPr>
          <w:rFonts w:hint="eastAsia" w:ascii="仿宋" w:hAnsi="仿宋" w:eastAsia="仿宋" w:cs="仿宋"/>
          <w:color w:val="auto"/>
          <w:sz w:val="28"/>
          <w:szCs w:val="28"/>
        </w:rPr>
        <w:t>立即下架</w:t>
      </w:r>
      <w:r>
        <w:rPr>
          <w:rFonts w:hint="eastAsia" w:ascii="仿宋" w:hAnsi="仿宋" w:eastAsia="仿宋" w:cs="仿宋"/>
          <w:color w:val="auto"/>
          <w:sz w:val="28"/>
          <w:szCs w:val="28"/>
          <w:lang w:val="en-US" w:eastAsia="zh-CN"/>
        </w:rPr>
        <w:t>问题产品</w:t>
      </w:r>
      <w:r>
        <w:rPr>
          <w:rFonts w:hint="eastAsia" w:ascii="仿宋" w:hAnsi="仿宋" w:eastAsia="仿宋" w:cs="仿宋"/>
          <w:color w:val="auto"/>
          <w:sz w:val="28"/>
          <w:szCs w:val="28"/>
        </w:rPr>
        <w:t>，上报市场监管部门，乙方承担全部</w:t>
      </w:r>
      <w:r>
        <w:rPr>
          <w:rFonts w:hint="eastAsia" w:ascii="仿宋" w:hAnsi="仿宋" w:eastAsia="仿宋" w:cs="仿宋"/>
          <w:color w:val="auto"/>
          <w:sz w:val="28"/>
          <w:szCs w:val="28"/>
          <w:lang w:val="en-US" w:eastAsia="zh-CN"/>
        </w:rPr>
        <w:t>法律责任和经济赔偿责任</w:t>
      </w:r>
      <w:r>
        <w:rPr>
          <w:rFonts w:hint="eastAsia" w:ascii="仿宋" w:hAnsi="仿宋" w:eastAsia="仿宋" w:cs="仿宋"/>
          <w:color w:val="auto"/>
          <w:sz w:val="28"/>
          <w:szCs w:val="28"/>
        </w:rPr>
        <w:t>。</w:t>
      </w:r>
    </w:p>
    <w:p w14:paraId="6FAE377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4.2.</w:t>
      </w:r>
      <w:r>
        <w:rPr>
          <w:rFonts w:hint="eastAsia" w:ascii="仿宋" w:hAnsi="仿宋" w:eastAsia="仿宋" w:cs="仿宋"/>
          <w:sz w:val="28"/>
          <w:szCs w:val="28"/>
        </w:rPr>
        <w:t>5</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投诉质量追责</w:t>
      </w:r>
    </w:p>
    <w:p w14:paraId="767FA97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建立投诉台账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单次有效投诉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甲方有权</w:t>
      </w:r>
      <w:r>
        <w:rPr>
          <w:rFonts w:hint="eastAsia" w:ascii="仿宋" w:hAnsi="仿宋" w:eastAsia="仿宋" w:cs="仿宋"/>
          <w:color w:val="auto"/>
          <w:sz w:val="28"/>
          <w:szCs w:val="28"/>
          <w:highlight w:val="none"/>
        </w:rPr>
        <w:t>责令</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书面整改；月度累计2次有效投诉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甲方有权</w:t>
      </w:r>
      <w:r>
        <w:rPr>
          <w:rFonts w:hint="eastAsia" w:ascii="仿宋" w:hAnsi="仿宋" w:eastAsia="仿宋" w:cs="仿宋"/>
          <w:color w:val="auto"/>
          <w:sz w:val="28"/>
          <w:szCs w:val="28"/>
          <w:highlight w:val="none"/>
        </w:rPr>
        <w:t>约谈乙方负责人；月度发生3次及以上有效投诉、重大服务纠纷、舆情事件的，</w:t>
      </w:r>
      <w:r>
        <w:rPr>
          <w:rFonts w:hint="eastAsia" w:ascii="仿宋" w:hAnsi="仿宋" w:eastAsia="仿宋" w:cs="仿宋"/>
          <w:color w:val="auto"/>
          <w:sz w:val="28"/>
          <w:szCs w:val="28"/>
          <w:highlight w:val="none"/>
          <w:lang w:val="en-US" w:eastAsia="zh-CN"/>
        </w:rPr>
        <w:t>甲方有权</w:t>
      </w:r>
      <w:r>
        <w:rPr>
          <w:rFonts w:hint="eastAsia" w:ascii="仿宋" w:hAnsi="仿宋" w:eastAsia="仿宋" w:cs="仿宋"/>
          <w:color w:val="auto"/>
          <w:sz w:val="28"/>
          <w:szCs w:val="28"/>
          <w:highlight w:val="none"/>
        </w:rPr>
        <w:t>扣除全部履约保证金</w:t>
      </w:r>
      <w:r>
        <w:rPr>
          <w:rFonts w:hint="eastAsia" w:ascii="仿宋" w:hAnsi="仿宋" w:eastAsia="仿宋" w:cs="仿宋"/>
          <w:color w:val="auto"/>
          <w:sz w:val="28"/>
          <w:szCs w:val="28"/>
          <w:highlight w:val="none"/>
          <w:lang w:val="en-US" w:eastAsia="zh-CN"/>
        </w:rPr>
        <w:t>并单方</w:t>
      </w:r>
      <w:r>
        <w:rPr>
          <w:rFonts w:hint="eastAsia" w:ascii="仿宋" w:hAnsi="仿宋" w:eastAsia="仿宋" w:cs="仿宋"/>
          <w:color w:val="auto"/>
          <w:sz w:val="28"/>
          <w:szCs w:val="28"/>
          <w:highlight w:val="none"/>
        </w:rPr>
        <w:t>解除协议。</w:t>
      </w:r>
    </w:p>
    <w:p w14:paraId="2FD57EEB">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4.</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 xml:space="preserve"> 价格专项监管机制</w:t>
      </w:r>
    </w:p>
    <w:p w14:paraId="46232C2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4.3.</w:t>
      </w:r>
      <w:r>
        <w:rPr>
          <w:rFonts w:hint="eastAsia" w:ascii="仿宋" w:hAnsi="仿宋" w:eastAsia="仿宋" w:cs="仿宋"/>
          <w:sz w:val="28"/>
          <w:szCs w:val="28"/>
        </w:rPr>
        <w:t>1</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定价前置审核备案</w:t>
      </w:r>
    </w:p>
    <w:p w14:paraId="473408B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乙方所有助听器型号、配套调试、维修、耗材收费标准，必须制作统一价目表，加盖公章提交甲方</w:t>
      </w:r>
      <w:r>
        <w:rPr>
          <w:rFonts w:hint="eastAsia" w:ascii="仿宋" w:hAnsi="仿宋" w:eastAsia="仿宋" w:cs="仿宋"/>
          <w:color w:val="auto"/>
          <w:sz w:val="28"/>
          <w:szCs w:val="28"/>
          <w:highlight w:val="none"/>
        </w:rPr>
        <w:t>审核，</w:t>
      </w:r>
      <w:r>
        <w:rPr>
          <w:rFonts w:hint="eastAsia" w:ascii="仿宋" w:hAnsi="仿宋" w:eastAsia="仿宋" w:cs="仿宋"/>
          <w:color w:val="auto"/>
          <w:sz w:val="28"/>
          <w:szCs w:val="28"/>
        </w:rPr>
        <w:t>审核通过后张贴于服务中心醒目位置方可执行；任何产品调价、新增收费项目</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必须重新</w:t>
      </w:r>
      <w:r>
        <w:rPr>
          <w:rFonts w:hint="eastAsia" w:ascii="仿宋" w:hAnsi="仿宋" w:eastAsia="仿宋" w:cs="仿宋"/>
          <w:color w:val="auto"/>
          <w:sz w:val="28"/>
          <w:szCs w:val="28"/>
          <w:lang w:val="en-US" w:eastAsia="zh-CN"/>
        </w:rPr>
        <w:t>向甲方</w:t>
      </w:r>
      <w:r>
        <w:rPr>
          <w:rFonts w:hint="eastAsia" w:ascii="仿宋" w:hAnsi="仿宋" w:eastAsia="仿宋" w:cs="仿宋"/>
          <w:color w:val="auto"/>
          <w:sz w:val="28"/>
          <w:szCs w:val="28"/>
        </w:rPr>
        <w:t>报备审核，私自调价</w:t>
      </w:r>
      <w:r>
        <w:rPr>
          <w:rFonts w:hint="eastAsia" w:ascii="仿宋" w:hAnsi="仿宋" w:eastAsia="仿宋" w:cs="仿宋"/>
          <w:color w:val="auto"/>
          <w:sz w:val="28"/>
          <w:szCs w:val="28"/>
          <w:lang w:eastAsia="zh-CN"/>
        </w:rPr>
        <w:t>、加价</w:t>
      </w:r>
      <w:r>
        <w:rPr>
          <w:rFonts w:hint="eastAsia" w:ascii="仿宋" w:hAnsi="仿宋" w:eastAsia="仿宋" w:cs="仿宋"/>
          <w:color w:val="auto"/>
          <w:sz w:val="28"/>
          <w:szCs w:val="28"/>
        </w:rPr>
        <w:t>视为严重违约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乙方应按本合同约定承担相应的违约责任</w:t>
      </w:r>
      <w:r>
        <w:rPr>
          <w:rFonts w:hint="eastAsia" w:ascii="仿宋" w:hAnsi="仿宋" w:eastAsia="仿宋" w:cs="仿宋"/>
          <w:color w:val="auto"/>
          <w:sz w:val="28"/>
          <w:szCs w:val="28"/>
        </w:rPr>
        <w:t>。</w:t>
      </w:r>
    </w:p>
    <w:p w14:paraId="0E9A0F9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4.3.2 </w:t>
      </w:r>
      <w:r>
        <w:rPr>
          <w:rFonts w:hint="eastAsia" w:ascii="仿宋" w:hAnsi="仿宋" w:eastAsia="仿宋" w:cs="仿宋"/>
          <w:sz w:val="28"/>
          <w:szCs w:val="28"/>
        </w:rPr>
        <w:t>价格上限管控</w:t>
      </w:r>
    </w:p>
    <w:p w14:paraId="0F72433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甲方定期调取省内三甲医院同品牌、同型号助听器价格信息，乙方所有产品售价不得高于该均价；甲方有权随机调取乙方销售小票、</w:t>
      </w:r>
      <w:r>
        <w:rPr>
          <w:rFonts w:hint="eastAsia" w:ascii="仿宋" w:hAnsi="仿宋" w:eastAsia="仿宋" w:cs="仿宋"/>
          <w:color w:val="auto"/>
          <w:sz w:val="28"/>
          <w:szCs w:val="28"/>
          <w:lang w:val="en-US" w:eastAsia="zh-CN"/>
        </w:rPr>
        <w:t>收款台账、进货</w:t>
      </w:r>
      <w:r>
        <w:rPr>
          <w:rFonts w:hint="eastAsia" w:ascii="仿宋" w:hAnsi="仿宋" w:eastAsia="仿宋" w:cs="仿宋"/>
          <w:color w:val="auto"/>
          <w:sz w:val="28"/>
          <w:szCs w:val="28"/>
        </w:rPr>
        <w:t>记录核对价格，发现高价售卖责令立即降价，并向已消费患者退还差价。</w:t>
      </w:r>
    </w:p>
    <w:p w14:paraId="0031D2B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4.3.</w:t>
      </w: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收费行为常态化核查</w:t>
      </w:r>
    </w:p>
    <w:p w14:paraId="554CD9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甲方每月抽查销售台账、收费单据，严查捆绑消费、强制配套购买、私下加价、口头承诺低价实际高价等价格欺诈行为。</w:t>
      </w:r>
    </w:p>
    <w:p w14:paraId="1E648CD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4.3.</w:t>
      </w:r>
      <w:r>
        <w:rPr>
          <w:rFonts w:hint="eastAsia" w:ascii="仿宋" w:hAnsi="仿宋" w:eastAsia="仿宋" w:cs="仿宋"/>
          <w:color w:val="auto"/>
          <w:sz w:val="28"/>
          <w:szCs w:val="28"/>
        </w:rPr>
        <w:t>4</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价格违规处置标准</w:t>
      </w:r>
    </w:p>
    <w:p w14:paraId="376162E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首次价格违规：书面警告，3日内整改，扣除20%履约保证金；</w:t>
      </w:r>
    </w:p>
    <w:p w14:paraId="0B7C1CF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二次价格违规：暂停乙方经营服务7日，扣除50%履约保证金；</w:t>
      </w:r>
    </w:p>
    <w:p w14:paraId="1553DC3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三次及以上价格违规</w:t>
      </w:r>
      <w:r>
        <w:rPr>
          <w:rFonts w:hint="eastAsia" w:ascii="仿宋" w:hAnsi="仿宋" w:eastAsia="仿宋" w:cs="仿宋"/>
          <w:color w:val="auto"/>
          <w:sz w:val="28"/>
          <w:szCs w:val="28"/>
          <w:highlight w:val="none"/>
        </w:rPr>
        <w:t>：甲方单方终止协议，全额没收履约保证金，</w:t>
      </w:r>
      <w:r>
        <w:rPr>
          <w:rFonts w:hint="eastAsia" w:ascii="仿宋" w:hAnsi="仿宋" w:eastAsia="仿宋" w:cs="仿宋"/>
          <w:color w:val="auto"/>
          <w:sz w:val="28"/>
          <w:szCs w:val="28"/>
        </w:rPr>
        <w:t>乙方</w:t>
      </w:r>
      <w:r>
        <w:rPr>
          <w:rFonts w:hint="eastAsia" w:ascii="仿宋" w:hAnsi="仿宋" w:eastAsia="仿宋" w:cs="仿宋"/>
          <w:color w:val="auto"/>
          <w:sz w:val="28"/>
          <w:szCs w:val="28"/>
          <w:lang w:val="en-US" w:eastAsia="zh-CN"/>
        </w:rPr>
        <w:t>应在甲方通知书上载明的合同终止之日起</w:t>
      </w:r>
      <w:r>
        <w:rPr>
          <w:rFonts w:hint="eastAsia" w:ascii="仿宋" w:hAnsi="仿宋" w:eastAsia="仿宋" w:cs="仿宋"/>
          <w:color w:val="auto"/>
          <w:sz w:val="28"/>
          <w:szCs w:val="28"/>
        </w:rPr>
        <w:t>3日内</w:t>
      </w:r>
      <w:r>
        <w:rPr>
          <w:rFonts w:hint="eastAsia" w:ascii="仿宋" w:hAnsi="仿宋" w:eastAsia="仿宋" w:cs="仿宋"/>
          <w:color w:val="auto"/>
          <w:sz w:val="28"/>
          <w:szCs w:val="28"/>
          <w:lang w:val="en-US" w:eastAsia="zh-CN"/>
        </w:rPr>
        <w:t>按甲方要求</w:t>
      </w:r>
      <w:r>
        <w:rPr>
          <w:rFonts w:hint="eastAsia" w:ascii="仿宋" w:hAnsi="仿宋" w:eastAsia="仿宋" w:cs="仿宋"/>
          <w:color w:val="auto"/>
          <w:sz w:val="28"/>
          <w:szCs w:val="28"/>
        </w:rPr>
        <w:t>撤离场地。</w:t>
      </w:r>
    </w:p>
    <w:p w14:paraId="39A44B91">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4.</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 xml:space="preserve"> 宣传与营销监管</w:t>
      </w:r>
    </w:p>
    <w:p w14:paraId="4CCE7CD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乙方所有海报、展架、宣传单、短视频、口头科普话术必须提前提交甲方审核，禁止冒用医院名义夸大助听器治疗功效、虚构康复效果、私下在门诊诊室、病房拦截患者推销；违规营销一次即启动整改程序。</w:t>
      </w:r>
    </w:p>
    <w:p w14:paraId="049269F5">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4.</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 xml:space="preserve"> 年度综合评估与退出监管</w:t>
      </w:r>
    </w:p>
    <w:p w14:paraId="2811004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kern w:val="2"/>
          <w:sz w:val="28"/>
          <w:szCs w:val="28"/>
          <w:lang w:val="en-US" w:eastAsia="zh-CN" w:bidi="ar-SA"/>
        </w:rPr>
        <w:t>合同期限届满前30日</w:t>
      </w:r>
      <w:r>
        <w:rPr>
          <w:rFonts w:hint="eastAsia" w:ascii="仿宋" w:hAnsi="仿宋" w:eastAsia="仿宋" w:cs="仿宋"/>
          <w:sz w:val="28"/>
          <w:szCs w:val="28"/>
        </w:rPr>
        <w:t>甲方开展年度综合评估，考核维度包含：资质合规、</w:t>
      </w:r>
      <w:r>
        <w:rPr>
          <w:rFonts w:hint="eastAsia" w:ascii="仿宋" w:hAnsi="仿宋" w:eastAsia="仿宋" w:cs="仿宋"/>
          <w:color w:val="auto"/>
          <w:sz w:val="28"/>
          <w:szCs w:val="28"/>
        </w:rPr>
        <w:t>产品质量、价格规范、服务质量、投诉处置、公益服务、行风廉洁、安全生产；</w:t>
      </w:r>
      <w:r>
        <w:rPr>
          <w:rFonts w:hint="eastAsia" w:ascii="仿宋" w:hAnsi="仿宋" w:eastAsia="仿宋" w:cs="仿宋"/>
          <w:color w:val="auto"/>
          <w:sz w:val="28"/>
          <w:szCs w:val="28"/>
          <w:lang w:val="en-US" w:eastAsia="zh-CN"/>
        </w:rPr>
        <w:t>如乙方</w:t>
      </w:r>
      <w:r>
        <w:rPr>
          <w:rFonts w:hint="eastAsia" w:ascii="仿宋" w:hAnsi="仿宋" w:eastAsia="仿宋" w:cs="仿宋"/>
          <w:color w:val="auto"/>
          <w:sz w:val="28"/>
          <w:szCs w:val="28"/>
        </w:rPr>
        <w:t>考核不合格，甲方不再续签年度协议，合作到期终止。</w:t>
      </w:r>
    </w:p>
    <w:p w14:paraId="5F9F8C7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黑体" w:hAnsi="黑体" w:eastAsia="黑体" w:cs="黑体"/>
          <w:b w:val="0"/>
          <w:bCs w:val="0"/>
          <w:color w:val="auto"/>
          <w:sz w:val="28"/>
          <w:szCs w:val="28"/>
        </w:rPr>
        <w:t>第五条 履约保证金与费用约定</w:t>
      </w:r>
    </w:p>
    <w:p w14:paraId="234B00B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乙方应在合同签订前</w:t>
      </w:r>
      <w:r>
        <w:rPr>
          <w:rFonts w:hint="eastAsia" w:ascii="仿宋" w:hAnsi="仿宋" w:eastAsia="仿宋" w:cs="仿宋"/>
          <w:color w:val="auto"/>
          <w:sz w:val="28"/>
          <w:szCs w:val="28"/>
        </w:rPr>
        <w:t>，一次性向甲方缴纳履约保证金人民币</w:t>
      </w:r>
      <w:r>
        <w:rPr>
          <w:rFonts w:hint="eastAsia" w:ascii="仿宋" w:hAnsi="仿宋" w:eastAsia="仿宋" w:cs="仿宋"/>
          <w:color w:val="auto"/>
          <w:sz w:val="28"/>
          <w:szCs w:val="28"/>
          <w:u w:val="none"/>
          <w:lang w:val="en-US" w:eastAsia="zh-CN"/>
        </w:rPr>
        <w:t>伍万</w:t>
      </w:r>
      <w:r>
        <w:rPr>
          <w:rFonts w:hint="eastAsia" w:ascii="仿宋" w:hAnsi="仿宋" w:eastAsia="仿宋" w:cs="仿宋"/>
          <w:color w:val="auto"/>
          <w:sz w:val="28"/>
          <w:szCs w:val="28"/>
          <w:u w:val="none"/>
        </w:rPr>
        <w:t>元</w:t>
      </w:r>
      <w:r>
        <w:rPr>
          <w:rFonts w:hint="eastAsia" w:ascii="仿宋" w:hAnsi="仿宋" w:eastAsia="仿宋" w:cs="仿宋"/>
          <w:color w:val="auto"/>
          <w:sz w:val="28"/>
          <w:szCs w:val="28"/>
          <w:u w:val="none"/>
          <w:lang w:val="en-US" w:eastAsia="zh-CN"/>
        </w:rPr>
        <w:t>整（</w:t>
      </w:r>
      <w:r>
        <w:rPr>
          <w:rFonts w:hint="default" w:ascii="Arial" w:hAnsi="Arial" w:eastAsia="仿宋" w:cs="Arial"/>
          <w:color w:val="auto"/>
          <w:sz w:val="28"/>
          <w:szCs w:val="28"/>
          <w:u w:val="none"/>
          <w:lang w:val="en-US" w:eastAsia="zh-CN"/>
        </w:rPr>
        <w:t>¥</w:t>
      </w:r>
      <w:r>
        <w:rPr>
          <w:rFonts w:hint="eastAsia" w:ascii="仿宋" w:hAnsi="仿宋" w:eastAsia="仿宋" w:cs="仿宋"/>
          <w:color w:val="auto"/>
          <w:sz w:val="28"/>
          <w:szCs w:val="28"/>
          <w:u w:val="none"/>
          <w:lang w:val="en-US" w:eastAsia="zh-CN"/>
        </w:rPr>
        <w:t>50000.00）</w:t>
      </w:r>
      <w:r>
        <w:rPr>
          <w:rFonts w:hint="eastAsia" w:ascii="仿宋" w:hAnsi="仿宋" w:eastAsia="仿宋" w:cs="仿宋"/>
          <w:color w:val="auto"/>
          <w:sz w:val="28"/>
          <w:szCs w:val="28"/>
        </w:rPr>
        <w:t>，用于担保质量整改、价格违规赔付、患者纠纷赔偿、场地损坏修复、违约金抵扣</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补偿医院名誉损失。</w:t>
      </w:r>
    </w:p>
    <w:p w14:paraId="6CD9E0C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b w:val="0"/>
          <w:bCs w:val="0"/>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 合作期限届满后</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如乙方无任何违约情形，甲方无息全额退还给乙方；</w:t>
      </w:r>
      <w:r>
        <w:rPr>
          <w:rFonts w:hint="eastAsia" w:ascii="仿宋" w:hAnsi="仿宋" w:eastAsia="仿宋" w:cs="仿宋"/>
          <w:color w:val="auto"/>
          <w:sz w:val="28"/>
          <w:szCs w:val="28"/>
        </w:rPr>
        <w:t>如有违约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扣款情形</w:t>
      </w:r>
      <w:r>
        <w:rPr>
          <w:rFonts w:hint="eastAsia" w:ascii="仿宋" w:hAnsi="仿宋" w:eastAsia="仿宋" w:cs="仿宋"/>
          <w:color w:val="auto"/>
          <w:sz w:val="28"/>
          <w:szCs w:val="28"/>
        </w:rPr>
        <w:t>，甲方直接从保证</w:t>
      </w:r>
      <w:r>
        <w:rPr>
          <w:rFonts w:hint="eastAsia" w:ascii="仿宋" w:hAnsi="仿宋" w:eastAsia="仿宋" w:cs="仿宋"/>
          <w:color w:val="auto"/>
          <w:sz w:val="28"/>
          <w:szCs w:val="28"/>
          <w:lang w:eastAsia="zh-CN"/>
        </w:rPr>
        <w:t>金中</w:t>
      </w:r>
      <w:r>
        <w:rPr>
          <w:rFonts w:hint="eastAsia" w:ascii="仿宋" w:hAnsi="仿宋" w:eastAsia="仿宋" w:cs="仿宋"/>
          <w:color w:val="auto"/>
          <w:sz w:val="28"/>
          <w:szCs w:val="28"/>
          <w:lang w:val="en-US" w:eastAsia="zh-CN"/>
        </w:rPr>
        <w:t>扣除违约金及相应款项</w:t>
      </w:r>
      <w:r>
        <w:rPr>
          <w:rFonts w:hint="eastAsia" w:ascii="仿宋" w:hAnsi="仿宋" w:eastAsia="仿宋" w:cs="仿宋"/>
          <w:color w:val="auto"/>
          <w:sz w:val="28"/>
          <w:szCs w:val="28"/>
        </w:rPr>
        <w:t>，不足部分甲方有权向乙方追偿。</w:t>
      </w:r>
    </w:p>
    <w:p w14:paraId="33DD663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3</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场地装修、设备、人员、耗材、售后、公益活动全部费用由乙方自行承担。 </w:t>
      </w:r>
    </w:p>
    <w:p w14:paraId="7C4FA1E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黑体" w:hAnsi="黑体" w:eastAsia="黑体" w:cs="黑体"/>
          <w:sz w:val="28"/>
          <w:szCs w:val="28"/>
        </w:rPr>
        <w:t>第</w:t>
      </w:r>
      <w:r>
        <w:rPr>
          <w:rFonts w:hint="eastAsia" w:ascii="黑体" w:hAnsi="黑体" w:eastAsia="黑体" w:cs="黑体"/>
          <w:sz w:val="28"/>
          <w:szCs w:val="28"/>
          <w:lang w:val="en-US" w:eastAsia="zh-CN"/>
        </w:rPr>
        <w:t>六</w:t>
      </w:r>
      <w:r>
        <w:rPr>
          <w:rFonts w:hint="eastAsia" w:ascii="黑体" w:hAnsi="黑体" w:eastAsia="黑体" w:cs="黑体"/>
          <w:sz w:val="28"/>
          <w:szCs w:val="28"/>
        </w:rPr>
        <w:t>条 廉政与保密约定</w:t>
      </w:r>
    </w:p>
    <w:p w14:paraId="4282B17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.1</w:t>
      </w:r>
      <w:r>
        <w:rPr>
          <w:rFonts w:hint="eastAsia" w:ascii="仿宋" w:hAnsi="仿宋" w:eastAsia="仿宋" w:cs="仿宋"/>
          <w:sz w:val="28"/>
          <w:szCs w:val="28"/>
          <w:lang w:val="en-US" w:eastAsia="zh-CN"/>
        </w:rPr>
        <w:t>廉政条款</w:t>
      </w:r>
    </w:p>
    <w:p w14:paraId="08B15EE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6.1.1</w:t>
      </w:r>
      <w:r>
        <w:rPr>
          <w:rFonts w:hint="default" w:ascii="仿宋" w:hAnsi="仿宋" w:eastAsia="仿宋" w:cs="仿宋"/>
          <w:sz w:val="28"/>
          <w:szCs w:val="28"/>
          <w:lang w:val="en-US" w:eastAsia="zh-CN"/>
        </w:rPr>
        <w:t>乙方应严格遵守国家相关法律法规，涉及</w:t>
      </w:r>
      <w:r>
        <w:rPr>
          <w:rFonts w:hint="eastAsia" w:ascii="仿宋" w:hAnsi="仿宋" w:eastAsia="仿宋" w:cs="仿宋"/>
          <w:sz w:val="28"/>
          <w:szCs w:val="28"/>
          <w:lang w:val="en-US" w:eastAsia="zh-CN"/>
        </w:rPr>
        <w:t>协议</w:t>
      </w:r>
      <w:r>
        <w:rPr>
          <w:rFonts w:hint="default" w:ascii="仿宋" w:hAnsi="仿宋" w:eastAsia="仿宋" w:cs="仿宋"/>
          <w:sz w:val="28"/>
          <w:szCs w:val="28"/>
          <w:lang w:val="en-US" w:eastAsia="zh-CN"/>
        </w:rPr>
        <w:t>的有关业务活动必须坚持公开、公平、公正、诚信原则，不得为获取不正当利益，损害国家、集体和甲方利益。</w:t>
      </w:r>
    </w:p>
    <w:p w14:paraId="013B7FE3">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default" w:ascii="仿宋" w:hAnsi="仿宋" w:eastAsia="仿宋" w:cs="仿宋"/>
          <w:b/>
          <w:bCs/>
          <w:sz w:val="28"/>
          <w:szCs w:val="28"/>
          <w:u w:val="single"/>
          <w:lang w:val="en-US" w:eastAsia="zh-CN"/>
        </w:rPr>
      </w:pPr>
      <w:r>
        <w:rPr>
          <w:rFonts w:hint="eastAsia" w:ascii="仿宋" w:hAnsi="仿宋" w:eastAsia="仿宋" w:cs="仿宋"/>
          <w:b/>
          <w:bCs/>
          <w:sz w:val="28"/>
          <w:szCs w:val="28"/>
          <w:u w:val="single"/>
          <w:lang w:val="en-US" w:eastAsia="zh-CN"/>
        </w:rPr>
        <w:t>6</w:t>
      </w:r>
      <w:r>
        <w:rPr>
          <w:rFonts w:hint="default" w:ascii="仿宋" w:hAnsi="仿宋" w:eastAsia="仿宋" w:cs="仿宋"/>
          <w:b/>
          <w:bCs/>
          <w:sz w:val="28"/>
          <w:szCs w:val="28"/>
          <w:u w:val="single"/>
          <w:lang w:val="en-US" w:eastAsia="zh-CN"/>
        </w:rPr>
        <w:t>.</w:t>
      </w:r>
      <w:r>
        <w:rPr>
          <w:rFonts w:hint="eastAsia" w:ascii="仿宋" w:hAnsi="仿宋" w:eastAsia="仿宋" w:cs="仿宋"/>
          <w:b/>
          <w:bCs/>
          <w:sz w:val="28"/>
          <w:szCs w:val="28"/>
          <w:u w:val="single"/>
          <w:lang w:val="en-US" w:eastAsia="zh-CN"/>
        </w:rPr>
        <w:t>1.</w:t>
      </w:r>
      <w:r>
        <w:rPr>
          <w:rFonts w:hint="default" w:ascii="仿宋" w:hAnsi="仿宋" w:eastAsia="仿宋" w:cs="仿宋"/>
          <w:b/>
          <w:bCs/>
          <w:sz w:val="28"/>
          <w:szCs w:val="28"/>
          <w:u w:val="single"/>
          <w:lang w:val="en-US" w:eastAsia="zh-CN"/>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w:t>
      </w:r>
      <w:r>
        <w:rPr>
          <w:rFonts w:hint="eastAsia" w:ascii="仿宋" w:hAnsi="仿宋" w:eastAsia="仿宋" w:cs="仿宋"/>
          <w:b/>
          <w:bCs/>
          <w:sz w:val="28"/>
          <w:szCs w:val="28"/>
          <w:highlight w:val="none"/>
          <w:u w:val="single"/>
          <w:lang w:val="en-US" w:eastAsia="zh-CN"/>
        </w:rPr>
        <w:t>；</w:t>
      </w:r>
      <w:r>
        <w:rPr>
          <w:rFonts w:hint="eastAsia" w:ascii="仿宋" w:hAnsi="仿宋" w:eastAsia="仿宋" w:cs="仿宋"/>
          <w:b/>
          <w:bCs/>
          <w:sz w:val="28"/>
          <w:szCs w:val="28"/>
          <w:highlight w:val="none"/>
          <w:u w:val="single"/>
        </w:rPr>
        <w:t>一经发现，甲方有权立即解除</w:t>
      </w:r>
      <w:r>
        <w:rPr>
          <w:rFonts w:hint="eastAsia" w:ascii="仿宋" w:hAnsi="仿宋" w:eastAsia="仿宋" w:cs="仿宋"/>
          <w:b/>
          <w:bCs/>
          <w:sz w:val="28"/>
          <w:szCs w:val="28"/>
          <w:highlight w:val="none"/>
          <w:u w:val="single"/>
          <w:lang w:val="en-US" w:eastAsia="zh-CN"/>
        </w:rPr>
        <w:t>协议</w:t>
      </w:r>
      <w:r>
        <w:rPr>
          <w:rFonts w:hint="eastAsia" w:ascii="仿宋" w:hAnsi="仿宋" w:eastAsia="仿宋" w:cs="仿宋"/>
          <w:b/>
          <w:bCs/>
          <w:sz w:val="28"/>
          <w:szCs w:val="28"/>
          <w:highlight w:val="none"/>
          <w:u w:val="single"/>
        </w:rPr>
        <w:t>，没收全部履约保证金，</w:t>
      </w:r>
      <w:r>
        <w:rPr>
          <w:rFonts w:hint="eastAsia" w:ascii="仿宋" w:hAnsi="仿宋" w:eastAsia="仿宋" w:cs="仿宋"/>
          <w:b/>
          <w:bCs/>
          <w:sz w:val="28"/>
          <w:szCs w:val="28"/>
          <w:u w:val="single"/>
        </w:rPr>
        <w:t>移交纪检监察部门处理</w:t>
      </w:r>
      <w:r>
        <w:rPr>
          <w:rFonts w:hint="eastAsia" w:ascii="仿宋" w:hAnsi="仿宋" w:eastAsia="仿宋" w:cs="仿宋"/>
          <w:b/>
          <w:bCs/>
          <w:sz w:val="28"/>
          <w:szCs w:val="28"/>
          <w:u w:val="single"/>
          <w:lang w:eastAsia="zh-CN"/>
        </w:rPr>
        <w:t>，</w:t>
      </w:r>
      <w:r>
        <w:rPr>
          <w:rFonts w:hint="default" w:ascii="仿宋" w:hAnsi="仿宋" w:eastAsia="仿宋" w:cs="仿宋"/>
          <w:b/>
          <w:bCs/>
          <w:sz w:val="28"/>
          <w:szCs w:val="28"/>
          <w:u w:val="single"/>
          <w:lang w:val="en-US" w:eastAsia="zh-CN"/>
        </w:rPr>
        <w:t>甲方</w:t>
      </w:r>
      <w:r>
        <w:rPr>
          <w:rFonts w:hint="eastAsia" w:ascii="仿宋" w:hAnsi="仿宋" w:eastAsia="仿宋" w:cs="仿宋"/>
          <w:b/>
          <w:bCs/>
          <w:sz w:val="28"/>
          <w:szCs w:val="28"/>
          <w:u w:val="single"/>
          <w:lang w:val="en-US" w:eastAsia="zh-CN"/>
        </w:rPr>
        <w:t>还</w:t>
      </w:r>
      <w:r>
        <w:rPr>
          <w:rFonts w:hint="default" w:ascii="仿宋" w:hAnsi="仿宋" w:eastAsia="仿宋" w:cs="仿宋"/>
          <w:b/>
          <w:bCs/>
          <w:sz w:val="28"/>
          <w:szCs w:val="28"/>
          <w:u w:val="single"/>
          <w:lang w:val="en-US" w:eastAsia="zh-CN"/>
        </w:rPr>
        <w:t>有权要求乙方按本</w:t>
      </w:r>
      <w:r>
        <w:rPr>
          <w:rFonts w:hint="eastAsia" w:ascii="仿宋" w:hAnsi="仿宋" w:eastAsia="仿宋" w:cs="仿宋"/>
          <w:b/>
          <w:bCs/>
          <w:sz w:val="28"/>
          <w:szCs w:val="28"/>
          <w:u w:val="single"/>
          <w:lang w:val="en-US" w:eastAsia="zh-CN"/>
        </w:rPr>
        <w:t>协议</w:t>
      </w:r>
      <w:r>
        <w:rPr>
          <w:rFonts w:hint="default" w:ascii="仿宋" w:hAnsi="仿宋" w:eastAsia="仿宋" w:cs="仿宋"/>
          <w:b/>
          <w:bCs/>
          <w:sz w:val="28"/>
          <w:szCs w:val="28"/>
          <w:u w:val="single"/>
          <w:lang w:val="en-US" w:eastAsia="zh-CN"/>
        </w:rPr>
        <w:t>约定向甲方支付违反廉洁条款的惩罚性违约金。</w:t>
      </w:r>
    </w:p>
    <w:p w14:paraId="798AA9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 保密条款</w:t>
      </w:r>
    </w:p>
    <w:p w14:paraId="7831AC1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6.2.1 本合同订立、履行、变更等产生的研究、商讨、交流等信息，履行本合同获悉的甲方商业秘密、运营信息、工作人员信息、患陪个人信息等，均属保密信息。</w:t>
      </w:r>
    </w:p>
    <w:p w14:paraId="07F8747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 乙方应对保密信息采取有效手段严格保密，不得用于非本合同之目的或向第三方泄露。如政府部门、法院或其他有权部门要求乙方提供保密信息，乙方应当立即向甲方通报。</w:t>
      </w:r>
    </w:p>
    <w:p w14:paraId="16D1EB7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6.3 </w:t>
      </w:r>
      <w:r>
        <w:rPr>
          <w:rFonts w:hint="eastAsia" w:ascii="仿宋" w:hAnsi="仿宋" w:eastAsia="仿宋" w:cs="仿宋"/>
          <w:color w:val="auto"/>
          <w:sz w:val="28"/>
          <w:szCs w:val="28"/>
        </w:rPr>
        <w:t>乙方在提供服务过程中接触到的患者听力数据、身份信息及其他医疗信息，均属于敏感个人信息。乙方须事先取得患者知情同意，相关数据仅限用于本次验配及售后服务，严禁用于商业营销或向第三方提供。如发生数据</w:t>
      </w:r>
      <w:r>
        <w:rPr>
          <w:rFonts w:hint="eastAsia" w:ascii="仿宋" w:hAnsi="仿宋" w:eastAsia="仿宋" w:cs="仿宋"/>
          <w:color w:val="auto"/>
          <w:sz w:val="28"/>
          <w:szCs w:val="28"/>
          <w:lang w:eastAsia="zh-CN"/>
        </w:rPr>
        <w:t>泄漏</w:t>
      </w:r>
      <w:r>
        <w:rPr>
          <w:rFonts w:hint="eastAsia" w:ascii="仿宋" w:hAnsi="仿宋" w:eastAsia="仿宋" w:cs="仿宋"/>
          <w:color w:val="auto"/>
          <w:sz w:val="28"/>
          <w:szCs w:val="28"/>
        </w:rPr>
        <w:t>事件，乙方承担全部法律责任及赔偿责任。</w:t>
      </w:r>
    </w:p>
    <w:p w14:paraId="6E9BBAB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6.4 因乙方未履行本合同保密义务造成甲方或第三方损失的，由乙方承担全部赔偿责任。</w:t>
      </w:r>
    </w:p>
    <w:p w14:paraId="4DD689A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6.5 本合同保密条款在合同被认定无效、被撤销或终止、解除后仍然有效。</w:t>
      </w:r>
    </w:p>
    <w:p w14:paraId="0FA32D5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第七条 通知与送达</w:t>
      </w:r>
    </w:p>
    <w:p w14:paraId="2F6D69E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7.1 甲乙双方同意，与本协议有关的任何文书，应以书面方式按照本协议约定发送，书面方式包括手机短信、微信、书面函件、电子邮件等形式。</w:t>
      </w:r>
    </w:p>
    <w:p w14:paraId="58B3B9E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7.2 双方确认的文书（包括未来可能发生的诉讼或仲裁活动中法院或仲裁机构的送达法律文书）送达地址：</w:t>
      </w:r>
    </w:p>
    <w:p w14:paraId="35A1D29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7.2.1 </w:t>
      </w:r>
      <w:r>
        <w:rPr>
          <w:rFonts w:hint="default" w:ascii="仿宋" w:hAnsi="仿宋" w:eastAsia="仿宋" w:cs="仿宋"/>
          <w:sz w:val="28"/>
          <w:szCs w:val="28"/>
          <w:lang w:val="en-US" w:eastAsia="zh-CN"/>
        </w:rPr>
        <w:t>甲方的联系地址：</w:t>
      </w:r>
      <w:r>
        <w:rPr>
          <w:rFonts w:hint="eastAsia" w:ascii="仿宋" w:hAnsi="仿宋" w:eastAsia="仿宋" w:cs="仿宋"/>
          <w:sz w:val="28"/>
          <w:szCs w:val="28"/>
          <w:u w:val="single"/>
          <w:lang w:val="en-US" w:eastAsia="zh-CN"/>
        </w:rPr>
        <w:t>娄底市娄星区</w:t>
      </w:r>
      <w:r>
        <w:rPr>
          <w:rFonts w:hint="default" w:ascii="仿宋" w:hAnsi="仿宋" w:eastAsia="仿宋" w:cs="仿宋"/>
          <w:sz w:val="28"/>
          <w:szCs w:val="28"/>
          <w:u w:val="single"/>
          <w:lang w:val="en-US" w:eastAsia="zh-CN"/>
        </w:rPr>
        <w:t>长青中街51号</w:t>
      </w:r>
      <w:r>
        <w:rPr>
          <w:rFonts w:hint="eastAsia" w:ascii="仿宋" w:hAnsi="仿宋" w:eastAsia="仿宋" w:cs="仿宋"/>
          <w:sz w:val="28"/>
          <w:szCs w:val="28"/>
          <w:u w:val="single"/>
          <w:lang w:val="en-US" w:eastAsia="zh-CN"/>
        </w:rPr>
        <w:t>娄底市中心医院病友服务中心</w:t>
      </w:r>
      <w:r>
        <w:rPr>
          <w:rFonts w:hint="default" w:ascii="仿宋" w:hAnsi="仿宋" w:eastAsia="仿宋" w:cs="仿宋"/>
          <w:sz w:val="28"/>
          <w:szCs w:val="28"/>
          <w:lang w:val="en-US" w:eastAsia="zh-CN"/>
        </w:rPr>
        <w:t>，联系人：</w:t>
      </w:r>
      <w:r>
        <w:rPr>
          <w:rFonts w:hint="eastAsia" w:ascii="仿宋" w:hAnsi="仿宋" w:eastAsia="仿宋" w:cs="仿宋"/>
          <w:sz w:val="28"/>
          <w:szCs w:val="28"/>
          <w:u w:val="single"/>
          <w:lang w:val="en-US" w:eastAsia="zh-CN"/>
        </w:rPr>
        <w:t>周慧</w:t>
      </w:r>
      <w:r>
        <w:rPr>
          <w:rFonts w:hint="default" w:ascii="仿宋" w:hAnsi="仿宋" w:eastAsia="仿宋" w:cs="仿宋"/>
          <w:sz w:val="28"/>
          <w:szCs w:val="28"/>
          <w:lang w:val="en-US" w:eastAsia="zh-CN"/>
        </w:rPr>
        <w:t>，联系电话：</w:t>
      </w:r>
      <w:r>
        <w:rPr>
          <w:rFonts w:hint="eastAsia" w:ascii="仿宋" w:hAnsi="仿宋" w:eastAsia="仿宋" w:cs="仿宋"/>
          <w:sz w:val="28"/>
          <w:szCs w:val="28"/>
          <w:u w:val="single"/>
          <w:lang w:val="en-US" w:eastAsia="zh-CN"/>
        </w:rPr>
        <w:t xml:space="preserve"> 15173894150 </w:t>
      </w:r>
      <w:r>
        <w:rPr>
          <w:rFonts w:hint="default" w:ascii="仿宋" w:hAnsi="仿宋" w:eastAsia="仿宋" w:cs="仿宋"/>
          <w:sz w:val="28"/>
          <w:szCs w:val="28"/>
          <w:lang w:val="en-US" w:eastAsia="zh-CN"/>
        </w:rPr>
        <w:t>，邮箱地址</w:t>
      </w:r>
      <w:r>
        <w:rPr>
          <w:rFonts w:hint="eastAsia" w:ascii="仿宋" w:hAnsi="仿宋" w:eastAsia="仿宋" w:cs="仿宋"/>
          <w:sz w:val="28"/>
          <w:szCs w:val="28"/>
          <w:lang w:val="en-US" w:eastAsia="zh-CN"/>
        </w:rPr>
        <w:t>：</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或微信号</w:t>
      </w:r>
      <w:r>
        <w:rPr>
          <w:rFonts w:hint="eastAsia" w:ascii="仿宋" w:hAnsi="仿宋" w:eastAsia="仿宋" w:cs="仿宋"/>
          <w:sz w:val="28"/>
          <w:szCs w:val="28"/>
          <w:lang w:val="en-US" w:eastAsia="zh-CN"/>
        </w:rPr>
        <w:t>：</w:t>
      </w:r>
      <w:r>
        <w:rPr>
          <w:rFonts w:hint="eastAsia" w:ascii="仿宋" w:hAnsi="仿宋" w:eastAsia="仿宋" w:cs="仿宋"/>
          <w:sz w:val="28"/>
          <w:szCs w:val="28"/>
          <w:u w:val="single"/>
          <w:lang w:val="en-US" w:eastAsia="zh-CN"/>
        </w:rPr>
        <w:t xml:space="preserve"> /</w:t>
      </w:r>
      <w:r>
        <w:rPr>
          <w:rFonts w:hint="default" w:ascii="仿宋" w:hAnsi="仿宋" w:eastAsia="仿宋" w:cs="仿宋"/>
          <w:sz w:val="28"/>
          <w:szCs w:val="28"/>
          <w:u w:val="single"/>
          <w:lang w:val="en-US" w:eastAsia="zh-CN"/>
        </w:rPr>
        <w:t xml:space="preserve"> </w:t>
      </w:r>
      <w:r>
        <w:rPr>
          <w:rFonts w:hint="default" w:ascii="仿宋" w:hAnsi="仿宋" w:eastAsia="仿宋" w:cs="仿宋"/>
          <w:sz w:val="28"/>
          <w:szCs w:val="28"/>
          <w:lang w:val="en-US" w:eastAsia="zh-CN"/>
        </w:rPr>
        <w:t>。</w:t>
      </w:r>
    </w:p>
    <w:p w14:paraId="3619AFA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7.2.2 </w:t>
      </w:r>
      <w:r>
        <w:rPr>
          <w:rFonts w:hint="default" w:ascii="仿宋" w:hAnsi="仿宋" w:eastAsia="仿宋" w:cs="仿宋"/>
          <w:sz w:val="28"/>
          <w:szCs w:val="28"/>
          <w:lang w:val="en-US" w:eastAsia="zh-CN"/>
        </w:rPr>
        <w:t>乙方的联系地址：</w:t>
      </w:r>
      <w:r>
        <w:rPr>
          <w:rFonts w:hint="eastAsia" w:ascii="仿宋" w:hAnsi="仿宋" w:eastAsia="仿宋" w:cs="仿宋"/>
          <w:sz w:val="28"/>
          <w:szCs w:val="28"/>
          <w:u w:val="single"/>
          <w:lang w:val="en-US" w:eastAsia="zh-CN"/>
        </w:rPr>
        <w:t xml:space="preserve">          </w:t>
      </w:r>
      <w:r>
        <w:rPr>
          <w:rFonts w:hint="default" w:ascii="仿宋" w:hAnsi="仿宋" w:eastAsia="仿宋" w:cs="仿宋"/>
          <w:sz w:val="28"/>
          <w:szCs w:val="28"/>
          <w:lang w:val="en-US" w:eastAsia="zh-CN"/>
        </w:rPr>
        <w:t>，联系人：</w:t>
      </w:r>
      <w:r>
        <w:rPr>
          <w:rFonts w:hint="eastAsia" w:ascii="仿宋" w:hAnsi="仿宋" w:eastAsia="仿宋" w:cs="仿宋"/>
          <w:sz w:val="28"/>
          <w:szCs w:val="28"/>
          <w:u w:val="single"/>
          <w:lang w:val="en-US" w:eastAsia="zh-CN"/>
        </w:rPr>
        <w:t xml:space="preserve">         </w:t>
      </w:r>
      <w:r>
        <w:rPr>
          <w:rFonts w:hint="default" w:ascii="仿宋" w:hAnsi="仿宋" w:eastAsia="仿宋" w:cs="仿宋"/>
          <w:sz w:val="28"/>
          <w:szCs w:val="28"/>
          <w:lang w:val="en-US" w:eastAsia="zh-CN"/>
        </w:rPr>
        <w:t>， 联系电话：</w:t>
      </w:r>
      <w:r>
        <w:rPr>
          <w:rFonts w:hint="eastAsia" w:ascii="仿宋" w:hAnsi="仿宋" w:eastAsia="仿宋" w:cs="仿宋"/>
          <w:sz w:val="28"/>
          <w:szCs w:val="28"/>
          <w:u w:val="single"/>
          <w:lang w:val="en-US" w:eastAsia="zh-CN"/>
        </w:rPr>
        <w:t xml:space="preserve">       </w:t>
      </w:r>
      <w:r>
        <w:rPr>
          <w:rFonts w:hint="default" w:ascii="仿宋" w:hAnsi="仿宋" w:eastAsia="仿宋" w:cs="仿宋"/>
          <w:sz w:val="28"/>
          <w:szCs w:val="28"/>
          <w:lang w:val="en-US" w:eastAsia="zh-CN"/>
        </w:rPr>
        <w:t>，邮箱地址</w:t>
      </w:r>
      <w:r>
        <w:rPr>
          <w:rFonts w:hint="eastAsia" w:ascii="仿宋" w:hAnsi="仿宋" w:eastAsia="仿宋" w:cs="仿宋"/>
          <w:sz w:val="28"/>
          <w:szCs w:val="28"/>
          <w:lang w:val="en-US" w:eastAsia="zh-CN"/>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或微信号</w:t>
      </w:r>
      <w:r>
        <w:rPr>
          <w:rFonts w:hint="eastAsia" w:ascii="仿宋" w:hAnsi="仿宋" w:eastAsia="仿宋" w:cs="仿宋"/>
          <w:sz w:val="28"/>
          <w:szCs w:val="28"/>
          <w:lang w:val="en-US" w:eastAsia="zh-CN"/>
        </w:rPr>
        <w:t>：</w:t>
      </w:r>
      <w:r>
        <w:rPr>
          <w:rFonts w:hint="eastAsia" w:ascii="仿宋" w:hAnsi="仿宋" w:eastAsia="仿宋" w:cs="仿宋"/>
          <w:sz w:val="28"/>
          <w:szCs w:val="28"/>
          <w:u w:val="single"/>
          <w:lang w:val="en-US" w:eastAsia="zh-CN"/>
        </w:rPr>
        <w:t xml:space="preserve">       </w:t>
      </w:r>
      <w:r>
        <w:rPr>
          <w:rFonts w:hint="default" w:ascii="仿宋" w:hAnsi="仿宋" w:eastAsia="仿宋" w:cs="仿宋"/>
          <w:sz w:val="28"/>
          <w:szCs w:val="28"/>
          <w:lang w:val="en-US" w:eastAsia="zh-CN"/>
        </w:rPr>
        <w:t>。</w:t>
      </w:r>
    </w:p>
    <w:p w14:paraId="7B9120B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7.3 上述通知应被视为在下列时间送达：以快递或专人发送的，在收件人签收之日或拒收之日；以挂号邮件发出的，在发出之日起7个工作日；以电子邮件发出的，在电子邮件进入收件方电子邮箱服务器之日。</w:t>
      </w:r>
    </w:p>
    <w:p w14:paraId="403856C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82A333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第八条 风险承担</w:t>
      </w:r>
    </w:p>
    <w:p w14:paraId="03238D3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8.1 乙方履行本合同过程中发生事故，包括但不限于在助听器验配中心建设、运营过程中发生事故，给甲方、乙方或第三方人身、财产造成的所有损失，均由乙方负责处理和承担全部法律责任、经济赔偿。</w:t>
      </w:r>
    </w:p>
    <w:p w14:paraId="295410F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8.2 如甲方因乙方服务等原因涉及纠纷、诉讼或被处以行政处罚，由乙方承担甲方因纠纷、诉讼、罚款等造成的全部经济损失。</w:t>
      </w:r>
    </w:p>
    <w:p w14:paraId="2735725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第九条 协议的补充、解除</w:t>
      </w:r>
    </w:p>
    <w:p w14:paraId="08646C7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9.1 本协议未尽事宜，双方协商一致后签订补充协议。</w:t>
      </w:r>
    </w:p>
    <w:p w14:paraId="068BE69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9.2 </w:t>
      </w:r>
      <w:r>
        <w:rPr>
          <w:rFonts w:hint="eastAsia" w:ascii="仿宋" w:hAnsi="仿宋" w:eastAsia="仿宋" w:cs="仿宋"/>
          <w:color w:val="auto"/>
          <w:sz w:val="28"/>
          <w:szCs w:val="28"/>
        </w:rPr>
        <w:t>如乙方出现下列情形</w:t>
      </w:r>
      <w:r>
        <w:rPr>
          <w:rFonts w:hint="eastAsia" w:ascii="仿宋" w:hAnsi="仿宋" w:eastAsia="仿宋" w:cs="仿宋"/>
          <w:color w:val="auto"/>
          <w:sz w:val="28"/>
          <w:szCs w:val="28"/>
          <w:lang w:val="en-US" w:eastAsia="zh-CN"/>
        </w:rPr>
        <w:t>之一</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视为根本性违约，</w:t>
      </w:r>
      <w:r>
        <w:rPr>
          <w:rFonts w:hint="eastAsia" w:ascii="仿宋" w:hAnsi="仿宋" w:eastAsia="仿宋" w:cs="仿宋"/>
          <w:color w:val="auto"/>
          <w:sz w:val="28"/>
          <w:szCs w:val="28"/>
        </w:rPr>
        <w:t>甲方有权单方</w:t>
      </w:r>
      <w:r>
        <w:rPr>
          <w:rFonts w:hint="eastAsia" w:ascii="仿宋" w:hAnsi="仿宋" w:eastAsia="仿宋" w:cs="仿宋"/>
          <w:color w:val="auto"/>
          <w:sz w:val="28"/>
          <w:szCs w:val="28"/>
          <w:lang w:val="en-US" w:eastAsia="zh-CN"/>
        </w:rPr>
        <w:t>面</w:t>
      </w:r>
      <w:r>
        <w:rPr>
          <w:rFonts w:hint="eastAsia" w:ascii="仿宋" w:hAnsi="仿宋" w:eastAsia="仿宋" w:cs="仿宋"/>
          <w:color w:val="auto"/>
          <w:sz w:val="28"/>
          <w:szCs w:val="28"/>
        </w:rPr>
        <w:t>解除本协议、没收全部履约保证金、不予任何补偿，并将供应商列入医院合作黑名单：</w:t>
      </w:r>
    </w:p>
    <w:p w14:paraId="39441EF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9.2.1</w:t>
      </w:r>
      <w:r>
        <w:rPr>
          <w:rFonts w:hint="eastAsia" w:ascii="仿宋" w:hAnsi="仿宋" w:eastAsia="仿宋" w:cs="仿宋"/>
          <w:sz w:val="28"/>
          <w:szCs w:val="28"/>
        </w:rPr>
        <w:t>产品无正规资质、假冒伪劣、价格欺诈、虚假宣传、诱导消费、商业贿赂</w:t>
      </w:r>
      <w:r>
        <w:rPr>
          <w:rFonts w:hint="eastAsia" w:ascii="仿宋" w:hAnsi="仿宋" w:eastAsia="仿宋" w:cs="仿宋"/>
          <w:sz w:val="28"/>
          <w:szCs w:val="28"/>
          <w:lang w:eastAsia="zh-CN"/>
        </w:rPr>
        <w:t>；</w:t>
      </w:r>
    </w:p>
    <w:p w14:paraId="5303EAC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9.2.2擅自将本协议项下权利义务转让、转包、分包或以其他形式变相转委托给第三方；</w:t>
      </w:r>
    </w:p>
    <w:p w14:paraId="004BCD0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9.2.3 未经甲方书面同意，擅自更换项目负责人或核心持证验配师；</w:t>
      </w:r>
    </w:p>
    <w:p w14:paraId="27EB169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9.2.4未经甲方书面同意，擅自</w:t>
      </w:r>
      <w:r>
        <w:rPr>
          <w:rFonts w:hint="eastAsia" w:ascii="仿宋" w:hAnsi="仿宋" w:eastAsia="仿宋" w:cs="仿宋"/>
          <w:color w:val="auto"/>
          <w:sz w:val="28"/>
          <w:szCs w:val="28"/>
        </w:rPr>
        <w:t>变更</w:t>
      </w:r>
      <w:r>
        <w:rPr>
          <w:rFonts w:hint="eastAsia" w:ascii="仿宋" w:hAnsi="仿宋" w:eastAsia="仿宋" w:cs="仿宋"/>
          <w:color w:val="auto"/>
          <w:sz w:val="28"/>
          <w:szCs w:val="28"/>
          <w:lang w:val="en-US" w:eastAsia="zh-CN"/>
        </w:rPr>
        <w:t>服务</w:t>
      </w:r>
      <w:r>
        <w:rPr>
          <w:rFonts w:hint="eastAsia" w:ascii="仿宋" w:hAnsi="仿宋" w:eastAsia="仿宋" w:cs="仿宋"/>
          <w:color w:val="auto"/>
          <w:sz w:val="28"/>
          <w:szCs w:val="28"/>
        </w:rPr>
        <w:t>方案、工作制度、服务标准、收费标准及方式，损害患者利益</w:t>
      </w:r>
      <w:r>
        <w:rPr>
          <w:rFonts w:hint="eastAsia" w:ascii="仿宋" w:hAnsi="仿宋" w:eastAsia="仿宋" w:cs="仿宋"/>
          <w:color w:val="auto"/>
          <w:sz w:val="28"/>
          <w:szCs w:val="28"/>
          <w:lang w:eastAsia="zh-CN"/>
        </w:rPr>
        <w:t>；</w:t>
      </w:r>
    </w:p>
    <w:p w14:paraId="2C14E1D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9.2.5 拒不执行甲方关于医疗质量、院感防控、价格管控、行风廉洁等方面的监管指令，或经甲方书面下达限期整改通知后，在限定期限内仍未整改或整改不合格；</w:t>
      </w:r>
    </w:p>
    <w:p w14:paraId="3355207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9.2.6</w:t>
      </w:r>
      <w:r>
        <w:rPr>
          <w:rFonts w:hint="eastAsia" w:ascii="仿宋" w:hAnsi="仿宋" w:eastAsia="仿宋" w:cs="仿宋"/>
          <w:color w:val="auto"/>
          <w:sz w:val="28"/>
          <w:szCs w:val="28"/>
        </w:rPr>
        <w:t>发生重大产品质量事故、医疗配套安全事故、群体性投诉舆情</w:t>
      </w:r>
      <w:r>
        <w:rPr>
          <w:rFonts w:hint="eastAsia" w:ascii="仿宋" w:hAnsi="仿宋" w:eastAsia="仿宋" w:cs="仿宋"/>
          <w:color w:val="auto"/>
          <w:sz w:val="28"/>
          <w:szCs w:val="28"/>
          <w:lang w:eastAsia="zh-CN"/>
        </w:rPr>
        <w:t>；</w:t>
      </w:r>
    </w:p>
    <w:p w14:paraId="3BEDED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lang w:val="en-US" w:eastAsia="zh-CN"/>
        </w:rPr>
        <w:t xml:space="preserve">9.2.7 </w:t>
      </w:r>
      <w:r>
        <w:rPr>
          <w:rFonts w:hint="eastAsia" w:ascii="仿宋" w:hAnsi="仿宋" w:eastAsia="仿宋" w:cs="仿宋"/>
          <w:color w:val="auto"/>
          <w:sz w:val="28"/>
          <w:szCs w:val="28"/>
          <w:highlight w:val="none"/>
        </w:rPr>
        <w:t>月度</w:t>
      </w:r>
      <w:r>
        <w:rPr>
          <w:rFonts w:hint="eastAsia" w:ascii="仿宋" w:hAnsi="仿宋" w:eastAsia="仿宋" w:cs="仿宋"/>
          <w:color w:val="auto"/>
          <w:sz w:val="28"/>
          <w:szCs w:val="28"/>
          <w:highlight w:val="none"/>
          <w:lang w:val="en-US" w:eastAsia="zh-CN"/>
        </w:rPr>
        <w:t>发生</w:t>
      </w:r>
      <w:r>
        <w:rPr>
          <w:rFonts w:hint="eastAsia" w:ascii="仿宋" w:hAnsi="仿宋" w:eastAsia="仿宋" w:cs="仿宋"/>
          <w:color w:val="auto"/>
          <w:sz w:val="28"/>
          <w:szCs w:val="28"/>
          <w:highlight w:val="none"/>
        </w:rPr>
        <w:t>3次及以上</w:t>
      </w:r>
      <w:r>
        <w:rPr>
          <w:rFonts w:hint="eastAsia" w:ascii="仿宋" w:hAnsi="仿宋" w:eastAsia="仿宋" w:cs="仿宋"/>
          <w:color w:val="auto"/>
          <w:sz w:val="28"/>
          <w:szCs w:val="28"/>
          <w:highlight w:val="none"/>
          <w:lang w:val="en-US" w:eastAsia="zh-CN"/>
        </w:rPr>
        <w:t>有效</w:t>
      </w:r>
      <w:r>
        <w:rPr>
          <w:rFonts w:hint="eastAsia" w:ascii="仿宋" w:hAnsi="仿宋" w:eastAsia="仿宋" w:cs="仿宋"/>
          <w:color w:val="auto"/>
          <w:sz w:val="28"/>
          <w:szCs w:val="28"/>
          <w:highlight w:val="none"/>
        </w:rPr>
        <w:t>投诉、重大服务纠纷、舆情事件</w:t>
      </w:r>
      <w:r>
        <w:rPr>
          <w:rFonts w:hint="eastAsia" w:ascii="仿宋" w:hAnsi="仿宋" w:eastAsia="仿宋" w:cs="仿宋"/>
          <w:color w:val="auto"/>
          <w:sz w:val="28"/>
          <w:szCs w:val="28"/>
          <w:highlight w:val="none"/>
          <w:lang w:val="en-US" w:eastAsia="zh-CN"/>
        </w:rPr>
        <w:t>的；</w:t>
      </w:r>
    </w:p>
    <w:p w14:paraId="11E5A3D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9.2.8 发生虚假宣传、诱导消费、商业贿赂的；</w:t>
      </w:r>
    </w:p>
    <w:p w14:paraId="3B7D237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9.2.9 发生三次及以上价格违规的；</w:t>
      </w:r>
    </w:p>
    <w:p w14:paraId="7973516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9.2.10 </w:t>
      </w:r>
      <w:r>
        <w:rPr>
          <w:rFonts w:hint="eastAsia" w:ascii="仿宋" w:hAnsi="仿宋" w:eastAsia="仿宋" w:cs="仿宋"/>
          <w:color w:val="auto"/>
          <w:sz w:val="28"/>
          <w:szCs w:val="28"/>
          <w:highlight w:val="none"/>
        </w:rPr>
        <w:t>年度综合考核不合格；</w:t>
      </w:r>
    </w:p>
    <w:p w14:paraId="715A39C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9.2.11 乙方以甲方名义开展诊疗活动、助听器销售、验配宣传经营等活动，诱导患方或</w:t>
      </w:r>
      <w:r>
        <w:rPr>
          <w:rFonts w:hint="eastAsia" w:ascii="仿宋" w:hAnsi="仿宋" w:eastAsia="仿宋" w:cs="仿宋"/>
          <w:color w:val="auto"/>
          <w:sz w:val="28"/>
          <w:szCs w:val="28"/>
        </w:rPr>
        <w:t>强迫</w:t>
      </w:r>
      <w:r>
        <w:rPr>
          <w:rFonts w:hint="eastAsia" w:ascii="仿宋" w:hAnsi="仿宋" w:eastAsia="仿宋" w:cs="仿宋"/>
          <w:color w:val="auto"/>
          <w:sz w:val="28"/>
          <w:szCs w:val="28"/>
          <w:lang w:val="en-US" w:eastAsia="zh-CN"/>
        </w:rPr>
        <w:t>患方接受乙方服务</w:t>
      </w:r>
      <w:r>
        <w:rPr>
          <w:rFonts w:hint="eastAsia" w:ascii="仿宋" w:hAnsi="仿宋" w:eastAsia="仿宋" w:cs="仿宋"/>
          <w:color w:val="auto"/>
          <w:sz w:val="28"/>
          <w:szCs w:val="28"/>
          <w:lang w:eastAsia="zh-CN"/>
        </w:rPr>
        <w:t>；</w:t>
      </w:r>
    </w:p>
    <w:p w14:paraId="43CC026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color w:val="auto"/>
          <w:sz w:val="28"/>
          <w:szCs w:val="28"/>
          <w:lang w:val="en-US" w:eastAsia="zh-CN"/>
        </w:rPr>
        <w:t xml:space="preserve">9.2.12 </w:t>
      </w:r>
      <w:r>
        <w:rPr>
          <w:rFonts w:hint="eastAsia" w:ascii="仿宋" w:hAnsi="仿宋" w:eastAsia="仿宋" w:cs="仿宋"/>
          <w:color w:val="auto"/>
          <w:sz w:val="28"/>
          <w:szCs w:val="28"/>
        </w:rPr>
        <w:t>乙方人员</w:t>
      </w:r>
      <w:r>
        <w:rPr>
          <w:rFonts w:hint="eastAsia" w:ascii="仿宋" w:hAnsi="仿宋" w:eastAsia="仿宋" w:cs="仿宋"/>
          <w:color w:val="auto"/>
          <w:sz w:val="28"/>
          <w:szCs w:val="28"/>
          <w:lang w:val="en-US" w:eastAsia="zh-CN"/>
        </w:rPr>
        <w:t>存在</w:t>
      </w:r>
      <w:r>
        <w:rPr>
          <w:rFonts w:hint="eastAsia" w:ascii="仿宋" w:hAnsi="仿宋" w:eastAsia="仿宋" w:cs="仿宋"/>
          <w:color w:val="auto"/>
          <w:sz w:val="28"/>
          <w:szCs w:val="28"/>
        </w:rPr>
        <w:t>工作中辱骂他人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打</w:t>
      </w:r>
      <w:r>
        <w:rPr>
          <w:rFonts w:hint="eastAsia" w:ascii="仿宋" w:hAnsi="仿宋" w:eastAsia="仿宋" w:cs="仿宋"/>
          <w:sz w:val="28"/>
          <w:szCs w:val="28"/>
        </w:rPr>
        <w:t>架斗殴</w:t>
      </w:r>
      <w:r>
        <w:rPr>
          <w:rFonts w:hint="eastAsia" w:ascii="仿宋" w:hAnsi="仿宋" w:eastAsia="仿宋" w:cs="仿宋"/>
          <w:sz w:val="28"/>
          <w:szCs w:val="28"/>
          <w:lang w:val="en-US" w:eastAsia="zh-CN"/>
        </w:rPr>
        <w:t>等违反法律法规、工作制度、甲方管理制度的情形</w:t>
      </w:r>
      <w:r>
        <w:rPr>
          <w:rFonts w:hint="eastAsia" w:ascii="仿宋" w:hAnsi="仿宋" w:eastAsia="仿宋" w:cs="仿宋"/>
          <w:sz w:val="28"/>
          <w:szCs w:val="28"/>
          <w:lang w:eastAsia="zh-CN"/>
        </w:rPr>
        <w:t>；</w:t>
      </w:r>
    </w:p>
    <w:p w14:paraId="2BAD092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9.2.13 乙方存在协议中规定的其他需解除协议的情况的。</w:t>
      </w:r>
    </w:p>
    <w:p w14:paraId="566BEB43">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u w:val="single"/>
          <w:lang w:val="en-US" w:eastAsia="zh-CN"/>
        </w:rPr>
      </w:pPr>
      <w:r>
        <w:rPr>
          <w:rFonts w:hint="eastAsia" w:ascii="仿宋" w:hAnsi="仿宋" w:eastAsia="仿宋" w:cs="仿宋"/>
          <w:b/>
          <w:bCs/>
          <w:sz w:val="28"/>
          <w:szCs w:val="28"/>
          <w:u w:val="single"/>
          <w:lang w:val="en-US" w:eastAsia="zh-CN"/>
        </w:rPr>
        <w:t>9.3 如上级要求或政策变化需终止服务的，甲方书面通知乙方后即提前终止本协议。</w:t>
      </w:r>
    </w:p>
    <w:p w14:paraId="469A044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9.4 协议终止后，乙方应在协议终止之日起3日内自行拆除自有设备、清空场地、恢复场地原有装修，结清全部费用、处理完毕所有患者售后与投诉，由此产生的费用均由乙方承担，乙方不得向甲方主张折旧费、装修费等费用补偿；逾期未撤除设施设备，</w:t>
      </w:r>
      <w:r>
        <w:rPr>
          <w:rFonts w:hint="eastAsia" w:ascii="仿宋" w:hAnsi="仿宋" w:eastAsia="仿宋" w:cs="仿宋"/>
          <w:color w:val="auto"/>
          <w:sz w:val="28"/>
          <w:szCs w:val="28"/>
        </w:rPr>
        <w:t>视为乙方放弃所有权，</w:t>
      </w:r>
      <w:r>
        <w:rPr>
          <w:rFonts w:hint="eastAsia" w:ascii="仿宋" w:hAnsi="仿宋" w:eastAsia="仿宋" w:cs="仿宋"/>
          <w:color w:val="auto"/>
          <w:sz w:val="28"/>
          <w:szCs w:val="28"/>
          <w:lang w:val="en-US" w:eastAsia="zh-CN"/>
        </w:rPr>
        <w:t>甲方有权自行处置，产生费用由乙方承担。</w:t>
      </w:r>
    </w:p>
    <w:p w14:paraId="56B5EF9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第十条 违约责任</w:t>
      </w:r>
    </w:p>
    <w:p w14:paraId="371C7F8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10.1 甲方因9.3情形提前终止本协议无须承担违约责任，乙方不得因此以任何理由要求甲方予以任何经济赔偿或补偿。</w:t>
      </w:r>
    </w:p>
    <w:p w14:paraId="5D720A6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10.2 如患方因乙方人员服务、产品问题投诉至甲方，每发生一例，乙方须向甲方支付违约金500元。</w:t>
      </w:r>
    </w:p>
    <w:p w14:paraId="4440EC8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10.3 </w:t>
      </w:r>
      <w:r>
        <w:rPr>
          <w:rFonts w:hint="eastAsia" w:ascii="仿宋" w:hAnsi="仿宋" w:eastAsia="仿宋" w:cs="仿宋"/>
          <w:sz w:val="28"/>
          <w:szCs w:val="28"/>
        </w:rPr>
        <w:t>因乙方营销引发负面舆情、群体性纠纷，乙方全权负责平息处置，并赔偿甲方</w:t>
      </w:r>
      <w:r>
        <w:rPr>
          <w:rFonts w:hint="eastAsia" w:ascii="仿宋" w:hAnsi="仿宋" w:eastAsia="仿宋" w:cs="仿宋"/>
          <w:sz w:val="28"/>
          <w:szCs w:val="28"/>
          <w:lang w:val="en-US" w:eastAsia="zh-CN"/>
        </w:rPr>
        <w:t>由此造成的全部经济</w:t>
      </w:r>
      <w:r>
        <w:rPr>
          <w:rFonts w:hint="eastAsia" w:ascii="仿宋" w:hAnsi="仿宋" w:eastAsia="仿宋" w:cs="仿宋"/>
          <w:sz w:val="28"/>
          <w:szCs w:val="28"/>
        </w:rPr>
        <w:t xml:space="preserve">损失。 </w:t>
      </w:r>
    </w:p>
    <w:p w14:paraId="1693830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10.4 </w:t>
      </w:r>
      <w:r>
        <w:rPr>
          <w:rFonts w:hint="eastAsia" w:ascii="仿宋" w:hAnsi="仿宋" w:eastAsia="仿宋" w:cs="仿宋"/>
          <w:color w:val="auto"/>
          <w:sz w:val="28"/>
          <w:szCs w:val="28"/>
          <w:highlight w:val="none"/>
        </w:rPr>
        <w:t>如乙方</w:t>
      </w:r>
      <w:r>
        <w:rPr>
          <w:rFonts w:hint="eastAsia" w:ascii="仿宋" w:hAnsi="仿宋" w:eastAsia="仿宋" w:cs="仿宋"/>
          <w:color w:val="auto"/>
          <w:sz w:val="28"/>
          <w:szCs w:val="28"/>
          <w:highlight w:val="none"/>
          <w:lang w:val="en-US" w:eastAsia="zh-CN"/>
        </w:rPr>
        <w:t>在服务</w:t>
      </w:r>
      <w:r>
        <w:rPr>
          <w:rFonts w:hint="eastAsia" w:ascii="仿宋" w:hAnsi="仿宋" w:eastAsia="仿宋" w:cs="仿宋"/>
          <w:color w:val="auto"/>
          <w:sz w:val="28"/>
          <w:szCs w:val="28"/>
          <w:highlight w:val="none"/>
        </w:rPr>
        <w:t>过程中导致患</w:t>
      </w:r>
      <w:r>
        <w:rPr>
          <w:rFonts w:hint="eastAsia" w:ascii="仿宋" w:hAnsi="仿宋" w:eastAsia="仿宋" w:cs="仿宋"/>
          <w:color w:val="auto"/>
          <w:sz w:val="28"/>
          <w:szCs w:val="28"/>
          <w:highlight w:val="none"/>
          <w:lang w:val="en-US" w:eastAsia="zh-CN"/>
        </w:rPr>
        <w:t>方人身、财产</w:t>
      </w:r>
      <w:r>
        <w:rPr>
          <w:rFonts w:hint="eastAsia" w:ascii="仿宋" w:hAnsi="仿宋" w:eastAsia="仿宋" w:cs="仿宋"/>
          <w:color w:val="auto"/>
          <w:sz w:val="28"/>
          <w:szCs w:val="28"/>
          <w:highlight w:val="none"/>
        </w:rPr>
        <w:t>损害，除</w:t>
      </w:r>
      <w:r>
        <w:rPr>
          <w:rFonts w:hint="eastAsia" w:ascii="仿宋" w:hAnsi="仿宋" w:eastAsia="仿宋" w:cs="仿宋"/>
          <w:color w:val="auto"/>
          <w:sz w:val="28"/>
          <w:szCs w:val="28"/>
          <w:highlight w:val="none"/>
          <w:lang w:val="en-US" w:eastAsia="zh-CN"/>
        </w:rPr>
        <w:t>承担全部法律责任并</w:t>
      </w:r>
      <w:r>
        <w:rPr>
          <w:rFonts w:hint="eastAsia" w:ascii="仿宋" w:hAnsi="仿宋" w:eastAsia="仿宋" w:cs="仿宋"/>
          <w:color w:val="auto"/>
          <w:sz w:val="28"/>
          <w:szCs w:val="28"/>
          <w:highlight w:val="none"/>
        </w:rPr>
        <w:t>赔偿</w:t>
      </w:r>
      <w:r>
        <w:rPr>
          <w:rFonts w:hint="eastAsia" w:ascii="仿宋" w:hAnsi="仿宋" w:eastAsia="仿宋" w:cs="仿宋"/>
          <w:color w:val="auto"/>
          <w:sz w:val="28"/>
          <w:szCs w:val="28"/>
          <w:highlight w:val="none"/>
          <w:lang w:val="en-US" w:eastAsia="zh-CN"/>
        </w:rPr>
        <w:t>患方、</w:t>
      </w:r>
      <w:r>
        <w:rPr>
          <w:rFonts w:hint="eastAsia" w:ascii="仿宋" w:hAnsi="仿宋" w:eastAsia="仿宋" w:cs="仿宋"/>
          <w:color w:val="auto"/>
          <w:sz w:val="28"/>
          <w:szCs w:val="28"/>
          <w:highlight w:val="none"/>
        </w:rPr>
        <w:t>甲方由此造成的损失外，还</w:t>
      </w:r>
      <w:r>
        <w:rPr>
          <w:rFonts w:hint="eastAsia" w:ascii="仿宋" w:hAnsi="仿宋" w:eastAsia="仿宋" w:cs="仿宋"/>
          <w:color w:val="auto"/>
          <w:sz w:val="28"/>
          <w:szCs w:val="28"/>
          <w:highlight w:val="none"/>
          <w:lang w:val="en-US" w:eastAsia="zh-CN"/>
        </w:rPr>
        <w:t>须</w:t>
      </w:r>
      <w:r>
        <w:rPr>
          <w:rFonts w:hint="eastAsia" w:ascii="仿宋" w:hAnsi="仿宋" w:eastAsia="仿宋" w:cs="仿宋"/>
          <w:color w:val="auto"/>
          <w:sz w:val="28"/>
          <w:szCs w:val="28"/>
          <w:highlight w:val="none"/>
        </w:rPr>
        <w:t>向甲方支付违约金</w:t>
      </w:r>
      <w:r>
        <w:rPr>
          <w:rFonts w:hint="eastAsia" w:ascii="仿宋" w:hAnsi="仿宋" w:eastAsia="仿宋" w:cs="仿宋"/>
          <w:color w:val="auto"/>
          <w:sz w:val="28"/>
          <w:szCs w:val="28"/>
          <w:highlight w:val="none"/>
          <w:lang w:val="en-US" w:eastAsia="zh-CN"/>
        </w:rPr>
        <w:t>10000</w:t>
      </w:r>
      <w:r>
        <w:rPr>
          <w:rFonts w:hint="eastAsia" w:ascii="仿宋" w:hAnsi="仿宋" w:eastAsia="仿宋" w:cs="仿宋"/>
          <w:color w:val="auto"/>
          <w:sz w:val="28"/>
          <w:szCs w:val="28"/>
          <w:highlight w:val="none"/>
        </w:rPr>
        <w:t>元。</w:t>
      </w:r>
    </w:p>
    <w:p w14:paraId="61FFD5E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rPr>
      </w:pP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 如甲方因乙方</w:t>
      </w:r>
      <w:r>
        <w:rPr>
          <w:rFonts w:hint="eastAsia" w:ascii="仿宋" w:hAnsi="仿宋" w:eastAsia="仿宋" w:cs="仿宋"/>
          <w:color w:val="auto"/>
          <w:sz w:val="28"/>
          <w:szCs w:val="28"/>
        </w:rPr>
        <w:t>出现</w:t>
      </w:r>
      <w:r>
        <w:rPr>
          <w:rFonts w:hint="eastAsia" w:ascii="仿宋" w:hAnsi="仿宋" w:eastAsia="仿宋" w:cs="仿宋"/>
          <w:color w:val="auto"/>
          <w:sz w:val="28"/>
          <w:szCs w:val="28"/>
          <w:lang w:val="en-US" w:eastAsia="zh-CN"/>
        </w:rPr>
        <w:t>9.2</w:t>
      </w:r>
      <w:r>
        <w:rPr>
          <w:rFonts w:hint="eastAsia" w:ascii="仿宋" w:hAnsi="仿宋" w:eastAsia="仿宋" w:cs="仿宋"/>
          <w:color w:val="auto"/>
          <w:sz w:val="28"/>
          <w:szCs w:val="28"/>
        </w:rPr>
        <w:t>任一情形单方解除</w:t>
      </w:r>
      <w:r>
        <w:rPr>
          <w:rFonts w:hint="eastAsia" w:ascii="仿宋" w:hAnsi="仿宋" w:eastAsia="仿宋" w:cs="仿宋"/>
          <w:color w:val="auto"/>
          <w:sz w:val="28"/>
          <w:szCs w:val="28"/>
          <w:lang w:val="en-US" w:eastAsia="zh-CN"/>
        </w:rPr>
        <w:t>本</w:t>
      </w:r>
      <w:r>
        <w:rPr>
          <w:rFonts w:hint="eastAsia" w:ascii="仿宋" w:hAnsi="仿宋" w:eastAsia="仿宋" w:cs="仿宋"/>
          <w:color w:val="auto"/>
          <w:sz w:val="28"/>
          <w:szCs w:val="28"/>
        </w:rPr>
        <w:t>协议，无需向乙方支付任何补偿或赔偿。乙方基于本项目投入的全部装修、设备、设施及其他成本均由其自行承担，无权要求甲方折价补偿；此外，乙方还应赔偿甲方因此遭受的全部损失（包括但不限于行政罚款、商誉损失、律师费、诉讼费及第三方索赔等）。</w:t>
      </w:r>
    </w:p>
    <w:p w14:paraId="3024FBD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10.6 如乙方单方面解除协议或甲方因乙方原因单方面解除协议，乙方除应赔偿甲方因此遭受的全部损失（包括但不限于行政罚款、商誉损失、律师费、诉讼费及第三方索赔等）外，乙方还应向甲方支付违约金50000元。</w:t>
      </w:r>
    </w:p>
    <w:p w14:paraId="75E5A6FE">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10.7 无论甲方在任意时候（不限于本协议履行期间）发现存在违反本协议廉洁条款的行为，乙方均须向甲方一次性支付惩罚性违约金50000元。如乙方除需承担违反廉洁条款的违约责任外，同时存在其他违约行为，乙方仍须就其他违约行为承担相应违约责任。</w:t>
      </w:r>
    </w:p>
    <w:p w14:paraId="5459CB8A">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10.8 依据本合同约定乙方应支付给甲方的违约金，甲方有权在应支付给乙方的任意价款或履约保证金中直接予以扣除，如扣除部分不足，乙方应在接到甲方通知后3日内补足。</w:t>
      </w:r>
    </w:p>
    <w:p w14:paraId="4FCE83D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第十一条 争议解决</w:t>
      </w:r>
    </w:p>
    <w:p w14:paraId="348E303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11.1 本协议适用中华人民共和国法律，并按其解释。</w:t>
      </w:r>
    </w:p>
    <w:p w14:paraId="523EE50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11.2 如双方在履行本协议过程中发生争议，双方应先协商解决，协商解决不成的，任一方均可向甲方所在地有管辖权的人民法院提起诉讼解决。</w:t>
      </w:r>
    </w:p>
    <w:p w14:paraId="64A313C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第十二条 国有资产使用特别约定</w:t>
      </w:r>
    </w:p>
    <w:p w14:paraId="06B22E3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12.1 本协议所涉场地属国有资产，乙方以提供公益配套服务形式支付场地使用对价，该对价已包含场地占用费、资源使用费及基础设施折旧费等全部费用。</w:t>
      </w:r>
    </w:p>
    <w:p w14:paraId="3651A78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12.2 双方确认，乙方在本协议项下的公益配套义务是对价的核心组成部分，具体标准如下：</w:t>
      </w:r>
    </w:p>
    <w:p w14:paraId="587AD89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12.2.1 乙方须提供不少于【  】个公益岗位供甲方开展工作使用；</w:t>
      </w:r>
    </w:p>
    <w:p w14:paraId="065475A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12.2.2 每年配合甲方完成不少于【6】场社区/基层听力普查或健康宣教活动；</w:t>
      </w:r>
    </w:p>
    <w:p w14:paraId="239DB2E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FF0000"/>
          <w:sz w:val="28"/>
          <w:szCs w:val="28"/>
          <w:lang w:val="en-US" w:eastAsia="zh-CN"/>
        </w:rPr>
      </w:pPr>
      <w:r>
        <w:rPr>
          <w:rFonts w:hint="eastAsia" w:ascii="仿宋" w:hAnsi="仿宋" w:eastAsia="仿宋" w:cs="仿宋"/>
          <w:color w:val="FF0000"/>
          <w:sz w:val="28"/>
          <w:szCs w:val="28"/>
          <w:lang w:val="en-US" w:eastAsia="zh-CN"/>
        </w:rPr>
        <w:t>12.2.3 每年为不少于【12】名特困、残疾人等特殊群体提供免费听力检测及助听器维护服务；</w:t>
      </w:r>
    </w:p>
    <w:p w14:paraId="1CB2B2C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12.2.4 乙方承诺，其提供的所有助听器及配套服务售价不高于省内同级三甲医院均价，以此让利患者作为公益对价的延伸。</w:t>
      </w:r>
    </w:p>
    <w:p w14:paraId="092FF32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12.3 乙方未按本条第12.2款约定足额提供公益服务的，视为未足额支付国有资产使用对价，甲方有权按缺额比例扣除履约保证金，并要求乙方限期补足服务；逾期未补足的，甲方有权单方解除合同。</w:t>
      </w:r>
    </w:p>
    <w:p w14:paraId="64EE67B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第十三条 附则</w:t>
      </w:r>
    </w:p>
    <w:p w14:paraId="5DFF464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13.1 </w:t>
      </w:r>
      <w:r>
        <w:rPr>
          <w:rFonts w:hint="eastAsia" w:ascii="仿宋" w:hAnsi="仿宋" w:eastAsia="仿宋" w:cs="仿宋"/>
          <w:sz w:val="28"/>
          <w:szCs w:val="28"/>
        </w:rPr>
        <w:t>本协议组成文件和优先解释顺序：乙方在履行本协议中作出的书面承诺；本协议之补充协议；本协议及附件；入选</w:t>
      </w:r>
      <w:r>
        <w:rPr>
          <w:rFonts w:hint="eastAsia" w:ascii="仿宋" w:hAnsi="仿宋" w:eastAsia="仿宋" w:cs="仿宋"/>
          <w:sz w:val="28"/>
          <w:szCs w:val="28"/>
          <w:lang w:val="en-US" w:eastAsia="zh-CN"/>
        </w:rPr>
        <w:t>/中标</w:t>
      </w:r>
      <w:r>
        <w:rPr>
          <w:rFonts w:hint="eastAsia" w:ascii="仿宋" w:hAnsi="仿宋" w:eastAsia="仿宋" w:cs="仿宋"/>
          <w:sz w:val="28"/>
          <w:szCs w:val="28"/>
        </w:rPr>
        <w:t>通知书、遴选</w:t>
      </w:r>
      <w:r>
        <w:rPr>
          <w:rFonts w:hint="eastAsia" w:ascii="仿宋" w:hAnsi="仿宋" w:eastAsia="仿宋" w:cs="仿宋"/>
          <w:sz w:val="28"/>
          <w:szCs w:val="28"/>
          <w:lang w:val="en-US" w:eastAsia="zh-CN"/>
        </w:rPr>
        <w:t>/采购</w:t>
      </w:r>
      <w:r>
        <w:rPr>
          <w:rFonts w:hint="eastAsia" w:ascii="仿宋" w:hAnsi="仿宋" w:eastAsia="仿宋" w:cs="仿宋"/>
          <w:sz w:val="28"/>
          <w:szCs w:val="28"/>
        </w:rPr>
        <w:t>文件、遴选方案；其他与本协议有关的资料。</w:t>
      </w:r>
    </w:p>
    <w:p w14:paraId="716129A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 xml:space="preserve"> 本协议一式伍份，甲方执肆份、乙方执壹份，自双方签字并盖章后生效。 </w:t>
      </w:r>
    </w:p>
    <w:p w14:paraId="19DB26B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rPr>
      </w:pPr>
    </w:p>
    <w:p w14:paraId="5451AD1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甲方（盖章）</w:t>
      </w:r>
      <w:r>
        <w:rPr>
          <w:rFonts w:hint="eastAsia" w:ascii="仿宋" w:hAnsi="仿宋" w:eastAsia="仿宋" w:cs="仿宋"/>
          <w:sz w:val="28"/>
          <w:szCs w:val="28"/>
          <w:lang w:eastAsia="zh-CN"/>
        </w:rPr>
        <w:t>：娄底市中心医院</w:t>
      </w:r>
      <w:r>
        <w:rPr>
          <w:rFonts w:hint="eastAsia" w:ascii="仿宋" w:hAnsi="仿宋" w:eastAsia="仿宋" w:cs="仿宋"/>
          <w:sz w:val="28"/>
          <w:szCs w:val="28"/>
        </w:rPr>
        <w:t xml:space="preserve">       乙方（盖章）：   </w:t>
      </w:r>
      <w:r>
        <w:rPr>
          <w:rFonts w:hint="eastAsia" w:ascii="仿宋" w:hAnsi="仿宋" w:eastAsia="仿宋" w:cs="仿宋"/>
          <w:sz w:val="28"/>
          <w:szCs w:val="28"/>
          <w:lang w:val="en-US" w:eastAsia="zh-CN"/>
        </w:rPr>
        <w:t xml:space="preserve"> </w:t>
      </w:r>
    </w:p>
    <w:p w14:paraId="3C22A99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rPr>
      </w:pPr>
    </w:p>
    <w:p w14:paraId="0DD69137">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法定代表人（签字）：               法定代表人（签字）</w:t>
      </w:r>
      <w:r>
        <w:rPr>
          <w:rFonts w:hint="eastAsia" w:ascii="仿宋" w:hAnsi="仿宋" w:eastAsia="仿宋" w:cs="仿宋"/>
          <w:sz w:val="28"/>
          <w:szCs w:val="28"/>
          <w:lang w:eastAsia="zh-CN"/>
        </w:rPr>
        <w:t>：</w:t>
      </w:r>
    </w:p>
    <w:p w14:paraId="7B9AA02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rPr>
      </w:pPr>
    </w:p>
    <w:p w14:paraId="10807C2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 xml:space="preserve">或委托代理人（签字）：             委托代理人（签字）：     </w:t>
      </w:r>
    </w:p>
    <w:p w14:paraId="569903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lang w:val="en-US" w:eastAsia="zh-CN"/>
        </w:rPr>
      </w:pPr>
    </w:p>
    <w:p w14:paraId="1299766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协议</w:t>
      </w:r>
      <w:r>
        <w:rPr>
          <w:rFonts w:hint="eastAsia" w:ascii="仿宋" w:hAnsi="仿宋" w:eastAsia="仿宋" w:cs="仿宋"/>
          <w:sz w:val="28"/>
          <w:szCs w:val="28"/>
        </w:rPr>
        <w:t xml:space="preserve">签订地、履行地：娄底市娄星区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签约时间：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0CE23F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015E8F9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b/>
          <w:bCs/>
          <w:color w:val="auto"/>
          <w:sz w:val="24"/>
          <w:szCs w:val="24"/>
        </w:rPr>
      </w:pPr>
      <w:r>
        <w:rPr>
          <w:rFonts w:hint="eastAsia" w:ascii="仿宋_GB2312" w:eastAsia="仿宋_GB2312" w:cs="仿宋_GB2312"/>
          <w:bCs/>
          <w:color w:val="auto"/>
          <w:kern w:val="0"/>
          <w:sz w:val="28"/>
          <w:szCs w:val="28"/>
        </w:rPr>
        <w:t xml:space="preserve">  </w:t>
      </w:r>
      <w:r>
        <w:rPr>
          <w:rFonts w:hint="eastAsia" w:ascii="宋体" w:hAnsi="宋体" w:eastAsia="宋体" w:cs="宋体"/>
          <w:color w:val="auto"/>
          <w:sz w:val="24"/>
          <w:szCs w:val="24"/>
          <w:lang w:val="en-US" w:eastAsia="zh-CN"/>
        </w:rPr>
        <w:t xml:space="preserve"> </w:t>
      </w:r>
    </w:p>
    <w:p w14:paraId="0D61434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hAnsi="仿宋" w:eastAsia="仿宋_GB2312" w:cs="仿宋_GB2312"/>
          <w:bCs/>
          <w:color w:val="auto"/>
          <w:kern w:val="0"/>
          <w:sz w:val="28"/>
          <w:szCs w:val="28"/>
        </w:rPr>
      </w:pPr>
    </w:p>
    <w:p w14:paraId="1C2A0D9C">
      <w:pPr>
        <w:rPr>
          <w:rFonts w:hint="eastAsia" w:ascii="仿宋" w:hAnsi="仿宋" w:eastAsia="仿宋" w:cs="仿宋"/>
          <w:sz w:val="28"/>
          <w:szCs w:val="28"/>
        </w:rPr>
      </w:pPr>
      <w:r>
        <w:rPr>
          <w:rFonts w:hint="eastAsia" w:ascii="仿宋" w:hAnsi="仿宋" w:eastAsia="仿宋" w:cs="仿宋"/>
          <w:sz w:val="28"/>
          <w:szCs w:val="28"/>
        </w:rPr>
        <w:br w:type="page"/>
      </w:r>
    </w:p>
    <w:p w14:paraId="2D8BA7C8">
      <w:pPr>
        <w:rPr>
          <w:rFonts w:hint="default" w:ascii="宋体" w:hAnsi="宋体" w:eastAsia="宋体" w:cs="宋体"/>
          <w:color w:val="auto"/>
          <w:sz w:val="24"/>
          <w:szCs w:val="24"/>
          <w:lang w:val="en-US" w:eastAsia="zh-CN"/>
        </w:rPr>
      </w:pPr>
    </w:p>
    <w:p w14:paraId="2CC2C481">
      <w:pPr>
        <w:rPr>
          <w:rFonts w:hint="default" w:ascii="宋体" w:hAnsi="宋体" w:eastAsia="宋体" w:cs="宋体"/>
          <w:color w:val="auto"/>
          <w:sz w:val="24"/>
          <w:szCs w:val="24"/>
          <w:lang w:val="en-US" w:eastAsia="zh-CN"/>
        </w:rPr>
      </w:pP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tbl>
      <w:tblPr>
        <w:tblStyle w:val="15"/>
        <w:tblW w:w="10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20"/>
        <w:gridCol w:w="7739"/>
      </w:tblGrid>
      <w:tr w14:paraId="285C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555" w:type="dxa"/>
            <w:tcBorders>
              <w:top w:val="single" w:color="auto" w:sz="12" w:space="0"/>
              <w:left w:val="single" w:color="auto" w:sz="12" w:space="0"/>
              <w:bottom w:val="single" w:color="auto" w:sz="4" w:space="0"/>
              <w:right w:val="single" w:color="auto" w:sz="4" w:space="0"/>
            </w:tcBorders>
            <w:shd w:val="clear" w:color="auto" w:fill="auto"/>
            <w:vAlign w:val="center"/>
          </w:tcPr>
          <w:p w14:paraId="1B21D0EA">
            <w:pPr>
              <w:pStyle w:val="13"/>
              <w:keepNext/>
              <w:keepLines/>
              <w:pageBreakBefore w:val="0"/>
              <w:widowControl w:val="0"/>
              <w:kinsoku/>
              <w:wordWrap/>
              <w:overflowPunct/>
              <w:topLinePunct w:val="0"/>
              <w:autoSpaceDE/>
              <w:autoSpaceDN/>
              <w:bidi w:val="0"/>
              <w:adjustRightInd/>
              <w:snapToGrid/>
              <w:spacing w:line="360" w:lineRule="exact"/>
              <w:ind w:left="0" w:leftChars="0"/>
              <w:jc w:val="center"/>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计分因素</w:t>
            </w:r>
          </w:p>
        </w:tc>
        <w:tc>
          <w:tcPr>
            <w:tcW w:w="720" w:type="dxa"/>
            <w:tcBorders>
              <w:top w:val="single" w:color="auto" w:sz="12" w:space="0"/>
              <w:left w:val="nil"/>
              <w:bottom w:val="single" w:color="auto" w:sz="4" w:space="0"/>
              <w:right w:val="single" w:color="auto" w:sz="4" w:space="0"/>
            </w:tcBorders>
            <w:shd w:val="clear" w:color="auto" w:fill="auto"/>
            <w:vAlign w:val="center"/>
          </w:tcPr>
          <w:p w14:paraId="1A2B86DD">
            <w:pPr>
              <w:pStyle w:val="13"/>
              <w:keepNext/>
              <w:keepLines/>
              <w:pageBreakBefore w:val="0"/>
              <w:widowControl w:val="0"/>
              <w:kinsoku/>
              <w:wordWrap/>
              <w:overflowPunct/>
              <w:topLinePunct w:val="0"/>
              <w:autoSpaceDE/>
              <w:autoSpaceDN/>
              <w:bidi w:val="0"/>
              <w:adjustRightInd/>
              <w:snapToGrid/>
              <w:spacing w:line="360" w:lineRule="exact"/>
              <w:ind w:left="0" w:leftChars="0"/>
              <w:jc w:val="center"/>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分值</w:t>
            </w:r>
          </w:p>
        </w:tc>
        <w:tc>
          <w:tcPr>
            <w:tcW w:w="7739" w:type="dxa"/>
            <w:tcBorders>
              <w:top w:val="single" w:color="auto" w:sz="12" w:space="0"/>
              <w:left w:val="nil"/>
              <w:bottom w:val="single" w:color="auto" w:sz="4" w:space="0"/>
              <w:right w:val="single" w:color="auto" w:sz="4" w:space="0"/>
            </w:tcBorders>
            <w:shd w:val="clear" w:color="auto" w:fill="auto"/>
            <w:vAlign w:val="center"/>
          </w:tcPr>
          <w:p w14:paraId="56539BC3">
            <w:pPr>
              <w:pStyle w:val="13"/>
              <w:keepNext/>
              <w:keepLines/>
              <w:pageBreakBefore w:val="0"/>
              <w:widowControl w:val="0"/>
              <w:kinsoku/>
              <w:wordWrap/>
              <w:overflowPunct/>
              <w:topLinePunct w:val="0"/>
              <w:autoSpaceDE/>
              <w:autoSpaceDN/>
              <w:bidi w:val="0"/>
              <w:adjustRightInd/>
              <w:snapToGrid/>
              <w:spacing w:line="360" w:lineRule="exact"/>
              <w:ind w:left="420" w:leftChars="200"/>
              <w:jc w:val="center"/>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评分标准</w:t>
            </w:r>
          </w:p>
        </w:tc>
      </w:tr>
      <w:tr w14:paraId="60F0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1555" w:type="dxa"/>
            <w:tcBorders>
              <w:top w:val="single" w:color="auto" w:sz="4" w:space="0"/>
              <w:left w:val="single" w:color="auto" w:sz="12" w:space="0"/>
              <w:bottom w:val="single" w:color="auto" w:sz="4" w:space="0"/>
              <w:right w:val="single" w:color="auto" w:sz="4" w:space="0"/>
            </w:tcBorders>
            <w:shd w:val="clear" w:color="auto" w:fill="auto"/>
            <w:vAlign w:val="center"/>
          </w:tcPr>
          <w:p w14:paraId="7CB3A3E6">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对招标文件要求的响应程度</w:t>
            </w:r>
          </w:p>
        </w:tc>
        <w:tc>
          <w:tcPr>
            <w:tcW w:w="720" w:type="dxa"/>
            <w:tcBorders>
              <w:top w:val="single" w:color="auto" w:sz="4" w:space="0"/>
              <w:left w:val="nil"/>
              <w:bottom w:val="single" w:color="auto" w:sz="4" w:space="0"/>
              <w:right w:val="single" w:color="auto" w:sz="4" w:space="0"/>
            </w:tcBorders>
            <w:shd w:val="clear" w:color="auto" w:fill="auto"/>
            <w:vAlign w:val="center"/>
          </w:tcPr>
          <w:p w14:paraId="60D892D8">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5分</w:t>
            </w:r>
          </w:p>
        </w:tc>
        <w:tc>
          <w:tcPr>
            <w:tcW w:w="7739" w:type="dxa"/>
            <w:tcBorders>
              <w:top w:val="single" w:color="auto" w:sz="4" w:space="0"/>
              <w:left w:val="nil"/>
              <w:bottom w:val="single" w:color="auto" w:sz="4" w:space="0"/>
              <w:right w:val="single" w:color="auto" w:sz="4" w:space="0"/>
            </w:tcBorders>
            <w:shd w:val="clear" w:color="auto" w:fill="auto"/>
            <w:vAlign w:val="center"/>
          </w:tcPr>
          <w:p w14:paraId="5509A8F7">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以招标文件格式为基础，根据投标文件制作的优劣，专家酌情打分，</w:t>
            </w:r>
            <w:r>
              <w:rPr>
                <w:rFonts w:hint="eastAsia" w:ascii="宋体" w:hAnsi="宋体" w:cs="宋体"/>
                <w:color w:val="000000" w:themeColor="text1"/>
                <w:sz w:val="21"/>
                <w:szCs w:val="21"/>
                <w:lang w:val="en-US" w:eastAsia="zh-CN"/>
                <w14:textFill>
                  <w14:solidFill>
                    <w14:schemeClr w14:val="tx1"/>
                  </w14:solidFill>
                </w14:textFill>
              </w:rPr>
              <w:t>满分5分，</w:t>
            </w:r>
            <w:r>
              <w:rPr>
                <w:rFonts w:hint="eastAsia" w:ascii="宋体" w:hAnsi="宋体" w:cs="宋体"/>
                <w:color w:val="000000" w:themeColor="text1"/>
                <w:sz w:val="21"/>
                <w:szCs w:val="21"/>
                <w14:textFill>
                  <w14:solidFill>
                    <w14:schemeClr w14:val="tx1"/>
                  </w14:solidFill>
                </w14:textFill>
              </w:rPr>
              <w:t>每有一处</w:t>
            </w:r>
            <w:r>
              <w:rPr>
                <w:rFonts w:hint="eastAsia" w:ascii="宋体" w:hAnsi="宋体" w:cs="宋体"/>
                <w:color w:val="000000" w:themeColor="text1"/>
                <w:sz w:val="21"/>
                <w:szCs w:val="21"/>
                <w:lang w:val="en-US" w:eastAsia="zh-CN"/>
                <w14:textFill>
                  <w14:solidFill>
                    <w14:schemeClr w14:val="tx1"/>
                  </w14:solidFill>
                </w14:textFill>
              </w:rPr>
              <w:t>不足</w:t>
            </w:r>
            <w:r>
              <w:rPr>
                <w:rFonts w:hint="eastAsia" w:ascii="宋体" w:hAnsi="宋体" w:cs="宋体"/>
                <w:color w:val="000000" w:themeColor="text1"/>
                <w:sz w:val="21"/>
                <w:szCs w:val="21"/>
                <w14:textFill>
                  <w14:solidFill>
                    <w14:schemeClr w14:val="tx1"/>
                  </w14:solidFill>
                </w14:textFill>
              </w:rPr>
              <w:t>扣</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分，扣</w:t>
            </w:r>
            <w:r>
              <w:rPr>
                <w:rFonts w:hint="eastAsia" w:ascii="宋体" w:hAnsi="宋体" w:cs="宋体"/>
                <w:color w:val="000000" w:themeColor="text1"/>
                <w:sz w:val="21"/>
                <w:szCs w:val="21"/>
                <w:lang w:val="en-US" w:eastAsia="zh-CN"/>
                <w14:textFill>
                  <w14:solidFill>
                    <w14:schemeClr w14:val="tx1"/>
                  </w14:solidFill>
                </w14:textFill>
              </w:rPr>
              <w:t>完为止</w:t>
            </w:r>
            <w:r>
              <w:rPr>
                <w:rFonts w:hint="eastAsia" w:ascii="宋体" w:hAnsi="宋体" w:cs="宋体"/>
                <w:color w:val="000000" w:themeColor="text1"/>
                <w:sz w:val="21"/>
                <w:szCs w:val="21"/>
                <w14:textFill>
                  <w14:solidFill>
                    <w14:schemeClr w14:val="tx1"/>
                  </w14:solidFill>
                </w14:textFill>
              </w:rPr>
              <w:t>。</w:t>
            </w:r>
          </w:p>
        </w:tc>
      </w:tr>
      <w:tr w14:paraId="432E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0" w:hRule="atLeast"/>
          <w:jc w:val="center"/>
        </w:trPr>
        <w:tc>
          <w:tcPr>
            <w:tcW w:w="1555" w:type="dxa"/>
            <w:tcBorders>
              <w:top w:val="nil"/>
              <w:left w:val="single" w:color="auto" w:sz="12" w:space="0"/>
              <w:right w:val="single" w:color="auto" w:sz="4" w:space="0"/>
            </w:tcBorders>
            <w:shd w:val="clear" w:color="auto" w:fill="auto"/>
            <w:vAlign w:val="center"/>
          </w:tcPr>
          <w:p w14:paraId="4E8C3021">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eastAsiaTheme="minorEastAsia"/>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服务</w:t>
            </w:r>
            <w:r>
              <w:rPr>
                <w:rFonts w:hint="eastAsia" w:ascii="宋体" w:hAnsi="宋体" w:cs="宋体"/>
                <w:color w:val="000000" w:themeColor="text1"/>
                <w:sz w:val="21"/>
                <w:szCs w:val="21"/>
                <w:lang w:val="en-US" w:eastAsia="zh-CN"/>
                <w14:textFill>
                  <w14:solidFill>
                    <w14:schemeClr w14:val="tx1"/>
                  </w14:solidFill>
                </w14:textFill>
              </w:rPr>
              <w:t>与运营</w:t>
            </w:r>
            <w:r>
              <w:rPr>
                <w:rFonts w:hint="eastAsia" w:ascii="宋体" w:hAnsi="宋体" w:cs="宋体"/>
                <w:color w:val="000000" w:themeColor="text1"/>
                <w:sz w:val="21"/>
                <w:szCs w:val="21"/>
                <w14:textFill>
                  <w14:solidFill>
                    <w14:schemeClr w14:val="tx1"/>
                  </w14:solidFill>
                </w14:textFill>
              </w:rPr>
              <w:t>方案</w:t>
            </w:r>
          </w:p>
        </w:tc>
        <w:tc>
          <w:tcPr>
            <w:tcW w:w="720" w:type="dxa"/>
            <w:tcBorders>
              <w:top w:val="nil"/>
              <w:left w:val="nil"/>
              <w:right w:val="single" w:color="auto" w:sz="4" w:space="0"/>
            </w:tcBorders>
            <w:shd w:val="clear" w:color="auto" w:fill="auto"/>
            <w:vAlign w:val="center"/>
          </w:tcPr>
          <w:p w14:paraId="5A105806">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30</w:t>
            </w:r>
            <w:r>
              <w:rPr>
                <w:rFonts w:hint="eastAsia" w:ascii="宋体" w:hAnsi="宋体" w:cs="宋体"/>
                <w:color w:val="000000" w:themeColor="text1"/>
                <w:sz w:val="21"/>
                <w:szCs w:val="21"/>
                <w14:textFill>
                  <w14:solidFill>
                    <w14:schemeClr w14:val="tx1"/>
                  </w14:solidFill>
                </w14:textFill>
              </w:rPr>
              <w:t>分</w:t>
            </w:r>
          </w:p>
        </w:tc>
        <w:tc>
          <w:tcPr>
            <w:tcW w:w="7739" w:type="dxa"/>
            <w:tcBorders>
              <w:top w:val="single" w:color="auto" w:sz="4" w:space="0"/>
              <w:left w:val="nil"/>
              <w:bottom w:val="single" w:color="auto" w:sz="4" w:space="0"/>
              <w:right w:val="single" w:color="auto" w:sz="4" w:space="0"/>
            </w:tcBorders>
            <w:shd w:val="clear" w:color="auto" w:fill="auto"/>
            <w:vAlign w:val="center"/>
          </w:tcPr>
          <w:p w14:paraId="79A5787E">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根据</w:t>
            </w:r>
            <w:r>
              <w:rPr>
                <w:rFonts w:hint="eastAsia" w:ascii="宋体" w:hAnsi="宋体" w:cs="宋体"/>
                <w:color w:val="000000" w:themeColor="text1"/>
                <w:sz w:val="21"/>
                <w:szCs w:val="21"/>
                <w:lang w:val="en-US" w:eastAsia="zh-CN"/>
                <w14:textFill>
                  <w14:solidFill>
                    <w14:schemeClr w14:val="tx1"/>
                  </w14:solidFill>
                </w14:textFill>
              </w:rPr>
              <w:t>投标人提供的</w:t>
            </w:r>
            <w:r>
              <w:rPr>
                <w:rFonts w:hint="eastAsia" w:ascii="宋体" w:hAnsi="宋体" w:cs="宋体"/>
                <w:color w:val="000000" w:themeColor="text1"/>
                <w:sz w:val="21"/>
                <w:szCs w:val="21"/>
                <w14:textFill>
                  <w14:solidFill>
                    <w14:schemeClr w14:val="tx1"/>
                  </w14:solidFill>
                </w14:textFill>
              </w:rPr>
              <w:t>项目服务</w:t>
            </w:r>
            <w:r>
              <w:rPr>
                <w:rFonts w:hint="eastAsia" w:ascii="宋体" w:hAnsi="宋体" w:cs="宋体"/>
                <w:color w:val="000000" w:themeColor="text1"/>
                <w:sz w:val="21"/>
                <w:szCs w:val="21"/>
                <w:lang w:val="en-US" w:eastAsia="zh-CN"/>
                <w14:textFill>
                  <w14:solidFill>
                    <w14:schemeClr w14:val="tx1"/>
                  </w14:solidFill>
                </w14:textFill>
              </w:rPr>
              <w:t>与运营</w:t>
            </w:r>
            <w:r>
              <w:rPr>
                <w:rFonts w:hint="eastAsia" w:ascii="宋体" w:hAnsi="宋体" w:cs="宋体"/>
                <w:color w:val="000000" w:themeColor="text1"/>
                <w:sz w:val="21"/>
                <w:szCs w:val="21"/>
                <w14:textFill>
                  <w14:solidFill>
                    <w14:schemeClr w14:val="tx1"/>
                  </w14:solidFill>
                </w14:textFill>
              </w:rPr>
              <w:t>方案</w:t>
            </w:r>
            <w:r>
              <w:rPr>
                <w:rFonts w:hint="eastAsia" w:ascii="宋体" w:hAnsi="宋体" w:cs="宋体"/>
                <w:color w:val="000000" w:themeColor="text1"/>
                <w:sz w:val="21"/>
                <w:szCs w:val="21"/>
                <w:lang w:val="en-US" w:eastAsia="zh-CN"/>
                <w14:textFill>
                  <w14:solidFill>
                    <w14:schemeClr w14:val="tx1"/>
                  </w14:solidFill>
                </w14:textFill>
              </w:rPr>
              <w:t>进行评分</w:t>
            </w:r>
            <w:r>
              <w:rPr>
                <w:rFonts w:hint="eastAsia" w:ascii="宋体" w:hAnsi="宋体" w:cs="宋体"/>
                <w:color w:val="000000" w:themeColor="text1"/>
                <w:sz w:val="21"/>
                <w:szCs w:val="21"/>
                <w14:textFill>
                  <w14:solidFill>
                    <w14:schemeClr w14:val="tx1"/>
                  </w14:solidFill>
                </w14:textFill>
              </w:rPr>
              <w:t>，内容主要包括但不限于：①人员安排②售卖产品质量保障③验配服务</w:t>
            </w:r>
            <w:r>
              <w:rPr>
                <w:rFonts w:hint="eastAsia" w:ascii="宋体" w:hAnsi="宋体" w:cs="宋体"/>
                <w:color w:val="000000" w:themeColor="text1"/>
                <w:sz w:val="21"/>
                <w:szCs w:val="21"/>
                <w:lang w:val="en-US" w:eastAsia="zh-CN"/>
                <w14:textFill>
                  <w14:solidFill>
                    <w14:schemeClr w14:val="tx1"/>
                  </w14:solidFill>
                </w14:textFill>
              </w:rPr>
              <w:t>运营</w:t>
            </w:r>
            <w:r>
              <w:rPr>
                <w:rFonts w:hint="eastAsia" w:ascii="宋体" w:hAnsi="宋体" w:cs="宋体"/>
                <w:color w:val="000000" w:themeColor="text1"/>
                <w:sz w:val="21"/>
                <w:szCs w:val="21"/>
                <w14:textFill>
                  <w14:solidFill>
                    <w14:schemeClr w14:val="tx1"/>
                  </w14:solidFill>
                </w14:textFill>
              </w:rPr>
              <w:t>方案④售后维修服务方案⑤投诉处理方案。每具有一项得</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cs="宋体"/>
                <w:color w:val="000000" w:themeColor="text1"/>
                <w:sz w:val="21"/>
                <w:szCs w:val="21"/>
                <w14:textFill>
                  <w14:solidFill>
                    <w14:schemeClr w14:val="tx1"/>
                  </w14:solidFill>
                </w14:textFill>
              </w:rPr>
              <w:t>分，最多得</w:t>
            </w:r>
            <w:r>
              <w:rPr>
                <w:rFonts w:hint="eastAsia" w:ascii="宋体" w:hAnsi="宋体" w:cs="宋体"/>
                <w:color w:val="000000" w:themeColor="text1"/>
                <w:sz w:val="21"/>
                <w:szCs w:val="21"/>
                <w:lang w:val="en-US" w:eastAsia="zh-CN"/>
                <w14:textFill>
                  <w14:solidFill>
                    <w14:schemeClr w14:val="tx1"/>
                  </w14:solidFill>
                </w14:textFill>
              </w:rPr>
              <w:t>30</w:t>
            </w:r>
            <w:r>
              <w:rPr>
                <w:rFonts w:hint="eastAsia" w:ascii="宋体" w:hAnsi="宋体" w:cs="宋体"/>
                <w:color w:val="000000" w:themeColor="text1"/>
                <w:sz w:val="21"/>
                <w:szCs w:val="21"/>
                <w14:textFill>
                  <w14:solidFill>
                    <w14:schemeClr w14:val="tx1"/>
                  </w14:solidFill>
                </w14:textFill>
              </w:rPr>
              <w:t>分；方案中每有一项内容要素存在缺失或遗漏或描述不完整或仅有大纲标题无正文内容的扣</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cs="宋体"/>
                <w:color w:val="000000" w:themeColor="text1"/>
                <w:sz w:val="21"/>
                <w:szCs w:val="21"/>
                <w14:textFill>
                  <w14:solidFill>
                    <w14:schemeClr w14:val="tx1"/>
                  </w14:solidFill>
                </w14:textFill>
              </w:rPr>
              <w:t>分，方案内容要素中每存在内容不足或缺陷的扣</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5分，单项内容要素扣减分值不超过</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cs="宋体"/>
                <w:color w:val="000000" w:themeColor="text1"/>
                <w:sz w:val="21"/>
                <w:szCs w:val="21"/>
                <w14:textFill>
                  <w14:solidFill>
                    <w14:schemeClr w14:val="tx1"/>
                  </w14:solidFill>
                </w14:textFill>
              </w:rPr>
              <w:t>分。扣完为止。</w:t>
            </w:r>
          </w:p>
          <w:p w14:paraId="3637B076">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注：内容不足或缺陷是指：存在不适用项目实际情况的情形、凭空编造、方案中内容前后不一致、前后逻辑错误、项目内容缺失、与项目实际情况及技术、服务要求无关等情况。</w:t>
            </w:r>
          </w:p>
        </w:tc>
      </w:tr>
      <w:tr w14:paraId="1547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1555" w:type="dxa"/>
            <w:vMerge w:val="restart"/>
            <w:tcBorders>
              <w:top w:val="nil"/>
              <w:left w:val="single" w:color="auto" w:sz="12" w:space="0"/>
              <w:right w:val="single" w:color="auto" w:sz="4" w:space="0"/>
            </w:tcBorders>
            <w:shd w:val="clear" w:color="auto" w:fill="auto"/>
            <w:vAlign w:val="center"/>
          </w:tcPr>
          <w:p w14:paraId="2A08F626">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eastAsiaTheme="minorEastAsia"/>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企业实力</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35分</w:t>
            </w:r>
            <w:r>
              <w:rPr>
                <w:rFonts w:hint="eastAsia" w:ascii="宋体" w:hAnsi="宋体" w:cs="宋体"/>
                <w:color w:val="000000" w:themeColor="text1"/>
                <w:sz w:val="21"/>
                <w:szCs w:val="21"/>
                <w:lang w:eastAsia="zh-CN"/>
                <w14:textFill>
                  <w14:solidFill>
                    <w14:schemeClr w14:val="tx1"/>
                  </w14:solidFill>
                </w14:textFill>
              </w:rPr>
              <w:t>）</w:t>
            </w:r>
          </w:p>
        </w:tc>
        <w:tc>
          <w:tcPr>
            <w:tcW w:w="720" w:type="dxa"/>
            <w:tcBorders>
              <w:top w:val="nil"/>
              <w:left w:val="nil"/>
              <w:bottom w:val="single" w:color="auto" w:sz="4" w:space="0"/>
              <w:right w:val="single" w:color="auto" w:sz="4" w:space="0"/>
            </w:tcBorders>
            <w:shd w:val="clear" w:color="auto" w:fill="auto"/>
            <w:vAlign w:val="center"/>
          </w:tcPr>
          <w:p w14:paraId="0FF025B4">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cs="宋体"/>
                <w:color w:val="000000" w:themeColor="text1"/>
                <w:sz w:val="21"/>
                <w:szCs w:val="21"/>
                <w14:textFill>
                  <w14:solidFill>
                    <w14:schemeClr w14:val="tx1"/>
                  </w14:solidFill>
                </w14:textFill>
              </w:rPr>
              <w:t>分</w:t>
            </w:r>
          </w:p>
        </w:tc>
        <w:tc>
          <w:tcPr>
            <w:tcW w:w="7739" w:type="dxa"/>
            <w:tcBorders>
              <w:top w:val="single" w:color="auto" w:sz="4" w:space="0"/>
              <w:left w:val="nil"/>
              <w:bottom w:val="single" w:color="auto" w:sz="4" w:space="0"/>
              <w:right w:val="single" w:color="auto" w:sz="4" w:space="0"/>
            </w:tcBorders>
            <w:shd w:val="clear" w:color="auto" w:fill="auto"/>
          </w:tcPr>
          <w:p w14:paraId="1233D1F0">
            <w:pPr>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ind w:left="0" w:leftChars="0"/>
              <w:textAlignment w:val="auto"/>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无不良记录</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具有较好信誉</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较强的经济实力与经营业绩</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提供公司信用中国网信用报告</w:t>
            </w:r>
            <w:r>
              <w:rPr>
                <w:rFonts w:hint="default" w:ascii="宋体" w:hAnsi="宋体" w:cs="宋体"/>
                <w:color w:val="000000" w:themeColor="text1"/>
                <w:sz w:val="21"/>
                <w:szCs w:val="21"/>
                <w14:textFill>
                  <w14:solidFill>
                    <w14:schemeClr w14:val="tx1"/>
                  </w14:solidFill>
                </w14:textFill>
              </w:rPr>
              <w:t>、</w:t>
            </w:r>
            <w:r>
              <w:rPr>
                <w:rFonts w:hint="eastAsia"/>
                <w:color w:val="000000" w:themeColor="text1"/>
                <w:lang w:val="en-US"/>
                <w14:textFill>
                  <w14:solidFill>
                    <w14:schemeClr w14:val="tx1"/>
                  </w14:solidFill>
                </w14:textFill>
              </w:rPr>
              <w:t>企业</w:t>
            </w:r>
            <w:r>
              <w:rPr>
                <w:rFonts w:hint="eastAsia"/>
                <w:color w:val="000000" w:themeColor="text1"/>
                <w:lang w:val="en-US" w:eastAsia="zh-CN"/>
                <w14:textFill>
                  <w14:solidFill>
                    <w14:schemeClr w14:val="tx1"/>
                  </w14:solidFill>
                </w14:textFill>
              </w:rPr>
              <w:t>营业执照、医疗器械经营许可证、法定代表人授权书、法人身份证复印件、廉政承诺书（此部分计5分）</w:t>
            </w:r>
          </w:p>
        </w:tc>
      </w:tr>
      <w:tr w14:paraId="122C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1555" w:type="dxa"/>
            <w:vMerge w:val="continue"/>
            <w:tcBorders>
              <w:left w:val="single" w:color="auto" w:sz="12" w:space="0"/>
              <w:right w:val="single" w:color="auto" w:sz="4" w:space="0"/>
            </w:tcBorders>
            <w:shd w:val="clear" w:color="auto" w:fill="auto"/>
            <w:vAlign w:val="center"/>
          </w:tcPr>
          <w:p w14:paraId="232340CD">
            <w:pPr>
              <w:pageBreakBefore w:val="0"/>
              <w:widowControl w:val="0"/>
              <w:kinsoku/>
              <w:wordWrap/>
              <w:overflowPunct/>
              <w:topLinePunct w:val="0"/>
              <w:autoSpaceDE/>
              <w:autoSpaceDN/>
              <w:bidi w:val="0"/>
              <w:adjustRightInd/>
              <w:snapToGrid/>
              <w:spacing w:line="360" w:lineRule="exact"/>
              <w:ind w:left="0" w:leftChars="0"/>
              <w:textAlignment w:val="auto"/>
              <w:rPr>
                <w:color w:val="000000" w:themeColor="text1"/>
                <w:sz w:val="20"/>
                <w14:textFill>
                  <w14:solidFill>
                    <w14:schemeClr w14:val="tx1"/>
                  </w14:solidFill>
                </w14:textFill>
              </w:rPr>
            </w:pPr>
          </w:p>
        </w:tc>
        <w:tc>
          <w:tcPr>
            <w:tcW w:w="720" w:type="dxa"/>
            <w:tcBorders>
              <w:top w:val="nil"/>
              <w:left w:val="nil"/>
              <w:bottom w:val="single" w:color="auto" w:sz="4" w:space="0"/>
              <w:right w:val="single" w:color="auto" w:sz="4" w:space="0"/>
            </w:tcBorders>
            <w:shd w:val="clear" w:color="auto" w:fill="auto"/>
            <w:vAlign w:val="center"/>
          </w:tcPr>
          <w:p w14:paraId="55B6C95E">
            <w:pPr>
              <w:pageBreakBefore w:val="0"/>
              <w:widowControl w:val="0"/>
              <w:kinsoku/>
              <w:wordWrap/>
              <w:overflowPunct/>
              <w:topLinePunct w:val="0"/>
              <w:autoSpaceDE/>
              <w:autoSpaceDN/>
              <w:bidi w:val="0"/>
              <w:adjustRightInd/>
              <w:snapToGrid/>
              <w:spacing w:line="360" w:lineRule="exact"/>
              <w:ind w:left="0" w:leftChars="0"/>
              <w:textAlignment w:val="auto"/>
              <w:rPr>
                <w:rFonts w:hint="default" w:eastAsiaTheme="minor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15分</w:t>
            </w:r>
          </w:p>
        </w:tc>
        <w:tc>
          <w:tcPr>
            <w:tcW w:w="7739" w:type="dxa"/>
            <w:tcBorders>
              <w:top w:val="single" w:color="auto" w:sz="4" w:space="0"/>
              <w:left w:val="nil"/>
              <w:bottom w:val="single" w:color="auto" w:sz="4" w:space="0"/>
              <w:right w:val="single" w:color="auto" w:sz="4" w:space="0"/>
            </w:tcBorders>
            <w:shd w:val="clear" w:color="auto" w:fill="auto"/>
            <w:vAlign w:val="center"/>
          </w:tcPr>
          <w:p w14:paraId="142C6F30">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有国家</w:t>
            </w:r>
            <w:r>
              <w:rPr>
                <w:rFonts w:hint="eastAsia" w:ascii="宋体" w:hAnsi="宋体" w:cs="宋体"/>
                <w:color w:val="000000" w:themeColor="text1"/>
                <w:sz w:val="21"/>
                <w:szCs w:val="21"/>
                <w:lang w:val="en-US" w:eastAsia="zh-CN"/>
                <w14:textFill>
                  <w14:solidFill>
                    <w14:schemeClr w14:val="tx1"/>
                  </w14:solidFill>
                </w14:textFill>
              </w:rPr>
              <w:t>三级助听器验配师1</w:t>
            </w:r>
            <w:r>
              <w:rPr>
                <w:rFonts w:hint="eastAsia" w:ascii="宋体" w:hAnsi="宋体" w:cs="宋体"/>
                <w:color w:val="000000" w:themeColor="text1"/>
                <w:sz w:val="21"/>
                <w:szCs w:val="21"/>
                <w:lang w:val="en-US"/>
                <w14:textFill>
                  <w14:solidFill>
                    <w14:schemeClr w14:val="tx1"/>
                  </w14:solidFill>
                </w14:textFill>
              </w:rPr>
              <w:t>名的计满分</w:t>
            </w: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cs="宋体"/>
                <w:color w:val="000000" w:themeColor="text1"/>
                <w:sz w:val="21"/>
                <w:szCs w:val="21"/>
                <w:lang w:val="en-US"/>
                <w14:textFill>
                  <w14:solidFill>
                    <w14:schemeClr w14:val="tx1"/>
                  </w14:solidFill>
                </w14:textFill>
              </w:rPr>
              <w:t>分，</w:t>
            </w:r>
            <w:r>
              <w:rPr>
                <w:rFonts w:hint="eastAsia" w:ascii="宋体" w:hAnsi="宋体" w:cs="宋体"/>
                <w:color w:val="000000" w:themeColor="text1"/>
                <w:sz w:val="21"/>
                <w:szCs w:val="21"/>
                <w:lang w:val="en-US" w:eastAsia="zh-CN"/>
                <w14:textFill>
                  <w14:solidFill>
                    <w14:schemeClr w14:val="tx1"/>
                  </w14:solidFill>
                </w14:textFill>
              </w:rPr>
              <w:t>没有提供者计0分</w:t>
            </w:r>
            <w:r>
              <w:rPr>
                <w:rFonts w:hint="eastAsia" w:ascii="宋体" w:hAnsi="宋体" w:cs="宋体"/>
                <w:color w:val="000000" w:themeColor="text1"/>
                <w:sz w:val="21"/>
                <w:szCs w:val="21"/>
                <w:lang w:val="en-US"/>
                <w14:textFill>
                  <w14:solidFill>
                    <w14:schemeClr w14:val="tx1"/>
                  </w14:solidFill>
                </w14:textFill>
              </w:rPr>
              <w:t>。</w:t>
            </w:r>
          </w:p>
          <w:p w14:paraId="56FD7F03">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有国家</w:t>
            </w:r>
            <w:r>
              <w:rPr>
                <w:rFonts w:hint="eastAsia" w:ascii="宋体" w:hAnsi="宋体" w:cs="宋体"/>
                <w:color w:val="000000" w:themeColor="text1"/>
                <w:sz w:val="21"/>
                <w:szCs w:val="21"/>
                <w:lang w:val="en-US" w:eastAsia="zh-CN"/>
                <w14:textFill>
                  <w14:solidFill>
                    <w14:schemeClr w14:val="tx1"/>
                  </w14:solidFill>
                </w14:textFill>
              </w:rPr>
              <w:t>四</w:t>
            </w:r>
            <w:r>
              <w:rPr>
                <w:rFonts w:hint="eastAsia" w:ascii="宋体" w:hAnsi="宋体" w:cs="宋体"/>
                <w:color w:val="000000" w:themeColor="text1"/>
                <w:sz w:val="21"/>
                <w:szCs w:val="21"/>
                <w:lang w:val="en-US"/>
                <w14:textFill>
                  <w14:solidFill>
                    <w14:schemeClr w14:val="tx1"/>
                  </w14:solidFill>
                </w14:textFill>
              </w:rPr>
              <w:t>级</w:t>
            </w:r>
            <w:r>
              <w:rPr>
                <w:rFonts w:hint="eastAsia" w:ascii="宋体" w:hAnsi="宋体" w:cs="宋体"/>
                <w:color w:val="000000" w:themeColor="text1"/>
                <w:sz w:val="21"/>
                <w:szCs w:val="21"/>
                <w:lang w:val="en-US" w:eastAsia="zh-CN"/>
                <w14:textFill>
                  <w14:solidFill>
                    <w14:schemeClr w14:val="tx1"/>
                  </w14:solidFill>
                </w14:textFill>
              </w:rPr>
              <w:t>助听器验配师5</w:t>
            </w:r>
            <w:r>
              <w:rPr>
                <w:rFonts w:hint="eastAsia" w:ascii="宋体" w:hAnsi="宋体" w:cs="宋体"/>
                <w:color w:val="000000" w:themeColor="text1"/>
                <w:sz w:val="21"/>
                <w:szCs w:val="21"/>
                <w:lang w:val="en-US"/>
                <w14:textFill>
                  <w14:solidFill>
                    <w14:schemeClr w14:val="tx1"/>
                  </w14:solidFill>
                </w14:textFill>
              </w:rPr>
              <w:t>名</w:t>
            </w:r>
            <w:r>
              <w:rPr>
                <w:rFonts w:hint="eastAsia" w:ascii="宋体" w:hAnsi="宋体" w:cs="宋体"/>
                <w:color w:val="000000" w:themeColor="text1"/>
                <w:sz w:val="21"/>
                <w:szCs w:val="21"/>
                <w:lang w:val="en-US" w:eastAsia="zh-CN"/>
                <w14:textFill>
                  <w14:solidFill>
                    <w14:schemeClr w14:val="tx1"/>
                  </w14:solidFill>
                </w14:textFill>
              </w:rPr>
              <w:t>的</w:t>
            </w:r>
            <w:r>
              <w:rPr>
                <w:rFonts w:hint="eastAsia" w:ascii="宋体" w:hAnsi="宋体" w:cs="宋体"/>
                <w:color w:val="000000" w:themeColor="text1"/>
                <w:sz w:val="21"/>
                <w:szCs w:val="21"/>
                <w:lang w:val="en-US"/>
                <w14:textFill>
                  <w14:solidFill>
                    <w14:schemeClr w14:val="tx1"/>
                  </w14:solidFill>
                </w14:textFill>
              </w:rPr>
              <w:t>计</w:t>
            </w:r>
            <w:r>
              <w:rPr>
                <w:rFonts w:hint="eastAsia" w:ascii="宋体" w:hAnsi="宋体" w:cs="宋体"/>
                <w:color w:val="000000" w:themeColor="text1"/>
                <w:sz w:val="21"/>
                <w:szCs w:val="21"/>
                <w:lang w:val="en-US" w:eastAsia="zh-CN"/>
                <w14:textFill>
                  <w14:solidFill>
                    <w14:schemeClr w14:val="tx1"/>
                  </w14:solidFill>
                </w14:textFill>
              </w:rPr>
              <w:t>满分10</w:t>
            </w:r>
            <w:r>
              <w:rPr>
                <w:rFonts w:hint="eastAsia" w:ascii="宋体" w:hAnsi="宋体" w:cs="宋体"/>
                <w:color w:val="000000" w:themeColor="text1"/>
                <w:sz w:val="21"/>
                <w:szCs w:val="21"/>
                <w:lang w:val="en-US"/>
                <w14:textFill>
                  <w14:solidFill>
                    <w14:schemeClr w14:val="tx1"/>
                  </w14:solidFill>
                </w14:textFill>
              </w:rPr>
              <w:t>分，每少1名扣</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cs="宋体"/>
                <w:color w:val="000000" w:themeColor="text1"/>
                <w:sz w:val="21"/>
                <w:szCs w:val="21"/>
                <w:lang w:val="en-US"/>
                <w14:textFill>
                  <w14:solidFill>
                    <w14:schemeClr w14:val="tx1"/>
                  </w14:solidFill>
                </w14:textFill>
              </w:rPr>
              <w:t>分</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扣完为止。</w:t>
            </w:r>
          </w:p>
          <w:p w14:paraId="37794A3D">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需提供国家人社部门颁发证书复印件、员工缴纳社保证明，没有提供的</w:t>
            </w:r>
            <w:r>
              <w:rPr>
                <w:rFonts w:hint="eastAsia" w:ascii="宋体" w:hAnsi="宋体" w:cs="宋体"/>
                <w:color w:val="000000" w:themeColor="text1"/>
                <w:sz w:val="21"/>
                <w:szCs w:val="21"/>
                <w:lang w:val="en-US" w:eastAsia="zh-CN"/>
                <w14:textFill>
                  <w14:solidFill>
                    <w14:schemeClr w14:val="tx1"/>
                  </w14:solidFill>
                </w14:textFill>
              </w:rPr>
              <w:t>计</w:t>
            </w:r>
            <w:r>
              <w:rPr>
                <w:rFonts w:hint="eastAsia" w:ascii="宋体" w:hAnsi="宋体" w:cs="宋体"/>
                <w:color w:val="000000" w:themeColor="text1"/>
                <w:sz w:val="21"/>
                <w:szCs w:val="21"/>
                <w:lang w:val="en-US"/>
                <w14:textFill>
                  <w14:solidFill>
                    <w14:schemeClr w14:val="tx1"/>
                  </w14:solidFill>
                </w14:textFill>
              </w:rPr>
              <w:t>0分。</w:t>
            </w:r>
          </w:p>
        </w:tc>
      </w:tr>
      <w:tr w14:paraId="3283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5" w:hRule="atLeast"/>
          <w:jc w:val="center"/>
        </w:trPr>
        <w:tc>
          <w:tcPr>
            <w:tcW w:w="1555" w:type="dxa"/>
            <w:vMerge w:val="continue"/>
            <w:tcBorders>
              <w:left w:val="single" w:color="auto" w:sz="12" w:space="0"/>
              <w:right w:val="single" w:color="auto" w:sz="4" w:space="0"/>
            </w:tcBorders>
            <w:shd w:val="clear" w:color="auto" w:fill="auto"/>
            <w:vAlign w:val="center"/>
          </w:tcPr>
          <w:p w14:paraId="04E4EBEB">
            <w:pPr>
              <w:pageBreakBefore w:val="0"/>
              <w:widowControl w:val="0"/>
              <w:kinsoku/>
              <w:wordWrap/>
              <w:overflowPunct/>
              <w:topLinePunct w:val="0"/>
              <w:autoSpaceDE/>
              <w:autoSpaceDN/>
              <w:bidi w:val="0"/>
              <w:adjustRightInd/>
              <w:snapToGrid/>
              <w:spacing w:line="360" w:lineRule="exact"/>
              <w:ind w:left="0" w:leftChars="0"/>
              <w:textAlignment w:val="auto"/>
              <w:rPr>
                <w:color w:val="000000" w:themeColor="text1"/>
                <w:sz w:val="20"/>
                <w14:textFill>
                  <w14:solidFill>
                    <w14:schemeClr w14:val="tx1"/>
                  </w14:solidFill>
                </w14:textFill>
              </w:rPr>
            </w:pPr>
          </w:p>
        </w:tc>
        <w:tc>
          <w:tcPr>
            <w:tcW w:w="720" w:type="dxa"/>
            <w:tcBorders>
              <w:top w:val="nil"/>
              <w:left w:val="nil"/>
              <w:bottom w:val="single" w:color="auto" w:sz="4" w:space="0"/>
              <w:right w:val="single" w:color="auto" w:sz="4" w:space="0"/>
            </w:tcBorders>
            <w:shd w:val="clear" w:color="auto" w:fill="auto"/>
            <w:vAlign w:val="center"/>
          </w:tcPr>
          <w:p w14:paraId="105CE7A8">
            <w:pPr>
              <w:pageBreakBefore w:val="0"/>
              <w:widowControl w:val="0"/>
              <w:kinsoku/>
              <w:wordWrap/>
              <w:overflowPunct/>
              <w:topLinePunct w:val="0"/>
              <w:autoSpaceDE/>
              <w:autoSpaceDN/>
              <w:bidi w:val="0"/>
              <w:adjustRightInd/>
              <w:snapToGrid/>
              <w:spacing w:line="360" w:lineRule="exact"/>
              <w:ind w:left="0" w:leftChars="0"/>
              <w:textAlignment w:val="auto"/>
              <w:rPr>
                <w:rFonts w:hint="default"/>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5分</w:t>
            </w:r>
          </w:p>
        </w:tc>
        <w:tc>
          <w:tcPr>
            <w:tcW w:w="7739" w:type="dxa"/>
            <w:tcBorders>
              <w:top w:val="single" w:color="auto" w:sz="4" w:space="0"/>
              <w:left w:val="nil"/>
              <w:bottom w:val="single" w:color="auto" w:sz="4" w:space="0"/>
              <w:right w:val="single" w:color="auto" w:sz="4" w:space="0"/>
            </w:tcBorders>
            <w:shd w:val="clear" w:color="auto" w:fill="auto"/>
            <w:vAlign w:val="center"/>
          </w:tcPr>
          <w:p w14:paraId="4A1CD123">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有药物/医疗器械临床试验质量管理规范与伦理审查培训证书</w:t>
            </w:r>
            <w:r>
              <w:rPr>
                <w:rFonts w:hint="eastAsia" w:ascii="宋体" w:hAnsi="宋体" w:cs="宋体"/>
                <w:color w:val="000000" w:themeColor="text1"/>
                <w:sz w:val="21"/>
                <w:szCs w:val="21"/>
                <w:lang w:val="en-US" w:eastAsia="zh-CN"/>
                <w14:textFill>
                  <w14:solidFill>
                    <w14:schemeClr w14:val="tx1"/>
                  </w14:solidFill>
                </w14:textFill>
              </w:rPr>
              <w:t>1名的计5分</w:t>
            </w:r>
            <w:r>
              <w:rPr>
                <w:rFonts w:hint="eastAsia" w:ascii="宋体" w:hAnsi="宋体" w:cs="宋体"/>
                <w:color w:val="000000" w:themeColor="text1"/>
                <w:sz w:val="21"/>
                <w:szCs w:val="21"/>
                <w:lang w:val="en-US"/>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没有提供者计0分</w:t>
            </w:r>
            <w:r>
              <w:rPr>
                <w:rFonts w:hint="eastAsia" w:ascii="宋体" w:hAnsi="宋体" w:cs="宋体"/>
                <w:color w:val="000000" w:themeColor="text1"/>
                <w:sz w:val="21"/>
                <w:szCs w:val="21"/>
                <w:lang w:val="en-US"/>
                <w14:textFill>
                  <w14:solidFill>
                    <w14:schemeClr w14:val="tx1"/>
                  </w14:solidFill>
                </w14:textFill>
              </w:rPr>
              <w:t>。</w:t>
            </w:r>
          </w:p>
          <w:p w14:paraId="02335132">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eastAsia" w:ascii="宋体" w:hAnsi="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需提供证书复印件及投标人为持证者购买社保缴纳证明，没有提供的计0分。</w:t>
            </w:r>
          </w:p>
        </w:tc>
      </w:tr>
      <w:tr w14:paraId="6430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1555" w:type="dxa"/>
            <w:vMerge w:val="continue"/>
            <w:tcBorders>
              <w:left w:val="single" w:color="auto" w:sz="12" w:space="0"/>
              <w:right w:val="single" w:color="auto" w:sz="4" w:space="0"/>
            </w:tcBorders>
            <w:shd w:val="clear" w:color="auto" w:fill="auto"/>
            <w:vAlign w:val="center"/>
          </w:tcPr>
          <w:p w14:paraId="63D2023F">
            <w:pPr>
              <w:pageBreakBefore w:val="0"/>
              <w:widowControl w:val="0"/>
              <w:kinsoku/>
              <w:wordWrap/>
              <w:overflowPunct/>
              <w:topLinePunct w:val="0"/>
              <w:autoSpaceDE/>
              <w:autoSpaceDN/>
              <w:bidi w:val="0"/>
              <w:adjustRightInd/>
              <w:snapToGrid/>
              <w:spacing w:line="360" w:lineRule="exact"/>
              <w:ind w:left="0" w:leftChars="0"/>
              <w:textAlignment w:val="auto"/>
              <w:rPr>
                <w:color w:val="000000" w:themeColor="text1"/>
                <w:sz w:val="20"/>
                <w14:textFill>
                  <w14:solidFill>
                    <w14:schemeClr w14:val="tx1"/>
                  </w14:solidFill>
                </w14:textFill>
              </w:rPr>
            </w:pPr>
          </w:p>
        </w:tc>
        <w:tc>
          <w:tcPr>
            <w:tcW w:w="720" w:type="dxa"/>
            <w:tcBorders>
              <w:top w:val="single" w:color="auto" w:sz="4" w:space="0"/>
              <w:left w:val="nil"/>
              <w:bottom w:val="single" w:color="auto" w:sz="4" w:space="0"/>
              <w:right w:val="single" w:color="auto" w:sz="4" w:space="0"/>
            </w:tcBorders>
            <w:shd w:val="clear" w:color="auto" w:fill="auto"/>
            <w:vAlign w:val="center"/>
          </w:tcPr>
          <w:p w14:paraId="1F39FC31">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ascii="宋体" w:hAnsi="宋体" w:cs="宋体"/>
                <w:color w:val="000000" w:themeColor="text1"/>
                <w:sz w:val="21"/>
                <w:szCs w:val="21"/>
                <w14:textFill>
                  <w14:solidFill>
                    <w14:schemeClr w14:val="tx1"/>
                  </w14:solidFill>
                </w14:textFill>
              </w:rPr>
            </w:pPr>
            <w:r>
              <w:rPr>
                <w:rFonts w:hint="default" w:ascii="宋体" w:hAnsi="宋体" w:cs="宋体"/>
                <w:color w:val="000000" w:themeColor="text1"/>
                <w:sz w:val="21"/>
                <w:szCs w:val="21"/>
                <w:lang w:val="en-US"/>
                <w14:textFill>
                  <w14:solidFill>
                    <w14:schemeClr w14:val="tx1"/>
                  </w14:solidFill>
                </w14:textFill>
              </w:rPr>
              <w:t>1</w:t>
            </w:r>
            <w:r>
              <w:rPr>
                <w:rFonts w:hint="eastAsia" w:ascii="宋体" w:hAnsi="宋体" w:cs="宋体"/>
                <w:color w:val="000000" w:themeColor="text1"/>
                <w:sz w:val="21"/>
                <w:szCs w:val="21"/>
                <w:lang w:val="en-US" w:eastAsia="zh-CN"/>
                <w14:textFill>
                  <w14:solidFill>
                    <w14:schemeClr w14:val="tx1"/>
                  </w14:solidFill>
                </w14:textFill>
              </w:rPr>
              <w:t>0</w:t>
            </w:r>
            <w:r>
              <w:rPr>
                <w:rFonts w:hint="eastAsia" w:ascii="宋体" w:hAnsi="宋体" w:cs="宋体"/>
                <w:color w:val="000000" w:themeColor="text1"/>
                <w:sz w:val="21"/>
                <w:szCs w:val="21"/>
                <w14:textFill>
                  <w14:solidFill>
                    <w14:schemeClr w14:val="tx1"/>
                  </w14:solidFill>
                </w14:textFill>
              </w:rPr>
              <w:t>分</w:t>
            </w:r>
          </w:p>
        </w:tc>
        <w:tc>
          <w:tcPr>
            <w:tcW w:w="7739" w:type="dxa"/>
            <w:tcBorders>
              <w:top w:val="single" w:color="auto" w:sz="4" w:space="0"/>
              <w:left w:val="nil"/>
              <w:bottom w:val="single" w:color="auto" w:sz="4" w:space="0"/>
              <w:right w:val="single" w:color="auto" w:sz="4" w:space="0"/>
            </w:tcBorders>
            <w:shd w:val="clear" w:color="auto" w:fill="auto"/>
            <w:vAlign w:val="center"/>
          </w:tcPr>
          <w:p w14:paraId="67AC430E">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14:textFill>
                  <w14:solidFill>
                    <w14:schemeClr w14:val="tx1"/>
                  </w14:solidFill>
                </w14:textFill>
              </w:rPr>
              <w:t>具有</w:t>
            </w:r>
            <w:r>
              <w:rPr>
                <w:rFonts w:hint="eastAsia" w:ascii="宋体" w:hAnsi="宋体" w:cs="宋体"/>
                <w:color w:val="000000" w:themeColor="text1"/>
                <w:sz w:val="21"/>
                <w:szCs w:val="21"/>
                <w:lang w:val="en-US" w:eastAsia="zh-CN"/>
                <w14:textFill>
                  <w14:solidFill>
                    <w14:schemeClr w14:val="tx1"/>
                  </w14:solidFill>
                </w14:textFill>
              </w:rPr>
              <w:t>助听器</w:t>
            </w:r>
            <w:r>
              <w:rPr>
                <w:rFonts w:hint="eastAsia" w:ascii="宋体" w:hAnsi="宋体" w:cs="宋体"/>
                <w:color w:val="000000" w:themeColor="text1"/>
                <w:sz w:val="21"/>
                <w:szCs w:val="21"/>
                <w:lang w:val="en-US"/>
                <w14:textFill>
                  <w14:solidFill>
                    <w14:schemeClr w14:val="tx1"/>
                  </w14:solidFill>
                </w14:textFill>
              </w:rPr>
              <w:t>产品配送商权限</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提供产品授权书</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投标公司需保证所有经验产品符合国家相关生产</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销售标准</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质量安全保证</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营业执照</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经营许可证</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注册证</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检验报告</w:t>
            </w:r>
            <w:r>
              <w:rPr>
                <w:rFonts w:hint="default"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14:textFill>
                  <w14:solidFill>
                    <w14:schemeClr w14:val="tx1"/>
                  </w14:solidFill>
                </w14:textFill>
              </w:rPr>
              <w:t>质保协议</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 xml:space="preserve">少一项扣2分。 </w:t>
            </w:r>
          </w:p>
        </w:tc>
      </w:tr>
      <w:tr w14:paraId="20CD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0" w:hRule="atLeast"/>
          <w:jc w:val="center"/>
        </w:trPr>
        <w:tc>
          <w:tcPr>
            <w:tcW w:w="1555" w:type="dxa"/>
            <w:tcBorders>
              <w:top w:val="single" w:color="auto" w:sz="4" w:space="0"/>
              <w:left w:val="single" w:color="auto" w:sz="12" w:space="0"/>
              <w:right w:val="single" w:color="auto" w:sz="4" w:space="0"/>
            </w:tcBorders>
            <w:shd w:val="clear" w:color="auto" w:fill="auto"/>
            <w:vAlign w:val="center"/>
          </w:tcPr>
          <w:p w14:paraId="7C76CD1A">
            <w:pPr>
              <w:pStyle w:val="13"/>
              <w:keepNext/>
              <w:keepLines/>
              <w:pageBreakBefore w:val="0"/>
              <w:widowControl w:val="0"/>
              <w:kinsoku/>
              <w:wordWrap/>
              <w:overflowPunct/>
              <w:topLinePunct w:val="0"/>
              <w:autoSpaceDE/>
              <w:autoSpaceDN/>
              <w:bidi w:val="0"/>
              <w:adjustRightInd/>
              <w:snapToGrid/>
              <w:spacing w:line="360" w:lineRule="exact"/>
              <w:ind w:left="0" w:leftChars="0"/>
              <w:textAlignment w:val="auto"/>
              <w:outlineLvl w:val="8"/>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公益岗位服务</w:t>
            </w:r>
          </w:p>
        </w:tc>
        <w:tc>
          <w:tcPr>
            <w:tcW w:w="720" w:type="dxa"/>
            <w:tcBorders>
              <w:top w:val="single" w:color="auto" w:sz="4" w:space="0"/>
              <w:left w:val="nil"/>
              <w:right w:val="single" w:color="auto" w:sz="4" w:space="0"/>
            </w:tcBorders>
            <w:shd w:val="clear" w:color="auto" w:fill="auto"/>
            <w:vAlign w:val="center"/>
          </w:tcPr>
          <w:p w14:paraId="728CD025">
            <w:pPr>
              <w:pStyle w:val="13"/>
              <w:keepNext/>
              <w:keepLines/>
              <w:pageBreakBefore w:val="0"/>
              <w:widowControl w:val="0"/>
              <w:kinsoku/>
              <w:wordWrap/>
              <w:overflowPunct/>
              <w:topLinePunct w:val="0"/>
              <w:autoSpaceDE/>
              <w:autoSpaceDN/>
              <w:bidi w:val="0"/>
              <w:adjustRightInd/>
              <w:snapToGrid/>
              <w:spacing w:line="360" w:lineRule="exact"/>
              <w:ind w:left="0" w:leftChars="0"/>
              <w:jc w:val="both"/>
              <w:textAlignment w:val="auto"/>
              <w:outlineLvl w:val="8"/>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30分</w:t>
            </w:r>
          </w:p>
          <w:p w14:paraId="6D54F424">
            <w:pPr>
              <w:pStyle w:val="13"/>
              <w:keepNext/>
              <w:keepLines/>
              <w:pageBreakBefore w:val="0"/>
              <w:widowControl w:val="0"/>
              <w:kinsoku/>
              <w:wordWrap/>
              <w:overflowPunct/>
              <w:topLinePunct w:val="0"/>
              <w:autoSpaceDE/>
              <w:autoSpaceDN/>
              <w:bidi w:val="0"/>
              <w:adjustRightInd/>
              <w:snapToGrid/>
              <w:spacing w:line="360" w:lineRule="exact"/>
              <w:ind w:left="0" w:leftChars="0"/>
              <w:jc w:val="center"/>
              <w:textAlignment w:val="auto"/>
              <w:outlineLvl w:val="8"/>
              <w:rPr>
                <w:rFonts w:ascii="宋体" w:hAnsi="宋体" w:cs="宋体"/>
                <w:color w:val="000000" w:themeColor="text1"/>
                <w:sz w:val="21"/>
                <w:szCs w:val="21"/>
                <w14:textFill>
                  <w14:solidFill>
                    <w14:schemeClr w14:val="tx1"/>
                  </w14:solidFill>
                </w14:textFill>
              </w:rPr>
            </w:pPr>
          </w:p>
        </w:tc>
        <w:tc>
          <w:tcPr>
            <w:tcW w:w="7739" w:type="dxa"/>
            <w:tcBorders>
              <w:top w:val="single" w:color="auto" w:sz="4" w:space="0"/>
              <w:left w:val="nil"/>
              <w:right w:val="single" w:color="auto" w:sz="4" w:space="0"/>
            </w:tcBorders>
            <w:shd w:val="clear" w:color="auto" w:fill="auto"/>
            <w:vAlign w:val="center"/>
          </w:tcPr>
          <w:p w14:paraId="3A0FB41C">
            <w:pPr>
              <w:jc w:val="left"/>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eastAsiaTheme="minorEastAsia"/>
                <w:color w:val="000000" w:themeColor="text1"/>
                <w:kern w:val="2"/>
                <w:sz w:val="21"/>
                <w:szCs w:val="21"/>
                <w:lang w:val="en-US" w:eastAsia="zh-CN" w:bidi="ar-SA"/>
                <w14:textFill>
                  <w14:solidFill>
                    <w14:schemeClr w14:val="tx1"/>
                  </w14:solidFill>
                </w14:textFill>
              </w:rPr>
              <w:t>供应商根据采购人具体要求，向采购人提供至少</w:t>
            </w:r>
            <w:r>
              <w:rPr>
                <w:rFonts w:hint="eastAsia" w:ascii="宋体" w:hAnsi="宋体" w:cs="宋体"/>
                <w:color w:val="000000" w:themeColor="text1"/>
                <w:kern w:val="2"/>
                <w:sz w:val="21"/>
                <w:szCs w:val="21"/>
                <w:lang w:val="en-US" w:eastAsia="zh-CN" w:bidi="ar-SA"/>
                <w14:textFill>
                  <w14:solidFill>
                    <w14:schemeClr w14:val="tx1"/>
                  </w14:solidFill>
                </w14:textFill>
              </w:rPr>
              <w:t>2个</w:t>
            </w:r>
            <w:r>
              <w:rPr>
                <w:rFonts w:hint="eastAsia" w:ascii="宋体" w:hAnsi="宋体" w:cs="宋体" w:eastAsiaTheme="minorEastAsia"/>
                <w:color w:val="000000" w:themeColor="text1"/>
                <w:kern w:val="2"/>
                <w:sz w:val="21"/>
                <w:szCs w:val="21"/>
                <w:lang w:val="en-US" w:eastAsia="zh-CN" w:bidi="ar-SA"/>
                <w14:textFill>
                  <w14:solidFill>
                    <w14:schemeClr w14:val="tx1"/>
                  </w14:solidFill>
                </w14:textFill>
              </w:rPr>
              <w:t>公益岗位供采购人使用，满足条件的计</w:t>
            </w:r>
            <w:r>
              <w:rPr>
                <w:rFonts w:hint="eastAsia" w:ascii="宋体" w:hAnsi="宋体" w:cs="宋体"/>
                <w:color w:val="000000" w:themeColor="text1"/>
                <w:kern w:val="2"/>
                <w:sz w:val="21"/>
                <w:szCs w:val="21"/>
                <w:lang w:val="en-US" w:eastAsia="zh-CN" w:bidi="ar-SA"/>
                <w14:textFill>
                  <w14:solidFill>
                    <w14:schemeClr w14:val="tx1"/>
                  </w14:solidFill>
                </w14:textFill>
              </w:rPr>
              <w:t>10</w:t>
            </w:r>
            <w:r>
              <w:rPr>
                <w:rFonts w:hint="eastAsia" w:ascii="宋体" w:hAnsi="宋体" w:cs="宋体" w:eastAsiaTheme="minorEastAsia"/>
                <w:color w:val="000000" w:themeColor="text1"/>
                <w:kern w:val="2"/>
                <w:sz w:val="21"/>
                <w:szCs w:val="21"/>
                <w:lang w:val="en-US" w:eastAsia="zh-CN" w:bidi="ar-SA"/>
                <w14:textFill>
                  <w14:solidFill>
                    <w14:schemeClr w14:val="tx1"/>
                  </w14:solidFill>
                </w14:textFill>
              </w:rPr>
              <w:t>分，在此基础上每多提供1</w:t>
            </w:r>
            <w:r>
              <w:rPr>
                <w:rFonts w:hint="eastAsia" w:ascii="宋体" w:hAnsi="宋体" w:cs="宋体"/>
                <w:color w:val="000000" w:themeColor="text1"/>
                <w:kern w:val="2"/>
                <w:sz w:val="21"/>
                <w:szCs w:val="21"/>
                <w:lang w:val="en-US" w:eastAsia="zh-CN" w:bidi="ar-SA"/>
                <w14:textFill>
                  <w14:solidFill>
                    <w14:schemeClr w14:val="tx1"/>
                  </w14:solidFill>
                </w14:textFill>
              </w:rPr>
              <w:t>个</w:t>
            </w:r>
            <w:r>
              <w:rPr>
                <w:rFonts w:hint="eastAsia" w:ascii="宋体" w:hAnsi="宋体" w:cs="宋体" w:eastAsiaTheme="minorEastAsia"/>
                <w:color w:val="000000" w:themeColor="text1"/>
                <w:kern w:val="2"/>
                <w:sz w:val="21"/>
                <w:szCs w:val="21"/>
                <w:lang w:val="en-US" w:eastAsia="zh-CN" w:bidi="ar-SA"/>
                <w14:textFill>
                  <w14:solidFill>
                    <w14:schemeClr w14:val="tx1"/>
                  </w14:solidFill>
                </w14:textFill>
              </w:rPr>
              <w:t>计</w:t>
            </w:r>
            <w:r>
              <w:rPr>
                <w:rFonts w:hint="eastAsia" w:ascii="宋体" w:hAnsi="宋体" w:cs="宋体"/>
                <w:color w:val="000000" w:themeColor="text1"/>
                <w:kern w:val="2"/>
                <w:sz w:val="21"/>
                <w:szCs w:val="21"/>
                <w:lang w:val="en-US" w:eastAsia="zh-CN" w:bidi="ar-SA"/>
                <w14:textFill>
                  <w14:solidFill>
                    <w14:schemeClr w14:val="tx1"/>
                  </w14:solidFill>
                </w14:textFill>
              </w:rPr>
              <w:t>5</w:t>
            </w:r>
            <w:r>
              <w:rPr>
                <w:rFonts w:hint="eastAsia" w:ascii="宋体" w:hAnsi="宋体" w:cs="宋体" w:eastAsiaTheme="minorEastAsia"/>
                <w:color w:val="000000" w:themeColor="text1"/>
                <w:kern w:val="2"/>
                <w:sz w:val="21"/>
                <w:szCs w:val="21"/>
                <w:lang w:val="en-US" w:eastAsia="zh-CN" w:bidi="ar-SA"/>
                <w14:textFill>
                  <w14:solidFill>
                    <w14:schemeClr w14:val="tx1"/>
                  </w14:solidFill>
                </w14:textFill>
              </w:rPr>
              <w:t>分，计满30分为止。</w:t>
            </w:r>
          </w:p>
        </w:tc>
      </w:tr>
    </w:tbl>
    <w:p w14:paraId="2A7A5788">
      <w:pPr>
        <w:jc w:val="center"/>
        <w:rPr>
          <w:rFonts w:hint="eastAsia" w:ascii="仿宋" w:hAnsi="仿宋" w:eastAsia="仿宋" w:cs="仿宋"/>
          <w:sz w:val="24"/>
          <w:szCs w:val="24"/>
        </w:rPr>
      </w:pPr>
    </w:p>
    <w:p w14:paraId="3D5284D7">
      <w:pPr>
        <w:jc w:val="center"/>
        <w:rPr>
          <w:rFonts w:hint="eastAsia" w:ascii="仿宋" w:hAnsi="仿宋" w:eastAsia="仿宋" w:cs="仿宋"/>
          <w:sz w:val="24"/>
          <w:szCs w:val="24"/>
        </w:rPr>
      </w:pPr>
    </w:p>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5294AC11">
      <w:pPr>
        <w:jc w:val="center"/>
        <w:rPr>
          <w:rFonts w:hint="eastAsia" w:ascii="仿宋" w:hAnsi="仿宋" w:eastAsia="仿宋" w:cs="仿宋"/>
          <w:sz w:val="24"/>
          <w:szCs w:val="24"/>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default" w:eastAsia="宋体"/>
          <w:b/>
          <w:color w:val="auto"/>
          <w:sz w:val="24"/>
          <w:lang w:val="en-US" w:eastAsia="zh-CN"/>
        </w:rPr>
      </w:pPr>
      <w:r>
        <w:rPr>
          <w:rFonts w:hint="eastAsia"/>
          <w:b/>
          <w:color w:val="auto"/>
          <w:sz w:val="24"/>
          <w:lang w:eastAsia="zh-CN"/>
        </w:rPr>
        <w:t>注：此项内容需包含投标</w:t>
      </w:r>
      <w:r>
        <w:rPr>
          <w:rFonts w:hint="eastAsia" w:ascii="Times New Roman" w:hAnsi="Times New Roman" w:eastAsia="宋体" w:cs="Times New Roman"/>
          <w:b/>
          <w:color w:val="auto"/>
          <w:sz w:val="24"/>
          <w:lang w:val="en-US" w:eastAsia="zh-CN"/>
        </w:rPr>
        <w:t>公益岗位服务相关内容</w:t>
      </w:r>
    </w:p>
    <w:p w14:paraId="75BF73B1">
      <w:pPr>
        <w:pStyle w:val="23"/>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22"/>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2315B2F5">
      <w:pPr>
        <w:pStyle w:val="22"/>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23"/>
        <w:rPr>
          <w:color w:val="auto"/>
        </w:rPr>
      </w:pPr>
    </w:p>
    <w:p w14:paraId="45DD946D">
      <w:pPr>
        <w:pStyle w:val="22"/>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2271D"/>
    <w:rsid w:val="02390242"/>
    <w:rsid w:val="025934DA"/>
    <w:rsid w:val="02E75D9A"/>
    <w:rsid w:val="03E43FAE"/>
    <w:rsid w:val="04653F41"/>
    <w:rsid w:val="048850CC"/>
    <w:rsid w:val="04B72FC8"/>
    <w:rsid w:val="04F57A38"/>
    <w:rsid w:val="050719CA"/>
    <w:rsid w:val="0537187E"/>
    <w:rsid w:val="05A10F52"/>
    <w:rsid w:val="06934BAA"/>
    <w:rsid w:val="06E91EC4"/>
    <w:rsid w:val="0714138F"/>
    <w:rsid w:val="072C3CBA"/>
    <w:rsid w:val="07415BA6"/>
    <w:rsid w:val="07583825"/>
    <w:rsid w:val="086F75C9"/>
    <w:rsid w:val="09C0303A"/>
    <w:rsid w:val="0A0279B0"/>
    <w:rsid w:val="0A3F4F3C"/>
    <w:rsid w:val="0A510573"/>
    <w:rsid w:val="0A6D3244"/>
    <w:rsid w:val="0A8A74D4"/>
    <w:rsid w:val="0B29404E"/>
    <w:rsid w:val="0CAD77BD"/>
    <w:rsid w:val="0D330BC5"/>
    <w:rsid w:val="0DA85805"/>
    <w:rsid w:val="0E331420"/>
    <w:rsid w:val="0EDD1643"/>
    <w:rsid w:val="0FB9029C"/>
    <w:rsid w:val="10897B23"/>
    <w:rsid w:val="10914EF9"/>
    <w:rsid w:val="10B8663C"/>
    <w:rsid w:val="11627514"/>
    <w:rsid w:val="12080B62"/>
    <w:rsid w:val="124635BB"/>
    <w:rsid w:val="12994AC5"/>
    <w:rsid w:val="129F447F"/>
    <w:rsid w:val="12C86253"/>
    <w:rsid w:val="1424680F"/>
    <w:rsid w:val="143947E8"/>
    <w:rsid w:val="14E40477"/>
    <w:rsid w:val="15060AC8"/>
    <w:rsid w:val="15125EAE"/>
    <w:rsid w:val="15675A4C"/>
    <w:rsid w:val="15C339EE"/>
    <w:rsid w:val="17F91BB8"/>
    <w:rsid w:val="17FF6068"/>
    <w:rsid w:val="193E7D91"/>
    <w:rsid w:val="1943608F"/>
    <w:rsid w:val="197D5C29"/>
    <w:rsid w:val="19C171E1"/>
    <w:rsid w:val="19E40286"/>
    <w:rsid w:val="19E91315"/>
    <w:rsid w:val="1AF56B46"/>
    <w:rsid w:val="1B7D2735"/>
    <w:rsid w:val="1C795D39"/>
    <w:rsid w:val="1C995471"/>
    <w:rsid w:val="1CDB42B8"/>
    <w:rsid w:val="1CE412C7"/>
    <w:rsid w:val="1D5071B5"/>
    <w:rsid w:val="1DD7486D"/>
    <w:rsid w:val="1E3B408F"/>
    <w:rsid w:val="1E79119D"/>
    <w:rsid w:val="1EE2244B"/>
    <w:rsid w:val="1F334F58"/>
    <w:rsid w:val="1F796B24"/>
    <w:rsid w:val="1FC602A8"/>
    <w:rsid w:val="1FE73549"/>
    <w:rsid w:val="2038045E"/>
    <w:rsid w:val="20AF0900"/>
    <w:rsid w:val="20B41DA7"/>
    <w:rsid w:val="21C61C7A"/>
    <w:rsid w:val="237801C2"/>
    <w:rsid w:val="2383771E"/>
    <w:rsid w:val="23F374DB"/>
    <w:rsid w:val="24881A32"/>
    <w:rsid w:val="25266F96"/>
    <w:rsid w:val="267547DF"/>
    <w:rsid w:val="272B6E6C"/>
    <w:rsid w:val="2750680E"/>
    <w:rsid w:val="27CF2BB7"/>
    <w:rsid w:val="28461700"/>
    <w:rsid w:val="28E81B29"/>
    <w:rsid w:val="28FD390A"/>
    <w:rsid w:val="29266E1A"/>
    <w:rsid w:val="29B45A41"/>
    <w:rsid w:val="2A174DA9"/>
    <w:rsid w:val="2AB010A8"/>
    <w:rsid w:val="2AC66F99"/>
    <w:rsid w:val="2C0A2E19"/>
    <w:rsid w:val="2C7642D0"/>
    <w:rsid w:val="2C831DD6"/>
    <w:rsid w:val="2C8E2219"/>
    <w:rsid w:val="2CC97A35"/>
    <w:rsid w:val="2CDC672B"/>
    <w:rsid w:val="2DD77C64"/>
    <w:rsid w:val="2DDA1E78"/>
    <w:rsid w:val="2DE00B8C"/>
    <w:rsid w:val="2EAC037F"/>
    <w:rsid w:val="2EB67A5C"/>
    <w:rsid w:val="2F2148C9"/>
    <w:rsid w:val="2F6B4CBF"/>
    <w:rsid w:val="302741D2"/>
    <w:rsid w:val="308B184D"/>
    <w:rsid w:val="309C1E01"/>
    <w:rsid w:val="30BB11DD"/>
    <w:rsid w:val="31F17CD1"/>
    <w:rsid w:val="324F4D43"/>
    <w:rsid w:val="332742E9"/>
    <w:rsid w:val="33384C93"/>
    <w:rsid w:val="340F06E9"/>
    <w:rsid w:val="34754AFE"/>
    <w:rsid w:val="34C12F54"/>
    <w:rsid w:val="361110A5"/>
    <w:rsid w:val="362C6900"/>
    <w:rsid w:val="366241E2"/>
    <w:rsid w:val="36B66AAC"/>
    <w:rsid w:val="36E47928"/>
    <w:rsid w:val="372F7378"/>
    <w:rsid w:val="37BA0809"/>
    <w:rsid w:val="38ED2343"/>
    <w:rsid w:val="38FF7404"/>
    <w:rsid w:val="39264AD8"/>
    <w:rsid w:val="395064D7"/>
    <w:rsid w:val="397348CD"/>
    <w:rsid w:val="3A315C04"/>
    <w:rsid w:val="3A8E0AB7"/>
    <w:rsid w:val="3A994AB7"/>
    <w:rsid w:val="3B3B544D"/>
    <w:rsid w:val="3B654F2B"/>
    <w:rsid w:val="3BB72BAE"/>
    <w:rsid w:val="3BBA2C40"/>
    <w:rsid w:val="3BFC7D2B"/>
    <w:rsid w:val="3C7C799C"/>
    <w:rsid w:val="3C8A61A4"/>
    <w:rsid w:val="3D5E17FF"/>
    <w:rsid w:val="3DF93413"/>
    <w:rsid w:val="3DFD1951"/>
    <w:rsid w:val="3E1F0DA4"/>
    <w:rsid w:val="3E584E51"/>
    <w:rsid w:val="3E6E70D5"/>
    <w:rsid w:val="3EBE1ADE"/>
    <w:rsid w:val="403B4B34"/>
    <w:rsid w:val="40B32632"/>
    <w:rsid w:val="4140452A"/>
    <w:rsid w:val="414D7889"/>
    <w:rsid w:val="41BB0BAE"/>
    <w:rsid w:val="425629F5"/>
    <w:rsid w:val="4284152B"/>
    <w:rsid w:val="429A4992"/>
    <w:rsid w:val="435B161D"/>
    <w:rsid w:val="43B25DAC"/>
    <w:rsid w:val="44771DFD"/>
    <w:rsid w:val="45D569C3"/>
    <w:rsid w:val="4791030F"/>
    <w:rsid w:val="479B74B7"/>
    <w:rsid w:val="48735221"/>
    <w:rsid w:val="48DB6397"/>
    <w:rsid w:val="497A0E45"/>
    <w:rsid w:val="49E92B05"/>
    <w:rsid w:val="4A354E62"/>
    <w:rsid w:val="4AEE1A11"/>
    <w:rsid w:val="4B237B3F"/>
    <w:rsid w:val="4B7F39F4"/>
    <w:rsid w:val="4BAE646F"/>
    <w:rsid w:val="4C2067C9"/>
    <w:rsid w:val="4C4D6AA3"/>
    <w:rsid w:val="4C7B27CD"/>
    <w:rsid w:val="4C957B70"/>
    <w:rsid w:val="4CAC1559"/>
    <w:rsid w:val="4D754257"/>
    <w:rsid w:val="4DCD6AB3"/>
    <w:rsid w:val="4EE7662F"/>
    <w:rsid w:val="4FBC1736"/>
    <w:rsid w:val="50152D26"/>
    <w:rsid w:val="50216DCD"/>
    <w:rsid w:val="50540C20"/>
    <w:rsid w:val="506258C6"/>
    <w:rsid w:val="50F173DA"/>
    <w:rsid w:val="51AC28BD"/>
    <w:rsid w:val="52183ACC"/>
    <w:rsid w:val="521E2A7F"/>
    <w:rsid w:val="53B55872"/>
    <w:rsid w:val="53F40027"/>
    <w:rsid w:val="54065CB8"/>
    <w:rsid w:val="544055F2"/>
    <w:rsid w:val="54930851"/>
    <w:rsid w:val="54AD4386"/>
    <w:rsid w:val="55875942"/>
    <w:rsid w:val="55D8243C"/>
    <w:rsid w:val="56551179"/>
    <w:rsid w:val="581A7C72"/>
    <w:rsid w:val="583A4BD7"/>
    <w:rsid w:val="59C02DAD"/>
    <w:rsid w:val="59C51B68"/>
    <w:rsid w:val="59C74B1F"/>
    <w:rsid w:val="5A886F59"/>
    <w:rsid w:val="5BEF7E34"/>
    <w:rsid w:val="5C702F0F"/>
    <w:rsid w:val="5DB23133"/>
    <w:rsid w:val="604D5946"/>
    <w:rsid w:val="611B6B1B"/>
    <w:rsid w:val="62C222C2"/>
    <w:rsid w:val="62C4189F"/>
    <w:rsid w:val="632D7C40"/>
    <w:rsid w:val="64133D6A"/>
    <w:rsid w:val="64245572"/>
    <w:rsid w:val="651E34F7"/>
    <w:rsid w:val="656E4858"/>
    <w:rsid w:val="659A6C2B"/>
    <w:rsid w:val="66C30AF5"/>
    <w:rsid w:val="672737CD"/>
    <w:rsid w:val="678E4F5D"/>
    <w:rsid w:val="67F3562A"/>
    <w:rsid w:val="680E122C"/>
    <w:rsid w:val="685B4601"/>
    <w:rsid w:val="69E01866"/>
    <w:rsid w:val="69EC3F9D"/>
    <w:rsid w:val="6A4E1D63"/>
    <w:rsid w:val="6AA026F2"/>
    <w:rsid w:val="6ACA059E"/>
    <w:rsid w:val="6B592423"/>
    <w:rsid w:val="6C486FE4"/>
    <w:rsid w:val="6CA409DF"/>
    <w:rsid w:val="6DE375E4"/>
    <w:rsid w:val="6E8E5287"/>
    <w:rsid w:val="6FAC3B48"/>
    <w:rsid w:val="6FAD463B"/>
    <w:rsid w:val="6FBE332C"/>
    <w:rsid w:val="70400D29"/>
    <w:rsid w:val="70CE0BC9"/>
    <w:rsid w:val="711F5E39"/>
    <w:rsid w:val="71554367"/>
    <w:rsid w:val="71584067"/>
    <w:rsid w:val="71F045F5"/>
    <w:rsid w:val="71F26E91"/>
    <w:rsid w:val="72931CE4"/>
    <w:rsid w:val="73323386"/>
    <w:rsid w:val="735201FF"/>
    <w:rsid w:val="73714961"/>
    <w:rsid w:val="737B50A4"/>
    <w:rsid w:val="739F2A08"/>
    <w:rsid w:val="73A975A4"/>
    <w:rsid w:val="73F40E72"/>
    <w:rsid w:val="74370FDC"/>
    <w:rsid w:val="74566F5C"/>
    <w:rsid w:val="750117A8"/>
    <w:rsid w:val="755B2270"/>
    <w:rsid w:val="75DD41B7"/>
    <w:rsid w:val="75E27514"/>
    <w:rsid w:val="7612420D"/>
    <w:rsid w:val="76920D75"/>
    <w:rsid w:val="76C47877"/>
    <w:rsid w:val="77423DFF"/>
    <w:rsid w:val="783B5EA9"/>
    <w:rsid w:val="79EB699D"/>
    <w:rsid w:val="79F871CC"/>
    <w:rsid w:val="7A2C650E"/>
    <w:rsid w:val="7AFF5E62"/>
    <w:rsid w:val="7B0620DE"/>
    <w:rsid w:val="7BBF44BB"/>
    <w:rsid w:val="7BF15CE4"/>
    <w:rsid w:val="7C2B0102"/>
    <w:rsid w:val="7C3A27E5"/>
    <w:rsid w:val="7C870DE2"/>
    <w:rsid w:val="7D7D537B"/>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paragraph" w:styleId="7">
    <w:name w:val="Body Text"/>
    <w:basedOn w:val="1"/>
    <w:next w:val="1"/>
    <w:qFormat/>
    <w:uiPriority w:val="0"/>
    <w:pPr>
      <w:spacing w:after="120"/>
    </w:p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next w:val="7"/>
    <w:qFormat/>
    <w:uiPriority w:val="0"/>
    <w:pPr>
      <w:spacing w:after="120" w:line="480" w:lineRule="auto"/>
    </w:pPr>
  </w:style>
  <w:style w:type="paragraph" w:styleId="13">
    <w:name w:val="Normal (Web)"/>
    <w:basedOn w:val="1"/>
    <w:qFormat/>
    <w:uiPriority w:val="0"/>
    <w:rPr>
      <w:sz w:val="24"/>
    </w:rPr>
  </w:style>
  <w:style w:type="paragraph" w:styleId="14">
    <w:name w:val="Body Text First Indent 2"/>
    <w:basedOn w:val="8"/>
    <w:qFormat/>
    <w:uiPriority w:val="0"/>
    <w:pPr>
      <w:overflowPunct w:val="0"/>
      <w:adjustRightInd w:val="0"/>
      <w:spacing w:line="500" w:lineRule="exact"/>
      <w:ind w:firstLine="420" w:firstLineChars="200"/>
      <w:textAlignment w:val="baseline"/>
    </w:pPr>
    <w:rPr>
      <w:rFonts w:eastAsia="仿宋_GB2312"/>
      <w:kern w:val="28"/>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20"/>
    <w:rPr>
      <w:i/>
    </w:rPr>
  </w:style>
  <w:style w:type="character" w:styleId="19">
    <w:name w:val="Hyperlink"/>
    <w:basedOn w:val="17"/>
    <w:qFormat/>
    <w:uiPriority w:val="0"/>
    <w:rPr>
      <w:color w:val="0000FF"/>
      <w:u w:val="single"/>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大标题"/>
    <w:basedOn w:val="1"/>
    <w:next w:val="14"/>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BodyText1I2"/>
    <w:basedOn w:val="26"/>
    <w:qFormat/>
    <w:uiPriority w:val="0"/>
    <w:pPr>
      <w:ind w:firstLine="420"/>
      <w:jc w:val="left"/>
    </w:pPr>
    <w:rPr>
      <w:rFonts w:ascii="Calibri" w:hAnsi="Calibri"/>
      <w:kern w:val="0"/>
    </w:rPr>
  </w:style>
  <w:style w:type="paragraph" w:customStyle="1" w:styleId="26">
    <w:name w:val="BodyTextIndent"/>
    <w:basedOn w:val="1"/>
    <w:qFormat/>
    <w:uiPriority w:val="0"/>
    <w:pPr>
      <w:spacing w:after="120"/>
      <w:ind w:left="420" w:leftChars="200"/>
    </w:pPr>
  </w:style>
  <w:style w:type="paragraph" w:customStyle="1" w:styleId="27">
    <w:name w:val="正文缩进4格"/>
    <w:basedOn w:val="28"/>
    <w:qFormat/>
    <w:uiPriority w:val="0"/>
    <w:pPr>
      <w:ind w:left="2" w:firstLine="538" w:firstLineChars="192"/>
    </w:pPr>
    <w:rPr>
      <w:color w:val="0000FF"/>
      <w:sz w:val="28"/>
    </w:rPr>
  </w:style>
  <w:style w:type="paragraph" w:customStyle="1" w:styleId="28">
    <w:name w:val="正文缩进2格"/>
    <w:basedOn w:val="1"/>
    <w:next w:val="1"/>
    <w:qFormat/>
    <w:uiPriority w:val="0"/>
    <w:pPr>
      <w:suppressAutoHyphens/>
      <w:spacing w:line="600" w:lineRule="exact"/>
      <w:ind w:firstLine="639"/>
    </w:pPr>
    <w:rPr>
      <w:rFonts w:ascii="Times New Roman" w:hAnsi="Times New Roman" w:eastAsia="宋体" w:cs="Times New Roman"/>
      <w:kern w:val="0"/>
      <w:sz w:val="20"/>
      <w:szCs w:val="20"/>
    </w:rPr>
  </w:style>
  <w:style w:type="paragraph" w:customStyle="1" w:styleId="29">
    <w:name w:val="Normal_8"/>
    <w:qFormat/>
    <w:uiPriority w:val="0"/>
    <w:pPr>
      <w:spacing w:after="160" w:line="278" w:lineRule="auto"/>
    </w:pPr>
    <w:rPr>
      <w:rFonts w:ascii="Times New Roman" w:hAnsi="Times New Roman" w:eastAsia="Times New Roman" w:cs="Times New Roman"/>
      <w:kern w:val="0"/>
      <w:sz w:val="24"/>
      <w:szCs w:val="24"/>
      <w:lang w:val="en-US" w:eastAsia="zh-CN" w:bidi="ar-SA"/>
    </w:rPr>
  </w:style>
  <w:style w:type="paragraph" w:customStyle="1" w:styleId="30">
    <w:name w:val="列出段落11"/>
    <w:basedOn w:val="1"/>
    <w:qFormat/>
    <w:uiPriority w:val="0"/>
    <w:pPr>
      <w:ind w:firstLine="420" w:firstLineChars="200"/>
    </w:pPr>
    <w:rPr>
      <w:rFonts w:ascii="Times New Roman" w:hAnsi="Times New Roman" w:eastAsia="宋体" w:cs="Times New Roman"/>
    </w:rPr>
  </w:style>
  <w:style w:type="table" w:customStyle="1" w:styleId="31">
    <w:name w:val="网格型1"/>
    <w:basedOn w:val="15"/>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5925</Words>
  <Characters>6155</Characters>
  <Lines>0</Lines>
  <Paragraphs>0</Paragraphs>
  <TotalTime>53</TotalTime>
  <ScaleCrop>false</ScaleCrop>
  <LinksUpToDate>false</LinksUpToDate>
  <CharactersWithSpaces>6217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2026-05-15T07:02:00Z</cp:lastPrinted>
  <dcterms:modified xsi:type="dcterms:W3CDTF">2026-07-24T00:20:36Z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