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6"/>
        <w:snapToGrid w:val="0"/>
        <w:jc w:val="center"/>
        <w:rPr>
          <w:rFonts w:hint="eastAsia" w:ascii="Arial" w:hAnsi="Arial" w:eastAsia="方正小标宋简体" w:cs="Arial"/>
          <w:color w:val="auto"/>
          <w:sz w:val="72"/>
          <w:szCs w:val="72"/>
          <w:lang w:eastAsia="zh-CN"/>
        </w:rPr>
      </w:pPr>
      <w:bookmarkStart w:id="0" w:name="_Toc16523570"/>
    </w:p>
    <w:p w14:paraId="624C34B6">
      <w:pPr>
        <w:pStyle w:val="6"/>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6"/>
        <w:snapToGrid w:val="0"/>
        <w:jc w:val="center"/>
        <w:rPr>
          <w:rFonts w:hint="eastAsia" w:ascii="Arial" w:hAnsi="Arial" w:eastAsia="方正小标宋简体" w:cs="Arial"/>
          <w:sz w:val="72"/>
          <w:szCs w:val="72"/>
        </w:rPr>
      </w:pPr>
    </w:p>
    <w:p w14:paraId="16E58BC0">
      <w:pPr>
        <w:pStyle w:val="6"/>
        <w:snapToGrid w:val="0"/>
        <w:jc w:val="center"/>
        <w:rPr>
          <w:rFonts w:hint="eastAsia" w:ascii="Arial" w:hAnsi="Arial" w:eastAsia="方正小标宋简体" w:cs="Arial"/>
          <w:sz w:val="72"/>
          <w:szCs w:val="72"/>
        </w:rPr>
      </w:pPr>
    </w:p>
    <w:p w14:paraId="7D3C3256">
      <w:pPr>
        <w:pStyle w:val="6"/>
        <w:snapToGrid w:val="0"/>
        <w:jc w:val="center"/>
        <w:rPr>
          <w:rFonts w:hint="eastAsia" w:ascii="Arial" w:hAnsi="Arial" w:eastAsia="方正小标宋简体" w:cs="Arial"/>
          <w:sz w:val="72"/>
          <w:szCs w:val="72"/>
        </w:rPr>
      </w:pPr>
    </w:p>
    <w:p w14:paraId="11608FC0">
      <w:pPr>
        <w:pStyle w:val="6"/>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6"/>
        <w:snapToGrid w:val="0"/>
        <w:jc w:val="center"/>
        <w:rPr>
          <w:rFonts w:ascii="Arial" w:hAnsi="Arial" w:cs="Arial"/>
          <w:sz w:val="32"/>
          <w:szCs w:val="32"/>
        </w:rPr>
      </w:pPr>
    </w:p>
    <w:p w14:paraId="46311545">
      <w:pPr>
        <w:pStyle w:val="16"/>
        <w:rPr>
          <w:rFonts w:ascii="Arial" w:hAnsi="Arial" w:cs="Arial"/>
          <w:sz w:val="32"/>
          <w:szCs w:val="32"/>
        </w:rPr>
      </w:pPr>
    </w:p>
    <w:p w14:paraId="5F00027D">
      <w:pPr>
        <w:pStyle w:val="12"/>
        <w:rPr>
          <w:rFonts w:ascii="Arial" w:hAnsi="Arial" w:cs="Arial"/>
          <w:sz w:val="32"/>
          <w:szCs w:val="32"/>
        </w:rPr>
      </w:pPr>
    </w:p>
    <w:p w14:paraId="790E99FE">
      <w:pPr>
        <w:pStyle w:val="12"/>
        <w:rPr>
          <w:rFonts w:ascii="Arial" w:hAnsi="Arial" w:cs="Arial"/>
          <w:sz w:val="32"/>
          <w:szCs w:val="32"/>
        </w:rPr>
      </w:pPr>
    </w:p>
    <w:p w14:paraId="6D6CF557">
      <w:pPr>
        <w:pStyle w:val="12"/>
        <w:rPr>
          <w:rFonts w:ascii="Arial" w:hAnsi="Arial" w:cs="Arial"/>
          <w:sz w:val="32"/>
          <w:szCs w:val="32"/>
        </w:rPr>
      </w:pPr>
    </w:p>
    <w:p w14:paraId="77BABE1C">
      <w:pPr>
        <w:pStyle w:val="12"/>
        <w:rPr>
          <w:rFonts w:ascii="Arial" w:hAnsi="Arial" w:cs="Arial"/>
          <w:sz w:val="32"/>
          <w:szCs w:val="32"/>
        </w:rPr>
      </w:pPr>
    </w:p>
    <w:p w14:paraId="1C0FB295">
      <w:pPr>
        <w:pStyle w:val="12"/>
        <w:rPr>
          <w:rFonts w:ascii="Arial" w:hAnsi="Arial" w:cs="Arial"/>
          <w:sz w:val="32"/>
          <w:szCs w:val="32"/>
        </w:rPr>
      </w:pPr>
    </w:p>
    <w:p w14:paraId="4C96CB97">
      <w:pPr>
        <w:pStyle w:val="12"/>
        <w:rPr>
          <w:rFonts w:ascii="Arial" w:hAnsi="Arial" w:cs="Arial"/>
          <w:sz w:val="32"/>
          <w:szCs w:val="32"/>
        </w:rPr>
      </w:pPr>
    </w:p>
    <w:p w14:paraId="1825AAC5">
      <w:pPr>
        <w:pStyle w:val="12"/>
        <w:rPr>
          <w:rFonts w:ascii="Arial" w:hAnsi="Arial" w:cs="Arial"/>
          <w:sz w:val="32"/>
          <w:szCs w:val="32"/>
        </w:rPr>
      </w:pPr>
    </w:p>
    <w:p w14:paraId="1B92FFA5">
      <w:pPr>
        <w:pStyle w:val="6"/>
        <w:snapToGrid w:val="0"/>
        <w:jc w:val="center"/>
        <w:rPr>
          <w:rFonts w:ascii="Arial" w:hAnsi="Arial" w:cs="Arial"/>
          <w:sz w:val="32"/>
          <w:szCs w:val="32"/>
        </w:rPr>
      </w:pPr>
    </w:p>
    <w:p w14:paraId="3EB4A47A">
      <w:pPr>
        <w:pStyle w:val="6"/>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[生物刺激反馈仪（神经肌肉治疗仪）+生物刺激反馈仪（脉管平滑肌刺激治疗仪）医院公开挂网]</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六</w:t>
      </w:r>
      <w:r>
        <w:rPr>
          <w:rFonts w:hint="eastAsia" w:ascii="宋体" w:hAnsi="宋体" w:cs="宋体"/>
          <w:bCs/>
          <w:sz w:val="32"/>
          <w:szCs w:val="32"/>
        </w:rPr>
        <w:t>年</w:t>
      </w:r>
      <w:r>
        <w:rPr>
          <w:rFonts w:hint="eastAsia" w:ascii="宋体" w:hAnsi="宋体" w:cs="宋体"/>
          <w:bCs/>
          <w:sz w:val="32"/>
          <w:szCs w:val="32"/>
          <w:lang w:eastAsia="zh-CN"/>
        </w:rPr>
        <w:t>八</w:t>
      </w:r>
      <w:r>
        <w:rPr>
          <w:rFonts w:hint="eastAsia" w:ascii="宋体" w:hAnsi="宋体" w:cs="宋体"/>
          <w:bCs/>
          <w:sz w:val="32"/>
          <w:szCs w:val="32"/>
        </w:rPr>
        <w:t>月</w:t>
      </w:r>
    </w:p>
    <w:p w14:paraId="4F5472A4">
      <w:pPr>
        <w:pStyle w:val="2"/>
        <w:numPr>
          <w:ilvl w:val="0"/>
          <w:numId w:val="0"/>
        </w:numPr>
        <w:spacing w:line="240" w:lineRule="auto"/>
        <w:ind w:leftChars="0"/>
        <w:jc w:val="center"/>
        <w:rPr>
          <w:rFonts w:hint="eastAsia" w:ascii="宋体" w:hAnsi="宋体" w:cs="宋体"/>
          <w:color w:val="auto"/>
          <w:sz w:val="44"/>
          <w:szCs w:val="44"/>
          <w:lang w:val="en-US" w:eastAsia="zh-CN"/>
        </w:rPr>
      </w:pP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生物刺激反馈仪（神经肌肉治疗仪）+生物刺激反馈仪（脉管平滑肌刺激治疗仪）</w:t>
      </w:r>
      <w:r>
        <w:rPr>
          <w:rFonts w:hint="eastAsia" w:asciiTheme="minorEastAsia" w:hAnsiTheme="minorEastAsia" w:eastAsiaTheme="minorEastAsia" w:cstheme="minorEastAsia"/>
          <w:bCs/>
          <w:color w:val="auto"/>
          <w:sz w:val="24"/>
          <w:szCs w:val="24"/>
          <w:u w:val="none"/>
          <w:lang w:val="en-US" w:eastAsia="zh-CN"/>
        </w:rPr>
        <w:t>项目</w:t>
      </w:r>
      <w:r>
        <w:rPr>
          <w:rFonts w:hint="eastAsia" w:asciiTheme="minorEastAsia" w:hAnsiTheme="minorEastAsia" w:eastAsiaTheme="minorEastAsia" w:cstheme="minorEastAsia"/>
          <w:bCs/>
          <w:color w:val="auto"/>
          <w:sz w:val="24"/>
          <w:szCs w:val="24"/>
          <w:lang w:val="en-US" w:eastAsia="zh-CN"/>
        </w:rPr>
        <w:t>进行医院公开挂网，将事项公告如下：</w:t>
      </w:r>
    </w:p>
    <w:p w14:paraId="435321EC">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 w:val="0"/>
          <w:bCs/>
          <w:color w:val="auto"/>
          <w:sz w:val="24"/>
          <w:szCs w:val="24"/>
          <w:u w:val="single"/>
          <w:lang w:val="en-US" w:eastAsia="zh-CN"/>
        </w:rPr>
        <w:t>生物刺激反馈仪（神经肌肉治疗仪）+生物刺激反馈仪（脉管平滑肌刺激治疗仪）</w:t>
      </w:r>
      <w:r>
        <w:rPr>
          <w:rFonts w:hint="eastAsia" w:asciiTheme="minorEastAsia" w:hAnsiTheme="minorEastAsia" w:eastAsiaTheme="minorEastAsia" w:cstheme="minorEastAsia"/>
          <w:b w:val="0"/>
          <w:bCs/>
          <w:color w:val="auto"/>
          <w:sz w:val="24"/>
          <w:szCs w:val="24"/>
          <w:lang w:val="en-US" w:eastAsia="zh-CN"/>
        </w:rPr>
        <w:t>项目</w:t>
      </w:r>
    </w:p>
    <w:p w14:paraId="0AC8FEC7">
      <w:pPr>
        <w:pStyle w:val="6"/>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bookmarkEnd w:id="0"/>
    <w:p w14:paraId="76DBA799">
      <w:pPr>
        <w:pStyle w:val="6"/>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医院公开挂网</w:t>
      </w:r>
      <w:r>
        <w:rPr>
          <w:rFonts w:hint="eastAsia" w:asciiTheme="minorEastAsia" w:hAnsiTheme="minorEastAsia" w:eastAsiaTheme="minorEastAsia" w:cstheme="minorEastAsia"/>
          <w:bCs/>
          <w:color w:val="auto"/>
          <w:sz w:val="24"/>
          <w:szCs w:val="24"/>
          <w:lang w:val="en-US" w:eastAsia="zh-CN"/>
        </w:rPr>
        <w:t>，按招标文件评分规则进行评审，以评审结果排序，综合评分得分相同的，按投标报价由低到高顺序排列，得分且投标报价相同的，按技术指标优劣顺序排列。</w:t>
      </w:r>
    </w:p>
    <w:p w14:paraId="03E8934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E28611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1、投标报名、截止时间、开标时间：见医院官网公开挂网表</w:t>
      </w:r>
    </w:p>
    <w:p w14:paraId="0808AD5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2AB872F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2、联系人及联系方式：孙沁忍 16673869902</w:t>
      </w:r>
    </w:p>
    <w:p w14:paraId="3122706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26A7334E">
      <w:pPr>
        <w:pStyle w:val="16"/>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FF0000"/>
          <w:sz w:val="24"/>
          <w:szCs w:val="24"/>
          <w:lang w:val="en-US" w:eastAsia="zh-CN" w:bidi="ar-SA"/>
        </w:rPr>
      </w:pPr>
      <w:r>
        <w:rPr>
          <w:rFonts w:hint="eastAsia" w:asciiTheme="minorEastAsia" w:hAnsiTheme="minorEastAsia" w:eastAsiaTheme="minorEastAsia" w:cstheme="minorEastAsia"/>
          <w:b w:val="0"/>
          <w:bCs/>
          <w:color w:val="FF0000"/>
          <w:sz w:val="24"/>
          <w:szCs w:val="24"/>
          <w:lang w:val="en-US" w:eastAsia="zh-CN" w:bidi="ar-SA"/>
        </w:rPr>
        <w:t>1.7、技术参数负偏离大于5条的。</w:t>
      </w:r>
    </w:p>
    <w:p w14:paraId="731CB78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29F9EDF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p>
    <w:p w14:paraId="1D69A94E">
      <w:pPr>
        <w:pStyle w:val="16"/>
        <w:rPr>
          <w:rFonts w:hint="eastAsia"/>
          <w:lang w:val="en-US" w:eastAsia="zh-CN"/>
        </w:rPr>
      </w:pPr>
    </w:p>
    <w:p w14:paraId="687E9235">
      <w:pPr>
        <w:pStyle w:val="16"/>
        <w:jc w:val="both"/>
        <w:rPr>
          <w:rFonts w:hint="default"/>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3"/>
        <w:tblW w:w="968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831"/>
        <w:gridCol w:w="1204"/>
        <w:gridCol w:w="2310"/>
        <w:gridCol w:w="2386"/>
      </w:tblGrid>
      <w:tr w14:paraId="20CC542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831"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204"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77B7E320">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是否允许进口产品</w:t>
            </w:r>
          </w:p>
        </w:tc>
      </w:tr>
      <w:tr w14:paraId="4C6A9AF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831"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生物刺激反馈仪（神经肌肉治疗仪）</w:t>
            </w:r>
          </w:p>
        </w:tc>
        <w:tc>
          <w:tcPr>
            <w:tcW w:w="1204"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21</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425ABB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否</w:t>
            </w:r>
          </w:p>
        </w:tc>
      </w:tr>
      <w:tr w14:paraId="5BFF9F1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946"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F8879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w:t>
            </w:r>
          </w:p>
        </w:tc>
        <w:tc>
          <w:tcPr>
            <w:tcW w:w="2831"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6951CC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生物刺激反馈仪（脉管平滑肌刺激治疗仪）</w:t>
            </w:r>
          </w:p>
        </w:tc>
        <w:tc>
          <w:tcPr>
            <w:tcW w:w="1204"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C1ED68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7046395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22</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21882F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r w14:paraId="7B886E9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606"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F72CC2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rPr>
            </w:pPr>
          </w:p>
        </w:tc>
        <w:tc>
          <w:tcPr>
            <w:tcW w:w="2831"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5022D13">
            <w:pPr>
              <w:keepNext w:val="0"/>
              <w:keepLines w:val="0"/>
              <w:pageBreakBefore w:val="0"/>
              <w:widowControl/>
              <w:suppressLineNumbers w:val="0"/>
              <w:kinsoku/>
              <w:wordWrap/>
              <w:overflowPunct/>
              <w:topLinePunct w:val="0"/>
              <w:autoSpaceDE/>
              <w:autoSpaceDN/>
              <w:bidi w:val="0"/>
              <w:adjustRightInd/>
              <w:snapToGrid/>
              <w:ind w:firstLine="480" w:firstLineChars="200"/>
              <w:jc w:val="both"/>
              <w:textAlignment w:val="center"/>
              <w:rPr>
                <w:rFonts w:hint="eastAsia" w:asciiTheme="minorEastAsia" w:hAnsiTheme="minorEastAsia" w:eastAsiaTheme="minorEastAsia" w:cstheme="minorEastAsia"/>
                <w:bCs/>
                <w:color w:val="auto"/>
                <w:kern w:val="0"/>
                <w:sz w:val="24"/>
                <w:szCs w:val="24"/>
                <w:lang w:val="en-US" w:eastAsia="zh-CN" w:bidi="ar-SA"/>
              </w:rPr>
            </w:pPr>
          </w:p>
        </w:tc>
        <w:tc>
          <w:tcPr>
            <w:tcW w:w="1204"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4C2764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合计</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D091AA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43</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180B1E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rPr>
            </w:pPr>
          </w:p>
        </w:tc>
      </w:tr>
    </w:tbl>
    <w:p w14:paraId="3474C8E9">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p>
    <w:p w14:paraId="336CF4AB">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w:t>
      </w:r>
    </w:p>
    <w:p w14:paraId="5DFE1E72">
      <w:pPr>
        <w:keepNext w:val="0"/>
        <w:keepLines w:val="0"/>
        <w:pageBreakBefore w:val="0"/>
        <w:widowControl w:val="0"/>
        <w:numPr>
          <w:ilvl w:val="0"/>
          <w:numId w:val="0"/>
        </w:numPr>
        <w:kinsoku/>
        <w:wordWrap/>
        <w:topLinePunct w:val="0"/>
        <w:autoSpaceDE/>
        <w:autoSpaceDN/>
        <w:bidi w:val="0"/>
        <w:snapToGrid/>
        <w:ind w:firstLine="562" w:firstLineChars="200"/>
        <w:rPr>
          <w:rFonts w:hint="eastAsia" w:ascii="方正楷体_GBK" w:hAnsi="方正楷体_GBK" w:eastAsia="方正楷体_GBK" w:cs="方正楷体_GBK"/>
          <w:b/>
          <w:bCs/>
          <w:color w:val="000000" w:themeColor="text1"/>
          <w:spacing w:val="20"/>
          <w:kern w:val="2"/>
          <w:sz w:val="24"/>
          <w:szCs w:val="24"/>
          <w:lang w:val="en-US" w:eastAsia="zh-CN" w:bidi="ar-SA"/>
          <w14:textFill>
            <w14:solidFill>
              <w14:schemeClr w14:val="tx1"/>
            </w14:solidFill>
          </w14:textFill>
        </w:rPr>
      </w:pPr>
      <w:r>
        <w:rPr>
          <w:rFonts w:hint="eastAsia" w:ascii="方正楷体_GBK" w:hAnsi="方正楷体_GBK" w:eastAsia="方正楷体_GBK" w:cs="方正楷体_GBK"/>
          <w:b/>
          <w:bCs/>
          <w:color w:val="000000" w:themeColor="text1"/>
          <w:spacing w:val="20"/>
          <w:kern w:val="2"/>
          <w:sz w:val="24"/>
          <w:szCs w:val="24"/>
          <w:lang w:val="en-US" w:eastAsia="zh-CN" w:bidi="ar-SA"/>
          <w14:textFill>
            <w14:solidFill>
              <w14:schemeClr w14:val="tx1"/>
            </w14:solidFill>
          </w14:textFill>
        </w:rPr>
        <w:t>(一）生物刺激反馈仪（神经肌肉治疗仪）技术参数</w:t>
      </w:r>
    </w:p>
    <w:p w14:paraId="695A529D">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1、适用范围：对患者表面肌电信号、压力信号进行采集、分析和生物反馈训练，通过电刺激和肌电触发电刺激进行肌肉功能障碍的治疗；适用于产后盆底功能康复治疗，提升肌肉健康状态；治疗轻度、中度压力性尿失禁、以压力性尿失禁为主的混合性尿失禁；便秘的辅助治疗；治疗盆腔器官脱垂；慢性盆腔疼痛的缓解，慢性盆腔炎的辅助治疗；治疗阴道松弛症，女性性功能障碍的辅助治疗。</w:t>
      </w:r>
    </w:p>
    <w:p w14:paraId="0AC9C304">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2、技术性能指标：</w:t>
      </w:r>
    </w:p>
    <w:p w14:paraId="30A4B321">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w:t>
      </w:r>
      <w:r>
        <w:rPr>
          <w:rFonts w:hint="default"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1.</w:t>
      </w: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主机≥6个电刺激通道</w:t>
      </w:r>
    </w:p>
    <w:p w14:paraId="561A5163">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w:t>
      </w:r>
      <w:r>
        <w:rPr>
          <w:rFonts w:hint="default"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w:t>
      </w: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设备配置独立显示屏幕≥2个，其中副屏尺寸≥23寸</w:t>
      </w:r>
    </w:p>
    <w:p w14:paraId="66C9958C">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w:t>
      </w:r>
      <w:r>
        <w:rPr>
          <w:rFonts w:hint="default"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3.</w:t>
      </w: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电刺激调节旋钮≤1个，支持一键调节电流强度</w:t>
      </w:r>
    </w:p>
    <w:p w14:paraId="7AE9C2F9">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w:t>
      </w:r>
      <w:r>
        <w:rPr>
          <w:rFonts w:hint="default"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4.</w:t>
      </w: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设备具备压力通道≥1个</w:t>
      </w:r>
    </w:p>
    <w:p w14:paraId="7EC13177">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w:t>
      </w:r>
      <w:r>
        <w:rPr>
          <w:rFonts w:hint="default"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5.</w:t>
      </w: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肌电采集测量范围：2-2500μV</w:t>
      </w:r>
    </w:p>
    <w:p w14:paraId="1FC32870">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w:t>
      </w:r>
      <w:r>
        <w:rPr>
          <w:rFonts w:hint="default"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6.</w:t>
      </w: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分辨率：≤0.2μV</w:t>
      </w:r>
    </w:p>
    <w:p w14:paraId="7F470897">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w:t>
      </w:r>
      <w:r>
        <w:rPr>
          <w:rFonts w:hint="default"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7.</w:t>
      </w: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通频带：不窄于20-500Hz</w:t>
      </w:r>
    </w:p>
    <w:p w14:paraId="6C71366D">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w:t>
      </w:r>
      <w:r>
        <w:rPr>
          <w:rFonts w:hint="default"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8.</w:t>
      </w: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低频刺激强度：0-100mA，最小可调节步长≤0.5mA</w:t>
      </w:r>
    </w:p>
    <w:p w14:paraId="354577F0">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w:t>
      </w:r>
      <w:r>
        <w:rPr>
          <w:rFonts w:hint="default"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9.</w:t>
      </w: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低频刺激频率：1-1000Hz范围内均可调，最小可调节步长≤1Hz</w:t>
      </w:r>
    </w:p>
    <w:p w14:paraId="6A9652F0">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w:t>
      </w:r>
      <w:r>
        <w:rPr>
          <w:rFonts w:hint="default"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10.</w:t>
      </w: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输出脉冲宽度：≥2000μs同时最小可调节步长≤50μs调节</w:t>
      </w:r>
    </w:p>
    <w:p w14:paraId="028EC3FD">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w:t>
      </w:r>
      <w:r>
        <w:rPr>
          <w:rFonts w:hint="default"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11.</w:t>
      </w: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电刺激基础输出波形≥8种，方波、正弦波、三角波、交互三角波、指数波等</w:t>
      </w:r>
    </w:p>
    <w:p w14:paraId="258039EB">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w:t>
      </w:r>
      <w:r>
        <w:rPr>
          <w:rFonts w:hint="default"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12.</w:t>
      </w: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中频刺激频率：可输出中频频率至少包含≥2500Hz及以上频率</w:t>
      </w:r>
    </w:p>
    <w:p w14:paraId="081FE51E">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w:t>
      </w:r>
      <w:r>
        <w:rPr>
          <w:rFonts w:hint="default"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13.</w:t>
      </w: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 xml:space="preserve">主机为≥12寸触控屏，操作方便 </w:t>
      </w:r>
    </w:p>
    <w:p w14:paraId="006B9E81">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w:t>
      </w:r>
      <w:r>
        <w:rPr>
          <w:rFonts w:hint="default"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14.</w:t>
      </w: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主机支持双供电模式，主机锂电池容量≥6000mAh</w:t>
      </w:r>
    </w:p>
    <w:p w14:paraId="15B0E28F">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w:t>
      </w:r>
      <w:r>
        <w:rPr>
          <w:rFonts w:hint="default"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15.</w:t>
      </w: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多种盆底评估模式：至少包括Glazer评估、一分钟评估、三分钟评估、控尿评估、腰背痛评估等</w:t>
      </w:r>
    </w:p>
    <w:p w14:paraId="03BF6D37">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w:t>
      </w:r>
      <w:r>
        <w:rPr>
          <w:rFonts w:hint="default"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16.</w:t>
      </w: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Glazer评估自动解读报告，以评估结果和患者症状为依据可智能判断盆底肌类型≥5种，智能推荐个性化的处方治疗方案；实现全程闭环、动态、高效的盆底康复</w:t>
      </w:r>
    </w:p>
    <w:p w14:paraId="37D89263">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w:t>
      </w:r>
      <w:r>
        <w:rPr>
          <w:rFonts w:hint="default"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17.</w:t>
      </w: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系统可根据评估结果自动生成针对不同患者的疗程化盆底训练方案</w:t>
      </w:r>
    </w:p>
    <w:p w14:paraId="2C475E12">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w:t>
      </w:r>
      <w:r>
        <w:rPr>
          <w:rFonts w:hint="default"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18.</w:t>
      </w: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输出脉冲电刺激波形可调，在基本脉冲波形正弦波、方波的基础上可用三角波、指数波等调制不少于36种波形</w:t>
      </w:r>
    </w:p>
    <w:p w14:paraId="3C376310">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w:t>
      </w:r>
      <w:r>
        <w:rPr>
          <w:rFonts w:hint="default"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19.</w:t>
      </w: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支持多通道同步电刺激和时序电刺激，达到热身、训练、放松的科学训练模式</w:t>
      </w:r>
    </w:p>
    <w:p w14:paraId="7AF974EE">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w:t>
      </w:r>
      <w:r>
        <w:rPr>
          <w:rFonts w:hint="default"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20.</w:t>
      </w: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模块化评估报告，根据勾选不同专科病历模块进行评估报告的自定义排版，包含盆底肌肌电图、腹肌肌电图、盆底肌分型、专科病历模块等</w:t>
      </w:r>
    </w:p>
    <w:p w14:paraId="5DF0FC60">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w:t>
      </w:r>
      <w:r>
        <w:rPr>
          <w:rFonts w:hint="default"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21.</w:t>
      </w: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支持治疗方案自定义，包括时间、强度、波形等参数的灵活定义</w:t>
      </w:r>
    </w:p>
    <w:p w14:paraId="2335F444">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w:t>
      </w:r>
      <w:r>
        <w:rPr>
          <w:rFonts w:hint="default"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22.</w:t>
      </w: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支持疗程化方案自定义，疗程设置灵活，疗程中可根据治疗进展就行灵活定义</w:t>
      </w:r>
    </w:p>
    <w:p w14:paraId="350F3243">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FF0000"/>
          <w:spacing w:val="20"/>
          <w:kern w:val="2"/>
          <w:sz w:val="24"/>
          <w:szCs w:val="24"/>
          <w:lang w:val="en-US" w:eastAsia="zh-CN" w:bidi="ar-SA"/>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w:t>
      </w:r>
      <w:r>
        <w:rPr>
          <w:rFonts w:hint="default"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23.</w:t>
      </w: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系统支持自动生成磁电联合疗程化治疗方案</w:t>
      </w:r>
      <w:r>
        <w:rPr>
          <w:rFonts w:hint="eastAsia" w:asciiTheme="minorEastAsia" w:hAnsiTheme="minorEastAsia" w:eastAsiaTheme="minorEastAsia" w:cstheme="minorEastAsia"/>
          <w:color w:val="FF0000"/>
          <w:spacing w:val="20"/>
          <w:kern w:val="2"/>
          <w:sz w:val="24"/>
          <w:szCs w:val="24"/>
          <w:lang w:val="en-US" w:eastAsia="zh-CN" w:bidi="ar-SA"/>
        </w:rPr>
        <w:t>。</w:t>
      </w:r>
    </w:p>
    <w:p w14:paraId="48D0BFC9">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w:t>
      </w:r>
      <w:r>
        <w:rPr>
          <w:rFonts w:hint="default"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24.</w:t>
      </w: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系统支持扫码读取患者信息，标配扫描器，通过扫描器可识别患者在手机端填写的基本信息，实现扫码后读取所填写的全部信息并在设备中自动建立病患档案，提升诊疗效率</w:t>
      </w:r>
    </w:p>
    <w:p w14:paraId="09AB4A9F">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w:t>
      </w:r>
      <w:r>
        <w:rPr>
          <w:rFonts w:hint="default"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25.</w:t>
      </w: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设备工作环境要求大气压70-106kpa</w:t>
      </w:r>
    </w:p>
    <w:p w14:paraId="131845AF">
      <w:pPr>
        <w:keepNext w:val="0"/>
        <w:keepLines w:val="0"/>
        <w:pageBreakBefore w:val="0"/>
        <w:widowControl w:val="0"/>
        <w:numPr>
          <w:ilvl w:val="0"/>
          <w:numId w:val="0"/>
        </w:numPr>
        <w:kinsoku/>
        <w:wordWrap/>
        <w:topLinePunct w:val="0"/>
        <w:autoSpaceDE/>
        <w:autoSpaceDN/>
        <w:bidi w:val="0"/>
        <w:snapToGrid/>
        <w:ind w:firstLine="560" w:firstLineChars="200"/>
        <w:rPr>
          <w:rFonts w:hint="default"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2.26.设备使用年限</w:t>
      </w:r>
      <w:r>
        <w:rPr>
          <w:rFonts w:hint="default"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w:t>
      </w: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10年</w:t>
      </w:r>
    </w:p>
    <w:p w14:paraId="30B36228">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p>
    <w:p w14:paraId="2D32C4FF">
      <w:pPr>
        <w:keepNext w:val="0"/>
        <w:keepLines w:val="0"/>
        <w:pageBreakBefore w:val="0"/>
        <w:widowControl w:val="0"/>
        <w:numPr>
          <w:ilvl w:val="0"/>
          <w:numId w:val="0"/>
        </w:numPr>
        <w:kinsoku/>
        <w:wordWrap/>
        <w:topLinePunct w:val="0"/>
        <w:autoSpaceDE/>
        <w:autoSpaceDN/>
        <w:bidi w:val="0"/>
        <w:snapToGrid/>
        <w:ind w:firstLine="562" w:firstLineChars="200"/>
        <w:rPr>
          <w:rFonts w:hint="eastAsia" w:ascii="方正仿宋_GB2312" w:hAnsi="方正仿宋_GB2312" w:eastAsia="方正仿宋_GB2312" w:cs="方正仿宋_GB2312"/>
          <w:b/>
          <w:bCs/>
          <w:color w:val="000000" w:themeColor="text1"/>
          <w:spacing w:val="20"/>
          <w:kern w:val="2"/>
          <w:sz w:val="24"/>
          <w:szCs w:val="24"/>
          <w:lang w:val="en-US" w:eastAsia="zh-CN" w:bidi="ar-SA"/>
          <w14:textFill>
            <w14:solidFill>
              <w14:schemeClr w14:val="tx1"/>
            </w14:solidFill>
          </w14:textFill>
        </w:rPr>
      </w:pPr>
      <w:r>
        <w:rPr>
          <w:rFonts w:hint="eastAsia" w:ascii="方正仿宋_GB2312" w:hAnsi="方正仿宋_GB2312" w:eastAsia="方正仿宋_GB2312" w:cs="方正仿宋_GB2312"/>
          <w:b/>
          <w:bCs/>
          <w:color w:val="000000" w:themeColor="text1"/>
          <w:spacing w:val="20"/>
          <w:kern w:val="2"/>
          <w:sz w:val="24"/>
          <w:szCs w:val="24"/>
          <w:lang w:val="en-US" w:eastAsia="zh-CN" w:bidi="ar-SA"/>
          <w14:textFill>
            <w14:solidFill>
              <w14:schemeClr w14:val="tx1"/>
            </w14:solidFill>
          </w14:textFill>
        </w:rPr>
        <w:t>（二）生物刺激反馈仪（脉管平滑肌刺激治疗仪） 技术参数</w:t>
      </w:r>
    </w:p>
    <w:p w14:paraId="5DDEFA44">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1、适用范围：对患者表面肌电信号、压力信号进行采集、分析和生物反馈训练，通过电刺激和肌电触发电刺激进行肌肉功能障碍的治疗；适用于产后盆底功能康复治疗，提升肌肉健康状态；治疗轻度、中度压力性尿失禁、以压力性尿失禁为主的混合性尿失禁；便秘的辅助治疗；治疗盆腔器官脱垂；慢性盆腔疼痛的缓解，慢性盆腔炎的辅助治疗；治疗阴道松弛症，女性性功能障碍的辅助治疗。</w:t>
      </w:r>
    </w:p>
    <w:p w14:paraId="0C6812FA">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2、技术性能指标：</w:t>
      </w:r>
    </w:p>
    <w:p w14:paraId="21B484BE">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▲2.1.主机≥6个电刺激通道</w:t>
      </w:r>
    </w:p>
    <w:p w14:paraId="35ACCC48">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▲2.2.设备配置独立显示屏幕≥2个，其中副屏尺寸≥23寸</w:t>
      </w:r>
    </w:p>
    <w:p w14:paraId="78BDA8F9">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▲2.3.电刺激调节旋钮≤1个，支持一键调节电流强度</w:t>
      </w:r>
    </w:p>
    <w:p w14:paraId="0A99BDE9">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2.4.设备具备压力通道≥1个</w:t>
      </w:r>
    </w:p>
    <w:p w14:paraId="52252956">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2.5.肌电采集测量范围：2-2500μV</w:t>
      </w:r>
    </w:p>
    <w:p w14:paraId="63D3FB3C">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2.6.分辨率：≤0.2μV</w:t>
      </w:r>
    </w:p>
    <w:p w14:paraId="4BFCB4EE">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2.7.通频带：不窄于20-500Hz</w:t>
      </w:r>
    </w:p>
    <w:p w14:paraId="41F36CAC">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2.8.低频刺激强度：0-100mA，最小可调节步长≤0.5mA</w:t>
      </w:r>
    </w:p>
    <w:p w14:paraId="765B7560">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2.9.低频刺激频率：1-1000Hz范围内均可调，最小可调节步长≤1Hz</w:t>
      </w:r>
    </w:p>
    <w:p w14:paraId="3B48D124">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2.10.输出脉冲宽度：≥2000μs同时最小可调节步长≤50μs调节</w:t>
      </w:r>
    </w:p>
    <w:p w14:paraId="594C0B82">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2.11.电刺激基础输出波形≥8种，方波、正弦波、三角波、交互三角波、指数波等</w:t>
      </w:r>
    </w:p>
    <w:p w14:paraId="7B0B971D">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2.12.中频刺激频率：可输出中频频率至少包含≥2500Hz及以上频率</w:t>
      </w:r>
    </w:p>
    <w:p w14:paraId="0F9DDFBF">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 xml:space="preserve">2.13.压力模块测量范围不低于0-240mmHg，测量分辨率≤0.1mmHg </w:t>
      </w:r>
    </w:p>
    <w:p w14:paraId="358DEA75">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 xml:space="preserve">2.14.主机为≥12寸触控屏，操作方便 </w:t>
      </w:r>
    </w:p>
    <w:p w14:paraId="48EC3011">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▲2.15.主机支持双供电模式，主机锂电池容量≥6000mAh</w:t>
      </w:r>
    </w:p>
    <w:p w14:paraId="4F54AE8D">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2.16.多种盆底评估模式：至少包括Glazer评估、一分钟评估、三分钟评估、控尿评估、腰背痛评估、多通道评估功能等</w:t>
      </w:r>
    </w:p>
    <w:p w14:paraId="542FA31D">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2.17.Glazer评估自动解读报告，以评估结果和患者症状为依据可智能判断盆底肌类型≥5种，智能推荐个性化的处方治疗方案；实现全程闭环、动态、高效的盆底康复</w:t>
      </w:r>
    </w:p>
    <w:p w14:paraId="5671B895">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2.18.系统可根据评估结果自动生成针对不同患者的疗程化盆底训练方案</w:t>
      </w:r>
    </w:p>
    <w:p w14:paraId="3D922929">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2.19.具有盆底多通道评估功能，可以在盆底肌功能评估过程中，同时检测腹部肌肉、臀部肌肉和大腿内侧肌肉的参与情况，并给出评估报告</w:t>
      </w:r>
    </w:p>
    <w:p w14:paraId="15E1B6C0">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2.20.具有循环电刺激/脉管平滑肌电刺激模式，实现平滑肌刺激促进血液循环，加快血液动力</w:t>
      </w:r>
    </w:p>
    <w:p w14:paraId="158F47CA">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2.21.输出脉冲电刺激波形可调，在基本脉冲波形正弦波、方波的基础上可用三角波、指数波等调制不少于36种波形</w:t>
      </w:r>
    </w:p>
    <w:p w14:paraId="57501FDB">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2.22.调制中频电刺激利用载波为中频电流其穿透力强的特点将调制波或干扰波送入人体，以实现深度治疗的作用</w:t>
      </w:r>
    </w:p>
    <w:p w14:paraId="6662E193">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2.23.支持多通道同步电刺激和时序电刺激，达到热身、训练、放松的科学训练模式</w:t>
      </w:r>
    </w:p>
    <w:p w14:paraId="405DC6C4">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2.24.模块化评估报告，根据勾选不同专科病历模块进行评估报告的自定义排版，包含盆底肌肌电图、腹肌肌电图、盆底肌分型、专科病历模块等</w:t>
      </w:r>
    </w:p>
    <w:p w14:paraId="6A84C400">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2.25.支持治疗方案自定义，包括时间、强度、波形等参数的灵活定义</w:t>
      </w:r>
    </w:p>
    <w:p w14:paraId="22047C91">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2.26.支持疗程化方案自定义，疗程设置灵活，疗程中可根据治疗进展就行灵活定义</w:t>
      </w:r>
    </w:p>
    <w:p w14:paraId="789DFA12">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2.27.系统支持自动生成磁电联合疗程化治疗方案。</w:t>
      </w:r>
    </w:p>
    <w:p w14:paraId="4310B28A">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2.28.系统支持扫码读取患者信息，标配扫描器，通过扫描器可识别患者在手机端填写的基本信息，实现扫码后读取所填写的全部信息并在设备中自动建立病患档案，提升诊疗效率</w:t>
      </w:r>
    </w:p>
    <w:p w14:paraId="7327DACC">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2.29.设备工作环境要求大气压70-106kpa</w:t>
      </w:r>
    </w:p>
    <w:p w14:paraId="0FBAF621">
      <w:pPr>
        <w:keepNext w:val="0"/>
        <w:keepLines w:val="0"/>
        <w:pageBreakBefore w:val="0"/>
        <w:widowControl w:val="0"/>
        <w:numPr>
          <w:ilvl w:val="0"/>
          <w:numId w:val="0"/>
        </w:numPr>
        <w:kinsoku/>
        <w:wordWrap/>
        <w:topLinePunct w:val="0"/>
        <w:autoSpaceDE/>
        <w:autoSpaceDN/>
        <w:bidi w:val="0"/>
        <w:snapToGrid/>
        <w:ind w:firstLine="560" w:firstLineChars="200"/>
        <w:rPr>
          <w:rFonts w:hint="default"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2.30.设备使用年限</w:t>
      </w:r>
      <w:r>
        <w:rPr>
          <w:rFonts w:hint="default"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w:t>
      </w: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10年</w:t>
      </w:r>
    </w:p>
    <w:p w14:paraId="7DA9722A">
      <w:pPr>
        <w:keepNext w:val="0"/>
        <w:keepLines w:val="0"/>
        <w:pageBreakBefore w:val="0"/>
        <w:widowControl w:val="0"/>
        <w:numPr>
          <w:ilvl w:val="0"/>
          <w:numId w:val="0"/>
        </w:numPr>
        <w:kinsoku/>
        <w:wordWrap/>
        <w:topLinePunct w:val="0"/>
        <w:autoSpaceDE/>
        <w:autoSpaceDN/>
        <w:bidi w:val="0"/>
        <w:snapToGrid/>
        <w:ind w:left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（三）商务参数</w:t>
      </w:r>
    </w:p>
    <w:p w14:paraId="24C22C10">
      <w:pPr>
        <w:keepNext w:val="0"/>
        <w:keepLines w:val="0"/>
        <w:pageBreakBefore w:val="0"/>
        <w:widowControl w:val="0"/>
        <w:numPr>
          <w:ilvl w:val="0"/>
          <w:numId w:val="0"/>
        </w:numPr>
        <w:kinsoku/>
        <w:wordWrap/>
        <w:topLinePunct w:val="0"/>
        <w:autoSpaceDE/>
        <w:autoSpaceDN/>
        <w:bidi w:val="0"/>
        <w:snapToGrid/>
        <w:ind w:firstLine="560" w:firstLineChars="200"/>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1、运输、装卸、培训、安装调试：由中标人负责承担，最终通过使用科室、设备科及相关部门确认验收交付使用。国产设备交付，设备必须为6个月内生产的产品；进口设备交付，设备必须为一年内生产的产品。</w:t>
      </w: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cr/>
      </w: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 xml:space="preserve">   ★2、交货时间：按合同约定的日期交货。</w:t>
      </w:r>
    </w:p>
    <w:p w14:paraId="7A81A56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★3、交货地点：娄底市中心医院指定地点。</w:t>
      </w:r>
    </w:p>
    <w:p w14:paraId="228C4BA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auto"/>
          <w:spacing w:val="20"/>
          <w:kern w:val="2"/>
          <w:sz w:val="24"/>
          <w:szCs w:val="24"/>
          <w:lang w:val="en-US" w:eastAsia="zh-CN" w:bidi="ar-SA"/>
        </w:rPr>
      </w:pP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★4、付款方式：设备验收合格后，供应商将发票交到娄底市中心医院后按程序支付货款90%（一般情况下4个月内支付、特殊情况下最多不超过6个月），甲方在设备验收合格满叁年后支付10%余款给乙方。</w:t>
      </w: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cr/>
      </w:r>
      <w:r>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t xml:space="preserve">   ★5、质保与售后：整机保修叁年，终身维修。验收时出具原厂售后质保承诺书，质保期内每年巡检一次，并提交巡检记录</w:t>
      </w:r>
      <w:bookmarkStart w:id="5" w:name="_GoBack"/>
      <w:r>
        <w:rPr>
          <w:rFonts w:hint="eastAsia" w:asciiTheme="minorEastAsia" w:hAnsiTheme="minorEastAsia" w:eastAsiaTheme="minorEastAsia" w:cstheme="minorEastAsia"/>
          <w:color w:val="auto"/>
          <w:spacing w:val="20"/>
          <w:kern w:val="2"/>
          <w:sz w:val="24"/>
          <w:szCs w:val="24"/>
          <w:lang w:val="en-US" w:eastAsia="zh-CN" w:bidi="ar-SA"/>
        </w:rPr>
        <w:t>。</w:t>
      </w:r>
      <w:r>
        <w:rPr>
          <w:rFonts w:hint="eastAsia" w:asciiTheme="minorEastAsia" w:hAnsiTheme="minorEastAsia" w:eastAsiaTheme="minorEastAsia" w:cstheme="minorEastAsia"/>
          <w:color w:val="auto"/>
          <w:spacing w:val="20"/>
          <w:kern w:val="2"/>
          <w:sz w:val="24"/>
          <w:szCs w:val="24"/>
          <w:lang w:val="zh-CN" w:eastAsia="zh-CN" w:bidi="ar-SA"/>
        </w:rPr>
        <w:t>质保期内</w:t>
      </w:r>
      <w:r>
        <w:rPr>
          <w:rFonts w:hint="eastAsia" w:asciiTheme="minorEastAsia" w:hAnsiTheme="minorEastAsia" w:eastAsiaTheme="minorEastAsia" w:cstheme="minorEastAsia"/>
          <w:color w:val="auto"/>
          <w:spacing w:val="20"/>
          <w:kern w:val="2"/>
          <w:sz w:val="24"/>
          <w:szCs w:val="24"/>
          <w:lang w:val="en-US" w:eastAsia="zh-CN" w:bidi="ar-SA"/>
        </w:rPr>
        <w:t>出现故障，1小时响应，响应后24小时上门服务。</w:t>
      </w:r>
    </w:p>
    <w:p w14:paraId="05FBDBE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auto"/>
          <w:spacing w:val="20"/>
          <w:kern w:val="2"/>
          <w:sz w:val="24"/>
          <w:szCs w:val="24"/>
          <w:lang w:val="en-US" w:eastAsia="zh-CN" w:bidi="ar-SA"/>
        </w:rPr>
      </w:pPr>
      <w:r>
        <w:rPr>
          <w:rFonts w:hint="eastAsia" w:asciiTheme="minorEastAsia" w:hAnsiTheme="minorEastAsia" w:eastAsiaTheme="minorEastAsia" w:cstheme="minorEastAsia"/>
          <w:color w:val="auto"/>
          <w:spacing w:val="20"/>
          <w:kern w:val="2"/>
          <w:sz w:val="24"/>
          <w:szCs w:val="24"/>
          <w:lang w:val="en-US" w:eastAsia="zh-CN" w:bidi="ar-SA"/>
        </w:rPr>
        <w:t>★6、在投标文件中必须提供相关技术资料并加盖投标人公章（如技术参数、技术白皮书、说明书、彩页等），并在响应表中对技术参数中“★”、“▲”以及要求提供佐证材料的条款备注该条参数响应或正偏离的佐证资料所在页码。</w:t>
      </w:r>
    </w:p>
    <w:p w14:paraId="7167665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auto"/>
          <w:spacing w:val="20"/>
          <w:kern w:val="2"/>
          <w:sz w:val="24"/>
          <w:szCs w:val="24"/>
          <w:lang w:val="en-US" w:eastAsia="zh-CN" w:bidi="ar-SA"/>
        </w:rPr>
      </w:pPr>
    </w:p>
    <w:p w14:paraId="46A704C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2A43F4F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合同编号：</w:t>
      </w:r>
    </w:p>
    <w:p w14:paraId="397E0CB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auto"/>
          <w:sz w:val="24"/>
          <w:szCs w:val="24"/>
          <w:highlight w:val="none"/>
          <w:lang w:val="en-US" w:eastAsia="zh-CN"/>
        </w:rPr>
      </w:pPr>
      <w:r>
        <w:rPr>
          <w:rFonts w:hint="eastAsia" w:ascii="黑体" w:hAnsi="黑体" w:eastAsia="黑体" w:cs="黑体"/>
          <w:color w:val="auto"/>
          <w:sz w:val="44"/>
          <w:szCs w:val="44"/>
          <w:highlight w:val="none"/>
          <w:lang w:val="en-US" w:eastAsia="zh-CN"/>
        </w:rPr>
        <w:t>医疗设备采购合同</w:t>
      </w:r>
    </w:p>
    <w:p w14:paraId="4E0A135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auto"/>
          <w:sz w:val="24"/>
          <w:szCs w:val="24"/>
          <w:highlight w:val="none"/>
          <w:lang w:val="en-US" w:eastAsia="zh-CN"/>
        </w:rPr>
      </w:pPr>
    </w:p>
    <w:p w14:paraId="702B9FF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甲方（采购方）：</w:t>
      </w:r>
      <w:r>
        <w:rPr>
          <w:rFonts w:hint="eastAsia" w:ascii="宋体" w:hAnsi="宋体" w:eastAsia="宋体" w:cs="宋体"/>
          <w:color w:val="auto"/>
          <w:sz w:val="24"/>
          <w:szCs w:val="24"/>
          <w:highlight w:val="none"/>
          <w:lang w:val="en-US" w:eastAsia="zh-CN"/>
        </w:rPr>
        <w:t>娄底市中心医院</w:t>
      </w:r>
    </w:p>
    <w:p w14:paraId="04CFFB5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法定代表人：杨吉军</w:t>
      </w:r>
    </w:p>
    <w:p w14:paraId="2BEB770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统一社会信用代码：12431300447162073W</w:t>
      </w:r>
    </w:p>
    <w:p w14:paraId="2784CB5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地址：湖南省娄底市娄星区长青中街51号</w:t>
      </w:r>
    </w:p>
    <w:p w14:paraId="45E91B7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联系人：彭春涛</w:t>
      </w:r>
    </w:p>
    <w:p w14:paraId="1D9801D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联系电话：13027388172</w:t>
      </w:r>
    </w:p>
    <w:p w14:paraId="59B25EE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乙方（供货方）：</w:t>
      </w:r>
    </w:p>
    <w:p w14:paraId="4CED870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法定代表人：</w:t>
      </w:r>
    </w:p>
    <w:p w14:paraId="1BE3294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统一社会信用代码：</w:t>
      </w:r>
    </w:p>
    <w:p w14:paraId="4171EE5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地址：</w:t>
      </w:r>
    </w:p>
    <w:p w14:paraId="680C42A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联系人：</w:t>
      </w:r>
    </w:p>
    <w:p w14:paraId="06045C2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联系电话：</w:t>
      </w:r>
    </w:p>
    <w:p w14:paraId="1CDE748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p>
    <w:p w14:paraId="0ABA762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auto"/>
          <w:sz w:val="24"/>
          <w:szCs w:val="24"/>
          <w:highlight w:val="none"/>
          <w:lang w:val="en-US" w:eastAsia="zh-CN"/>
        </w:rPr>
        <w:t>方通过（□</w:t>
      </w:r>
      <w:r>
        <w:rPr>
          <w:rFonts w:hint="eastAsia" w:ascii="宋体" w:hAnsi="宋体" w:eastAsia="宋体" w:cs="宋体"/>
          <w:color w:val="auto"/>
          <w:sz w:val="24"/>
          <w:szCs w:val="24"/>
          <w:highlight w:val="none"/>
          <w:u w:val="none"/>
          <w:lang w:val="en-US" w:eastAsia="zh-CN"/>
        </w:rPr>
        <w:t>公开招标</w:t>
      </w:r>
      <w:r>
        <w:rPr>
          <w:rFonts w:hint="eastAsia" w:ascii="宋体" w:hAnsi="宋体" w:eastAsia="宋体" w:cs="宋体"/>
          <w:color w:val="auto"/>
          <w:sz w:val="24"/>
          <w:szCs w:val="24"/>
          <w:highlight w:val="none"/>
          <w:lang w:val="en-US" w:eastAsia="zh-CN"/>
        </w:rPr>
        <w:t>☑医院公开挂网☑医院院内议价□湖南政府采购电子卖场竞价）</w:t>
      </w:r>
      <w:r>
        <w:rPr>
          <w:rFonts w:hint="eastAsia" w:ascii="宋体" w:hAnsi="宋体" w:eastAsia="宋体" w:cs="宋体"/>
          <w:color w:val="auto"/>
          <w:sz w:val="24"/>
          <w:szCs w:val="24"/>
          <w:highlight w:val="none"/>
          <w:u w:val="none"/>
          <w:lang w:val="en-US" w:eastAsia="zh-CN"/>
        </w:rPr>
        <w:t>方式</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u w:val="single"/>
          <w:lang w:val="en-US" w:eastAsia="zh-CN"/>
        </w:rPr>
        <w:t xml:space="preserve"> 生物刺激反馈仪（神经肌肉治疗仪）+生物刺激反馈仪（脉管平滑肌刺激治疗仪） </w:t>
      </w:r>
      <w:r>
        <w:rPr>
          <w:rFonts w:hint="eastAsia" w:ascii="宋体" w:hAnsi="宋体" w:eastAsia="宋体" w:cs="宋体"/>
          <w:color w:val="auto"/>
          <w:sz w:val="24"/>
          <w:szCs w:val="24"/>
          <w:highlight w:val="none"/>
          <w:lang w:val="en-US" w:eastAsia="zh-CN"/>
        </w:rPr>
        <w:t>，乙方为中标/中选供应商，</w:t>
      </w:r>
      <w:r>
        <w:rPr>
          <w:rFonts w:hint="eastAsia" w:ascii="宋体" w:hAnsi="宋体" w:eastAsia="宋体" w:cs="宋体"/>
          <w:color w:val="auto"/>
          <w:sz w:val="24"/>
          <w:szCs w:val="24"/>
          <w:highlight w:val="none"/>
          <w:u w:val="none"/>
          <w:lang w:val="en-US" w:eastAsia="zh-CN"/>
        </w:rPr>
        <w:t>项目编号：</w:t>
      </w:r>
      <w:r>
        <w:rPr>
          <w:rFonts w:hint="eastAsia" w:ascii="宋体" w:hAnsi="宋体" w:eastAsia="宋体" w:cs="宋体"/>
          <w:color w:val="auto"/>
          <w:sz w:val="24"/>
          <w:szCs w:val="24"/>
          <w:highlight w:val="none"/>
          <w:u w:val="single"/>
          <w:lang w:val="en-US" w:eastAsia="zh-CN"/>
        </w:rPr>
        <w:t xml:space="preserve">    </w:t>
      </w:r>
      <w:bookmarkEnd w:id="5"/>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生物刺激反馈仪（神经肌肉治疗仪）+生物刺激反馈仪（脉管平滑肌刺激治疗仪）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7C1092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2361D01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3"/>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35FD2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14:paraId="4B31535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vAlign w:val="top"/>
          </w:tcPr>
          <w:p w14:paraId="7B23B41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4F61AED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0D356B7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0AAB70A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62DE8C0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511F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vAlign w:val="top"/>
          </w:tcPr>
          <w:p w14:paraId="519ECD3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生物刺激反馈仪（神经肌肉治疗仪）</w:t>
            </w:r>
          </w:p>
        </w:tc>
        <w:tc>
          <w:tcPr>
            <w:tcW w:w="1220" w:type="dxa"/>
            <w:vAlign w:val="center"/>
          </w:tcPr>
          <w:p w14:paraId="13D94F6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41C03CB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4E95E84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2CC28D8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2台</w:t>
            </w:r>
          </w:p>
        </w:tc>
        <w:tc>
          <w:tcPr>
            <w:tcW w:w="1654" w:type="dxa"/>
            <w:vAlign w:val="top"/>
          </w:tcPr>
          <w:p w14:paraId="36F0599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63CE1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517" w:type="dxa"/>
            <w:vAlign w:val="top"/>
          </w:tcPr>
          <w:p w14:paraId="390F2E9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生物刺激反馈仪（脉管平滑肌刺激治疗仪）</w:t>
            </w:r>
          </w:p>
        </w:tc>
        <w:tc>
          <w:tcPr>
            <w:tcW w:w="1220" w:type="dxa"/>
            <w:vAlign w:val="center"/>
          </w:tcPr>
          <w:p w14:paraId="6094EF1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vAlign w:val="top"/>
          </w:tcPr>
          <w:p w14:paraId="0B3C183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1FE8218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vAlign w:val="top"/>
          </w:tcPr>
          <w:p w14:paraId="159A5D7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1台</w:t>
            </w:r>
          </w:p>
        </w:tc>
        <w:tc>
          <w:tcPr>
            <w:tcW w:w="1654" w:type="dxa"/>
            <w:vAlign w:val="top"/>
          </w:tcPr>
          <w:p w14:paraId="1D3B0E4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0EA3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4CAB5E3B">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7A39A96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固定单价），不因物价、市场波动变更，约定价格包括且不限于设计费、材料费、人工费、安装费、包装费、运输费、装卸费、调试费、接口费、检测费、检验费、税费、保险费、售后服务费、附随服务费等在内所有费用。 </w:t>
      </w:r>
    </w:p>
    <w:p w14:paraId="6660797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6D43642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01E6659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1B099DF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09F05D0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1B23E70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A14CDE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w:t>
      </w:r>
      <w:r>
        <w:rPr>
          <w:rFonts w:hint="eastAsia" w:ascii="宋体" w:hAnsi="宋体" w:eastAsia="宋体" w:cs="宋体"/>
          <w:color w:val="auto"/>
          <w:sz w:val="24"/>
          <w:szCs w:val="24"/>
          <w:highlight w:val="none"/>
          <w:lang w:val="en-US" w:eastAsia="zh-CN"/>
        </w:rPr>
        <w:t>准；如乙方应交付的设备属于国产</w:t>
      </w:r>
      <w:r>
        <w:rPr>
          <w:rFonts w:hint="eastAsia" w:ascii="宋体" w:hAnsi="宋体" w:cs="宋体"/>
          <w:color w:val="auto"/>
          <w:sz w:val="24"/>
          <w:szCs w:val="24"/>
          <w:highlight w:val="none"/>
          <w:lang w:val="en-US" w:eastAsia="zh-CN"/>
        </w:rPr>
        <w:t>设备，则应保证该设备为交付时起近</w:t>
      </w:r>
      <w:r>
        <w:rPr>
          <w:rFonts w:hint="eastAsia" w:ascii="宋体" w:hAnsi="宋体" w:cs="宋体"/>
          <w:color w:val="auto"/>
          <w:sz w:val="24"/>
          <w:szCs w:val="24"/>
          <w:highlight w:val="none"/>
          <w:lang w:eastAsia="zh-CN"/>
        </w:rPr>
        <w:t>6个月内生产的产品；</w:t>
      </w:r>
      <w:r>
        <w:rPr>
          <w:rFonts w:hint="eastAsia" w:ascii="宋体" w:hAnsi="宋体" w:cs="宋体"/>
          <w:color w:val="auto"/>
          <w:sz w:val="24"/>
          <w:szCs w:val="24"/>
          <w:highlight w:val="none"/>
          <w:lang w:val="en-US" w:eastAsia="zh-CN"/>
        </w:rPr>
        <w:t>如乙方</w:t>
      </w:r>
      <w:r>
        <w:rPr>
          <w:rFonts w:hint="eastAsia" w:ascii="宋体" w:hAnsi="宋体" w:eastAsia="宋体" w:cs="宋体"/>
          <w:color w:val="auto"/>
          <w:sz w:val="24"/>
          <w:szCs w:val="24"/>
          <w:highlight w:val="none"/>
          <w:lang w:val="en-US" w:eastAsia="zh-CN"/>
        </w:rPr>
        <w:t>应</w:t>
      </w:r>
      <w:r>
        <w:rPr>
          <w:rFonts w:hint="eastAsia" w:ascii="宋体" w:hAnsi="宋体" w:cs="宋体"/>
          <w:color w:val="auto"/>
          <w:sz w:val="24"/>
          <w:szCs w:val="24"/>
          <w:highlight w:val="none"/>
          <w:lang w:val="en-US" w:eastAsia="zh-CN"/>
        </w:rPr>
        <w:t>交付的设备属于</w:t>
      </w:r>
      <w:r>
        <w:rPr>
          <w:rFonts w:hint="eastAsia" w:ascii="宋体" w:hAnsi="宋体" w:eastAsia="宋体" w:cs="宋体"/>
          <w:color w:val="auto"/>
          <w:sz w:val="24"/>
          <w:szCs w:val="24"/>
          <w:highlight w:val="none"/>
          <w:lang w:val="en-US" w:eastAsia="zh-CN"/>
        </w:rPr>
        <w:t>进口设备</w:t>
      </w:r>
      <w:r>
        <w:rPr>
          <w:rFonts w:hint="eastAsia" w:ascii="宋体" w:hAnsi="宋体" w:cs="宋体"/>
          <w:color w:val="auto"/>
          <w:sz w:val="24"/>
          <w:szCs w:val="24"/>
          <w:highlight w:val="none"/>
          <w:lang w:val="en-US" w:eastAsia="zh-CN"/>
        </w:rPr>
        <w:t>，则应保证该设备</w:t>
      </w:r>
      <w:r>
        <w:rPr>
          <w:rFonts w:hint="eastAsia" w:ascii="宋体" w:hAnsi="宋体" w:cs="宋体"/>
          <w:color w:val="auto"/>
          <w:sz w:val="24"/>
          <w:szCs w:val="24"/>
          <w:highlight w:val="none"/>
          <w:lang w:eastAsia="zh-CN"/>
        </w:rPr>
        <w:t>为</w:t>
      </w:r>
      <w:r>
        <w:rPr>
          <w:rFonts w:hint="eastAsia" w:ascii="宋体" w:hAnsi="宋体" w:cs="宋体"/>
          <w:color w:val="auto"/>
          <w:sz w:val="24"/>
          <w:szCs w:val="24"/>
          <w:highlight w:val="none"/>
          <w:lang w:val="en-US" w:eastAsia="zh-CN"/>
        </w:rPr>
        <w:t>交付时起近一年</w:t>
      </w:r>
      <w:r>
        <w:rPr>
          <w:rFonts w:hint="eastAsia" w:ascii="宋体" w:hAnsi="宋体" w:cs="宋体"/>
          <w:color w:val="auto"/>
          <w:sz w:val="24"/>
          <w:szCs w:val="24"/>
          <w:highlight w:val="none"/>
          <w:lang w:eastAsia="zh-CN"/>
        </w:rPr>
        <w:t>内生产的产品</w:t>
      </w:r>
      <w:r>
        <w:rPr>
          <w:rFonts w:hint="eastAsia" w:ascii="宋体" w:hAnsi="宋体" w:eastAsia="宋体" w:cs="宋体"/>
          <w:color w:val="auto"/>
          <w:sz w:val="24"/>
          <w:szCs w:val="24"/>
          <w:highlight w:val="none"/>
          <w:lang w:val="en-US" w:eastAsia="zh-CN"/>
        </w:rPr>
        <w:t>。</w:t>
      </w:r>
    </w:p>
    <w:p w14:paraId="147C2C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3.2 质量验收：以本合同约定标准按以下方式进行验收： </w:t>
      </w:r>
    </w:p>
    <w:p w14:paraId="1A982C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auto"/>
          <w:sz w:val="24"/>
          <w:szCs w:val="24"/>
          <w:highlight w:val="none"/>
          <w:lang w:val="en-US" w:eastAsia="zh-CN"/>
        </w:rPr>
        <w:t>3.2.1 到货验收：乙方将设备运至指定交货地点后，应通知甲方，并向甲方提供厂家标准资料文件（进口设备需提供真实有效的海关报关单，其他设备需提供产品合格证）和原厂</w:t>
      </w:r>
      <w:r>
        <w:rPr>
          <w:rFonts w:hint="eastAsia" w:ascii="宋体" w:hAnsi="宋体" w:eastAsia="宋体" w:cs="宋体"/>
          <w:color w:val="000000" w:themeColor="text1"/>
          <w:sz w:val="24"/>
          <w:szCs w:val="24"/>
          <w:highlight w:val="none"/>
          <w:lang w:val="en-US" w:eastAsia="zh-CN"/>
          <w14:textFill>
            <w14:solidFill>
              <w14:schemeClr w14:val="tx1"/>
            </w14:solidFill>
          </w14:textFill>
        </w:rPr>
        <w:t>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42F8F14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D45A2D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261EF64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16C99E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0D56B36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03EC28C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邓时敏</w:t>
      </w:r>
      <w:r>
        <w:rPr>
          <w:rFonts w:hint="eastAsia" w:ascii="宋体" w:hAnsi="宋体" w:eastAsia="宋体" w:cs="宋体"/>
          <w:color w:val="000000" w:themeColor="text1"/>
          <w:sz w:val="24"/>
          <w:u w:val="single"/>
          <w:lang w:val="en-US" w:eastAsia="zh-CN"/>
          <w14:textFill>
            <w14:solidFill>
              <w14:schemeClr w14:val="tx1"/>
            </w14:solidFill>
          </w14:textFill>
        </w:rPr>
        <w:t>13723814432</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0A581AF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3C71C86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043BC74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18839F95">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2437620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4A64EAF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392BEB7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274AE73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730E4A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23FE8AE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0E3BEF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771793B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3C7722E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7089EE2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7228F95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033E571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1C622FF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0EDF2E1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7FB3DA7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4AF548D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64BE521F">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5F88001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5F3BEE2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0A2668C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6A6953D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75C6545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19272D6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81DA35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348771E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彭春涛</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721294732@qq.com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2CB3527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0561E9D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4DCF478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22B97C70">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1FD2B1E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182C8D1F">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6DD57F5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471CB5E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69567D9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5CEDC96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05E77C4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63C846A2">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230F3F8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1DC72E7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2242E6D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497D769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w:t>
      </w:r>
      <w:r>
        <w:rPr>
          <w:rFonts w:hint="eastAsia" w:ascii="宋体" w:hAnsi="宋体" w:eastAsia="宋体" w:cs="宋体"/>
          <w:b/>
          <w:bCs/>
          <w:color w:val="auto"/>
          <w:sz w:val="24"/>
          <w:szCs w:val="24"/>
          <w:highlight w:val="none"/>
          <w:u w:val="single"/>
          <w:lang w:val="en-US" w:eastAsia="zh-CN"/>
        </w:rPr>
        <w:t>现存在违反本合同廉洁条款及供应商考核管理制度约定的行为，乙方均须向甲方支付一次性惩罚性违约金，该违约金金额按以下较高者确定：（1）本合同总费用的10%；（2）根据《娄底市中心医院医疗器械供应商考核管理制度》规定计算的廉政违约金金额。如乙方除需承担违反廉洁条款及供应商考核管理制度的违约责任外，同时存在其他违约行为，乙方仍须就其他违约行为</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承担相应违约责任。</w:t>
      </w:r>
    </w:p>
    <w:p w14:paraId="21D091F6">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9EC66C8">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0A5E899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0A196AD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56911FC3">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664A17B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0849757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A0BE3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w:t>
      </w:r>
      <w:r>
        <w:rPr>
          <w:rFonts w:hint="eastAsia" w:ascii="宋体" w:hAnsi="宋体" w:eastAsia="宋体" w:cs="宋体"/>
          <w:color w:val="000000" w:themeColor="text1"/>
          <w:sz w:val="24"/>
          <w:highlight w:val="none"/>
          <w:lang w:val="en-US" w:eastAsia="zh-CN"/>
          <w14:textFill>
            <w14:solidFill>
              <w14:schemeClr w14:val="tx1"/>
            </w14:solidFill>
          </w14:textFill>
        </w:rPr>
        <w:t>伍</w:t>
      </w:r>
      <w:r>
        <w:rPr>
          <w:rFonts w:hint="eastAsia" w:ascii="宋体" w:hAnsi="宋体" w:eastAsia="宋体" w:cs="宋体"/>
          <w:color w:val="000000" w:themeColor="text1"/>
          <w:sz w:val="24"/>
          <w:highlight w:val="none"/>
          <w14:textFill>
            <w14:solidFill>
              <w14:schemeClr w14:val="tx1"/>
            </w14:solidFill>
          </w14:textFill>
        </w:rPr>
        <w:t>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32E40BCA">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20BE301C">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5A3FB3B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0F51B8BB">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B3625A5">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67D4EC1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09C6055">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47ACE6D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0D3ED46E">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6E73D50B">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F55EB0B">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lang w:val="en-US" w:eastAsia="zh-CN"/>
          <w14:textFill>
            <w14:solidFill>
              <w14:schemeClr w14:val="tx1"/>
            </w14:solidFill>
          </w14:textFill>
        </w:rPr>
        <w:t>2026</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690CD13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729FA45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46178DD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p>
    <w:p w14:paraId="4195693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p>
    <w:p w14:paraId="76B9AE15">
      <w:pPr>
        <w:spacing w:line="480" w:lineRule="exact"/>
        <w:rPr>
          <w:rFonts w:hint="eastAsia" w:ascii="黑体" w:hAnsi="黑体" w:eastAsia="黑体" w:cs="黑体"/>
          <w:sz w:val="32"/>
          <w:szCs w:val="32"/>
        </w:rPr>
      </w:pPr>
    </w:p>
    <w:p w14:paraId="07B141D5">
      <w:pPr>
        <w:spacing w:line="480" w:lineRule="exact"/>
        <w:rPr>
          <w:rFonts w:hint="eastAsia" w:ascii="黑体" w:hAnsi="黑体" w:eastAsia="黑体" w:cs="黑体"/>
          <w:sz w:val="32"/>
          <w:szCs w:val="32"/>
        </w:rPr>
      </w:pPr>
    </w:p>
    <w:p w14:paraId="26D1E816">
      <w:pPr>
        <w:spacing w:line="480" w:lineRule="exact"/>
        <w:rPr>
          <w:rFonts w:hint="eastAsia" w:ascii="黑体" w:hAnsi="黑体" w:eastAsia="黑体" w:cs="黑体"/>
          <w:sz w:val="32"/>
          <w:szCs w:val="32"/>
        </w:rPr>
      </w:pPr>
    </w:p>
    <w:p w14:paraId="44226F89">
      <w:pPr>
        <w:spacing w:line="480" w:lineRule="exact"/>
        <w:rPr>
          <w:rFonts w:hint="eastAsia" w:ascii="黑体" w:hAnsi="黑体" w:eastAsia="黑体" w:cs="黑体"/>
          <w:sz w:val="32"/>
          <w:szCs w:val="32"/>
        </w:rPr>
      </w:pPr>
    </w:p>
    <w:p w14:paraId="20B7AE6B">
      <w:pPr>
        <w:spacing w:line="480" w:lineRule="exact"/>
        <w:rPr>
          <w:rFonts w:hint="eastAsia" w:ascii="黑体" w:hAnsi="黑体" w:eastAsia="黑体" w:cs="黑体"/>
          <w:sz w:val="32"/>
          <w:szCs w:val="32"/>
        </w:rPr>
      </w:pPr>
    </w:p>
    <w:p w14:paraId="764B8DD9">
      <w:pPr>
        <w:spacing w:line="480" w:lineRule="exact"/>
        <w:rPr>
          <w:rFonts w:hint="eastAsia" w:ascii="黑体" w:hAnsi="黑体" w:eastAsia="黑体" w:cs="黑体"/>
          <w:sz w:val="32"/>
          <w:szCs w:val="32"/>
        </w:rPr>
      </w:pPr>
    </w:p>
    <w:p w14:paraId="6B06F021">
      <w:pPr>
        <w:spacing w:line="480" w:lineRule="exact"/>
        <w:rPr>
          <w:rFonts w:hint="eastAsia" w:ascii="黑体" w:hAnsi="黑体" w:eastAsia="黑体" w:cs="黑体"/>
          <w:sz w:val="32"/>
          <w:szCs w:val="32"/>
        </w:rPr>
      </w:pPr>
      <w:r>
        <w:rPr>
          <w:rFonts w:ascii="宋体" w:hAnsi="宋体" w:eastAsia="宋体" w:cs="宋体"/>
          <w:sz w:val="24"/>
        </w:rPr>
        <w:drawing>
          <wp:anchor distT="0" distB="0" distL="114300" distR="114300" simplePos="0" relativeHeight="251659264" behindDoc="0" locked="0" layoutInCell="1" allowOverlap="1">
            <wp:simplePos x="0" y="0"/>
            <wp:positionH relativeFrom="column">
              <wp:posOffset>38100</wp:posOffset>
            </wp:positionH>
            <wp:positionV relativeFrom="paragraph">
              <wp:posOffset>377190</wp:posOffset>
            </wp:positionV>
            <wp:extent cx="5615305" cy="7988935"/>
            <wp:effectExtent l="0" t="0" r="4445" b="12065"/>
            <wp:wrapSquare wrapText="bothSides"/>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15305" cy="7988935"/>
                    </a:xfrm>
                    <a:prstGeom prst="rect">
                      <a:avLst/>
                    </a:prstGeom>
                  </pic:spPr>
                </pic:pic>
              </a:graphicData>
            </a:graphic>
          </wp:anchor>
        </w:drawing>
      </w:r>
      <w:r>
        <w:rPr>
          <w:rFonts w:hint="eastAsia" w:ascii="黑体" w:hAnsi="黑体" w:eastAsia="黑体" w:cs="黑体"/>
          <w:sz w:val="32"/>
          <w:szCs w:val="32"/>
        </w:rPr>
        <w:t>附件：</w:t>
      </w:r>
    </w:p>
    <w:p w14:paraId="227001E0">
      <w:pPr>
        <w:spacing w:line="480" w:lineRule="exact"/>
        <w:rPr>
          <w:rFonts w:hint="eastAsia" w:ascii="宋体" w:hAnsi="宋体" w:eastAsia="宋体" w:cs="宋体"/>
          <w:sz w:val="24"/>
        </w:rPr>
      </w:pPr>
    </w:p>
    <w:p w14:paraId="55002253">
      <w:pPr>
        <w:spacing w:line="480" w:lineRule="exact"/>
        <w:rPr>
          <w:rFonts w:hint="eastAsia" w:ascii="宋体" w:hAnsi="宋体" w:eastAsia="宋体" w:cs="宋体"/>
          <w:sz w:val="24"/>
        </w:rPr>
      </w:pPr>
    </w:p>
    <w:p w14:paraId="2848D38D">
      <w:pPr>
        <w:spacing w:line="480" w:lineRule="exact"/>
        <w:rPr>
          <w:rFonts w:hint="eastAsia" w:ascii="宋体" w:hAnsi="宋体" w:eastAsia="宋体" w:cs="宋体"/>
          <w:sz w:val="24"/>
        </w:rPr>
      </w:pPr>
    </w:p>
    <w:p w14:paraId="1609F11D">
      <w:pPr>
        <w:spacing w:line="480" w:lineRule="exact"/>
        <w:rPr>
          <w:rFonts w:hint="eastAsia" w:ascii="宋体" w:hAnsi="宋体" w:eastAsia="宋体" w:cs="宋体"/>
          <w:sz w:val="24"/>
        </w:rPr>
      </w:pPr>
    </w:p>
    <w:p w14:paraId="5531761F">
      <w:pPr>
        <w:spacing w:line="480" w:lineRule="exact"/>
        <w:rPr>
          <w:rFonts w:hint="eastAsia" w:ascii="宋体" w:hAnsi="宋体" w:eastAsia="宋体" w:cs="宋体"/>
          <w:sz w:val="24"/>
        </w:rPr>
      </w:pPr>
    </w:p>
    <w:p w14:paraId="1D5C0BF1">
      <w:pPr>
        <w:spacing w:line="480" w:lineRule="exact"/>
        <w:rPr>
          <w:rFonts w:hint="eastAsia" w:ascii="宋体" w:hAnsi="宋体" w:eastAsia="宋体" w:cs="宋体"/>
          <w:sz w:val="24"/>
        </w:rPr>
      </w:pPr>
    </w:p>
    <w:p w14:paraId="33EAFCC5">
      <w:pPr>
        <w:spacing w:line="480" w:lineRule="exact"/>
        <w:rPr>
          <w:rFonts w:hint="eastAsia" w:ascii="宋体" w:hAnsi="宋体" w:eastAsia="宋体" w:cs="宋体"/>
          <w:sz w:val="24"/>
        </w:rPr>
      </w:pPr>
    </w:p>
    <w:p w14:paraId="0DAE4335">
      <w:pPr>
        <w:spacing w:line="480" w:lineRule="exact"/>
        <w:rPr>
          <w:rFonts w:hint="eastAsia" w:ascii="宋体" w:hAnsi="宋体" w:eastAsia="宋体" w:cs="宋体"/>
          <w:sz w:val="24"/>
        </w:rPr>
      </w:pPr>
    </w:p>
    <w:p w14:paraId="34A2261D">
      <w:pPr>
        <w:spacing w:line="480" w:lineRule="exact"/>
        <w:rPr>
          <w:rFonts w:hint="eastAsia" w:ascii="宋体" w:hAnsi="宋体" w:eastAsia="宋体" w:cs="宋体"/>
          <w:sz w:val="24"/>
        </w:rPr>
      </w:pPr>
    </w:p>
    <w:p w14:paraId="113A1CF0">
      <w:pPr>
        <w:spacing w:line="480" w:lineRule="exact"/>
        <w:rPr>
          <w:rFonts w:hint="eastAsia" w:ascii="宋体" w:hAnsi="宋体" w:eastAsia="宋体" w:cs="宋体"/>
          <w:sz w:val="24"/>
        </w:rPr>
      </w:pPr>
    </w:p>
    <w:p w14:paraId="59E42C74">
      <w:pPr>
        <w:spacing w:line="480" w:lineRule="exact"/>
        <w:rPr>
          <w:rFonts w:hint="eastAsia" w:ascii="宋体" w:hAnsi="宋体" w:eastAsia="宋体" w:cs="宋体"/>
          <w:sz w:val="24"/>
        </w:rPr>
      </w:pPr>
    </w:p>
    <w:p w14:paraId="1D205281">
      <w:pPr>
        <w:spacing w:line="480" w:lineRule="exact"/>
        <w:rPr>
          <w:rFonts w:hint="eastAsia" w:ascii="宋体" w:hAnsi="宋体" w:eastAsia="宋体" w:cs="宋体"/>
          <w:sz w:val="24"/>
        </w:rPr>
      </w:pPr>
    </w:p>
    <w:p w14:paraId="588942DA">
      <w:pPr>
        <w:spacing w:line="480" w:lineRule="exact"/>
        <w:rPr>
          <w:rFonts w:hint="eastAsia" w:ascii="宋体" w:hAnsi="宋体" w:eastAsia="宋体" w:cs="宋体"/>
          <w:sz w:val="24"/>
        </w:rPr>
      </w:pPr>
    </w:p>
    <w:p w14:paraId="14EEB465">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2336" behindDoc="0" locked="0" layoutInCell="1" allowOverlap="1">
            <wp:simplePos x="0" y="0"/>
            <wp:positionH relativeFrom="column">
              <wp:posOffset>-116840</wp:posOffset>
            </wp:positionH>
            <wp:positionV relativeFrom="paragraph">
              <wp:posOffset>1338580</wp:posOffset>
            </wp:positionV>
            <wp:extent cx="5888990" cy="8423910"/>
            <wp:effectExtent l="0" t="0" r="16510" b="15240"/>
            <wp:wrapTopAndBottom/>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888990" cy="8423910"/>
                    </a:xfrm>
                    <a:prstGeom prst="rect">
                      <a:avLst/>
                    </a:prstGeom>
                  </pic:spPr>
                </pic:pic>
              </a:graphicData>
            </a:graphic>
          </wp:anchor>
        </w:drawing>
      </w:r>
    </w:p>
    <w:p w14:paraId="58EBEBF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25853652">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67EF959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570641E6">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3360" behindDoc="0" locked="0" layoutInCell="1" allowOverlap="1">
            <wp:simplePos x="0" y="0"/>
            <wp:positionH relativeFrom="column">
              <wp:posOffset>-38100</wp:posOffset>
            </wp:positionH>
            <wp:positionV relativeFrom="paragraph">
              <wp:posOffset>224790</wp:posOffset>
            </wp:positionV>
            <wp:extent cx="5995670" cy="8456930"/>
            <wp:effectExtent l="0" t="0" r="5080" b="1270"/>
            <wp:wrapSquare wrapText="bothSides"/>
            <wp:docPr id="9" name="图片 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
                    <pic:cNvPicPr>
                      <a:picLocks noChangeAspect="1"/>
                    </pic:cNvPicPr>
                  </pic:nvPicPr>
                  <pic:blipFill>
                    <a:blip r:embed="rId9"/>
                    <a:stretch>
                      <a:fillRect/>
                    </a:stretch>
                  </pic:blipFill>
                  <pic:spPr>
                    <a:xfrm>
                      <a:off x="647700" y="1139190"/>
                      <a:ext cx="5995670" cy="8456930"/>
                    </a:xfrm>
                    <a:prstGeom prst="rect">
                      <a:avLst/>
                    </a:prstGeom>
                  </pic:spPr>
                </pic:pic>
              </a:graphicData>
            </a:graphic>
          </wp:anchor>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1312" behindDoc="0" locked="0" layoutInCell="1" allowOverlap="1">
            <wp:simplePos x="0" y="0"/>
            <wp:positionH relativeFrom="column">
              <wp:posOffset>236220</wp:posOffset>
            </wp:positionH>
            <wp:positionV relativeFrom="paragraph">
              <wp:posOffset>113030</wp:posOffset>
            </wp:positionV>
            <wp:extent cx="5976620" cy="8301355"/>
            <wp:effectExtent l="0" t="0" r="5080" b="4445"/>
            <wp:wrapSquare wrapText="bothSides"/>
            <wp:docPr id="10" name="图片 10"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4"/>
                    <pic:cNvPicPr>
                      <a:picLocks noChangeAspect="1"/>
                    </pic:cNvPicPr>
                  </pic:nvPicPr>
                  <pic:blipFill>
                    <a:blip r:embed="rId10"/>
                    <a:stretch>
                      <a:fillRect/>
                    </a:stretch>
                  </pic:blipFill>
                  <pic:spPr>
                    <a:xfrm>
                      <a:off x="0" y="0"/>
                      <a:ext cx="5976620" cy="8301355"/>
                    </a:xfrm>
                    <a:prstGeom prst="rect">
                      <a:avLst/>
                    </a:prstGeom>
                  </pic:spPr>
                </pic:pic>
              </a:graphicData>
            </a:graphic>
          </wp:anchor>
        </w:drawing>
      </w:r>
    </w:p>
    <w:p w14:paraId="3C23EC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color w:val="auto"/>
          <w:sz w:val="44"/>
          <w:szCs w:val="44"/>
          <w:lang w:val="en-US" w:eastAsia="zh-CN"/>
        </w:rPr>
      </w:pPr>
      <w:bookmarkStart w:id="1" w:name="_Toc16523574"/>
      <w:r>
        <w:rPr>
          <w:rFonts w:hint="eastAsia" w:ascii="方正小标宋简体" w:hAnsi="方正小标宋简体" w:eastAsia="方正小标宋简体" w:cs="方正小标宋简体"/>
          <w:color w:val="auto"/>
          <w:sz w:val="44"/>
          <w:szCs w:val="44"/>
          <w:lang w:val="en-US" w:eastAsia="zh-CN"/>
        </w:rPr>
        <w:t>第三章</w:t>
      </w:r>
      <w:bookmarkStart w:id="2" w:name="_Toc16523573"/>
      <w:r>
        <w:rPr>
          <w:rFonts w:hint="eastAsia" w:ascii="方正小标宋简体" w:hAnsi="方正小标宋简体" w:eastAsia="方正小标宋简体" w:cs="方正小标宋简体"/>
          <w:color w:val="auto"/>
          <w:sz w:val="44"/>
          <w:szCs w:val="44"/>
          <w:lang w:val="en-US" w:eastAsia="zh-CN"/>
        </w:rPr>
        <w:t>评标方法及标准</w:t>
      </w:r>
      <w:bookmarkEnd w:id="2"/>
    </w:p>
    <w:p w14:paraId="6505C827">
      <w:pPr>
        <w:jc w:val="center"/>
        <w:rPr>
          <w:rFonts w:hint="eastAsia" w:ascii="仿宋" w:hAnsi="仿宋" w:eastAsia="仿宋" w:cs="仿宋"/>
          <w:sz w:val="24"/>
          <w:szCs w:val="24"/>
        </w:rPr>
      </w:pPr>
      <w:r>
        <w:rPr>
          <w:rFonts w:hint="eastAsia" w:ascii="仿宋" w:hAnsi="仿宋" w:eastAsia="仿宋" w:cs="仿宋"/>
          <w:sz w:val="24"/>
          <w:szCs w:val="24"/>
        </w:rPr>
        <w:t>本采购项目的权值见下表</w:t>
      </w:r>
    </w:p>
    <w:tbl>
      <w:tblPr>
        <w:tblStyle w:val="13"/>
        <w:tblW w:w="886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4705"/>
        <w:gridCol w:w="3439"/>
      </w:tblGrid>
      <w:tr w14:paraId="4FD447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9" w:hRule="exact"/>
          <w:jc w:val="center"/>
        </w:trPr>
        <w:tc>
          <w:tcPr>
            <w:tcW w:w="724" w:type="dxa"/>
            <w:tcBorders>
              <w:top w:val="double" w:color="auto" w:sz="4" w:space="0"/>
              <w:left w:val="double" w:color="auto" w:sz="4" w:space="0"/>
              <w:bottom w:val="single" w:color="auto" w:sz="6" w:space="0"/>
              <w:right w:val="single" w:color="auto" w:sz="6" w:space="0"/>
            </w:tcBorders>
            <w:noWrap w:val="0"/>
            <w:vAlign w:val="center"/>
          </w:tcPr>
          <w:p w14:paraId="7EE8710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序号</w:t>
            </w:r>
          </w:p>
        </w:tc>
        <w:tc>
          <w:tcPr>
            <w:tcW w:w="4705" w:type="dxa"/>
            <w:tcBorders>
              <w:top w:val="double" w:color="auto" w:sz="4" w:space="0"/>
              <w:left w:val="single" w:color="auto" w:sz="6" w:space="0"/>
              <w:bottom w:val="single" w:color="auto" w:sz="6" w:space="0"/>
              <w:right w:val="single" w:color="auto" w:sz="6" w:space="0"/>
            </w:tcBorders>
            <w:noWrap w:val="0"/>
            <w:vAlign w:val="center"/>
          </w:tcPr>
          <w:p w14:paraId="173B3D4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项     目</w:t>
            </w:r>
          </w:p>
        </w:tc>
        <w:tc>
          <w:tcPr>
            <w:tcW w:w="3439" w:type="dxa"/>
            <w:tcBorders>
              <w:top w:val="double" w:color="auto" w:sz="4" w:space="0"/>
              <w:left w:val="single" w:color="auto" w:sz="6" w:space="0"/>
              <w:bottom w:val="single" w:color="auto" w:sz="6" w:space="0"/>
              <w:right w:val="double" w:color="auto" w:sz="4" w:space="0"/>
            </w:tcBorders>
            <w:noWrap w:val="0"/>
            <w:vAlign w:val="center"/>
          </w:tcPr>
          <w:p w14:paraId="5A04CB7A">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权值的取值</w:t>
            </w:r>
          </w:p>
        </w:tc>
      </w:tr>
      <w:tr w14:paraId="22A72C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5BF3074D">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1</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72F9EC0B">
            <w:pPr>
              <w:jc w:val="center"/>
              <w:rPr>
                <w:rFonts w:hint="eastAsia" w:ascii="仿宋" w:hAnsi="仿宋" w:eastAsia="仿宋" w:cs="仿宋"/>
                <w:sz w:val="24"/>
                <w:szCs w:val="24"/>
                <w:lang w:val="ru-RU"/>
              </w:rPr>
            </w:pPr>
            <w:r>
              <w:rPr>
                <w:rFonts w:hint="eastAsia" w:ascii="仿宋" w:hAnsi="仿宋" w:eastAsia="仿宋" w:cs="仿宋"/>
                <w:sz w:val="24"/>
                <w:szCs w:val="24"/>
                <w:lang w:val="ru-RU" w:eastAsia="ru-RU"/>
              </w:rPr>
              <w:t>报价</w:t>
            </w:r>
            <w:r>
              <w:rPr>
                <w:rFonts w:hint="eastAsia" w:ascii="仿宋" w:hAnsi="仿宋" w:eastAsia="仿宋" w:cs="仿宋"/>
                <w:sz w:val="24"/>
                <w:szCs w:val="24"/>
                <w:lang w:val="ru-RU"/>
              </w:rPr>
              <w:t>（A1）</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7E3AA480">
            <w:pPr>
              <w:jc w:val="center"/>
              <w:rPr>
                <w:rFonts w:hint="eastAsia" w:ascii="仿宋" w:hAnsi="仿宋" w:eastAsia="仿宋" w:cs="仿宋"/>
                <w:sz w:val="24"/>
                <w:szCs w:val="24"/>
              </w:rPr>
            </w:pPr>
            <w:r>
              <w:rPr>
                <w:rFonts w:hint="eastAsia" w:ascii="仿宋" w:hAnsi="仿宋" w:eastAsia="仿宋" w:cs="仿宋"/>
                <w:sz w:val="24"/>
                <w:szCs w:val="24"/>
              </w:rPr>
              <w:t>50%</w:t>
            </w:r>
          </w:p>
        </w:tc>
      </w:tr>
      <w:tr w14:paraId="0323DC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1B7889E7">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2</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51BC837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技术</w:t>
            </w:r>
            <w:r>
              <w:rPr>
                <w:rFonts w:hint="eastAsia" w:ascii="仿宋" w:hAnsi="仿宋" w:eastAsia="仿宋" w:cs="仿宋"/>
                <w:sz w:val="24"/>
                <w:szCs w:val="24"/>
                <w:lang w:val="ru-RU"/>
              </w:rPr>
              <w:t>（A2）</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20D15E51">
            <w:pPr>
              <w:jc w:val="center"/>
              <w:rPr>
                <w:rFonts w:hint="eastAsia" w:ascii="仿宋" w:hAnsi="仿宋" w:eastAsia="仿宋" w:cs="仿宋"/>
                <w:sz w:val="24"/>
                <w:szCs w:val="24"/>
              </w:rPr>
            </w:pPr>
            <w:r>
              <w:rPr>
                <w:rFonts w:hint="eastAsia" w:ascii="仿宋" w:hAnsi="仿宋" w:eastAsia="仿宋" w:cs="仿宋"/>
                <w:sz w:val="24"/>
                <w:szCs w:val="24"/>
              </w:rPr>
              <w:t>40%</w:t>
            </w:r>
          </w:p>
        </w:tc>
      </w:tr>
      <w:tr w14:paraId="3B382F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58C16F54">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3</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118F2ACE">
            <w:pPr>
              <w:jc w:val="center"/>
              <w:rPr>
                <w:rFonts w:hint="eastAsia" w:ascii="仿宋" w:hAnsi="仿宋" w:eastAsia="仿宋" w:cs="仿宋"/>
                <w:sz w:val="24"/>
                <w:szCs w:val="24"/>
                <w:lang w:val="ru-RU"/>
              </w:rPr>
            </w:pPr>
            <w:r>
              <w:rPr>
                <w:rFonts w:hint="eastAsia" w:ascii="仿宋" w:hAnsi="仿宋" w:eastAsia="仿宋" w:cs="仿宋"/>
                <w:sz w:val="24"/>
                <w:szCs w:val="24"/>
                <w:lang w:val="ru-RU"/>
              </w:rPr>
              <w:t>商务（A3）</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2EE02E85">
            <w:pPr>
              <w:jc w:val="center"/>
              <w:rPr>
                <w:rFonts w:hint="eastAsia" w:ascii="仿宋" w:hAnsi="仿宋" w:eastAsia="仿宋" w:cs="仿宋"/>
                <w:sz w:val="24"/>
                <w:szCs w:val="24"/>
              </w:rPr>
            </w:pPr>
            <w:r>
              <w:rPr>
                <w:rFonts w:hint="eastAsia" w:ascii="仿宋" w:hAnsi="仿宋" w:eastAsia="仿宋" w:cs="仿宋"/>
                <w:sz w:val="24"/>
                <w:szCs w:val="24"/>
              </w:rPr>
              <w:t>10%</w:t>
            </w:r>
          </w:p>
        </w:tc>
      </w:tr>
      <w:tr w14:paraId="170FAB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5429" w:type="dxa"/>
            <w:gridSpan w:val="2"/>
            <w:tcBorders>
              <w:top w:val="single" w:color="auto" w:sz="6" w:space="0"/>
              <w:left w:val="double" w:color="auto" w:sz="4" w:space="0"/>
              <w:bottom w:val="double" w:color="auto" w:sz="4" w:space="0"/>
              <w:right w:val="single" w:color="auto" w:sz="6" w:space="0"/>
            </w:tcBorders>
            <w:noWrap w:val="0"/>
            <w:vAlign w:val="center"/>
          </w:tcPr>
          <w:p w14:paraId="5D2BDF2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rPr>
              <w:t>合计</w:t>
            </w:r>
          </w:p>
        </w:tc>
        <w:tc>
          <w:tcPr>
            <w:tcW w:w="3439" w:type="dxa"/>
            <w:tcBorders>
              <w:top w:val="single" w:color="auto" w:sz="6" w:space="0"/>
              <w:left w:val="single" w:color="auto" w:sz="6" w:space="0"/>
              <w:bottom w:val="double" w:color="auto" w:sz="4" w:space="0"/>
              <w:right w:val="double" w:color="auto" w:sz="4" w:space="0"/>
            </w:tcBorders>
            <w:noWrap w:val="0"/>
            <w:vAlign w:val="center"/>
          </w:tcPr>
          <w:p w14:paraId="665494A7">
            <w:pPr>
              <w:jc w:val="center"/>
              <w:rPr>
                <w:rFonts w:hint="eastAsia" w:ascii="仿宋" w:hAnsi="仿宋" w:eastAsia="仿宋" w:cs="仿宋"/>
                <w:sz w:val="24"/>
                <w:szCs w:val="24"/>
              </w:rPr>
            </w:pPr>
            <w:r>
              <w:rPr>
                <w:rFonts w:hint="eastAsia" w:ascii="仿宋" w:hAnsi="仿宋" w:eastAsia="仿宋" w:cs="仿宋"/>
                <w:sz w:val="24"/>
                <w:szCs w:val="24"/>
              </w:rPr>
              <w:t>1</w:t>
            </w:r>
          </w:p>
        </w:tc>
      </w:tr>
    </w:tbl>
    <w:p w14:paraId="44721463">
      <w:pPr>
        <w:jc w:val="center"/>
        <w:rPr>
          <w:rFonts w:hint="eastAsia" w:ascii="仿宋" w:hAnsi="仿宋" w:eastAsia="仿宋" w:cs="仿宋"/>
          <w:sz w:val="24"/>
          <w:szCs w:val="24"/>
        </w:rPr>
      </w:pPr>
    </w:p>
    <w:p w14:paraId="14DB9668">
      <w:pPr>
        <w:jc w:val="center"/>
        <w:rPr>
          <w:rFonts w:hint="eastAsia" w:ascii="仿宋" w:hAnsi="仿宋" w:eastAsia="仿宋" w:cs="仿宋"/>
          <w:sz w:val="24"/>
          <w:szCs w:val="24"/>
        </w:rPr>
      </w:pPr>
    </w:p>
    <w:p w14:paraId="33DADF36">
      <w:pPr>
        <w:jc w:val="center"/>
        <w:rPr>
          <w:rFonts w:hint="eastAsia" w:ascii="仿宋" w:hAnsi="仿宋" w:eastAsia="仿宋" w:cs="仿宋"/>
          <w:sz w:val="24"/>
          <w:szCs w:val="24"/>
        </w:rPr>
      </w:pPr>
      <w:r>
        <w:rPr>
          <w:rFonts w:hint="eastAsia" w:ascii="仿宋" w:hAnsi="仿宋" w:eastAsia="仿宋" w:cs="仿宋"/>
          <w:sz w:val="24"/>
          <w:szCs w:val="24"/>
        </w:rPr>
        <w:t>附表1.1投标报价评审标准表</w:t>
      </w:r>
    </w:p>
    <w:tbl>
      <w:tblPr>
        <w:tblStyle w:val="13"/>
        <w:tblW w:w="891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2"/>
        <w:gridCol w:w="1463"/>
        <w:gridCol w:w="6945"/>
      </w:tblGrid>
      <w:tr w14:paraId="423DB7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2" w:type="dxa"/>
            <w:tcBorders>
              <w:top w:val="double" w:color="auto" w:sz="4" w:space="0"/>
              <w:left w:val="double" w:color="auto" w:sz="4" w:space="0"/>
              <w:bottom w:val="single" w:color="auto" w:sz="6" w:space="0"/>
              <w:right w:val="single" w:color="auto" w:sz="4" w:space="0"/>
            </w:tcBorders>
            <w:noWrap w:val="0"/>
            <w:vAlign w:val="center"/>
          </w:tcPr>
          <w:p w14:paraId="1B0455E2">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463" w:type="dxa"/>
            <w:tcBorders>
              <w:top w:val="double" w:color="auto" w:sz="4" w:space="0"/>
              <w:left w:val="single" w:color="auto" w:sz="4" w:space="0"/>
              <w:bottom w:val="single" w:color="auto" w:sz="6" w:space="0"/>
              <w:right w:val="single" w:color="auto" w:sz="4" w:space="0"/>
            </w:tcBorders>
            <w:noWrap w:val="0"/>
            <w:vAlign w:val="center"/>
          </w:tcPr>
          <w:p w14:paraId="63431F5F">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945" w:type="dxa"/>
            <w:tcBorders>
              <w:top w:val="double" w:color="auto" w:sz="4" w:space="0"/>
              <w:left w:val="single" w:color="auto" w:sz="4" w:space="0"/>
              <w:bottom w:val="single" w:color="auto" w:sz="6" w:space="0"/>
              <w:right w:val="double" w:color="auto" w:sz="4" w:space="0"/>
            </w:tcBorders>
            <w:noWrap w:val="0"/>
            <w:vAlign w:val="center"/>
          </w:tcPr>
          <w:p w14:paraId="108F38D1">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7AB5E7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02" w:type="dxa"/>
            <w:tcBorders>
              <w:top w:val="single" w:color="auto" w:sz="6" w:space="0"/>
              <w:left w:val="double" w:color="auto" w:sz="4" w:space="0"/>
              <w:bottom w:val="single" w:color="auto" w:sz="6" w:space="0"/>
              <w:right w:val="single" w:color="auto" w:sz="4" w:space="0"/>
            </w:tcBorders>
            <w:noWrap w:val="0"/>
            <w:vAlign w:val="center"/>
          </w:tcPr>
          <w:p w14:paraId="741B3036">
            <w:pPr>
              <w:jc w:val="center"/>
              <w:rPr>
                <w:rFonts w:hint="eastAsia" w:ascii="仿宋" w:hAnsi="仿宋" w:eastAsia="仿宋" w:cs="仿宋"/>
                <w:sz w:val="24"/>
                <w:szCs w:val="24"/>
              </w:rPr>
            </w:pPr>
            <w:r>
              <w:rPr>
                <w:rFonts w:hint="eastAsia" w:ascii="仿宋" w:hAnsi="仿宋" w:eastAsia="仿宋" w:cs="仿宋"/>
                <w:sz w:val="24"/>
                <w:szCs w:val="24"/>
              </w:rPr>
              <w:t>1</w:t>
            </w:r>
          </w:p>
        </w:tc>
        <w:tc>
          <w:tcPr>
            <w:tcW w:w="1463" w:type="dxa"/>
            <w:tcBorders>
              <w:top w:val="single" w:color="auto" w:sz="6" w:space="0"/>
              <w:left w:val="single" w:color="auto" w:sz="4" w:space="0"/>
              <w:bottom w:val="single" w:color="auto" w:sz="6" w:space="0"/>
              <w:right w:val="single" w:color="auto" w:sz="4" w:space="0"/>
            </w:tcBorders>
            <w:noWrap w:val="0"/>
            <w:vAlign w:val="center"/>
          </w:tcPr>
          <w:p w14:paraId="30BC638F">
            <w:pPr>
              <w:jc w:val="center"/>
              <w:rPr>
                <w:rFonts w:hint="eastAsia" w:ascii="仿宋" w:hAnsi="仿宋" w:eastAsia="仿宋" w:cs="仿宋"/>
                <w:sz w:val="24"/>
                <w:szCs w:val="24"/>
              </w:rPr>
            </w:pPr>
            <w:r>
              <w:rPr>
                <w:rFonts w:hint="eastAsia" w:ascii="仿宋" w:hAnsi="仿宋" w:eastAsia="仿宋" w:cs="仿宋"/>
                <w:sz w:val="24"/>
                <w:szCs w:val="24"/>
              </w:rPr>
              <w:t>价格评价项</w:t>
            </w:r>
          </w:p>
          <w:p w14:paraId="16E77178">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945" w:type="dxa"/>
            <w:tcBorders>
              <w:top w:val="single" w:color="auto" w:sz="6" w:space="0"/>
              <w:left w:val="single" w:color="auto" w:sz="4" w:space="0"/>
              <w:bottom w:val="single" w:color="auto" w:sz="6" w:space="0"/>
              <w:right w:val="double" w:color="auto" w:sz="4" w:space="0"/>
            </w:tcBorders>
            <w:noWrap w:val="0"/>
            <w:vAlign w:val="center"/>
          </w:tcPr>
          <w:p w14:paraId="277AAA12">
            <w:pPr>
              <w:jc w:val="left"/>
              <w:rPr>
                <w:rFonts w:hint="eastAsia" w:ascii="仿宋" w:hAnsi="仿宋" w:eastAsia="仿宋" w:cs="仿宋"/>
                <w:sz w:val="24"/>
                <w:szCs w:val="24"/>
              </w:rPr>
            </w:pPr>
            <w:r>
              <w:rPr>
                <w:rFonts w:hint="eastAsia" w:ascii="仿宋" w:hAnsi="仿宋" w:eastAsia="仿宋" w:cs="仿宋"/>
                <w:sz w:val="24"/>
                <w:szCs w:val="24"/>
              </w:rPr>
              <w:t>1、满足招标文件要求且投标报价中最低的投标报价为评标基准价其价格分为满分；其他投标人的价格分统一按照以下公式计算：</w:t>
            </w:r>
          </w:p>
          <w:p w14:paraId="382993C6">
            <w:pPr>
              <w:jc w:val="left"/>
              <w:rPr>
                <w:rFonts w:hint="eastAsia" w:ascii="仿宋" w:hAnsi="仿宋" w:eastAsia="仿宋" w:cs="仿宋"/>
                <w:sz w:val="24"/>
                <w:szCs w:val="24"/>
              </w:rPr>
            </w:pPr>
            <w:r>
              <w:rPr>
                <w:rFonts w:hint="eastAsia" w:ascii="仿宋" w:hAnsi="仿宋" w:eastAsia="仿宋" w:cs="仿宋"/>
                <w:sz w:val="24"/>
                <w:szCs w:val="24"/>
              </w:rPr>
              <w:t>投标报价得分=（评标基准价/投标报价）×价格权值×100</w:t>
            </w:r>
          </w:p>
          <w:p w14:paraId="6E82FE21">
            <w:pPr>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B0BA615">
            <w:pPr>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、最终投标价以人民币元为单位，计算保留至小数点后2位（百分比亦然），小数点后第3位采取4舍5入</w:t>
            </w:r>
          </w:p>
        </w:tc>
      </w:tr>
    </w:tbl>
    <w:p w14:paraId="29D6D6CC">
      <w:pPr>
        <w:jc w:val="center"/>
        <w:rPr>
          <w:rFonts w:hint="eastAsia" w:ascii="仿宋" w:hAnsi="仿宋" w:eastAsia="仿宋" w:cs="仿宋"/>
          <w:sz w:val="24"/>
          <w:szCs w:val="24"/>
        </w:rPr>
      </w:pPr>
    </w:p>
    <w:p w14:paraId="7EAB5543">
      <w:pPr>
        <w:jc w:val="center"/>
        <w:rPr>
          <w:rFonts w:hint="eastAsia" w:ascii="仿宋" w:hAnsi="仿宋" w:eastAsia="仿宋" w:cs="仿宋"/>
          <w:sz w:val="24"/>
          <w:szCs w:val="24"/>
        </w:rPr>
      </w:pPr>
    </w:p>
    <w:p w14:paraId="5DE4AB9C">
      <w:pPr>
        <w:jc w:val="center"/>
        <w:rPr>
          <w:rFonts w:hint="eastAsia" w:ascii="仿宋" w:hAnsi="仿宋" w:eastAsia="仿宋" w:cs="仿宋"/>
          <w:sz w:val="24"/>
          <w:szCs w:val="24"/>
        </w:rPr>
      </w:pPr>
    </w:p>
    <w:p w14:paraId="03133162">
      <w:pPr>
        <w:jc w:val="center"/>
        <w:rPr>
          <w:rFonts w:hint="eastAsia" w:ascii="仿宋" w:hAnsi="仿宋" w:eastAsia="仿宋" w:cs="仿宋"/>
          <w:sz w:val="24"/>
          <w:szCs w:val="24"/>
        </w:rPr>
      </w:pPr>
    </w:p>
    <w:p w14:paraId="1554B452">
      <w:pPr>
        <w:jc w:val="center"/>
        <w:rPr>
          <w:rFonts w:hint="eastAsia" w:ascii="仿宋" w:hAnsi="仿宋" w:eastAsia="仿宋" w:cs="仿宋"/>
          <w:sz w:val="24"/>
          <w:szCs w:val="24"/>
        </w:rPr>
      </w:pPr>
      <w:r>
        <w:rPr>
          <w:rFonts w:hint="eastAsia" w:ascii="仿宋" w:hAnsi="仿宋" w:eastAsia="仿宋" w:cs="仿宋"/>
          <w:sz w:val="24"/>
          <w:szCs w:val="24"/>
        </w:rPr>
        <w:br w:type="page"/>
      </w:r>
    </w:p>
    <w:p w14:paraId="5F766B0E">
      <w:pPr>
        <w:jc w:val="center"/>
        <w:rPr>
          <w:rFonts w:hint="eastAsia" w:ascii="仿宋" w:hAnsi="仿宋" w:eastAsia="仿宋" w:cs="仿宋"/>
          <w:sz w:val="24"/>
          <w:szCs w:val="24"/>
        </w:rPr>
      </w:pPr>
      <w:r>
        <w:rPr>
          <w:rFonts w:hint="eastAsia" w:ascii="仿宋" w:hAnsi="仿宋" w:eastAsia="仿宋" w:cs="仿宋"/>
          <w:sz w:val="24"/>
          <w:szCs w:val="24"/>
        </w:rPr>
        <w:t>附表1.2技术部分评审标准表</w:t>
      </w:r>
    </w:p>
    <w:tbl>
      <w:tblPr>
        <w:tblStyle w:val="13"/>
        <w:tblW w:w="89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1643"/>
        <w:gridCol w:w="763"/>
        <w:gridCol w:w="641"/>
        <w:gridCol w:w="5390"/>
      </w:tblGrid>
      <w:tr w14:paraId="68C4F3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top w:val="double" w:color="auto" w:sz="4" w:space="0"/>
              <w:left w:val="double" w:color="auto" w:sz="4" w:space="0"/>
              <w:bottom w:val="single" w:color="auto" w:sz="6" w:space="0"/>
              <w:right w:val="single" w:color="auto" w:sz="4" w:space="0"/>
            </w:tcBorders>
            <w:noWrap w:val="0"/>
            <w:vAlign w:val="center"/>
          </w:tcPr>
          <w:p w14:paraId="02784703">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643" w:type="dxa"/>
            <w:tcBorders>
              <w:top w:val="double" w:color="auto" w:sz="4" w:space="0"/>
              <w:left w:val="single" w:color="auto" w:sz="4" w:space="0"/>
              <w:bottom w:val="single" w:color="auto" w:sz="6" w:space="0"/>
              <w:right w:val="single" w:color="auto" w:sz="4" w:space="0"/>
            </w:tcBorders>
            <w:noWrap w:val="0"/>
            <w:vAlign w:val="center"/>
          </w:tcPr>
          <w:p w14:paraId="2FEA214F">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794" w:type="dxa"/>
            <w:gridSpan w:val="3"/>
            <w:tcBorders>
              <w:top w:val="double" w:color="auto" w:sz="4" w:space="0"/>
              <w:left w:val="single" w:color="auto" w:sz="4" w:space="0"/>
              <w:bottom w:val="single" w:color="auto" w:sz="6" w:space="0"/>
              <w:right w:val="double" w:color="auto" w:sz="4" w:space="0"/>
            </w:tcBorders>
            <w:noWrap w:val="0"/>
            <w:vAlign w:val="center"/>
          </w:tcPr>
          <w:p w14:paraId="25D71E13">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796E01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top w:val="single" w:color="auto" w:sz="6" w:space="0"/>
              <w:left w:val="double" w:color="auto" w:sz="4" w:space="0"/>
              <w:bottom w:val="single" w:color="auto" w:sz="6" w:space="0"/>
              <w:right w:val="single" w:color="auto" w:sz="4" w:space="0"/>
            </w:tcBorders>
            <w:noWrap w:val="0"/>
            <w:vAlign w:val="center"/>
          </w:tcPr>
          <w:p w14:paraId="67B4B751">
            <w:pPr>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1643" w:type="dxa"/>
            <w:tcBorders>
              <w:top w:val="single" w:color="auto" w:sz="6" w:space="0"/>
              <w:left w:val="single" w:color="auto" w:sz="4" w:space="0"/>
              <w:bottom w:val="single" w:color="auto" w:sz="6" w:space="0"/>
              <w:right w:val="single" w:color="auto" w:sz="6" w:space="0"/>
            </w:tcBorders>
            <w:noWrap w:val="0"/>
            <w:vAlign w:val="center"/>
          </w:tcPr>
          <w:p w14:paraId="12DB6FE3">
            <w:pPr>
              <w:jc w:val="center"/>
              <w:rPr>
                <w:rFonts w:hint="eastAsia" w:ascii="仿宋" w:hAnsi="仿宋" w:eastAsia="仿宋" w:cs="仿宋"/>
                <w:color w:val="auto"/>
                <w:sz w:val="24"/>
                <w:szCs w:val="24"/>
              </w:rPr>
            </w:pPr>
            <w:r>
              <w:rPr>
                <w:rFonts w:hint="eastAsia" w:ascii="仿宋" w:hAnsi="仿宋" w:eastAsia="仿宋" w:cs="仿宋"/>
                <w:color w:val="auto"/>
                <w:sz w:val="24"/>
                <w:szCs w:val="24"/>
              </w:rPr>
              <w:t>技术评价项</w:t>
            </w:r>
          </w:p>
          <w:p w14:paraId="305BF3AF">
            <w:pPr>
              <w:jc w:val="center"/>
              <w:rPr>
                <w:rFonts w:hint="eastAsia" w:ascii="仿宋" w:hAnsi="仿宋" w:eastAsia="仿宋" w:cs="仿宋"/>
                <w:color w:val="auto"/>
                <w:sz w:val="24"/>
                <w:szCs w:val="24"/>
              </w:rPr>
            </w:pPr>
            <w:r>
              <w:rPr>
                <w:rFonts w:hint="eastAsia" w:ascii="仿宋" w:hAnsi="仿宋" w:eastAsia="仿宋" w:cs="仿宋"/>
                <w:color w:val="auto"/>
                <w:sz w:val="24"/>
                <w:szCs w:val="24"/>
              </w:rPr>
              <w:t>（F=100分）</w:t>
            </w:r>
          </w:p>
        </w:tc>
        <w:tc>
          <w:tcPr>
            <w:tcW w:w="763" w:type="dxa"/>
            <w:tcBorders>
              <w:top w:val="single" w:color="auto" w:sz="6" w:space="0"/>
              <w:left w:val="single" w:color="auto" w:sz="6" w:space="0"/>
              <w:bottom w:val="single" w:color="auto" w:sz="6" w:space="0"/>
              <w:right w:val="single" w:color="auto" w:sz="4" w:space="0"/>
            </w:tcBorders>
            <w:noWrap w:val="0"/>
            <w:vAlign w:val="center"/>
          </w:tcPr>
          <w:p w14:paraId="20DC8CC7">
            <w:pPr>
              <w:jc w:val="center"/>
              <w:rPr>
                <w:rFonts w:hint="eastAsia" w:ascii="仿宋" w:hAnsi="仿宋" w:eastAsia="仿宋" w:cs="仿宋"/>
                <w:color w:val="auto"/>
                <w:sz w:val="24"/>
                <w:szCs w:val="24"/>
              </w:rPr>
            </w:pPr>
            <w:r>
              <w:rPr>
                <w:rFonts w:hint="eastAsia" w:ascii="仿宋" w:hAnsi="仿宋" w:eastAsia="仿宋" w:cs="仿宋"/>
                <w:color w:val="auto"/>
                <w:sz w:val="24"/>
                <w:szCs w:val="24"/>
              </w:rPr>
              <w:t>技术参数</w:t>
            </w:r>
          </w:p>
        </w:tc>
        <w:tc>
          <w:tcPr>
            <w:tcW w:w="641" w:type="dxa"/>
            <w:tcBorders>
              <w:top w:val="single" w:color="auto" w:sz="6" w:space="0"/>
              <w:left w:val="single" w:color="auto" w:sz="4" w:space="0"/>
              <w:bottom w:val="single" w:color="auto" w:sz="6" w:space="0"/>
              <w:right w:val="single" w:color="auto" w:sz="6" w:space="0"/>
            </w:tcBorders>
            <w:noWrap w:val="0"/>
            <w:vAlign w:val="center"/>
          </w:tcPr>
          <w:p w14:paraId="769012A3">
            <w:pPr>
              <w:jc w:val="center"/>
              <w:rPr>
                <w:rFonts w:hint="eastAsia" w:ascii="仿宋" w:hAnsi="仿宋" w:eastAsia="仿宋" w:cs="仿宋"/>
                <w:color w:val="auto"/>
                <w:sz w:val="24"/>
                <w:szCs w:val="24"/>
              </w:rPr>
            </w:pPr>
            <w:r>
              <w:rPr>
                <w:rFonts w:hint="eastAsia" w:ascii="仿宋" w:hAnsi="仿宋" w:eastAsia="仿宋" w:cs="仿宋"/>
                <w:color w:val="auto"/>
                <w:sz w:val="24"/>
                <w:szCs w:val="24"/>
              </w:rPr>
              <w:t>100</w:t>
            </w:r>
          </w:p>
        </w:tc>
        <w:tc>
          <w:tcPr>
            <w:tcW w:w="5390" w:type="dxa"/>
            <w:tcBorders>
              <w:top w:val="single" w:color="auto" w:sz="6" w:space="0"/>
              <w:left w:val="single" w:color="auto" w:sz="6" w:space="0"/>
              <w:bottom w:val="single" w:color="auto" w:sz="6" w:space="0"/>
              <w:right w:val="double" w:color="auto" w:sz="4" w:space="0"/>
            </w:tcBorders>
            <w:noWrap w:val="0"/>
            <w:vAlign w:val="center"/>
          </w:tcPr>
          <w:p w14:paraId="3A9DD5A5">
            <w:pPr>
              <w:jc w:val="left"/>
              <w:rPr>
                <w:rFonts w:hint="eastAsia" w:ascii="仿宋" w:hAnsi="仿宋" w:eastAsia="仿宋" w:cs="仿宋"/>
                <w:sz w:val="24"/>
                <w:szCs w:val="24"/>
              </w:rPr>
            </w:pPr>
            <w:r>
              <w:rPr>
                <w:rFonts w:hint="eastAsia" w:ascii="仿宋" w:hAnsi="仿宋" w:eastAsia="仿宋" w:cs="仿宋"/>
                <w:sz w:val="24"/>
                <w:szCs w:val="24"/>
              </w:rPr>
              <w:t>投标文件无技术条款响应/偏离表的本项计0分；</w:t>
            </w:r>
          </w:p>
          <w:p w14:paraId="6D3F4D7A">
            <w:pPr>
              <w:jc w:val="left"/>
              <w:rPr>
                <w:rFonts w:hint="eastAsia" w:ascii="仿宋" w:hAnsi="仿宋" w:eastAsia="仿宋" w:cs="仿宋"/>
                <w:sz w:val="24"/>
                <w:szCs w:val="24"/>
              </w:rPr>
            </w:pPr>
            <w:r>
              <w:rPr>
                <w:rFonts w:hint="eastAsia" w:ascii="仿宋" w:hAnsi="仿宋" w:eastAsia="仿宋" w:cs="仿宋"/>
                <w:sz w:val="24"/>
                <w:szCs w:val="24"/>
              </w:rPr>
              <w:t>1、技术参数满足招标文件要求无负偏离的本项计100分；</w:t>
            </w:r>
          </w:p>
          <w:p w14:paraId="76C8FD84">
            <w:pPr>
              <w:jc w:val="left"/>
              <w:rPr>
                <w:rFonts w:hint="eastAsia" w:ascii="仿宋" w:hAnsi="仿宋" w:eastAsia="仿宋" w:cs="仿宋"/>
                <w:sz w:val="24"/>
                <w:szCs w:val="24"/>
              </w:rPr>
            </w:pPr>
            <w:r>
              <w:rPr>
                <w:rFonts w:hint="eastAsia" w:ascii="仿宋" w:hAnsi="仿宋" w:eastAsia="仿宋" w:cs="仿宋"/>
                <w:sz w:val="24"/>
                <w:szCs w:val="24"/>
              </w:rPr>
              <w:t>2、标注“▲”的参数为重要参数，每一项负偏离或缺漏扣10分；</w:t>
            </w:r>
          </w:p>
          <w:p w14:paraId="41B3645E">
            <w:pPr>
              <w:jc w:val="left"/>
              <w:rPr>
                <w:rFonts w:hint="eastAsia" w:ascii="仿宋" w:hAnsi="仿宋" w:eastAsia="仿宋" w:cs="仿宋"/>
                <w:sz w:val="24"/>
                <w:szCs w:val="24"/>
              </w:rPr>
            </w:pPr>
            <w:r>
              <w:rPr>
                <w:rFonts w:hint="eastAsia" w:ascii="仿宋" w:hAnsi="仿宋" w:eastAsia="仿宋" w:cs="仿宋"/>
                <w:sz w:val="24"/>
                <w:szCs w:val="24"/>
              </w:rPr>
              <w:t>3、一般技术参数（即非“★”非“▲”号参数）存在负偏离，每条负偏离扣6分。</w:t>
            </w:r>
          </w:p>
          <w:p w14:paraId="33178DC7">
            <w:pPr>
              <w:jc w:val="left"/>
              <w:rPr>
                <w:rFonts w:hint="eastAsia" w:ascii="仿宋" w:hAnsi="仿宋" w:eastAsia="仿宋" w:cs="仿宋"/>
                <w:color w:val="auto"/>
                <w:sz w:val="24"/>
                <w:szCs w:val="24"/>
              </w:rPr>
            </w:pPr>
            <w:r>
              <w:rPr>
                <w:rFonts w:hint="eastAsia" w:ascii="仿宋" w:hAnsi="仿宋" w:eastAsia="仿宋" w:cs="仿宋"/>
                <w:sz w:val="24"/>
                <w:szCs w:val="24"/>
              </w:rPr>
              <w:t>（注：标注“▲”技术参数以及技术规格中要求该项参数提供有关证明文件的一般参数，投标人应提供证明材料，包括但不限于技术白皮书、产品彩页、检测报告等形式。如无相关证明文件或相关证明文件不完整，则按相应负偏离计算；此项只做评分因素，不做废标条件</w:t>
            </w:r>
            <w:r>
              <w:rPr>
                <w:rFonts w:hint="eastAsia" w:ascii="仿宋" w:hAnsi="仿宋" w:eastAsia="仿宋" w:cs="仿宋"/>
                <w:sz w:val="24"/>
                <w:szCs w:val="24"/>
                <w:lang w:eastAsia="zh-CN"/>
              </w:rPr>
              <w:t>；</w:t>
            </w:r>
            <w:r>
              <w:rPr>
                <w:rFonts w:hint="eastAsia" w:ascii="仿宋" w:hAnsi="仿宋" w:eastAsia="仿宋" w:cs="仿宋"/>
                <w:sz w:val="24"/>
                <w:szCs w:val="24"/>
              </w:rPr>
              <w:t>“★”</w:t>
            </w:r>
            <w:r>
              <w:rPr>
                <w:rFonts w:hint="eastAsia" w:ascii="仿宋" w:hAnsi="仿宋" w:eastAsia="仿宋" w:cs="仿宋"/>
                <w:sz w:val="24"/>
                <w:szCs w:val="24"/>
                <w:lang w:eastAsia="zh-CN"/>
              </w:rPr>
              <w:t>为实质性条款，任何一条负偏离视为无效投标</w:t>
            </w:r>
            <w:r>
              <w:rPr>
                <w:rFonts w:hint="eastAsia" w:ascii="仿宋" w:hAnsi="仿宋" w:eastAsia="仿宋" w:cs="仿宋"/>
                <w:sz w:val="24"/>
                <w:szCs w:val="24"/>
              </w:rPr>
              <w:t>）</w:t>
            </w:r>
          </w:p>
        </w:tc>
      </w:tr>
    </w:tbl>
    <w:p w14:paraId="523BA3D2">
      <w:pPr>
        <w:jc w:val="center"/>
        <w:rPr>
          <w:rFonts w:hint="eastAsia" w:ascii="仿宋" w:hAnsi="仿宋" w:eastAsia="仿宋" w:cs="仿宋"/>
          <w:color w:val="auto"/>
          <w:sz w:val="24"/>
          <w:szCs w:val="24"/>
        </w:rPr>
      </w:pPr>
    </w:p>
    <w:p w14:paraId="44449688">
      <w:pPr>
        <w:jc w:val="center"/>
        <w:rPr>
          <w:rFonts w:hint="eastAsia" w:ascii="仿宋" w:hAnsi="仿宋" w:eastAsia="仿宋" w:cs="仿宋"/>
          <w:color w:val="auto"/>
          <w:sz w:val="24"/>
          <w:szCs w:val="24"/>
        </w:rPr>
      </w:pPr>
      <w:r>
        <w:rPr>
          <w:rFonts w:hint="eastAsia" w:ascii="仿宋" w:hAnsi="仿宋" w:eastAsia="仿宋" w:cs="仿宋"/>
          <w:color w:val="auto"/>
          <w:sz w:val="24"/>
          <w:szCs w:val="24"/>
        </w:rPr>
        <w:br w:type="page"/>
      </w:r>
      <w:r>
        <w:rPr>
          <w:rFonts w:hint="eastAsia" w:ascii="仿宋" w:hAnsi="仿宋" w:eastAsia="仿宋" w:cs="仿宋"/>
          <w:color w:val="auto"/>
          <w:sz w:val="24"/>
          <w:szCs w:val="24"/>
        </w:rPr>
        <w:t>附表1.3商务部分评审标准表</w:t>
      </w:r>
    </w:p>
    <w:tbl>
      <w:tblPr>
        <w:tblStyle w:val="13"/>
        <w:tblW w:w="898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1473"/>
        <w:gridCol w:w="1486"/>
        <w:gridCol w:w="682"/>
        <w:gridCol w:w="4841"/>
      </w:tblGrid>
      <w:tr w14:paraId="2AFA902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503" w:type="dxa"/>
            <w:tcBorders>
              <w:tl2br w:val="nil"/>
              <w:tr2bl w:val="nil"/>
            </w:tcBorders>
            <w:noWrap w:val="0"/>
            <w:vAlign w:val="center"/>
          </w:tcPr>
          <w:p w14:paraId="4FAA5EC1">
            <w:pPr>
              <w:jc w:val="center"/>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473" w:type="dxa"/>
            <w:tcBorders>
              <w:tl2br w:val="nil"/>
              <w:tr2bl w:val="nil"/>
            </w:tcBorders>
            <w:noWrap w:val="0"/>
            <w:vAlign w:val="center"/>
          </w:tcPr>
          <w:p w14:paraId="0113CA81">
            <w:pPr>
              <w:jc w:val="center"/>
              <w:rPr>
                <w:rFonts w:hint="eastAsia" w:ascii="仿宋" w:hAnsi="仿宋" w:eastAsia="仿宋" w:cs="仿宋"/>
                <w:color w:val="auto"/>
                <w:sz w:val="24"/>
                <w:szCs w:val="24"/>
              </w:rPr>
            </w:pPr>
            <w:r>
              <w:rPr>
                <w:rFonts w:hint="eastAsia" w:ascii="仿宋" w:hAnsi="仿宋" w:eastAsia="仿宋" w:cs="仿宋"/>
                <w:color w:val="auto"/>
                <w:sz w:val="24"/>
                <w:szCs w:val="24"/>
              </w:rPr>
              <w:t>评标因素（分值）</w:t>
            </w:r>
          </w:p>
        </w:tc>
        <w:tc>
          <w:tcPr>
            <w:tcW w:w="7009" w:type="dxa"/>
            <w:gridSpan w:val="3"/>
            <w:tcBorders>
              <w:tl2br w:val="nil"/>
              <w:tr2bl w:val="nil"/>
            </w:tcBorders>
            <w:noWrap w:val="0"/>
            <w:vAlign w:val="center"/>
          </w:tcPr>
          <w:p w14:paraId="7286AA18">
            <w:pPr>
              <w:jc w:val="center"/>
              <w:rPr>
                <w:rFonts w:hint="eastAsia" w:ascii="仿宋" w:hAnsi="仿宋" w:eastAsia="仿宋" w:cs="仿宋"/>
                <w:color w:val="auto"/>
                <w:sz w:val="24"/>
                <w:szCs w:val="24"/>
              </w:rPr>
            </w:pPr>
            <w:r>
              <w:rPr>
                <w:rFonts w:hint="eastAsia" w:ascii="仿宋" w:hAnsi="仿宋" w:eastAsia="仿宋" w:cs="仿宋"/>
                <w:color w:val="auto"/>
                <w:sz w:val="24"/>
                <w:szCs w:val="24"/>
              </w:rPr>
              <w:t>评标标准</w:t>
            </w:r>
          </w:p>
        </w:tc>
      </w:tr>
      <w:tr w14:paraId="38E5C20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restart"/>
            <w:tcBorders>
              <w:tl2br w:val="nil"/>
              <w:tr2bl w:val="nil"/>
            </w:tcBorders>
            <w:noWrap w:val="0"/>
            <w:vAlign w:val="center"/>
          </w:tcPr>
          <w:p w14:paraId="1F869E5F">
            <w:pPr>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1473" w:type="dxa"/>
            <w:vMerge w:val="restart"/>
            <w:tcBorders>
              <w:tl2br w:val="nil"/>
              <w:tr2bl w:val="nil"/>
            </w:tcBorders>
            <w:noWrap w:val="0"/>
            <w:vAlign w:val="center"/>
          </w:tcPr>
          <w:p w14:paraId="05A61FC6">
            <w:pPr>
              <w:jc w:val="center"/>
              <w:rPr>
                <w:rFonts w:hint="eastAsia" w:ascii="仿宋" w:hAnsi="仿宋" w:eastAsia="仿宋" w:cs="仿宋"/>
                <w:color w:val="auto"/>
                <w:sz w:val="24"/>
                <w:szCs w:val="24"/>
              </w:rPr>
            </w:pPr>
            <w:r>
              <w:rPr>
                <w:rFonts w:hint="eastAsia" w:ascii="仿宋" w:hAnsi="仿宋" w:eastAsia="仿宋" w:cs="仿宋"/>
                <w:color w:val="auto"/>
                <w:sz w:val="24"/>
                <w:szCs w:val="24"/>
              </w:rPr>
              <w:t>商务评价项</w:t>
            </w:r>
          </w:p>
          <w:p w14:paraId="36C83338">
            <w:pPr>
              <w:jc w:val="center"/>
              <w:rPr>
                <w:rFonts w:hint="eastAsia" w:ascii="仿宋" w:hAnsi="仿宋" w:eastAsia="仿宋" w:cs="仿宋"/>
                <w:color w:val="auto"/>
                <w:sz w:val="24"/>
                <w:szCs w:val="24"/>
              </w:rPr>
            </w:pPr>
            <w:r>
              <w:rPr>
                <w:rFonts w:hint="eastAsia" w:ascii="仿宋" w:hAnsi="仿宋" w:eastAsia="仿宋" w:cs="仿宋"/>
                <w:color w:val="auto"/>
                <w:sz w:val="24"/>
                <w:szCs w:val="24"/>
              </w:rPr>
              <w:t>（F=100分）</w:t>
            </w:r>
          </w:p>
        </w:tc>
        <w:tc>
          <w:tcPr>
            <w:tcW w:w="1486" w:type="dxa"/>
            <w:tcBorders>
              <w:tl2br w:val="nil"/>
              <w:tr2bl w:val="nil"/>
            </w:tcBorders>
            <w:noWrap w:val="0"/>
            <w:vAlign w:val="center"/>
          </w:tcPr>
          <w:p w14:paraId="43F9E75B">
            <w:pPr>
              <w:jc w:val="center"/>
              <w:rPr>
                <w:rFonts w:hint="eastAsia" w:ascii="仿宋" w:hAnsi="仿宋" w:eastAsia="仿宋" w:cs="仿宋"/>
                <w:color w:val="auto"/>
                <w:sz w:val="24"/>
                <w:szCs w:val="24"/>
              </w:rPr>
            </w:pPr>
            <w:r>
              <w:rPr>
                <w:rFonts w:hint="eastAsia" w:ascii="仿宋" w:hAnsi="仿宋" w:eastAsia="仿宋" w:cs="仿宋"/>
                <w:color w:val="auto"/>
                <w:sz w:val="24"/>
                <w:szCs w:val="24"/>
              </w:rPr>
              <w:t>售后服务</w:t>
            </w:r>
          </w:p>
        </w:tc>
        <w:tc>
          <w:tcPr>
            <w:tcW w:w="682" w:type="dxa"/>
            <w:tcBorders>
              <w:tl2br w:val="nil"/>
              <w:tr2bl w:val="nil"/>
            </w:tcBorders>
            <w:noWrap w:val="0"/>
            <w:vAlign w:val="center"/>
          </w:tcPr>
          <w:p w14:paraId="46050400">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55</w:t>
            </w:r>
          </w:p>
        </w:tc>
        <w:tc>
          <w:tcPr>
            <w:tcW w:w="4841" w:type="dxa"/>
            <w:tcBorders>
              <w:tl2br w:val="nil"/>
              <w:tr2bl w:val="nil"/>
            </w:tcBorders>
            <w:noWrap w:val="0"/>
            <w:vAlign w:val="center"/>
          </w:tcPr>
          <w:p w14:paraId="4C14F0A6">
            <w:pPr>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针对本项目有明确的售后服务方案，包括但不限于：①设备配送、安装、检验等；②发生故障后的补救措施及巡检服务；③售后服务维修人员详细情况；④维修的响应时间；⑤备品配件的清单及供应保障措施。</w:t>
            </w:r>
          </w:p>
          <w:p w14:paraId="5A737568">
            <w:pPr>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上述小项方案具有针对性和可行性，符合采购实际需求，内容完整合理满足招标文件要求的每项得7分。存在一般缺陷的每项方案得3.5分（一般缺陷是指方案内容前后不一致或前后逻辑错误或内容有缺失，不影响项目的实施）。未提供或存在重大缺陷的每项方案不得分（重大缺陷是指方案凭空编造或与采购项目和采购需求无关，无法指导项目实施）。</w:t>
            </w:r>
          </w:p>
          <w:p w14:paraId="51E3BA4F">
            <w:pPr>
              <w:jc w:val="left"/>
              <w:rPr>
                <w:rFonts w:hint="eastAsia" w:ascii="仿宋" w:hAnsi="仿宋" w:eastAsia="仿宋" w:cs="仿宋"/>
                <w:color w:val="auto"/>
                <w:sz w:val="24"/>
                <w:szCs w:val="24"/>
              </w:rPr>
            </w:pPr>
            <w:r>
              <w:rPr>
                <w:rFonts w:hint="eastAsia" w:ascii="仿宋" w:hAnsi="仿宋" w:eastAsia="仿宋" w:cs="仿宋"/>
                <w:color w:val="auto"/>
                <w:sz w:val="24"/>
                <w:szCs w:val="24"/>
              </w:rPr>
              <w:t>2、质保期在招标要求基础上再增加1年的加10分，增加2年以上的加20分，最高可加20分。</w:t>
            </w:r>
          </w:p>
        </w:tc>
      </w:tr>
      <w:tr w14:paraId="26EED3B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38305688">
            <w:pPr>
              <w:jc w:val="center"/>
              <w:rPr>
                <w:rFonts w:hint="eastAsia" w:ascii="仿宋" w:hAnsi="仿宋" w:eastAsia="仿宋" w:cs="仿宋"/>
                <w:color w:val="auto"/>
                <w:sz w:val="24"/>
                <w:szCs w:val="24"/>
              </w:rPr>
            </w:pPr>
          </w:p>
        </w:tc>
        <w:tc>
          <w:tcPr>
            <w:tcW w:w="1473" w:type="dxa"/>
            <w:vMerge w:val="continue"/>
            <w:tcBorders>
              <w:tl2br w:val="nil"/>
              <w:tr2bl w:val="nil"/>
            </w:tcBorders>
            <w:noWrap w:val="0"/>
            <w:vAlign w:val="center"/>
          </w:tcPr>
          <w:p w14:paraId="2C8BFC02">
            <w:pPr>
              <w:jc w:val="center"/>
              <w:rPr>
                <w:rFonts w:hint="eastAsia" w:ascii="仿宋" w:hAnsi="仿宋" w:eastAsia="仿宋" w:cs="仿宋"/>
                <w:color w:val="auto"/>
                <w:sz w:val="24"/>
                <w:szCs w:val="24"/>
              </w:rPr>
            </w:pPr>
          </w:p>
        </w:tc>
        <w:tc>
          <w:tcPr>
            <w:tcW w:w="1486" w:type="dxa"/>
            <w:tcBorders>
              <w:tl2br w:val="nil"/>
              <w:tr2bl w:val="nil"/>
            </w:tcBorders>
            <w:noWrap w:val="0"/>
            <w:vAlign w:val="center"/>
          </w:tcPr>
          <w:p w14:paraId="1EECC22E">
            <w:pPr>
              <w:jc w:val="center"/>
              <w:rPr>
                <w:rFonts w:hint="eastAsia" w:ascii="仿宋" w:hAnsi="仿宋" w:eastAsia="仿宋" w:cs="仿宋"/>
                <w:color w:val="auto"/>
                <w:sz w:val="24"/>
                <w:szCs w:val="24"/>
              </w:rPr>
            </w:pPr>
            <w:r>
              <w:rPr>
                <w:rFonts w:hint="eastAsia" w:ascii="仿宋" w:hAnsi="仿宋" w:eastAsia="仿宋" w:cs="仿宋"/>
                <w:color w:val="auto"/>
                <w:sz w:val="24"/>
                <w:szCs w:val="24"/>
              </w:rPr>
              <w:t>培训方案</w:t>
            </w:r>
          </w:p>
        </w:tc>
        <w:tc>
          <w:tcPr>
            <w:tcW w:w="682" w:type="dxa"/>
            <w:tcBorders>
              <w:tl2br w:val="nil"/>
              <w:tr2bl w:val="nil"/>
            </w:tcBorders>
            <w:noWrap w:val="0"/>
            <w:vAlign w:val="center"/>
          </w:tcPr>
          <w:p w14:paraId="4BF791B0">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15</w:t>
            </w:r>
          </w:p>
        </w:tc>
        <w:tc>
          <w:tcPr>
            <w:tcW w:w="4841" w:type="dxa"/>
            <w:tcBorders>
              <w:tl2br w:val="nil"/>
              <w:tr2bl w:val="nil"/>
            </w:tcBorders>
            <w:noWrap w:val="0"/>
            <w:vAlign w:val="center"/>
          </w:tcPr>
          <w:p w14:paraId="1A280959">
            <w:pPr>
              <w:jc w:val="left"/>
              <w:rPr>
                <w:rFonts w:hint="eastAsia" w:ascii="仿宋" w:hAnsi="仿宋" w:eastAsia="仿宋" w:cs="仿宋"/>
                <w:color w:val="auto"/>
                <w:sz w:val="24"/>
                <w:szCs w:val="24"/>
              </w:rPr>
            </w:pPr>
            <w:r>
              <w:rPr>
                <w:rFonts w:hint="eastAsia" w:ascii="仿宋" w:hAnsi="仿宋" w:eastAsia="仿宋" w:cs="仿宋"/>
                <w:color w:val="auto"/>
                <w:sz w:val="24"/>
                <w:szCs w:val="24"/>
              </w:rPr>
              <w:t>针对本项目具有可行的技术培训方案，包括但不限于：①所提供设备的原理和技术性能；②操作维护方法；③安装调试、排除故障等各个方面</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 4 \* GB3 \* MERGEFORMAT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④</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t>培训</w:t>
            </w:r>
            <w:r>
              <w:rPr>
                <w:rFonts w:hint="eastAsia" w:ascii="仿宋" w:hAnsi="仿宋" w:eastAsia="仿宋" w:cs="仿宋"/>
                <w:color w:val="auto"/>
                <w:sz w:val="24"/>
                <w:szCs w:val="24"/>
                <w:lang w:eastAsia="zh-CN"/>
              </w:rPr>
              <w:t>计划安排</w:t>
            </w:r>
            <w:r>
              <w:rPr>
                <w:rFonts w:hint="eastAsia" w:ascii="仿宋" w:hAnsi="仿宋" w:eastAsia="仿宋" w:cs="仿宋"/>
                <w:color w:val="auto"/>
                <w:sz w:val="24"/>
                <w:szCs w:val="24"/>
              </w:rPr>
              <w:t>；</w:t>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 5 \* GB3 \* MERGEFORMAT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⑤</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lang w:eastAsia="zh-CN"/>
              </w:rPr>
              <w:t>培训效果</w:t>
            </w:r>
            <w:r>
              <w:rPr>
                <w:rFonts w:hint="eastAsia" w:ascii="仿宋" w:hAnsi="仿宋" w:eastAsia="仿宋" w:cs="仿宋"/>
                <w:color w:val="auto"/>
                <w:sz w:val="24"/>
                <w:szCs w:val="24"/>
              </w:rPr>
              <w:t>等。</w:t>
            </w:r>
          </w:p>
          <w:p w14:paraId="2C91FE55">
            <w:pPr>
              <w:jc w:val="left"/>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上述小项方案具有针对性和可行性，符合采购实际需求，内容完整合理满足招标文件要求的每项得3分。存在一般缺陷的每项方案得1.5分（一般缺陷是指方案内容前后不一致或前后逻辑错误或内容有缺失，不影响项目的实施）。未提供或存在重大缺陷的每项方案不得分（重大缺陷是指方案凭空编造或与采购项目和采购需求无关，无法指导项目实施）。</w:t>
            </w:r>
          </w:p>
        </w:tc>
      </w:tr>
      <w:tr w14:paraId="432DEB2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44D8C28A">
            <w:pPr>
              <w:jc w:val="center"/>
              <w:rPr>
                <w:rFonts w:hint="eastAsia" w:ascii="仿宋" w:hAnsi="仿宋" w:eastAsia="仿宋" w:cs="仿宋"/>
                <w:color w:val="auto"/>
                <w:sz w:val="24"/>
                <w:szCs w:val="24"/>
              </w:rPr>
            </w:pPr>
          </w:p>
        </w:tc>
        <w:tc>
          <w:tcPr>
            <w:tcW w:w="1473" w:type="dxa"/>
            <w:vMerge w:val="continue"/>
            <w:tcBorders>
              <w:tl2br w:val="nil"/>
              <w:tr2bl w:val="nil"/>
            </w:tcBorders>
            <w:noWrap w:val="0"/>
            <w:vAlign w:val="center"/>
          </w:tcPr>
          <w:p w14:paraId="4E96D9C5">
            <w:pPr>
              <w:jc w:val="center"/>
              <w:rPr>
                <w:rFonts w:hint="eastAsia" w:ascii="仿宋" w:hAnsi="仿宋" w:eastAsia="仿宋" w:cs="仿宋"/>
                <w:color w:val="auto"/>
                <w:sz w:val="24"/>
                <w:szCs w:val="24"/>
              </w:rPr>
            </w:pPr>
          </w:p>
        </w:tc>
        <w:tc>
          <w:tcPr>
            <w:tcW w:w="1486" w:type="dxa"/>
            <w:tcBorders>
              <w:tl2br w:val="nil"/>
              <w:tr2bl w:val="nil"/>
            </w:tcBorders>
            <w:noWrap w:val="0"/>
            <w:vAlign w:val="center"/>
          </w:tcPr>
          <w:p w14:paraId="40DDE5FA">
            <w:pPr>
              <w:jc w:val="center"/>
              <w:rPr>
                <w:rFonts w:hint="eastAsia" w:ascii="仿宋" w:hAnsi="仿宋" w:eastAsia="仿宋" w:cs="仿宋"/>
                <w:color w:val="auto"/>
                <w:sz w:val="24"/>
                <w:szCs w:val="24"/>
              </w:rPr>
            </w:pPr>
            <w:r>
              <w:rPr>
                <w:rFonts w:hint="eastAsia" w:ascii="仿宋" w:hAnsi="仿宋" w:eastAsia="仿宋" w:cs="仿宋"/>
                <w:color w:val="auto"/>
                <w:sz w:val="24"/>
                <w:szCs w:val="24"/>
              </w:rPr>
              <w:t>类似业绩</w:t>
            </w:r>
          </w:p>
        </w:tc>
        <w:tc>
          <w:tcPr>
            <w:tcW w:w="682" w:type="dxa"/>
            <w:tcBorders>
              <w:tl2br w:val="nil"/>
              <w:tr2bl w:val="nil"/>
            </w:tcBorders>
            <w:noWrap w:val="0"/>
            <w:vAlign w:val="center"/>
          </w:tcPr>
          <w:p w14:paraId="505C34E4">
            <w:pPr>
              <w:jc w:val="center"/>
              <w:rPr>
                <w:rFonts w:hint="eastAsia" w:ascii="仿宋" w:hAnsi="仿宋" w:eastAsia="仿宋" w:cs="仿宋"/>
                <w:color w:val="auto"/>
                <w:sz w:val="24"/>
                <w:szCs w:val="24"/>
              </w:rPr>
            </w:pPr>
            <w:r>
              <w:rPr>
                <w:rFonts w:hint="eastAsia" w:ascii="仿宋" w:hAnsi="仿宋" w:eastAsia="仿宋" w:cs="仿宋"/>
                <w:color w:val="auto"/>
                <w:sz w:val="24"/>
                <w:szCs w:val="24"/>
              </w:rPr>
              <w:t>30</w:t>
            </w:r>
          </w:p>
        </w:tc>
        <w:tc>
          <w:tcPr>
            <w:tcW w:w="4841" w:type="dxa"/>
            <w:tcBorders>
              <w:tl2br w:val="nil"/>
              <w:tr2bl w:val="nil"/>
            </w:tcBorders>
            <w:noWrap w:val="0"/>
            <w:vAlign w:val="center"/>
          </w:tcPr>
          <w:p w14:paraId="6C0D023C">
            <w:pPr>
              <w:jc w:val="left"/>
              <w:rPr>
                <w:rFonts w:hint="eastAsia" w:ascii="仿宋" w:hAnsi="仿宋" w:eastAsia="仿宋" w:cs="仿宋"/>
                <w:color w:val="auto"/>
                <w:sz w:val="24"/>
                <w:szCs w:val="24"/>
              </w:rPr>
            </w:pPr>
            <w:r>
              <w:rPr>
                <w:rFonts w:hint="eastAsia" w:ascii="仿宋" w:hAnsi="仿宋" w:eastAsia="仿宋" w:cs="仿宋"/>
                <w:color w:val="auto"/>
                <w:sz w:val="24"/>
                <w:szCs w:val="24"/>
              </w:rPr>
              <w:t>提供近两年以来同型号设备销售业绩证明材料（证明材料可以是中标通知书或中标公示截图或合同相关页面，且证明材料要体现中标设备的型号），每提供一份计1</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分，计满30分为止，未按要求提供不得分。</w:t>
            </w:r>
          </w:p>
        </w:tc>
      </w:tr>
    </w:tbl>
    <w:p w14:paraId="39124244">
      <w:pPr>
        <w:jc w:val="center"/>
        <w:rPr>
          <w:rFonts w:hint="eastAsia" w:ascii="仿宋" w:hAnsi="仿宋" w:eastAsia="仿宋" w:cs="仿宋"/>
          <w:sz w:val="24"/>
          <w:szCs w:val="24"/>
        </w:rPr>
      </w:pPr>
    </w:p>
    <w:p w14:paraId="4092A6A2">
      <w:pPr>
        <w:pStyle w:val="2"/>
        <w:numPr>
          <w:ilvl w:val="0"/>
          <w:numId w:val="0"/>
        </w:numPr>
        <w:spacing w:line="240" w:lineRule="auto"/>
        <w:ind w:left="2940" w:leftChars="0"/>
        <w:jc w:val="both"/>
        <w:rPr>
          <w:rFonts w:hint="eastAsia" w:ascii="宋体" w:hAnsi="宋体" w:cs="宋体"/>
          <w:color w:val="auto"/>
          <w:sz w:val="30"/>
          <w:szCs w:val="30"/>
        </w:rPr>
      </w:pPr>
      <w:r>
        <w:rPr>
          <w:rFonts w:hint="eastAsia" w:ascii="宋体" w:hAnsi="宋体" w:cs="宋体"/>
          <w:color w:val="auto"/>
          <w:sz w:val="30"/>
          <w:szCs w:val="30"/>
          <w:lang w:val="en-US" w:eastAsia="zh-CN"/>
        </w:rPr>
        <w:t xml:space="preserve">第四章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34583E1">
      <w:pPr>
        <w:rPr>
          <w:rFonts w:hint="eastAsia" w:ascii="宋体" w:hAnsi="宋体" w:cs="宋体"/>
          <w:color w:val="auto"/>
        </w:rPr>
      </w:pPr>
    </w:p>
    <w:p w14:paraId="0C36B7E3">
      <w:pPr>
        <w:rPr>
          <w:rFonts w:hint="eastAsia"/>
          <w:color w:val="auto"/>
        </w:rPr>
      </w:pPr>
    </w:p>
    <w:p w14:paraId="642A6E11">
      <w:pPr>
        <w:jc w:val="center"/>
        <w:rPr>
          <w:b/>
          <w:color w:val="auto"/>
          <w:sz w:val="24"/>
        </w:rPr>
      </w:pPr>
      <w:r>
        <w:rPr>
          <w:b/>
          <w:color w:val="auto"/>
          <w:sz w:val="28"/>
          <w:szCs w:val="28"/>
        </w:rPr>
        <w:t>第一部分、开标一览表</w:t>
      </w:r>
    </w:p>
    <w:p w14:paraId="31CF1AE0">
      <w:pPr>
        <w:jc w:val="center"/>
        <w:rPr>
          <w:b/>
          <w:color w:val="auto"/>
          <w:sz w:val="24"/>
        </w:rPr>
      </w:pPr>
    </w:p>
    <w:p w14:paraId="6D74B725">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5F8096E0">
      <w:pPr>
        <w:pStyle w:val="19"/>
        <w:rPr>
          <w:color w:val="auto"/>
        </w:rPr>
      </w:pPr>
    </w:p>
    <w:p w14:paraId="3009323F">
      <w:pPr>
        <w:adjustRightInd w:val="0"/>
        <w:snapToGrid w:val="0"/>
        <w:spacing w:line="360" w:lineRule="auto"/>
        <w:jc w:val="center"/>
        <w:rPr>
          <w:rFonts w:hint="eastAsia" w:ascii="宋体" w:hAnsi="宋体" w:cs="宋体"/>
          <w:b/>
          <w:color w:val="auto"/>
          <w:sz w:val="28"/>
          <w:szCs w:val="28"/>
        </w:rPr>
      </w:pPr>
    </w:p>
    <w:p w14:paraId="60B9049D">
      <w:pPr>
        <w:adjustRightInd w:val="0"/>
        <w:snapToGrid w:val="0"/>
        <w:spacing w:line="360" w:lineRule="auto"/>
        <w:jc w:val="center"/>
        <w:rPr>
          <w:rFonts w:hint="eastAsia" w:ascii="宋体" w:hAnsi="宋体" w:cs="宋体"/>
          <w:b/>
          <w:color w:val="auto"/>
          <w:sz w:val="28"/>
          <w:szCs w:val="28"/>
        </w:rPr>
      </w:pPr>
    </w:p>
    <w:p w14:paraId="47A9E7E6">
      <w:pPr>
        <w:adjustRightInd w:val="0"/>
        <w:snapToGrid w:val="0"/>
        <w:spacing w:line="360" w:lineRule="auto"/>
        <w:jc w:val="center"/>
        <w:rPr>
          <w:rFonts w:hint="eastAsia" w:ascii="宋体" w:hAnsi="宋体" w:cs="宋体"/>
          <w:b/>
          <w:color w:val="auto"/>
          <w:sz w:val="28"/>
          <w:szCs w:val="28"/>
        </w:rPr>
      </w:pPr>
    </w:p>
    <w:p w14:paraId="0B851203">
      <w:pPr>
        <w:adjustRightInd w:val="0"/>
        <w:snapToGrid w:val="0"/>
        <w:spacing w:line="360" w:lineRule="auto"/>
        <w:jc w:val="center"/>
        <w:rPr>
          <w:rFonts w:hint="eastAsia" w:ascii="宋体" w:hAnsi="宋体" w:cs="宋体"/>
          <w:b/>
          <w:color w:val="auto"/>
          <w:sz w:val="28"/>
          <w:szCs w:val="28"/>
        </w:rPr>
      </w:pPr>
    </w:p>
    <w:p w14:paraId="5B522B1B">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6BE0168">
      <w:pPr>
        <w:pStyle w:val="18"/>
        <w:rPr>
          <w:rFonts w:hint="eastAsia"/>
          <w:lang w:eastAsia="zh-CN"/>
        </w:rPr>
      </w:pPr>
    </w:p>
    <w:p w14:paraId="1C4CE19E">
      <w:pPr>
        <w:adjustRightInd w:val="0"/>
        <w:snapToGrid w:val="0"/>
        <w:spacing w:line="360" w:lineRule="auto"/>
        <w:jc w:val="center"/>
        <w:rPr>
          <w:rFonts w:hint="eastAsia" w:ascii="宋体" w:hAnsi="宋体" w:cs="宋体"/>
          <w:b/>
          <w:color w:val="auto"/>
          <w:sz w:val="24"/>
          <w:szCs w:val="20"/>
        </w:rPr>
      </w:pPr>
    </w:p>
    <w:p w14:paraId="5F76F163">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6CD8A2E9">
      <w:pPr>
        <w:adjustRightInd w:val="0"/>
        <w:snapToGrid w:val="0"/>
        <w:spacing w:line="360" w:lineRule="auto"/>
        <w:rPr>
          <w:rFonts w:hint="eastAsia" w:ascii="宋体" w:hAnsi="宋体" w:cs="宋体"/>
          <w:b/>
          <w:color w:val="auto"/>
          <w:sz w:val="28"/>
          <w:szCs w:val="28"/>
        </w:rPr>
      </w:pPr>
    </w:p>
    <w:p w14:paraId="57FDFFD6">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5DC957A3">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58EF3318">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29B331CC">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4387948B">
      <w:pPr>
        <w:adjustRightInd w:val="0"/>
        <w:snapToGrid w:val="0"/>
        <w:spacing w:line="360" w:lineRule="auto"/>
        <w:ind w:firstLine="480" w:firstLineChars="200"/>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FD0D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5E52C6EF">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346FCCD3">
      <w:pPr>
        <w:adjustRightInd w:val="0"/>
        <w:snapToGrid w:val="0"/>
        <w:spacing w:line="360" w:lineRule="auto"/>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7CB7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44E9FC1E">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61ED57AA">
      <w:pPr>
        <w:adjustRightInd w:val="0"/>
        <w:snapToGrid w:val="0"/>
        <w:spacing w:line="360" w:lineRule="auto"/>
        <w:rPr>
          <w:rFonts w:hint="eastAsia" w:ascii="宋体" w:hAnsi="宋体" w:cs="宋体"/>
          <w:color w:val="auto"/>
          <w:sz w:val="24"/>
        </w:rPr>
      </w:pPr>
    </w:p>
    <w:p w14:paraId="73683F9B">
      <w:pPr>
        <w:adjustRightInd w:val="0"/>
        <w:snapToGrid w:val="0"/>
        <w:spacing w:line="360" w:lineRule="auto"/>
        <w:rPr>
          <w:rFonts w:hint="eastAsia" w:ascii="宋体" w:hAnsi="宋体" w:cs="宋体"/>
          <w:color w:val="auto"/>
          <w:sz w:val="24"/>
        </w:rPr>
      </w:pPr>
    </w:p>
    <w:p w14:paraId="74E54024">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1F56670">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83F8CB4">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24EF6AB7">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E41FF70">
      <w:pPr>
        <w:adjustRightInd w:val="0"/>
        <w:snapToGrid w:val="0"/>
        <w:spacing w:line="360" w:lineRule="auto"/>
        <w:rPr>
          <w:rFonts w:hint="eastAsia" w:ascii="宋体" w:hAnsi="宋体" w:cs="宋体"/>
          <w:b/>
          <w:color w:val="auto"/>
          <w:sz w:val="28"/>
          <w:szCs w:val="28"/>
        </w:rPr>
      </w:pPr>
    </w:p>
    <w:p w14:paraId="0F5DBA54">
      <w:pPr>
        <w:rPr>
          <w:rFonts w:hint="eastAsia" w:ascii="宋体" w:hAnsi="宋体" w:cs="宋体"/>
          <w:b/>
          <w:color w:val="auto"/>
          <w:sz w:val="24"/>
          <w:szCs w:val="20"/>
        </w:rPr>
      </w:pPr>
      <w:r>
        <w:rPr>
          <w:rFonts w:hint="eastAsia" w:ascii="宋体" w:hAnsi="宋体" w:cs="宋体"/>
          <w:b/>
          <w:color w:val="auto"/>
          <w:sz w:val="24"/>
          <w:szCs w:val="20"/>
        </w:rPr>
        <w:br w:type="page"/>
      </w:r>
    </w:p>
    <w:p w14:paraId="2A1D0F17">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09B775A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DD6DC69">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0DB7BF5D">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153678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98527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218121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265A087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2E36ED8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E4EEB9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0226D39D">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35752034">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60EB9185">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024C14A9">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0ADBE667">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64DDD70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55D549B2">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2C3DEF84">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6F3D623">
      <w:pPr>
        <w:adjustRightInd w:val="0"/>
        <w:snapToGrid w:val="0"/>
        <w:spacing w:line="360" w:lineRule="auto"/>
        <w:jc w:val="center"/>
        <w:rPr>
          <w:rFonts w:hint="eastAsia" w:ascii="宋体" w:hAnsi="宋体" w:cs="宋体"/>
          <w:b/>
          <w:color w:val="auto"/>
          <w:sz w:val="24"/>
          <w:szCs w:val="20"/>
        </w:rPr>
      </w:pPr>
    </w:p>
    <w:p w14:paraId="40F1283F">
      <w:pPr>
        <w:adjustRightInd w:val="0"/>
        <w:snapToGrid w:val="0"/>
        <w:spacing w:line="360" w:lineRule="auto"/>
        <w:rPr>
          <w:rFonts w:hint="eastAsia" w:ascii="宋体" w:hAnsi="宋体" w:cs="宋体"/>
          <w:b/>
          <w:color w:val="auto"/>
          <w:sz w:val="24"/>
          <w:szCs w:val="20"/>
        </w:rPr>
      </w:pPr>
    </w:p>
    <w:p w14:paraId="5128EA67">
      <w:pPr>
        <w:adjustRightInd w:val="0"/>
        <w:snapToGrid w:val="0"/>
        <w:spacing w:line="360" w:lineRule="auto"/>
        <w:rPr>
          <w:rFonts w:hint="eastAsia" w:ascii="宋体" w:hAnsi="宋体" w:cs="宋体"/>
          <w:b/>
          <w:color w:val="auto"/>
          <w:sz w:val="24"/>
          <w:szCs w:val="20"/>
        </w:rPr>
      </w:pPr>
    </w:p>
    <w:p w14:paraId="27E5A231">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78E56FA9">
      <w:pPr>
        <w:adjustRightInd w:val="0"/>
        <w:snapToGrid w:val="0"/>
        <w:spacing w:line="360" w:lineRule="auto"/>
        <w:jc w:val="center"/>
        <w:rPr>
          <w:rFonts w:hint="eastAsia" w:ascii="宋体" w:hAnsi="宋体" w:cs="宋体"/>
          <w:b/>
          <w:color w:val="auto"/>
          <w:sz w:val="24"/>
          <w:szCs w:val="20"/>
        </w:rPr>
      </w:pPr>
    </w:p>
    <w:p w14:paraId="675A77B9">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3EFCC07C">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38028048">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69A5AFCB">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38865E07">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D7A1C86">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48FD500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6D76AF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6755BE39">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2DEE6198">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663AA6F9">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15BE5D0A">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CEF50E">
      <w:pPr>
        <w:jc w:val="left"/>
        <w:rPr>
          <w:rFonts w:hint="eastAsia" w:ascii="宋体" w:hAnsi="宋体" w:eastAsia="宋体" w:cs="Times New Roman"/>
          <w:b w:val="0"/>
          <w:bCs w:val="0"/>
          <w:color w:val="auto"/>
          <w:kern w:val="2"/>
          <w:sz w:val="24"/>
          <w:szCs w:val="24"/>
          <w:lang w:val="en-US" w:eastAsia="zh-CN" w:bidi="ar-SA"/>
        </w:rPr>
      </w:pPr>
    </w:p>
    <w:p w14:paraId="30756FE5">
      <w:pPr>
        <w:jc w:val="left"/>
        <w:rPr>
          <w:rFonts w:hint="eastAsia" w:ascii="宋体" w:hAnsi="宋体" w:eastAsia="宋体" w:cs="Times New Roman"/>
          <w:b w:val="0"/>
          <w:bCs w:val="0"/>
          <w:color w:val="auto"/>
          <w:kern w:val="2"/>
          <w:sz w:val="24"/>
          <w:szCs w:val="24"/>
          <w:lang w:val="en-US" w:eastAsia="zh-CN" w:bidi="ar-SA"/>
        </w:rPr>
      </w:pPr>
    </w:p>
    <w:p w14:paraId="15990E6D">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097D7B90">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2D0C4DC7">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76514128"/>
      <w:bookmarkStart w:id="4" w:name="_Toc486424819"/>
    </w:p>
    <w:p w14:paraId="62A84631">
      <w:pPr>
        <w:pStyle w:val="18"/>
        <w:rPr>
          <w:rFonts w:hint="eastAsia"/>
          <w:lang w:eastAsia="zh-CN"/>
        </w:rPr>
      </w:pPr>
    </w:p>
    <w:p w14:paraId="7C3A650F">
      <w:pPr>
        <w:spacing w:before="120" w:beforeLines="50" w:after="120" w:afterLines="50" w:line="276" w:lineRule="auto"/>
        <w:jc w:val="center"/>
        <w:rPr>
          <w:b/>
          <w:color w:val="auto"/>
          <w:sz w:val="24"/>
        </w:rPr>
      </w:pPr>
      <w:r>
        <w:rPr>
          <w:b/>
          <w:color w:val="auto"/>
          <w:sz w:val="24"/>
        </w:rPr>
        <w:t>采购需求响应/偏离表</w:t>
      </w:r>
    </w:p>
    <w:p w14:paraId="08E5B6D6">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3"/>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37E6D2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35B2D26C">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2E39D26F">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08D2C1B3">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0515E670">
            <w:pPr>
              <w:adjustRightInd w:val="0"/>
              <w:snapToGrid w:val="0"/>
              <w:spacing w:before="50" w:line="360" w:lineRule="auto"/>
              <w:jc w:val="center"/>
              <w:rPr>
                <w:color w:val="auto"/>
              </w:rPr>
            </w:pPr>
            <w:r>
              <w:rPr>
                <w:color w:val="auto"/>
              </w:rPr>
              <w:t>投标文件应答</w:t>
            </w:r>
          </w:p>
        </w:tc>
        <w:tc>
          <w:tcPr>
            <w:tcW w:w="1513" w:type="dxa"/>
            <w:noWrap w:val="0"/>
            <w:vAlign w:val="center"/>
          </w:tcPr>
          <w:p w14:paraId="5FDFAC2D">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452B13AE">
            <w:pPr>
              <w:adjustRightInd w:val="0"/>
              <w:snapToGrid w:val="0"/>
              <w:spacing w:before="50" w:line="360" w:lineRule="auto"/>
              <w:ind w:left="-88" w:leftChars="-42"/>
              <w:jc w:val="center"/>
              <w:rPr>
                <w:color w:val="auto"/>
                <w:szCs w:val="21"/>
              </w:rPr>
            </w:pPr>
            <w:r>
              <w:rPr>
                <w:color w:val="auto"/>
                <w:szCs w:val="21"/>
              </w:rPr>
              <w:t>偏离说明</w:t>
            </w:r>
          </w:p>
        </w:tc>
      </w:tr>
      <w:tr w14:paraId="36F3D4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29A584E">
            <w:pPr>
              <w:adjustRightInd w:val="0"/>
              <w:snapToGrid w:val="0"/>
              <w:spacing w:before="50" w:line="360" w:lineRule="auto"/>
              <w:ind w:left="-88" w:leftChars="-42"/>
              <w:jc w:val="center"/>
              <w:rPr>
                <w:color w:val="auto"/>
                <w:szCs w:val="21"/>
              </w:rPr>
            </w:pPr>
          </w:p>
        </w:tc>
        <w:tc>
          <w:tcPr>
            <w:tcW w:w="1877" w:type="dxa"/>
            <w:noWrap w:val="0"/>
            <w:vAlign w:val="center"/>
          </w:tcPr>
          <w:p w14:paraId="04FA1F79">
            <w:pPr>
              <w:adjustRightInd w:val="0"/>
              <w:snapToGrid w:val="0"/>
              <w:spacing w:before="50" w:line="360" w:lineRule="auto"/>
              <w:ind w:left="-88" w:leftChars="-42"/>
              <w:jc w:val="center"/>
              <w:rPr>
                <w:color w:val="auto"/>
                <w:szCs w:val="21"/>
              </w:rPr>
            </w:pPr>
          </w:p>
        </w:tc>
        <w:tc>
          <w:tcPr>
            <w:tcW w:w="1671" w:type="dxa"/>
            <w:noWrap w:val="0"/>
            <w:vAlign w:val="center"/>
          </w:tcPr>
          <w:p w14:paraId="111429EA">
            <w:pPr>
              <w:adjustRightInd w:val="0"/>
              <w:snapToGrid w:val="0"/>
              <w:spacing w:before="50" w:line="360" w:lineRule="auto"/>
              <w:ind w:left="-88" w:leftChars="-42"/>
              <w:jc w:val="center"/>
              <w:rPr>
                <w:color w:val="auto"/>
                <w:szCs w:val="21"/>
              </w:rPr>
            </w:pPr>
          </w:p>
        </w:tc>
        <w:tc>
          <w:tcPr>
            <w:tcW w:w="1608" w:type="dxa"/>
            <w:noWrap w:val="0"/>
            <w:vAlign w:val="center"/>
          </w:tcPr>
          <w:p w14:paraId="3F5C712D">
            <w:pPr>
              <w:adjustRightInd w:val="0"/>
              <w:snapToGrid w:val="0"/>
              <w:spacing w:before="50" w:line="360" w:lineRule="auto"/>
              <w:ind w:left="-88" w:leftChars="-42"/>
              <w:jc w:val="center"/>
              <w:rPr>
                <w:color w:val="auto"/>
                <w:szCs w:val="21"/>
              </w:rPr>
            </w:pPr>
          </w:p>
        </w:tc>
        <w:tc>
          <w:tcPr>
            <w:tcW w:w="1513" w:type="dxa"/>
            <w:noWrap w:val="0"/>
            <w:vAlign w:val="center"/>
          </w:tcPr>
          <w:p w14:paraId="1FD267E1">
            <w:pPr>
              <w:adjustRightInd w:val="0"/>
              <w:snapToGrid w:val="0"/>
              <w:spacing w:before="50" w:line="360" w:lineRule="auto"/>
              <w:ind w:left="-88" w:leftChars="-42"/>
              <w:jc w:val="center"/>
              <w:rPr>
                <w:color w:val="auto"/>
                <w:szCs w:val="21"/>
              </w:rPr>
            </w:pPr>
          </w:p>
        </w:tc>
        <w:tc>
          <w:tcPr>
            <w:tcW w:w="1061" w:type="dxa"/>
            <w:noWrap w:val="0"/>
            <w:vAlign w:val="center"/>
          </w:tcPr>
          <w:p w14:paraId="1B0463B5">
            <w:pPr>
              <w:adjustRightInd w:val="0"/>
              <w:snapToGrid w:val="0"/>
              <w:spacing w:before="50" w:line="360" w:lineRule="auto"/>
              <w:ind w:left="-88" w:leftChars="-42"/>
              <w:jc w:val="center"/>
              <w:rPr>
                <w:color w:val="auto"/>
                <w:szCs w:val="21"/>
              </w:rPr>
            </w:pPr>
          </w:p>
        </w:tc>
      </w:tr>
      <w:tr w14:paraId="3C6C57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DE623C7">
            <w:pPr>
              <w:adjustRightInd w:val="0"/>
              <w:snapToGrid w:val="0"/>
              <w:spacing w:before="50" w:line="360" w:lineRule="auto"/>
              <w:ind w:left="-88" w:leftChars="-42"/>
              <w:jc w:val="center"/>
              <w:rPr>
                <w:color w:val="auto"/>
                <w:szCs w:val="21"/>
              </w:rPr>
            </w:pPr>
          </w:p>
        </w:tc>
        <w:tc>
          <w:tcPr>
            <w:tcW w:w="1877" w:type="dxa"/>
            <w:noWrap w:val="0"/>
            <w:vAlign w:val="center"/>
          </w:tcPr>
          <w:p w14:paraId="0139CDB7">
            <w:pPr>
              <w:adjustRightInd w:val="0"/>
              <w:snapToGrid w:val="0"/>
              <w:spacing w:before="50" w:line="360" w:lineRule="auto"/>
              <w:ind w:left="-88" w:leftChars="-42"/>
              <w:jc w:val="center"/>
              <w:rPr>
                <w:color w:val="auto"/>
                <w:szCs w:val="21"/>
              </w:rPr>
            </w:pPr>
          </w:p>
        </w:tc>
        <w:tc>
          <w:tcPr>
            <w:tcW w:w="1671" w:type="dxa"/>
            <w:noWrap w:val="0"/>
            <w:vAlign w:val="center"/>
          </w:tcPr>
          <w:p w14:paraId="74FA9D80">
            <w:pPr>
              <w:adjustRightInd w:val="0"/>
              <w:snapToGrid w:val="0"/>
              <w:spacing w:before="50" w:line="360" w:lineRule="auto"/>
              <w:ind w:left="-88" w:leftChars="-42"/>
              <w:jc w:val="center"/>
              <w:rPr>
                <w:color w:val="auto"/>
                <w:szCs w:val="21"/>
              </w:rPr>
            </w:pPr>
          </w:p>
        </w:tc>
        <w:tc>
          <w:tcPr>
            <w:tcW w:w="1608" w:type="dxa"/>
            <w:noWrap w:val="0"/>
            <w:vAlign w:val="center"/>
          </w:tcPr>
          <w:p w14:paraId="4DF49294">
            <w:pPr>
              <w:adjustRightInd w:val="0"/>
              <w:snapToGrid w:val="0"/>
              <w:spacing w:before="50" w:line="360" w:lineRule="auto"/>
              <w:ind w:left="-88" w:leftChars="-42"/>
              <w:jc w:val="center"/>
              <w:rPr>
                <w:color w:val="auto"/>
                <w:szCs w:val="21"/>
              </w:rPr>
            </w:pPr>
          </w:p>
        </w:tc>
        <w:tc>
          <w:tcPr>
            <w:tcW w:w="1513" w:type="dxa"/>
            <w:noWrap w:val="0"/>
            <w:vAlign w:val="center"/>
          </w:tcPr>
          <w:p w14:paraId="72CDE795">
            <w:pPr>
              <w:adjustRightInd w:val="0"/>
              <w:snapToGrid w:val="0"/>
              <w:spacing w:before="50" w:line="360" w:lineRule="auto"/>
              <w:ind w:left="-88" w:leftChars="-42"/>
              <w:jc w:val="center"/>
              <w:rPr>
                <w:color w:val="auto"/>
                <w:szCs w:val="21"/>
              </w:rPr>
            </w:pPr>
          </w:p>
        </w:tc>
        <w:tc>
          <w:tcPr>
            <w:tcW w:w="1061" w:type="dxa"/>
            <w:noWrap w:val="0"/>
            <w:vAlign w:val="center"/>
          </w:tcPr>
          <w:p w14:paraId="35D7F53B">
            <w:pPr>
              <w:adjustRightInd w:val="0"/>
              <w:snapToGrid w:val="0"/>
              <w:spacing w:before="50" w:line="360" w:lineRule="auto"/>
              <w:ind w:left="-88" w:leftChars="-42"/>
              <w:jc w:val="center"/>
              <w:rPr>
                <w:color w:val="auto"/>
                <w:szCs w:val="21"/>
              </w:rPr>
            </w:pPr>
          </w:p>
        </w:tc>
      </w:tr>
      <w:tr w14:paraId="6DCDBC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7C5504F">
            <w:pPr>
              <w:adjustRightInd w:val="0"/>
              <w:snapToGrid w:val="0"/>
              <w:spacing w:before="50" w:line="360" w:lineRule="auto"/>
              <w:ind w:left="-88" w:leftChars="-42"/>
              <w:jc w:val="center"/>
              <w:rPr>
                <w:color w:val="auto"/>
                <w:szCs w:val="21"/>
              </w:rPr>
            </w:pPr>
          </w:p>
        </w:tc>
        <w:tc>
          <w:tcPr>
            <w:tcW w:w="1877" w:type="dxa"/>
            <w:noWrap w:val="0"/>
            <w:vAlign w:val="center"/>
          </w:tcPr>
          <w:p w14:paraId="3FC5B1D9">
            <w:pPr>
              <w:adjustRightInd w:val="0"/>
              <w:snapToGrid w:val="0"/>
              <w:spacing w:before="50" w:line="360" w:lineRule="auto"/>
              <w:ind w:left="-88" w:leftChars="-42"/>
              <w:jc w:val="center"/>
              <w:rPr>
                <w:color w:val="auto"/>
                <w:szCs w:val="21"/>
              </w:rPr>
            </w:pPr>
          </w:p>
        </w:tc>
        <w:tc>
          <w:tcPr>
            <w:tcW w:w="1671" w:type="dxa"/>
            <w:noWrap w:val="0"/>
            <w:vAlign w:val="center"/>
          </w:tcPr>
          <w:p w14:paraId="6B2107E1">
            <w:pPr>
              <w:adjustRightInd w:val="0"/>
              <w:snapToGrid w:val="0"/>
              <w:spacing w:before="50" w:line="360" w:lineRule="auto"/>
              <w:ind w:left="-88" w:leftChars="-42"/>
              <w:jc w:val="center"/>
              <w:rPr>
                <w:color w:val="auto"/>
                <w:szCs w:val="21"/>
              </w:rPr>
            </w:pPr>
          </w:p>
        </w:tc>
        <w:tc>
          <w:tcPr>
            <w:tcW w:w="1608" w:type="dxa"/>
            <w:noWrap w:val="0"/>
            <w:vAlign w:val="center"/>
          </w:tcPr>
          <w:p w14:paraId="50438157">
            <w:pPr>
              <w:adjustRightInd w:val="0"/>
              <w:snapToGrid w:val="0"/>
              <w:spacing w:before="50" w:line="360" w:lineRule="auto"/>
              <w:ind w:left="-88" w:leftChars="-42"/>
              <w:jc w:val="center"/>
              <w:rPr>
                <w:color w:val="auto"/>
                <w:szCs w:val="21"/>
              </w:rPr>
            </w:pPr>
          </w:p>
        </w:tc>
        <w:tc>
          <w:tcPr>
            <w:tcW w:w="1513" w:type="dxa"/>
            <w:noWrap w:val="0"/>
            <w:vAlign w:val="center"/>
          </w:tcPr>
          <w:p w14:paraId="2617429B">
            <w:pPr>
              <w:adjustRightInd w:val="0"/>
              <w:snapToGrid w:val="0"/>
              <w:spacing w:before="50" w:line="360" w:lineRule="auto"/>
              <w:ind w:left="-88" w:leftChars="-42"/>
              <w:jc w:val="center"/>
              <w:rPr>
                <w:color w:val="auto"/>
                <w:szCs w:val="21"/>
              </w:rPr>
            </w:pPr>
          </w:p>
        </w:tc>
        <w:tc>
          <w:tcPr>
            <w:tcW w:w="1061" w:type="dxa"/>
            <w:noWrap w:val="0"/>
            <w:vAlign w:val="center"/>
          </w:tcPr>
          <w:p w14:paraId="469BAD0E">
            <w:pPr>
              <w:adjustRightInd w:val="0"/>
              <w:snapToGrid w:val="0"/>
              <w:spacing w:before="50" w:line="360" w:lineRule="auto"/>
              <w:ind w:left="-88" w:leftChars="-42"/>
              <w:jc w:val="center"/>
              <w:rPr>
                <w:color w:val="auto"/>
                <w:szCs w:val="21"/>
              </w:rPr>
            </w:pPr>
          </w:p>
        </w:tc>
      </w:tr>
      <w:tr w14:paraId="466746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497E606C">
            <w:pPr>
              <w:rPr>
                <w:b/>
                <w:color w:val="auto"/>
              </w:rPr>
            </w:pPr>
          </w:p>
        </w:tc>
      </w:tr>
    </w:tbl>
    <w:p w14:paraId="40556A6B">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3"/>
    <w:bookmarkEnd w:id="4"/>
    <w:p w14:paraId="48C94C08">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7C43CBC0">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075DFE47">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本项目为综合评分法，所有参数</w:t>
      </w:r>
      <w:r>
        <w:rPr>
          <w:rFonts w:hint="eastAsia"/>
          <w:color w:val="FF0000"/>
          <w:sz w:val="24"/>
          <w:lang w:eastAsia="zh-CN"/>
        </w:rPr>
        <w:t>（</w:t>
      </w:r>
      <w:r>
        <w:rPr>
          <w:rFonts w:hint="eastAsia"/>
          <w:color w:val="FF0000"/>
          <w:sz w:val="24"/>
          <w:lang w:val="en-US" w:eastAsia="zh-CN"/>
        </w:rPr>
        <w:t>包括商务参数）</w:t>
      </w:r>
      <w:r>
        <w:rPr>
          <w:rFonts w:hint="eastAsia"/>
          <w:color w:val="auto"/>
          <w:sz w:val="24"/>
          <w:lang w:eastAsia="zh-CN"/>
        </w:rPr>
        <w:t>必须在响应表中逐条应答。</w:t>
      </w:r>
    </w:p>
    <w:p w14:paraId="0DA40BA3">
      <w:pPr>
        <w:pStyle w:val="19"/>
        <w:rPr>
          <w:color w:val="auto"/>
        </w:rPr>
      </w:pPr>
    </w:p>
    <w:p w14:paraId="0EFEE20B">
      <w:pPr>
        <w:pStyle w:val="18"/>
        <w:rPr>
          <w:rFonts w:hint="eastAsia"/>
          <w:lang w:eastAsia="zh-CN"/>
        </w:rPr>
      </w:pPr>
    </w:p>
    <w:p w14:paraId="2CB8A4F5"/>
    <w:p w14:paraId="58D1B8B1">
      <w:pPr>
        <w:pStyle w:val="19"/>
        <w:rPr>
          <w:color w:val="auto"/>
        </w:rPr>
      </w:pPr>
    </w:p>
    <w:p w14:paraId="43E00E01">
      <w:pPr>
        <w:pStyle w:val="18"/>
        <w:rPr>
          <w:rFonts w:hint="eastAsia"/>
          <w:lang w:eastAsia="zh-CN"/>
        </w:rPr>
      </w:pPr>
    </w:p>
    <w:p w14:paraId="53FA0AAC"/>
    <w:p w14:paraId="36507233"/>
    <w:p w14:paraId="5AA899CA"/>
    <w:p w14:paraId="2936BFC4"/>
    <w:p w14:paraId="740A0EF9"/>
    <w:p w14:paraId="57A7D16B"/>
    <w:p w14:paraId="003C5A4F"/>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_GB2312">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59C88">
    <w:pPr>
      <w:pStyle w:val="9"/>
      <w:rPr>
        <w:rFonts w:hint="eastAsia" w:ascii="仿宋_GB2312" w:eastAsia="仿宋_GB2312"/>
        <w:bCs/>
        <w:u w:val="single"/>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D20831">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7D20831">
                    <w:pPr>
                      <w:pStyle w:val="9"/>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1A9478CC">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9"/>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9"/>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9"/>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64788">
    <w:pPr>
      <w:pStyle w:val="10"/>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EB67FE42"/>
    <w:multiLevelType w:val="singleLevel"/>
    <w:tmpl w:val="EB67FE42"/>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90242"/>
    <w:rsid w:val="03E43FAE"/>
    <w:rsid w:val="04653F41"/>
    <w:rsid w:val="04B72FC8"/>
    <w:rsid w:val="04F57A38"/>
    <w:rsid w:val="050719CA"/>
    <w:rsid w:val="06934BAA"/>
    <w:rsid w:val="06E91EC4"/>
    <w:rsid w:val="086F75C9"/>
    <w:rsid w:val="09C0303A"/>
    <w:rsid w:val="0A3F4F3C"/>
    <w:rsid w:val="0A8A74D4"/>
    <w:rsid w:val="0CAD77BD"/>
    <w:rsid w:val="0E331420"/>
    <w:rsid w:val="0EDD1643"/>
    <w:rsid w:val="0FB9029C"/>
    <w:rsid w:val="10897B23"/>
    <w:rsid w:val="10914EF9"/>
    <w:rsid w:val="10B8663C"/>
    <w:rsid w:val="114A6E83"/>
    <w:rsid w:val="12080B62"/>
    <w:rsid w:val="12994AC5"/>
    <w:rsid w:val="129F447F"/>
    <w:rsid w:val="12C86253"/>
    <w:rsid w:val="15060AC8"/>
    <w:rsid w:val="15125EAE"/>
    <w:rsid w:val="15675A4C"/>
    <w:rsid w:val="17F91BB8"/>
    <w:rsid w:val="193E7D91"/>
    <w:rsid w:val="1943608F"/>
    <w:rsid w:val="19E91315"/>
    <w:rsid w:val="1AF56B46"/>
    <w:rsid w:val="1B7B72C0"/>
    <w:rsid w:val="1D5071B5"/>
    <w:rsid w:val="1D5D59A6"/>
    <w:rsid w:val="1DD7486D"/>
    <w:rsid w:val="1E79119D"/>
    <w:rsid w:val="1EFD25AF"/>
    <w:rsid w:val="1F334F58"/>
    <w:rsid w:val="1F385662"/>
    <w:rsid w:val="1F796B24"/>
    <w:rsid w:val="1FC602A8"/>
    <w:rsid w:val="1FDFE26B"/>
    <w:rsid w:val="1FE73549"/>
    <w:rsid w:val="2038045E"/>
    <w:rsid w:val="20AF0900"/>
    <w:rsid w:val="20B41DA7"/>
    <w:rsid w:val="21C61C7A"/>
    <w:rsid w:val="2383771E"/>
    <w:rsid w:val="23F374DB"/>
    <w:rsid w:val="24881A32"/>
    <w:rsid w:val="24E375C9"/>
    <w:rsid w:val="25266F96"/>
    <w:rsid w:val="267547DF"/>
    <w:rsid w:val="26FB4501"/>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66241E2"/>
    <w:rsid w:val="36B66AAC"/>
    <w:rsid w:val="36E47928"/>
    <w:rsid w:val="372F7378"/>
    <w:rsid w:val="37BA0809"/>
    <w:rsid w:val="37DE919F"/>
    <w:rsid w:val="38F7D690"/>
    <w:rsid w:val="397348CD"/>
    <w:rsid w:val="3A8E0AB7"/>
    <w:rsid w:val="3A994AB7"/>
    <w:rsid w:val="3B3B544D"/>
    <w:rsid w:val="3B654F2B"/>
    <w:rsid w:val="3BB72BAE"/>
    <w:rsid w:val="3BFC7D2B"/>
    <w:rsid w:val="3C7C799C"/>
    <w:rsid w:val="3C8A61A4"/>
    <w:rsid w:val="3D3E3B5F"/>
    <w:rsid w:val="3D5E17FF"/>
    <w:rsid w:val="3DF93413"/>
    <w:rsid w:val="3DFD1951"/>
    <w:rsid w:val="3DFFD27E"/>
    <w:rsid w:val="3E1F0DA4"/>
    <w:rsid w:val="3E584E51"/>
    <w:rsid w:val="3E62C1E0"/>
    <w:rsid w:val="3E6E70D5"/>
    <w:rsid w:val="3EBE1ADE"/>
    <w:rsid w:val="3F788D05"/>
    <w:rsid w:val="3FEF41F9"/>
    <w:rsid w:val="3FF36FC1"/>
    <w:rsid w:val="403B4B34"/>
    <w:rsid w:val="4140452A"/>
    <w:rsid w:val="414D7889"/>
    <w:rsid w:val="41BB0BAE"/>
    <w:rsid w:val="425629F5"/>
    <w:rsid w:val="4284152B"/>
    <w:rsid w:val="429A4992"/>
    <w:rsid w:val="42FF3888"/>
    <w:rsid w:val="435B161D"/>
    <w:rsid w:val="437EFEE3"/>
    <w:rsid w:val="43B25DAC"/>
    <w:rsid w:val="44771DFD"/>
    <w:rsid w:val="45D569C3"/>
    <w:rsid w:val="475F9F54"/>
    <w:rsid w:val="479B74B7"/>
    <w:rsid w:val="48735221"/>
    <w:rsid w:val="49E92B05"/>
    <w:rsid w:val="4A354E62"/>
    <w:rsid w:val="4AEE1A11"/>
    <w:rsid w:val="4B7F39F4"/>
    <w:rsid w:val="4B9387EE"/>
    <w:rsid w:val="4BAE646F"/>
    <w:rsid w:val="4CAC1559"/>
    <w:rsid w:val="4D1D09A0"/>
    <w:rsid w:val="4D754257"/>
    <w:rsid w:val="4DCD6AB3"/>
    <w:rsid w:val="4E334DF1"/>
    <w:rsid w:val="4EE7662F"/>
    <w:rsid w:val="50216DCD"/>
    <w:rsid w:val="50540C20"/>
    <w:rsid w:val="506258C6"/>
    <w:rsid w:val="51AC28BD"/>
    <w:rsid w:val="52183ACC"/>
    <w:rsid w:val="5275566D"/>
    <w:rsid w:val="53238E8B"/>
    <w:rsid w:val="53B55872"/>
    <w:rsid w:val="544055F2"/>
    <w:rsid w:val="54AD4386"/>
    <w:rsid w:val="55D8243C"/>
    <w:rsid w:val="575FAF7E"/>
    <w:rsid w:val="581A7C72"/>
    <w:rsid w:val="583A4BD7"/>
    <w:rsid w:val="59C74B1F"/>
    <w:rsid w:val="5A886F59"/>
    <w:rsid w:val="5BDF167E"/>
    <w:rsid w:val="5E9BBF88"/>
    <w:rsid w:val="5EBFE873"/>
    <w:rsid w:val="5F153ADC"/>
    <w:rsid w:val="5FBFAB6E"/>
    <w:rsid w:val="5FD50556"/>
    <w:rsid w:val="604D5946"/>
    <w:rsid w:val="611B6B1B"/>
    <w:rsid w:val="61FF68C0"/>
    <w:rsid w:val="62C222C2"/>
    <w:rsid w:val="632D7C40"/>
    <w:rsid w:val="63F39F53"/>
    <w:rsid w:val="64133D6A"/>
    <w:rsid w:val="64245572"/>
    <w:rsid w:val="674A3DD5"/>
    <w:rsid w:val="678E4F5D"/>
    <w:rsid w:val="67F3562A"/>
    <w:rsid w:val="67FFBBE3"/>
    <w:rsid w:val="680E122C"/>
    <w:rsid w:val="695BF8DF"/>
    <w:rsid w:val="6A4E1D63"/>
    <w:rsid w:val="6C486FE4"/>
    <w:rsid w:val="6CA409DF"/>
    <w:rsid w:val="6D9F787E"/>
    <w:rsid w:val="6DE375E4"/>
    <w:rsid w:val="6E8E5287"/>
    <w:rsid w:val="6EFD83FB"/>
    <w:rsid w:val="6FAC3B48"/>
    <w:rsid w:val="6FAD463B"/>
    <w:rsid w:val="6FB7ACDA"/>
    <w:rsid w:val="6FBE332C"/>
    <w:rsid w:val="6FEFC68D"/>
    <w:rsid w:val="6FFF67CC"/>
    <w:rsid w:val="70CE0BC9"/>
    <w:rsid w:val="71554367"/>
    <w:rsid w:val="71584067"/>
    <w:rsid w:val="71F26E91"/>
    <w:rsid w:val="72FB9D37"/>
    <w:rsid w:val="735201FF"/>
    <w:rsid w:val="737B50A4"/>
    <w:rsid w:val="73ED734B"/>
    <w:rsid w:val="73F40E72"/>
    <w:rsid w:val="74566F5C"/>
    <w:rsid w:val="750117A8"/>
    <w:rsid w:val="755B2270"/>
    <w:rsid w:val="75E27514"/>
    <w:rsid w:val="76920D75"/>
    <w:rsid w:val="76C47877"/>
    <w:rsid w:val="77423DFF"/>
    <w:rsid w:val="77EE6ED4"/>
    <w:rsid w:val="77FD832A"/>
    <w:rsid w:val="783B5EA9"/>
    <w:rsid w:val="78B114A6"/>
    <w:rsid w:val="79EB699D"/>
    <w:rsid w:val="79FFEA3A"/>
    <w:rsid w:val="7A3E5854"/>
    <w:rsid w:val="7ABA298D"/>
    <w:rsid w:val="7B0620DE"/>
    <w:rsid w:val="7B7D7C18"/>
    <w:rsid w:val="7BBF44BB"/>
    <w:rsid w:val="7BF15CE4"/>
    <w:rsid w:val="7C3A27E5"/>
    <w:rsid w:val="7D9727DD"/>
    <w:rsid w:val="7DDF8A36"/>
    <w:rsid w:val="7DFE74A2"/>
    <w:rsid w:val="7E8BAD0B"/>
    <w:rsid w:val="7ED7DBED"/>
    <w:rsid w:val="7EFB4F6E"/>
    <w:rsid w:val="7F164138"/>
    <w:rsid w:val="7F1A5E95"/>
    <w:rsid w:val="7FA75B91"/>
    <w:rsid w:val="7FBC7699"/>
    <w:rsid w:val="7FCFF1E1"/>
    <w:rsid w:val="7FFB0877"/>
    <w:rsid w:val="7FFE88A1"/>
    <w:rsid w:val="87EFD207"/>
    <w:rsid w:val="8B7D3439"/>
    <w:rsid w:val="8EFAA180"/>
    <w:rsid w:val="917F601E"/>
    <w:rsid w:val="98654DAE"/>
    <w:rsid w:val="A4FC5874"/>
    <w:rsid w:val="A99BC227"/>
    <w:rsid w:val="ABB91448"/>
    <w:rsid w:val="ADFDDBA5"/>
    <w:rsid w:val="AFDF5C35"/>
    <w:rsid w:val="AFEFD62F"/>
    <w:rsid w:val="B57D391D"/>
    <w:rsid w:val="B7FBACA6"/>
    <w:rsid w:val="BBDFF490"/>
    <w:rsid w:val="BD7F6FD4"/>
    <w:rsid w:val="BF59071B"/>
    <w:rsid w:val="BF7D9491"/>
    <w:rsid w:val="BFF77D2B"/>
    <w:rsid w:val="C7FB397A"/>
    <w:rsid w:val="CDFF7760"/>
    <w:rsid w:val="CFFF8E32"/>
    <w:rsid w:val="D6D5AD7C"/>
    <w:rsid w:val="DBABDE5F"/>
    <w:rsid w:val="DBBDAA3F"/>
    <w:rsid w:val="DBDE3CFA"/>
    <w:rsid w:val="DFF97BBC"/>
    <w:rsid w:val="DFFEDE01"/>
    <w:rsid w:val="DFFF05F4"/>
    <w:rsid w:val="E6F7C8DE"/>
    <w:rsid w:val="E7BF1FC4"/>
    <w:rsid w:val="ED6D9162"/>
    <w:rsid w:val="EE0BEA6F"/>
    <w:rsid w:val="EF7B1925"/>
    <w:rsid w:val="EFDB7919"/>
    <w:rsid w:val="EFF91F3A"/>
    <w:rsid w:val="EFFF278C"/>
    <w:rsid w:val="F1347A70"/>
    <w:rsid w:val="F3BB1581"/>
    <w:rsid w:val="F3EF8957"/>
    <w:rsid w:val="F7D57869"/>
    <w:rsid w:val="F91F5623"/>
    <w:rsid w:val="F99F179C"/>
    <w:rsid w:val="FB6F87D3"/>
    <w:rsid w:val="FB7D52BD"/>
    <w:rsid w:val="FBBD03F1"/>
    <w:rsid w:val="FC5F632E"/>
    <w:rsid w:val="FDF7EAA8"/>
    <w:rsid w:val="FDFF9C76"/>
    <w:rsid w:val="FEAFF452"/>
    <w:rsid w:val="FED7AE9E"/>
    <w:rsid w:val="FEE34724"/>
    <w:rsid w:val="FF1EFC35"/>
    <w:rsid w:val="FF477DD4"/>
    <w:rsid w:val="FF5F7F20"/>
    <w:rsid w:val="FF7B9B69"/>
    <w:rsid w:val="FFAFFB84"/>
    <w:rsid w:val="FFBF9032"/>
    <w:rsid w:val="FFC8EF32"/>
    <w:rsid w:val="FFD76697"/>
    <w:rsid w:val="FFDF81E1"/>
    <w:rsid w:val="FFE13652"/>
    <w:rsid w:val="FFECE770"/>
    <w:rsid w:val="FFFD3A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qFormat/>
    <w:uiPriority w:val="0"/>
    <w:pPr>
      <w:keepNext/>
      <w:keepLines/>
      <w:spacing w:line="360" w:lineRule="auto"/>
      <w:outlineLvl w:val="1"/>
    </w:pPr>
    <w:rPr>
      <w:b/>
      <w:bCs/>
      <w:sz w:val="24"/>
      <w:szCs w:val="32"/>
    </w:rPr>
  </w:style>
  <w:style w:type="paragraph" w:styleId="4">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widowControl/>
      <w:ind w:firstLine="420"/>
      <w:jc w:val="left"/>
    </w:pPr>
    <w:rPr>
      <w:kern w:val="0"/>
      <w:sz w:val="20"/>
      <w:szCs w:val="20"/>
    </w:rPr>
  </w:style>
  <w:style w:type="paragraph" w:customStyle="1" w:styleId="6">
    <w:name w:val="Default"/>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7">
    <w:name w:val="Body Text Indent"/>
    <w:basedOn w:val="1"/>
    <w:autoRedefine/>
    <w:qFormat/>
    <w:uiPriority w:val="99"/>
    <w:pPr>
      <w:spacing w:line="400" w:lineRule="exact"/>
      <w:ind w:left="630"/>
    </w:pPr>
    <w:rPr>
      <w:rFonts w:ascii="楷体_GB2312"/>
      <w:sz w:val="30"/>
      <w:szCs w:val="30"/>
    </w:rPr>
  </w:style>
  <w:style w:type="paragraph" w:styleId="8">
    <w:name w:val="Date"/>
    <w:basedOn w:val="1"/>
    <w:next w:val="1"/>
    <w:qFormat/>
    <w:uiPriority w:val="0"/>
    <w:rPr>
      <w:color w:val="000000"/>
      <w:kern w:val="0"/>
      <w:sz w:val="30"/>
    </w:rPr>
  </w:style>
  <w:style w:type="paragraph" w:styleId="9">
    <w:name w:val="footer"/>
    <w:basedOn w:val="1"/>
    <w:autoRedefine/>
    <w:qFormat/>
    <w:uiPriority w:val="0"/>
    <w:pPr>
      <w:tabs>
        <w:tab w:val="center" w:pos="4153"/>
        <w:tab w:val="right" w:pos="8306"/>
      </w:tabs>
      <w:snapToGrid w:val="0"/>
      <w:jc w:val="left"/>
    </w:pPr>
    <w:rPr>
      <w:kern w:val="0"/>
      <w:sz w:val="18"/>
    </w:rPr>
  </w:style>
  <w:style w:type="paragraph" w:styleId="1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autoRedefine/>
    <w:qFormat/>
    <w:uiPriority w:val="0"/>
    <w:rPr>
      <w:sz w:val="24"/>
    </w:rPr>
  </w:style>
  <w:style w:type="paragraph" w:styleId="12">
    <w:name w:val="Body Text First Indent 2"/>
    <w:basedOn w:val="7"/>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大标题"/>
    <w:basedOn w:val="1"/>
    <w:next w:val="12"/>
    <w:autoRedefine/>
    <w:qFormat/>
    <w:uiPriority w:val="0"/>
    <w:pPr>
      <w:jc w:val="center"/>
    </w:pPr>
    <w:rPr>
      <w:rFonts w:ascii="Arial" w:hAnsi="Arial" w:eastAsia="宋体"/>
      <w:b/>
      <w:sz w:val="28"/>
      <w:szCs w:val="24"/>
    </w:rPr>
  </w:style>
  <w:style w:type="paragraph" w:customStyle="1" w:styleId="17">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8">
    <w:name w:val="列出段落1"/>
    <w:basedOn w:val="1"/>
    <w:autoRedefine/>
    <w:qFormat/>
    <w:uiPriority w:val="99"/>
    <w:pPr>
      <w:ind w:firstLine="420" w:firstLineChars="200"/>
    </w:pPr>
  </w:style>
  <w:style w:type="paragraph" w:customStyle="1" w:styleId="19">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20">
    <w:name w:val="List Paragraph"/>
    <w:basedOn w:val="1"/>
    <w:autoRedefine/>
    <w:qFormat/>
    <w:uiPriority w:val="34"/>
    <w:pPr>
      <w:ind w:firstLine="420" w:firstLineChars="200"/>
    </w:pPr>
    <w:rPr>
      <w:rFonts w:ascii="Calibri" w:hAnsi="Calibri"/>
      <w:szCs w:val="22"/>
    </w:rPr>
  </w:style>
  <w:style w:type="character" w:customStyle="1" w:styleId="21">
    <w:name w:val="NormalCharacter"/>
    <w:autoRedefine/>
    <w:semiHidden/>
    <w:qFormat/>
    <w:uiPriority w:val="0"/>
  </w:style>
  <w:style w:type="paragraph" w:customStyle="1" w:styleId="22">
    <w:name w:val="列出段落2"/>
    <w:basedOn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5790</Words>
  <Characters>6232</Characters>
  <Lines>0</Lines>
  <Paragraphs>0</Paragraphs>
  <TotalTime>3</TotalTime>
  <ScaleCrop>false</ScaleCrop>
  <LinksUpToDate>false</LinksUpToDate>
  <CharactersWithSpaces>6555</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2023-07-24T17:45:00Z</dcterms:created>
  <dc:creator>是小豹子</dc:creator>
  <cp:lastModifiedBy>沁sqr</cp:lastModifiedBy>
  <dcterms:modified xsi:type="dcterms:W3CDTF">2026-08-10T08:31:41Z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76FB0FAE7D39B64E20C5306ACAD8361B_43</vt:lpwstr>
  </property>
  <property fmtid="{D5CDD505-2E9C-101B-9397-08002B2CF9AE}" pid="4" name="KSOTemplateDocerSaveRecord">
    <vt:lpwstr>eyJoZGlkIjoiYjhlYmE2MWY2NTY0MzZmZTc1MzE0ZTI3ZDViMDM4ZWEiLCJ1c2VySWQiOiIxMDY1NzYwODA4In0=</vt:lpwstr>
  </property>
</Properties>
</file>