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6"/>
        <w:snapToGrid w:val="0"/>
        <w:jc w:val="center"/>
        <w:rPr>
          <w:rFonts w:hint="eastAsia" w:ascii="Arial" w:hAnsi="Arial" w:eastAsia="方正小标宋简体" w:cs="Arial"/>
          <w:color w:val="auto"/>
          <w:sz w:val="72"/>
          <w:szCs w:val="72"/>
          <w:lang w:eastAsia="zh-CN"/>
        </w:rPr>
      </w:pPr>
      <w:bookmarkStart w:id="0" w:name="_Toc16523570"/>
    </w:p>
    <w:p w14:paraId="624C34B6">
      <w:pPr>
        <w:pStyle w:val="1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6"/>
        <w:snapToGrid w:val="0"/>
        <w:jc w:val="center"/>
        <w:rPr>
          <w:rFonts w:hint="eastAsia" w:ascii="Arial" w:hAnsi="Arial" w:eastAsia="方正小标宋简体" w:cs="Arial"/>
          <w:sz w:val="72"/>
          <w:szCs w:val="72"/>
        </w:rPr>
      </w:pPr>
    </w:p>
    <w:p w14:paraId="16E58BC0">
      <w:pPr>
        <w:pStyle w:val="16"/>
        <w:snapToGrid w:val="0"/>
        <w:jc w:val="center"/>
        <w:rPr>
          <w:rFonts w:hint="eastAsia" w:ascii="Arial" w:hAnsi="Arial" w:eastAsia="方正小标宋简体" w:cs="Arial"/>
          <w:sz w:val="72"/>
          <w:szCs w:val="72"/>
        </w:rPr>
      </w:pPr>
    </w:p>
    <w:p w14:paraId="7D3C3256">
      <w:pPr>
        <w:pStyle w:val="16"/>
        <w:snapToGrid w:val="0"/>
        <w:jc w:val="center"/>
        <w:rPr>
          <w:rFonts w:hint="eastAsia" w:ascii="Arial" w:hAnsi="Arial" w:eastAsia="方正小标宋简体" w:cs="Arial"/>
          <w:sz w:val="72"/>
          <w:szCs w:val="72"/>
        </w:rPr>
      </w:pPr>
    </w:p>
    <w:p w14:paraId="11608FC0">
      <w:pPr>
        <w:pStyle w:val="1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6"/>
        <w:snapToGrid w:val="0"/>
        <w:jc w:val="center"/>
        <w:rPr>
          <w:rFonts w:ascii="Arial" w:hAnsi="Arial" w:cs="Arial"/>
          <w:sz w:val="32"/>
          <w:szCs w:val="32"/>
        </w:rPr>
      </w:pPr>
    </w:p>
    <w:p w14:paraId="46311545">
      <w:pPr>
        <w:pStyle w:val="17"/>
        <w:rPr>
          <w:rFonts w:ascii="Arial" w:hAnsi="Arial" w:cs="Arial"/>
          <w:sz w:val="32"/>
          <w:szCs w:val="32"/>
        </w:rPr>
      </w:pPr>
    </w:p>
    <w:p w14:paraId="5F00027D">
      <w:pPr>
        <w:pStyle w:val="12"/>
        <w:rPr>
          <w:rFonts w:ascii="Arial" w:hAnsi="Arial" w:cs="Arial"/>
          <w:sz w:val="32"/>
          <w:szCs w:val="32"/>
        </w:rPr>
      </w:pPr>
    </w:p>
    <w:p w14:paraId="790E99FE">
      <w:pPr>
        <w:pStyle w:val="12"/>
        <w:rPr>
          <w:rFonts w:ascii="Arial" w:hAnsi="Arial" w:cs="Arial"/>
          <w:sz w:val="32"/>
          <w:szCs w:val="32"/>
        </w:rPr>
      </w:pPr>
    </w:p>
    <w:p w14:paraId="6D6CF557">
      <w:pPr>
        <w:pStyle w:val="12"/>
        <w:rPr>
          <w:rFonts w:ascii="Arial" w:hAnsi="Arial" w:cs="Arial"/>
          <w:sz w:val="32"/>
          <w:szCs w:val="32"/>
        </w:rPr>
      </w:pPr>
    </w:p>
    <w:p w14:paraId="77BABE1C">
      <w:pPr>
        <w:pStyle w:val="12"/>
        <w:rPr>
          <w:rFonts w:ascii="Arial" w:hAnsi="Arial" w:cs="Arial"/>
          <w:sz w:val="32"/>
          <w:szCs w:val="32"/>
        </w:rPr>
      </w:pPr>
    </w:p>
    <w:p w14:paraId="1C0FB295">
      <w:pPr>
        <w:pStyle w:val="12"/>
        <w:rPr>
          <w:rFonts w:ascii="Arial" w:hAnsi="Arial" w:cs="Arial"/>
          <w:sz w:val="32"/>
          <w:szCs w:val="32"/>
        </w:rPr>
      </w:pPr>
    </w:p>
    <w:p w14:paraId="4C96CB97">
      <w:pPr>
        <w:pStyle w:val="12"/>
        <w:rPr>
          <w:rFonts w:ascii="Arial" w:hAnsi="Arial" w:cs="Arial"/>
          <w:sz w:val="32"/>
          <w:szCs w:val="32"/>
        </w:rPr>
      </w:pPr>
    </w:p>
    <w:p w14:paraId="1825AAC5">
      <w:pPr>
        <w:pStyle w:val="12"/>
        <w:rPr>
          <w:rFonts w:ascii="Arial" w:hAnsi="Arial" w:cs="Arial"/>
          <w:sz w:val="32"/>
          <w:szCs w:val="32"/>
        </w:rPr>
      </w:pPr>
    </w:p>
    <w:p w14:paraId="1B92FFA5">
      <w:pPr>
        <w:pStyle w:val="16"/>
        <w:snapToGrid w:val="0"/>
        <w:jc w:val="center"/>
        <w:rPr>
          <w:rFonts w:ascii="Arial" w:hAnsi="Arial" w:cs="Arial"/>
          <w:sz w:val="32"/>
          <w:szCs w:val="32"/>
        </w:rPr>
      </w:pPr>
    </w:p>
    <w:p w14:paraId="3EB4A47A">
      <w:pPr>
        <w:pStyle w:val="16"/>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（手术无影灯 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六</w:t>
      </w:r>
      <w:r>
        <w:rPr>
          <w:rFonts w:hint="eastAsia" w:ascii="宋体" w:hAnsi="宋体" w:cs="宋体"/>
          <w:bCs/>
          <w:sz w:val="32"/>
          <w:szCs w:val="32"/>
        </w:rPr>
        <w:t>年</w:t>
      </w:r>
      <w:r>
        <w:rPr>
          <w:rFonts w:hint="eastAsia" w:ascii="宋体" w:hAnsi="宋体" w:cs="宋体"/>
          <w:bCs/>
          <w:sz w:val="32"/>
          <w:szCs w:val="32"/>
          <w:lang w:val="en-US" w:eastAsia="zh-CN"/>
        </w:rPr>
        <w:t>八</w:t>
      </w:r>
      <w:r>
        <w:rPr>
          <w:rFonts w:hint="eastAsia" w:ascii="宋体" w:hAnsi="宋体" w:cs="宋体"/>
          <w:bCs/>
          <w:sz w:val="32"/>
          <w:szCs w:val="32"/>
        </w:rPr>
        <w:t>月</w:t>
      </w:r>
    </w:p>
    <w:p w14:paraId="4F5472A4">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手术无影灯</w:t>
      </w:r>
      <w:r>
        <w:rPr>
          <w:rFonts w:hint="eastAsia" w:asciiTheme="minorEastAsia" w:hAnsiTheme="minorEastAsia" w:eastAsiaTheme="minorEastAsia" w:cstheme="minorEastAsia"/>
          <w:bCs/>
          <w:color w:val="auto"/>
          <w:sz w:val="24"/>
          <w:szCs w:val="24"/>
          <w:u w:val="non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手术无影灯</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bookmarkEnd w:id="0"/>
    <w:p w14:paraId="76DBA799">
      <w:pPr>
        <w:pStyle w:val="16"/>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3E8934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E28611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1、投标截止时间、开标时间：见医院官网公开挂网表</w:t>
      </w:r>
    </w:p>
    <w:p w14:paraId="0808AD5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AB872F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FF0000"/>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26A7334E">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FF0000"/>
          <w:sz w:val="24"/>
          <w:szCs w:val="24"/>
          <w:lang w:val="en-US" w:eastAsia="zh-CN" w:bidi="ar-SA"/>
        </w:rPr>
        <w:t>1.7、技术参数负偏离大于5条的。</w:t>
      </w:r>
    </w:p>
    <w:p w14:paraId="731CB78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7"/>
        <w:rPr>
          <w:rFonts w:hint="eastAsia"/>
          <w:lang w:val="en-US" w:eastAsia="zh-CN"/>
        </w:rPr>
      </w:pPr>
    </w:p>
    <w:p w14:paraId="687E9235">
      <w:pPr>
        <w:pStyle w:val="17"/>
        <w:jc w:val="both"/>
        <w:rPr>
          <w:rFonts w:hint="default"/>
          <w:lang w:val="en-US" w:eastAsia="zh-CN"/>
        </w:rPr>
      </w:pPr>
    </w:p>
    <w:p w14:paraId="7AECD5DA">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一、采购清单、采购项目交付或者实施的时间和地点</w:t>
      </w:r>
    </w:p>
    <w:p w14:paraId="72D2BF8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831"/>
        <w:gridCol w:w="2676"/>
        <w:gridCol w:w="1486"/>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83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67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设备</w:t>
            </w:r>
            <w:r>
              <w:rPr>
                <w:rFonts w:hint="eastAsia" w:asciiTheme="minorEastAsia" w:hAnsiTheme="minorEastAsia" w:eastAsiaTheme="minorEastAsia" w:cstheme="minorEastAsia"/>
                <w:kern w:val="2"/>
                <w:sz w:val="24"/>
                <w:szCs w:val="24"/>
              </w:rPr>
              <w:t>名称</w:t>
            </w:r>
          </w:p>
        </w:tc>
        <w:tc>
          <w:tcPr>
            <w:tcW w:w="148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651" w:hRule="atLeast"/>
          <w:jc w:val="center"/>
        </w:trPr>
        <w:tc>
          <w:tcPr>
            <w:tcW w:w="83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67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手术无影灯</w:t>
            </w:r>
          </w:p>
        </w:tc>
        <w:tc>
          <w:tcPr>
            <w:tcW w:w="148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5</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34</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bl>
    <w:p w14:paraId="21E9F08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336CF4A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970FE5">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二、项目内容及要求</w:t>
      </w:r>
    </w:p>
    <w:p w14:paraId="591F112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（一）技术参数</w:t>
      </w:r>
    </w:p>
    <w:p w14:paraId="1BEB95F8">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360" w:leftChars="0" w:firstLine="560" w:firstLineChars="200"/>
        <w:textAlignment w:val="auto"/>
        <w:rPr>
          <w:rFonts w:ascii="宋体" w:hAnsi="宋体"/>
          <w:sz w:val="28"/>
          <w:szCs w:val="28"/>
        </w:rPr>
      </w:pPr>
      <w:r>
        <w:rPr>
          <w:rFonts w:hint="eastAsia" w:ascii="宋体" w:hAnsi="宋体" w:eastAsia="宋体" w:cs="Times New Roman"/>
          <w:color w:val="000000" w:themeColor="text1"/>
          <w:kern w:val="2"/>
          <w:sz w:val="28"/>
          <w:szCs w:val="28"/>
          <w:lang w:val="en-US" w:eastAsia="zh-CN" w:bidi="ar-SA"/>
          <w14:textFill>
            <w14:solidFill>
              <w14:schemeClr w14:val="tx1"/>
            </w14:solidFill>
          </w14:textFill>
        </w:rPr>
        <w:t>1.</w:t>
      </w:r>
      <w:r>
        <w:rPr>
          <w:rFonts w:hint="eastAsia" w:ascii="宋体" w:hAnsi="宋体"/>
          <w:sz w:val="28"/>
          <w:szCs w:val="28"/>
        </w:rPr>
        <w:t>无影灯采用模块化设计，安装时不需要拆卸天花且不会改变层流结构，即可于无影灯旋转体基础上升级第三臂或第四臂显示器悬挂系统。</w:t>
      </w:r>
    </w:p>
    <w:p w14:paraId="10ADA4C2">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360" w:leftChars="0" w:firstLine="560" w:firstLineChars="200"/>
        <w:textAlignment w:val="auto"/>
        <w:rPr>
          <w:rFonts w:ascii="宋体" w:hAnsi="宋体"/>
          <w:sz w:val="28"/>
          <w:szCs w:val="28"/>
        </w:rPr>
      </w:pPr>
      <w:r>
        <w:rPr>
          <w:rFonts w:hint="eastAsia" w:ascii="宋体" w:hAnsi="宋体" w:eastAsia="宋体" w:cs="Times New Roman"/>
          <w:color w:val="000000" w:themeColor="text1"/>
          <w:kern w:val="2"/>
          <w:sz w:val="28"/>
          <w:szCs w:val="28"/>
          <w:lang w:val="en-US" w:eastAsia="zh-CN" w:bidi="ar-SA"/>
          <w14:textFill>
            <w14:solidFill>
              <w14:schemeClr w14:val="tx1"/>
            </w14:solidFill>
          </w14:textFill>
        </w:rPr>
        <w:t>2.</w:t>
      </w:r>
      <w:r>
        <w:rPr>
          <w:rFonts w:hint="eastAsia" w:ascii="宋体" w:hAnsi="宋体"/>
          <w:sz w:val="28"/>
          <w:szCs w:val="28"/>
        </w:rPr>
        <w:t>手术灯具备抗频闪功能，使用PWM调光技术，非DC调光方式（提供相关证明文件</w:t>
      </w:r>
      <w:r>
        <w:rPr>
          <w:rFonts w:hint="eastAsia" w:ascii="宋体" w:hAnsi="宋体"/>
          <w:sz w:val="28"/>
          <w:szCs w:val="28"/>
          <w:lang w:eastAsia="zh-CN"/>
        </w:rPr>
        <w:t>）</w:t>
      </w:r>
    </w:p>
    <w:p w14:paraId="2A67BEAF">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360" w:leftChars="0" w:firstLine="560" w:firstLineChars="200"/>
        <w:textAlignment w:val="auto"/>
        <w:rPr>
          <w:rFonts w:ascii="宋体" w:hAnsi="宋体"/>
          <w:sz w:val="28"/>
          <w:szCs w:val="28"/>
        </w:rPr>
      </w:pPr>
      <w:r>
        <w:rPr>
          <w:rFonts w:hint="eastAsia" w:ascii="宋体" w:hAnsi="宋体" w:eastAsia="宋体" w:cs="Times New Roman"/>
          <w:color w:val="000000" w:themeColor="text1"/>
          <w:kern w:val="2"/>
          <w:sz w:val="28"/>
          <w:szCs w:val="28"/>
          <w:lang w:val="en-US" w:eastAsia="zh-CN" w:bidi="ar-SA"/>
          <w14:textFill>
            <w14:solidFill>
              <w14:schemeClr w14:val="tx1"/>
            </w14:solidFill>
          </w14:textFill>
        </w:rPr>
        <w:t>3.</w:t>
      </w:r>
      <w:r>
        <w:rPr>
          <w:rFonts w:hint="eastAsia" w:ascii="宋体" w:hAnsi="宋体"/>
          <w:sz w:val="28"/>
          <w:szCs w:val="28"/>
        </w:rPr>
        <w:t>灯头具有良好的层流穿透效果，母灯及子灯均符合D</w:t>
      </w:r>
      <w:r>
        <w:rPr>
          <w:rFonts w:ascii="宋体" w:hAnsi="宋体"/>
          <w:sz w:val="28"/>
          <w:szCs w:val="28"/>
        </w:rPr>
        <w:t>IN1946-4</w:t>
      </w:r>
      <w:r>
        <w:rPr>
          <w:rFonts w:hint="eastAsia" w:ascii="宋体" w:hAnsi="宋体"/>
          <w:sz w:val="28"/>
          <w:szCs w:val="28"/>
        </w:rPr>
        <w:t>现代层流手术室感控要求，扰流指数</w:t>
      </w:r>
      <w:r>
        <w:rPr>
          <w:rFonts w:hint="eastAsia" w:ascii="宋体" w:hAnsi="宋体"/>
          <w:sz w:val="28"/>
          <w:szCs w:val="28"/>
          <w:lang w:val="en-US" w:eastAsia="zh-CN"/>
        </w:rPr>
        <w:t>≤19</w:t>
      </w:r>
      <w:r>
        <w:rPr>
          <w:rFonts w:ascii="宋体" w:hAnsi="宋体"/>
          <w:sz w:val="28"/>
          <w:szCs w:val="28"/>
        </w:rPr>
        <w:t>%</w:t>
      </w:r>
      <w:r>
        <w:rPr>
          <w:rFonts w:hint="eastAsia" w:ascii="宋体" w:hAnsi="宋体"/>
          <w:sz w:val="28"/>
          <w:szCs w:val="28"/>
        </w:rPr>
        <w:t>。</w:t>
      </w:r>
      <w:r>
        <w:rPr>
          <w:rFonts w:hint="eastAsia" w:ascii="宋体" w:hAnsi="宋体"/>
          <w:sz w:val="28"/>
          <w:szCs w:val="28"/>
          <w:lang w:eastAsia="zh-CN"/>
        </w:rPr>
        <w:t>（</w:t>
      </w:r>
      <w:r>
        <w:rPr>
          <w:rFonts w:hint="eastAsia" w:ascii="宋体" w:hAnsi="宋体"/>
          <w:sz w:val="28"/>
          <w:szCs w:val="28"/>
        </w:rPr>
        <w:t>提供第三方证明文件</w:t>
      </w:r>
      <w:r>
        <w:rPr>
          <w:rFonts w:hint="eastAsia" w:ascii="宋体" w:hAnsi="宋体"/>
          <w:sz w:val="28"/>
          <w:szCs w:val="28"/>
          <w:lang w:eastAsia="zh-CN"/>
        </w:rPr>
        <w:t>）</w:t>
      </w:r>
    </w:p>
    <w:p w14:paraId="21356A36">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360" w:leftChars="0" w:firstLine="560" w:firstLineChars="200"/>
        <w:textAlignment w:val="auto"/>
        <w:rPr>
          <w:rFonts w:ascii="宋体" w:hAnsi="宋体"/>
          <w:sz w:val="28"/>
          <w:szCs w:val="28"/>
        </w:rPr>
      </w:pPr>
      <w:r>
        <w:rPr>
          <w:rFonts w:hint="eastAsia" w:ascii="宋体" w:hAnsi="宋体" w:eastAsia="宋体" w:cs="Times New Roman"/>
          <w:color w:val="000000" w:themeColor="text1"/>
          <w:kern w:val="2"/>
          <w:sz w:val="28"/>
          <w:szCs w:val="28"/>
          <w:lang w:val="en-US" w:eastAsia="zh-CN" w:bidi="ar-SA"/>
          <w14:textFill>
            <w14:solidFill>
              <w14:schemeClr w14:val="tx1"/>
            </w14:solidFill>
          </w14:textFill>
        </w:rPr>
        <w:t>4.</w:t>
      </w:r>
      <w:r>
        <w:rPr>
          <w:rFonts w:hint="eastAsia"/>
          <w:sz w:val="28"/>
          <w:szCs w:val="28"/>
        </w:rPr>
        <w:t>经抗震试验后，设备</w:t>
      </w:r>
      <w:r>
        <w:rPr>
          <w:sz w:val="28"/>
          <w:szCs w:val="28"/>
        </w:rPr>
        <w:t>主体部件和连接系统结构</w:t>
      </w:r>
      <w:r>
        <w:rPr>
          <w:rFonts w:hint="eastAsia"/>
          <w:sz w:val="28"/>
          <w:szCs w:val="28"/>
        </w:rPr>
        <w:t>完整，设备部件连接系统的结构保持完整</w:t>
      </w:r>
      <w:r>
        <w:rPr>
          <w:rFonts w:hint="eastAsia"/>
          <w:sz w:val="28"/>
          <w:szCs w:val="28"/>
          <w:lang w:eastAsia="zh-CN"/>
        </w:rPr>
        <w:t>。</w:t>
      </w:r>
      <w:r>
        <w:rPr>
          <w:rFonts w:hint="eastAsia"/>
          <w:sz w:val="28"/>
          <w:szCs w:val="28"/>
        </w:rPr>
        <w:t>（提供第三方检测报告</w:t>
      </w:r>
      <w:r>
        <w:rPr>
          <w:rFonts w:hint="eastAsia"/>
          <w:sz w:val="28"/>
          <w:szCs w:val="28"/>
          <w:lang w:eastAsia="zh-CN"/>
        </w:rPr>
        <w:t>）</w:t>
      </w:r>
    </w:p>
    <w:p w14:paraId="08227F71">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360" w:leftChars="0" w:firstLine="560" w:firstLineChars="200"/>
        <w:textAlignment w:val="auto"/>
        <w:rPr>
          <w:rFonts w:ascii="宋体" w:hAnsi="宋体"/>
          <w:sz w:val="28"/>
          <w:szCs w:val="28"/>
        </w:rPr>
      </w:pPr>
      <w:r>
        <w:rPr>
          <w:rFonts w:hint="eastAsia" w:ascii="宋体" w:hAnsi="宋体" w:eastAsia="宋体" w:cs="Times New Roman"/>
          <w:color w:val="000000" w:themeColor="text1"/>
          <w:kern w:val="2"/>
          <w:sz w:val="28"/>
          <w:szCs w:val="28"/>
          <w:lang w:val="en-US" w:eastAsia="zh-CN" w:bidi="ar-SA"/>
          <w14:textFill>
            <w14:solidFill>
              <w14:schemeClr w14:val="tx1"/>
            </w14:solidFill>
          </w14:textFill>
        </w:rPr>
        <w:t>5.</w:t>
      </w:r>
      <w:r>
        <w:rPr>
          <w:rFonts w:hint="eastAsia"/>
          <w:sz w:val="28"/>
          <w:szCs w:val="28"/>
          <w:lang w:val="en-US" w:eastAsia="zh-CN"/>
        </w:rPr>
        <w:t>具备</w:t>
      </w:r>
      <w:r>
        <w:rPr>
          <w:sz w:val="28"/>
          <w:szCs w:val="28"/>
        </w:rPr>
        <w:t>联网功能，</w:t>
      </w:r>
      <w:r>
        <w:rPr>
          <w:rFonts w:hint="eastAsia"/>
          <w:sz w:val="28"/>
          <w:szCs w:val="28"/>
          <w:lang w:val="en-US" w:eastAsia="zh-CN"/>
        </w:rPr>
        <w:t>用以</w:t>
      </w:r>
      <w:r>
        <w:rPr>
          <w:sz w:val="28"/>
          <w:szCs w:val="28"/>
        </w:rPr>
        <w:t>传递</w:t>
      </w:r>
      <w:r>
        <w:rPr>
          <w:rFonts w:hint="eastAsia"/>
          <w:sz w:val="28"/>
          <w:szCs w:val="28"/>
          <w:lang w:val="en-US" w:eastAsia="zh-CN"/>
        </w:rPr>
        <w:t>无影灯状态</w:t>
      </w:r>
      <w:r>
        <w:rPr>
          <w:sz w:val="28"/>
          <w:szCs w:val="28"/>
        </w:rPr>
        <w:t>信息</w:t>
      </w:r>
      <w:r>
        <w:rPr>
          <w:rFonts w:hint="eastAsia"/>
          <w:sz w:val="28"/>
          <w:szCs w:val="28"/>
          <w:lang w:eastAsia="zh-CN"/>
        </w:rPr>
        <w:t>，</w:t>
      </w:r>
      <w:r>
        <w:rPr>
          <w:rFonts w:hint="eastAsia"/>
          <w:sz w:val="28"/>
          <w:szCs w:val="28"/>
          <w:lang w:val="en-US" w:eastAsia="zh-CN"/>
        </w:rPr>
        <w:t>实现手术室信息互联</w:t>
      </w:r>
      <w:r>
        <w:rPr>
          <w:rFonts w:hint="eastAsia"/>
          <w:sz w:val="28"/>
          <w:szCs w:val="28"/>
        </w:rPr>
        <w:t>。</w:t>
      </w:r>
    </w:p>
    <w:p w14:paraId="51AE404D">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360" w:leftChars="0" w:firstLine="560" w:firstLineChars="200"/>
        <w:textAlignment w:val="auto"/>
        <w:rPr>
          <w:rFonts w:ascii="宋体" w:hAnsi="宋体"/>
          <w:sz w:val="28"/>
          <w:szCs w:val="28"/>
        </w:rPr>
      </w:pPr>
      <w:r>
        <w:rPr>
          <w:rFonts w:hint="eastAsia" w:ascii="宋体" w:hAnsi="宋体" w:eastAsia="宋体" w:cs="Times New Roman"/>
          <w:color w:val="000000" w:themeColor="text1"/>
          <w:kern w:val="2"/>
          <w:sz w:val="28"/>
          <w:szCs w:val="28"/>
          <w:lang w:val="en-US" w:eastAsia="zh-CN" w:bidi="ar-SA"/>
          <w14:textFill>
            <w14:solidFill>
              <w14:schemeClr w14:val="tx1"/>
            </w14:solidFill>
          </w14:textFill>
        </w:rPr>
        <w:t>6.</w:t>
      </w:r>
      <w:r>
        <w:rPr>
          <w:rFonts w:hint="eastAsia"/>
          <w:sz w:val="28"/>
          <w:szCs w:val="28"/>
          <w:lang w:val="en-US" w:eastAsia="zh-CN"/>
        </w:rPr>
        <w:t>手术灯设计使用寿命为</w:t>
      </w:r>
      <w:r>
        <w:rPr>
          <w:rFonts w:hint="default" w:ascii="Arial" w:hAnsi="Arial" w:cs="Arial"/>
          <w:sz w:val="28"/>
          <w:szCs w:val="28"/>
          <w:lang w:val="en-US" w:eastAsia="zh-CN"/>
        </w:rPr>
        <w:t>≥</w:t>
      </w:r>
      <w:r>
        <w:rPr>
          <w:rFonts w:hint="eastAsia"/>
          <w:sz w:val="28"/>
          <w:szCs w:val="28"/>
          <w:lang w:val="en-US" w:eastAsia="zh-CN"/>
        </w:rPr>
        <w:t>10年（提供铭牌照片）。</w:t>
      </w:r>
    </w:p>
    <w:p w14:paraId="0C8740A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ascii="宋体" w:hAnsi="宋体"/>
          <w:sz w:val="28"/>
          <w:szCs w:val="28"/>
        </w:rPr>
      </w:pPr>
      <w:r>
        <w:rPr>
          <w:rFonts w:hint="eastAsia" w:ascii="宋体" w:hAnsi="宋体"/>
          <w:sz w:val="28"/>
          <w:szCs w:val="28"/>
        </w:rPr>
        <w:t>★</w:t>
      </w:r>
      <w:r>
        <w:rPr>
          <w:rFonts w:hint="eastAsia" w:ascii="宋体" w:hAnsi="宋体"/>
          <w:sz w:val="28"/>
          <w:szCs w:val="28"/>
          <w:lang w:val="en-US" w:eastAsia="zh-CN"/>
        </w:rPr>
        <w:t>7、</w:t>
      </w:r>
      <w:r>
        <w:rPr>
          <w:rFonts w:hint="eastAsia" w:ascii="宋体" w:hAnsi="宋体"/>
          <w:sz w:val="28"/>
          <w:szCs w:val="28"/>
        </w:rPr>
        <w:t>手术灯悬吊系统下的延伸臂可供手术灯水平连续回转，C</w:t>
      </w:r>
      <w:r>
        <w:rPr>
          <w:sz w:val="28"/>
          <w:szCs w:val="28"/>
        </w:rPr>
        <w:t>臂绕弹簧臂旋转范围：</w:t>
      </w:r>
      <w:r>
        <w:rPr>
          <w:rFonts w:hint="eastAsia"/>
          <w:sz w:val="28"/>
          <w:szCs w:val="28"/>
        </w:rPr>
        <w:t>无限位</w:t>
      </w:r>
      <w:r>
        <w:rPr>
          <w:rFonts w:hint="eastAsia"/>
          <w:sz w:val="28"/>
          <w:szCs w:val="28"/>
          <w:lang w:eastAsia="zh-CN"/>
        </w:rPr>
        <w:t>；</w:t>
      </w:r>
      <w:r>
        <w:rPr>
          <w:rFonts w:hint="eastAsia" w:ascii="宋体" w:hAnsi="宋体"/>
          <w:sz w:val="28"/>
          <w:szCs w:val="28"/>
        </w:rPr>
        <w:t>小C臂绕大C臂旋转范围：无限位</w:t>
      </w:r>
      <w:r>
        <w:rPr>
          <w:rFonts w:hint="eastAsia" w:ascii="宋体" w:hAnsi="宋体"/>
          <w:sz w:val="28"/>
          <w:szCs w:val="28"/>
          <w:lang w:eastAsia="zh-CN"/>
        </w:rPr>
        <w:t>；</w:t>
      </w:r>
      <w:r>
        <w:rPr>
          <w:rFonts w:hint="eastAsia" w:ascii="宋体" w:hAnsi="宋体"/>
          <w:sz w:val="28"/>
          <w:szCs w:val="28"/>
        </w:rPr>
        <w:t>且灯头绕小 C 臂旋转范围：无限位；（</w:t>
      </w:r>
      <w:r>
        <w:rPr>
          <w:rFonts w:hint="eastAsia"/>
          <w:sz w:val="28"/>
          <w:szCs w:val="28"/>
        </w:rPr>
        <w:t>提供第三方检测报告</w:t>
      </w:r>
      <w:r>
        <w:rPr>
          <w:rFonts w:hint="eastAsia" w:ascii="宋体" w:hAnsi="宋体"/>
          <w:sz w:val="28"/>
          <w:szCs w:val="28"/>
        </w:rPr>
        <w:t>）</w:t>
      </w:r>
    </w:p>
    <w:p w14:paraId="56DCE51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ascii="宋体" w:hAnsi="宋体"/>
          <w:sz w:val="28"/>
          <w:szCs w:val="28"/>
        </w:rPr>
      </w:pPr>
      <w:r>
        <w:rPr>
          <w:rFonts w:hint="eastAsia" w:ascii="宋体" w:hAnsi="宋体" w:eastAsia="宋体" w:cs="宋体"/>
          <w:sz w:val="28"/>
          <w:szCs w:val="28"/>
          <w:lang w:val="en-US" w:eastAsia="zh-CN"/>
        </w:rPr>
        <w:t>▲</w:t>
      </w:r>
      <w:r>
        <w:rPr>
          <w:rFonts w:hint="eastAsia"/>
          <w:sz w:val="28"/>
          <w:szCs w:val="28"/>
          <w:lang w:val="en-US" w:eastAsia="zh-CN"/>
        </w:rPr>
        <w:t>8、</w:t>
      </w:r>
      <w:r>
        <w:rPr>
          <w:rFonts w:hint="eastAsia"/>
          <w:sz w:val="28"/>
          <w:szCs w:val="28"/>
        </w:rPr>
        <w:t>手术灯金属表面抗菌设计，大肠杆菌、金黄色葡萄球菌抗菌率＞9</w:t>
      </w:r>
      <w:r>
        <w:rPr>
          <w:sz w:val="28"/>
          <w:szCs w:val="28"/>
        </w:rPr>
        <w:t>9.9%</w:t>
      </w:r>
      <w:r>
        <w:rPr>
          <w:rFonts w:hint="eastAsia"/>
          <w:sz w:val="28"/>
          <w:szCs w:val="28"/>
        </w:rPr>
        <w:t>（提供第三方检测报告</w:t>
      </w:r>
      <w:r>
        <w:rPr>
          <w:rFonts w:hint="eastAsia"/>
          <w:sz w:val="28"/>
          <w:szCs w:val="28"/>
          <w:lang w:eastAsia="zh-CN"/>
        </w:rPr>
        <w:t>）。</w:t>
      </w:r>
    </w:p>
    <w:p w14:paraId="6931E9F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ascii="宋体" w:hAnsi="宋体"/>
          <w:sz w:val="28"/>
          <w:szCs w:val="28"/>
        </w:rPr>
      </w:pPr>
      <w:r>
        <w:rPr>
          <w:rFonts w:hint="eastAsia" w:ascii="宋体" w:hAnsi="宋体" w:eastAsia="宋体" w:cs="宋体"/>
          <w:sz w:val="28"/>
          <w:szCs w:val="28"/>
          <w:lang w:val="en-US" w:eastAsia="zh-CN"/>
        </w:rPr>
        <w:t>▲</w:t>
      </w:r>
      <w:r>
        <w:rPr>
          <w:rFonts w:hint="eastAsia" w:ascii="宋体" w:hAnsi="宋体"/>
          <w:sz w:val="28"/>
          <w:szCs w:val="28"/>
          <w:lang w:val="en-US" w:eastAsia="zh-CN"/>
        </w:rPr>
        <w:t>9、</w:t>
      </w:r>
      <w:r>
        <w:rPr>
          <w:rFonts w:hint="eastAsia" w:ascii="宋体" w:hAnsi="宋体"/>
          <w:sz w:val="28"/>
          <w:szCs w:val="28"/>
        </w:rPr>
        <w:t>手术灯采用冷白暖白两色LED冷光技术，同时每组L</w:t>
      </w:r>
      <w:r>
        <w:rPr>
          <w:rFonts w:ascii="宋体" w:hAnsi="宋体"/>
          <w:sz w:val="28"/>
          <w:szCs w:val="28"/>
        </w:rPr>
        <w:t>ED</w:t>
      </w:r>
      <w:r>
        <w:rPr>
          <w:rFonts w:hint="eastAsia" w:ascii="宋体" w:hAnsi="宋体"/>
          <w:sz w:val="28"/>
          <w:szCs w:val="28"/>
        </w:rPr>
        <w:t>光源都有单独的透镜聚光，L</w:t>
      </w:r>
      <w:r>
        <w:rPr>
          <w:rFonts w:ascii="宋体" w:hAnsi="宋体"/>
          <w:sz w:val="28"/>
          <w:szCs w:val="28"/>
        </w:rPr>
        <w:t>ED</w:t>
      </w:r>
      <w:r>
        <w:rPr>
          <w:rFonts w:hint="eastAsia" w:ascii="宋体" w:hAnsi="宋体"/>
          <w:sz w:val="28"/>
          <w:szCs w:val="28"/>
          <w:lang w:val="en-US" w:eastAsia="zh-CN"/>
        </w:rPr>
        <w:t>灯粒</w:t>
      </w:r>
      <w:r>
        <w:rPr>
          <w:rFonts w:hint="eastAsia" w:ascii="宋体" w:hAnsi="宋体"/>
          <w:sz w:val="28"/>
          <w:szCs w:val="28"/>
        </w:rPr>
        <w:t>数量≤</w:t>
      </w:r>
      <w:r>
        <w:rPr>
          <w:rFonts w:ascii="宋体" w:hAnsi="宋体"/>
          <w:sz w:val="28"/>
          <w:szCs w:val="28"/>
        </w:rPr>
        <w:t>40</w:t>
      </w:r>
      <w:r>
        <w:rPr>
          <w:rFonts w:hint="eastAsia" w:ascii="宋体" w:hAnsi="宋体"/>
          <w:sz w:val="28"/>
          <w:szCs w:val="28"/>
        </w:rPr>
        <w:t>个。（提供实物图片证明）</w:t>
      </w:r>
    </w:p>
    <w:p w14:paraId="0749FAA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ascii="宋体" w:hAnsi="宋体"/>
          <w:sz w:val="28"/>
          <w:szCs w:val="28"/>
        </w:rPr>
      </w:pPr>
      <w:r>
        <w:rPr>
          <w:rFonts w:hint="eastAsia" w:ascii="宋体" w:hAnsi="宋体"/>
          <w:sz w:val="28"/>
          <w:szCs w:val="28"/>
          <w:lang w:val="en-US" w:eastAsia="zh-CN"/>
        </w:rPr>
        <w:t>10、</w:t>
      </w:r>
      <w:r>
        <w:rPr>
          <w:rFonts w:hint="eastAsia" w:ascii="宋体" w:hAnsi="宋体"/>
          <w:sz w:val="28"/>
          <w:szCs w:val="28"/>
        </w:rPr>
        <w:t>手术灯采用超薄三叶型灯头设计，灯头直径≤</w:t>
      </w:r>
      <w:r>
        <w:rPr>
          <w:rFonts w:ascii="宋体" w:hAnsi="宋体"/>
          <w:sz w:val="28"/>
          <w:szCs w:val="28"/>
        </w:rPr>
        <w:t>65</w:t>
      </w:r>
      <w:r>
        <w:rPr>
          <w:rFonts w:hint="eastAsia" w:ascii="宋体" w:hAnsi="宋体"/>
          <w:sz w:val="28"/>
          <w:szCs w:val="28"/>
        </w:rPr>
        <w:t>cm，厚度≤</w:t>
      </w:r>
      <w:r>
        <w:rPr>
          <w:rFonts w:ascii="宋体" w:hAnsi="宋体"/>
          <w:sz w:val="28"/>
          <w:szCs w:val="28"/>
        </w:rPr>
        <w:t>6cm</w:t>
      </w:r>
      <w:r>
        <w:rPr>
          <w:rFonts w:hint="eastAsia" w:ascii="宋体" w:hAnsi="宋体"/>
          <w:sz w:val="28"/>
          <w:szCs w:val="28"/>
        </w:rPr>
        <w:t>，带大、小C臂单灯头重量≤</w:t>
      </w:r>
      <w:r>
        <w:rPr>
          <w:rFonts w:ascii="宋体" w:hAnsi="宋体"/>
          <w:sz w:val="28"/>
          <w:szCs w:val="28"/>
        </w:rPr>
        <w:t>14Kg</w:t>
      </w:r>
      <w:r>
        <w:rPr>
          <w:rFonts w:hint="eastAsia" w:ascii="宋体" w:hAnsi="宋体"/>
          <w:sz w:val="28"/>
          <w:szCs w:val="28"/>
        </w:rPr>
        <w:t>。</w:t>
      </w:r>
    </w:p>
    <w:p w14:paraId="3DF1D4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ascii="宋体" w:hAnsi="宋体"/>
          <w:sz w:val="28"/>
          <w:szCs w:val="28"/>
        </w:rPr>
      </w:pPr>
      <w:r>
        <w:rPr>
          <w:rFonts w:hint="eastAsia" w:ascii="宋体" w:hAnsi="宋体" w:eastAsia="宋体" w:cs="宋体"/>
          <w:sz w:val="28"/>
          <w:szCs w:val="28"/>
          <w:lang w:val="en-US" w:eastAsia="zh-CN"/>
        </w:rPr>
        <w:t>▲</w:t>
      </w:r>
      <w:r>
        <w:rPr>
          <w:rFonts w:hint="eastAsia" w:ascii="宋体" w:hAnsi="宋体"/>
          <w:sz w:val="28"/>
          <w:szCs w:val="28"/>
          <w:lang w:val="en-US" w:eastAsia="zh-CN"/>
        </w:rPr>
        <w:t>11、</w:t>
      </w:r>
      <w:r>
        <w:rPr>
          <w:rFonts w:hint="eastAsia" w:ascii="宋体" w:hAnsi="宋体"/>
          <w:sz w:val="28"/>
          <w:szCs w:val="28"/>
        </w:rPr>
        <w:t>手术灯灯头≥IP5</w:t>
      </w:r>
      <w:r>
        <w:rPr>
          <w:rFonts w:ascii="宋体" w:hAnsi="宋体"/>
          <w:sz w:val="28"/>
          <w:szCs w:val="28"/>
        </w:rPr>
        <w:t>5</w:t>
      </w:r>
      <w:r>
        <w:rPr>
          <w:rFonts w:hint="eastAsia" w:ascii="宋体" w:hAnsi="宋体"/>
          <w:sz w:val="28"/>
          <w:szCs w:val="28"/>
        </w:rPr>
        <w:t>防水防尘等级。（提供第三方证明</w:t>
      </w:r>
      <w:r>
        <w:rPr>
          <w:rFonts w:hint="eastAsia" w:ascii="宋体" w:hAnsi="宋体"/>
          <w:sz w:val="28"/>
          <w:szCs w:val="28"/>
          <w:lang w:val="en-US" w:eastAsia="zh-CN"/>
        </w:rPr>
        <w:t>文件</w:t>
      </w:r>
      <w:r>
        <w:rPr>
          <w:rFonts w:hint="eastAsia" w:ascii="宋体" w:hAnsi="宋体"/>
          <w:sz w:val="28"/>
          <w:szCs w:val="28"/>
        </w:rPr>
        <w:t>）</w:t>
      </w:r>
    </w:p>
    <w:p w14:paraId="4A285FF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ascii="宋体" w:hAnsi="宋体"/>
          <w:sz w:val="28"/>
          <w:szCs w:val="28"/>
        </w:rPr>
      </w:pPr>
      <w:r>
        <w:rPr>
          <w:rFonts w:hint="eastAsia" w:ascii="宋体" w:hAnsi="宋体"/>
          <w:sz w:val="28"/>
          <w:szCs w:val="28"/>
          <w:lang w:val="en-US" w:eastAsia="zh-CN"/>
        </w:rPr>
        <w:t>12、</w:t>
      </w:r>
      <w:r>
        <w:rPr>
          <w:rFonts w:hint="eastAsia" w:ascii="宋体" w:hAnsi="宋体"/>
          <w:sz w:val="28"/>
          <w:szCs w:val="28"/>
        </w:rPr>
        <w:t>灯头操作扶手与灯头一体成型，一体化无螺钉设计，无拼接缝隙，便于医护人员清洁更方便</w:t>
      </w:r>
      <w:r>
        <w:rPr>
          <w:rFonts w:hint="eastAsia" w:ascii="宋体" w:hAnsi="宋体"/>
          <w:sz w:val="28"/>
          <w:szCs w:val="28"/>
          <w:lang w:eastAsia="zh-CN"/>
        </w:rPr>
        <w:t>，</w:t>
      </w:r>
      <w:r>
        <w:rPr>
          <w:rFonts w:hint="eastAsia" w:ascii="宋体" w:hAnsi="宋体"/>
          <w:sz w:val="28"/>
          <w:szCs w:val="28"/>
        </w:rPr>
        <w:t>不会留残留污染而影响洁净消毒效果</w:t>
      </w:r>
      <w:r>
        <w:rPr>
          <w:rFonts w:hint="eastAsia" w:ascii="宋体" w:hAnsi="宋体"/>
          <w:sz w:val="28"/>
          <w:szCs w:val="28"/>
          <w:lang w:eastAsia="zh-CN"/>
        </w:rPr>
        <w:t>，</w:t>
      </w:r>
      <w:r>
        <w:rPr>
          <w:rFonts w:hint="eastAsia" w:ascii="宋体" w:hAnsi="宋体"/>
          <w:sz w:val="28"/>
          <w:szCs w:val="28"/>
          <w:lang w:val="en-US" w:eastAsia="zh-CN"/>
        </w:rPr>
        <w:t>符合院感的要求</w:t>
      </w:r>
      <w:r>
        <w:rPr>
          <w:rFonts w:hint="eastAsia" w:ascii="宋体" w:hAnsi="宋体"/>
          <w:sz w:val="28"/>
          <w:szCs w:val="28"/>
        </w:rPr>
        <w:t>。</w:t>
      </w:r>
    </w:p>
    <w:p w14:paraId="2F3A91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560" w:firstLineChars="200"/>
        <w:textAlignment w:val="auto"/>
        <w:rPr>
          <w:rFonts w:ascii="宋体" w:hAnsi="宋体"/>
          <w:sz w:val="28"/>
          <w:szCs w:val="28"/>
        </w:rPr>
      </w:pPr>
      <w:r>
        <w:rPr>
          <w:rFonts w:hint="eastAsia" w:ascii="宋体" w:hAnsi="宋体"/>
          <w:sz w:val="28"/>
          <w:szCs w:val="28"/>
          <w:lang w:val="en-US" w:eastAsia="zh-CN"/>
        </w:rPr>
        <w:t>13、</w:t>
      </w:r>
      <w:r>
        <w:rPr>
          <w:rFonts w:hint="eastAsia" w:ascii="宋体" w:hAnsi="宋体"/>
          <w:sz w:val="28"/>
          <w:szCs w:val="28"/>
        </w:rPr>
        <w:t>照明深度要求： 2</w:t>
      </w:r>
      <w:r>
        <w:rPr>
          <w:rFonts w:ascii="宋体" w:hAnsi="宋体"/>
          <w:sz w:val="28"/>
          <w:szCs w:val="28"/>
        </w:rPr>
        <w:t>0%</w:t>
      </w:r>
      <w:r>
        <w:rPr>
          <w:rFonts w:hint="eastAsia" w:ascii="宋体" w:hAnsi="宋体"/>
          <w:sz w:val="28"/>
          <w:szCs w:val="28"/>
        </w:rPr>
        <w:t>光柱深度（大光斑）≥1</w:t>
      </w:r>
      <w:r>
        <w:rPr>
          <w:rFonts w:ascii="宋体" w:hAnsi="宋体"/>
          <w:sz w:val="28"/>
          <w:szCs w:val="28"/>
        </w:rPr>
        <w:t>350mm</w:t>
      </w:r>
      <w:r>
        <w:rPr>
          <w:rFonts w:hint="eastAsia" w:ascii="宋体" w:hAnsi="宋体"/>
          <w:sz w:val="28"/>
          <w:szCs w:val="28"/>
        </w:rPr>
        <w:t>，同时满足6</w:t>
      </w:r>
      <w:r>
        <w:rPr>
          <w:rFonts w:ascii="宋体" w:hAnsi="宋体"/>
          <w:sz w:val="28"/>
          <w:szCs w:val="28"/>
        </w:rPr>
        <w:t>0%</w:t>
      </w:r>
      <w:r>
        <w:rPr>
          <w:rFonts w:hint="eastAsia" w:ascii="宋体" w:hAnsi="宋体"/>
          <w:sz w:val="28"/>
          <w:szCs w:val="28"/>
        </w:rPr>
        <w:t>光柱深度（大光斑）≥</w:t>
      </w:r>
      <w:r>
        <w:rPr>
          <w:rFonts w:ascii="宋体" w:hAnsi="宋体"/>
          <w:sz w:val="28"/>
          <w:szCs w:val="28"/>
        </w:rPr>
        <w:t>800</w:t>
      </w:r>
      <w:r>
        <w:rPr>
          <w:rFonts w:hint="eastAsia" w:ascii="宋体" w:hAnsi="宋体"/>
          <w:sz w:val="28"/>
          <w:szCs w:val="28"/>
        </w:rPr>
        <w:t>mm。（</w:t>
      </w:r>
      <w:r>
        <w:rPr>
          <w:rFonts w:hint="eastAsia"/>
          <w:sz w:val="28"/>
          <w:szCs w:val="28"/>
        </w:rPr>
        <w:t>提供第三方检测报告</w:t>
      </w:r>
      <w:r>
        <w:rPr>
          <w:rFonts w:hint="eastAsia" w:ascii="宋体" w:hAnsi="宋体"/>
          <w:sz w:val="28"/>
          <w:szCs w:val="28"/>
          <w:lang w:eastAsia="zh-CN"/>
        </w:rPr>
        <w:t>）</w:t>
      </w:r>
    </w:p>
    <w:p w14:paraId="6D6F96E8">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150"/>
        <w:textAlignment w:val="auto"/>
        <w:rPr>
          <w:rFonts w:ascii="宋体" w:hAnsi="宋体"/>
          <w:sz w:val="28"/>
          <w:szCs w:val="28"/>
        </w:rPr>
      </w:pPr>
      <w:r>
        <w:rPr>
          <w:rFonts w:hint="eastAsia" w:ascii="宋体" w:hAnsi="宋体"/>
          <w:sz w:val="28"/>
          <w:szCs w:val="28"/>
          <w:lang w:val="en-US" w:eastAsia="zh-CN"/>
        </w:rPr>
        <w:t>14、双灯头</w:t>
      </w:r>
      <w:r>
        <w:rPr>
          <w:rFonts w:hint="eastAsia" w:ascii="宋体" w:hAnsi="宋体"/>
          <w:sz w:val="28"/>
          <w:szCs w:val="28"/>
        </w:rPr>
        <w:t>中心照度</w:t>
      </w:r>
      <w:r>
        <w:rPr>
          <w:rFonts w:hint="eastAsia" w:ascii="宋体" w:hAnsi="宋体"/>
          <w:sz w:val="28"/>
          <w:szCs w:val="28"/>
          <w:lang w:val="en-US" w:eastAsia="zh-CN"/>
        </w:rPr>
        <w:t>均</w:t>
      </w:r>
      <w:r>
        <w:rPr>
          <w:rFonts w:hint="eastAsia" w:ascii="宋体" w:hAnsi="宋体"/>
          <w:sz w:val="28"/>
          <w:szCs w:val="28"/>
        </w:rPr>
        <w:t>≥160,000L</w:t>
      </w:r>
      <w:r>
        <w:rPr>
          <w:rFonts w:ascii="宋体" w:hAnsi="宋体"/>
          <w:sz w:val="28"/>
          <w:szCs w:val="28"/>
        </w:rPr>
        <w:t>x</w:t>
      </w:r>
      <w:r>
        <w:rPr>
          <w:rFonts w:hint="eastAsia" w:ascii="宋体" w:hAnsi="宋体"/>
          <w:sz w:val="28"/>
          <w:szCs w:val="28"/>
          <w:lang w:eastAsia="zh-CN"/>
        </w:rPr>
        <w:t>。</w:t>
      </w:r>
    </w:p>
    <w:p w14:paraId="7DAD6915">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150"/>
        <w:textAlignment w:val="auto"/>
        <w:rPr>
          <w:rFonts w:ascii="宋体" w:hAnsi="宋体"/>
          <w:sz w:val="28"/>
          <w:szCs w:val="28"/>
        </w:rPr>
      </w:pPr>
      <w:r>
        <w:rPr>
          <w:rFonts w:hint="eastAsia" w:ascii="宋体" w:hAnsi="宋体" w:eastAsia="宋体" w:cs="宋体"/>
          <w:sz w:val="28"/>
          <w:szCs w:val="28"/>
          <w:lang w:val="en-US" w:eastAsia="zh-CN"/>
        </w:rPr>
        <w:t>▲</w:t>
      </w:r>
      <w:r>
        <w:rPr>
          <w:rFonts w:hint="eastAsia" w:ascii="宋体" w:hAnsi="宋体" w:cs="Times New Roman"/>
          <w:color w:val="000000" w:themeColor="text1"/>
          <w:kern w:val="2"/>
          <w:sz w:val="28"/>
          <w:szCs w:val="28"/>
          <w:lang w:val="en-US" w:eastAsia="zh-CN" w:bidi="ar-SA"/>
          <w14:textFill>
            <w14:solidFill>
              <w14:schemeClr w14:val="tx1"/>
            </w14:solidFill>
          </w14:textFill>
        </w:rPr>
        <w:t>15、</w:t>
      </w:r>
      <w:r>
        <w:rPr>
          <w:rFonts w:hint="eastAsia" w:ascii="宋体" w:hAnsi="宋体"/>
          <w:sz w:val="28"/>
          <w:szCs w:val="28"/>
          <w:lang w:val="en-US" w:eastAsia="zh-CN"/>
        </w:rPr>
        <w:t>双灯头</w:t>
      </w:r>
      <w:r>
        <w:rPr>
          <w:rFonts w:hint="eastAsia" w:ascii="宋体" w:hAnsi="宋体"/>
          <w:sz w:val="28"/>
          <w:szCs w:val="28"/>
        </w:rPr>
        <w:t>均满足最小光斑直径d10≤1</w:t>
      </w:r>
      <w:r>
        <w:rPr>
          <w:rFonts w:hint="eastAsia" w:ascii="宋体" w:hAnsi="宋体"/>
          <w:sz w:val="28"/>
          <w:szCs w:val="28"/>
          <w:lang w:val="en-US" w:eastAsia="zh-CN"/>
        </w:rPr>
        <w:t>4</w:t>
      </w:r>
      <w:r>
        <w:rPr>
          <w:rFonts w:hint="eastAsia" w:ascii="宋体" w:hAnsi="宋体"/>
          <w:sz w:val="28"/>
          <w:szCs w:val="28"/>
        </w:rPr>
        <w:t>0mm，最大光斑直径d10为≥</w:t>
      </w:r>
      <w:r>
        <w:rPr>
          <w:rFonts w:ascii="宋体" w:hAnsi="宋体"/>
          <w:sz w:val="28"/>
          <w:szCs w:val="28"/>
        </w:rPr>
        <w:t>27</w:t>
      </w:r>
      <w:r>
        <w:rPr>
          <w:rFonts w:hint="eastAsia" w:ascii="宋体" w:hAnsi="宋体"/>
          <w:sz w:val="28"/>
          <w:szCs w:val="28"/>
        </w:rPr>
        <w:t>0mm（</w:t>
      </w:r>
      <w:r>
        <w:rPr>
          <w:rFonts w:hint="eastAsia"/>
          <w:sz w:val="28"/>
          <w:szCs w:val="28"/>
        </w:rPr>
        <w:t>提供第三方检测报告</w:t>
      </w:r>
      <w:r>
        <w:rPr>
          <w:rFonts w:hint="eastAsia" w:ascii="宋体" w:hAnsi="宋体"/>
          <w:sz w:val="28"/>
          <w:szCs w:val="28"/>
        </w:rPr>
        <w:t>）</w:t>
      </w:r>
    </w:p>
    <w:p w14:paraId="525AE44E">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150"/>
        <w:textAlignment w:val="auto"/>
        <w:rPr>
          <w:rFonts w:ascii="宋体" w:hAnsi="宋体"/>
          <w:sz w:val="28"/>
          <w:szCs w:val="28"/>
        </w:rPr>
      </w:pPr>
      <w:r>
        <w:rPr>
          <w:rFonts w:hint="eastAsia" w:ascii="宋体" w:hAnsi="宋体" w:cs="Times New Roman"/>
          <w:color w:val="000000" w:themeColor="text1"/>
          <w:kern w:val="2"/>
          <w:sz w:val="28"/>
          <w:szCs w:val="28"/>
          <w:lang w:val="en-US" w:eastAsia="zh-CN" w:bidi="ar-SA"/>
          <w14:textFill>
            <w14:solidFill>
              <w14:schemeClr w14:val="tx1"/>
            </w14:solidFill>
          </w14:textFill>
        </w:rPr>
        <w:t>16、</w:t>
      </w:r>
      <w:r>
        <w:rPr>
          <w:rFonts w:hint="eastAsia" w:ascii="宋体" w:hAnsi="宋体"/>
          <w:sz w:val="28"/>
          <w:szCs w:val="28"/>
        </w:rPr>
        <w:t>光斑均匀性：d50/d10≥</w:t>
      </w:r>
      <w:r>
        <w:rPr>
          <w:rFonts w:ascii="宋体" w:hAnsi="宋体"/>
          <w:sz w:val="28"/>
          <w:szCs w:val="28"/>
        </w:rPr>
        <w:t>55</w:t>
      </w:r>
      <w:r>
        <w:rPr>
          <w:rFonts w:hint="eastAsia" w:ascii="宋体" w:hAnsi="宋体"/>
          <w:sz w:val="28"/>
          <w:szCs w:val="28"/>
        </w:rPr>
        <w:t>%。（</w:t>
      </w:r>
      <w:r>
        <w:rPr>
          <w:rFonts w:hint="eastAsia"/>
          <w:sz w:val="28"/>
          <w:szCs w:val="28"/>
        </w:rPr>
        <w:t>提供第三方检测报告</w:t>
      </w:r>
      <w:r>
        <w:rPr>
          <w:rFonts w:hint="eastAsia" w:ascii="宋体" w:hAnsi="宋体"/>
          <w:sz w:val="28"/>
          <w:szCs w:val="28"/>
        </w:rPr>
        <w:t>）</w:t>
      </w:r>
    </w:p>
    <w:p w14:paraId="17760BA5">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150"/>
        <w:textAlignment w:val="auto"/>
        <w:rPr>
          <w:rFonts w:ascii="宋体" w:hAnsi="宋体"/>
          <w:sz w:val="28"/>
          <w:szCs w:val="28"/>
        </w:rPr>
      </w:pPr>
      <w:r>
        <w:rPr>
          <w:rFonts w:hint="eastAsia" w:ascii="宋体" w:hAnsi="宋体" w:cs="Times New Roman"/>
          <w:color w:val="000000" w:themeColor="text1"/>
          <w:kern w:val="2"/>
          <w:sz w:val="28"/>
          <w:szCs w:val="28"/>
          <w:lang w:val="en-US" w:eastAsia="zh-CN" w:bidi="ar-SA"/>
          <w14:textFill>
            <w14:solidFill>
              <w14:schemeClr w14:val="tx1"/>
            </w14:solidFill>
          </w14:textFill>
        </w:rPr>
        <w:t>17、</w:t>
      </w:r>
      <w:r>
        <w:rPr>
          <w:rFonts w:hint="eastAsia" w:ascii="宋体" w:hAnsi="宋体"/>
          <w:sz w:val="28"/>
          <w:szCs w:val="28"/>
          <w:lang w:val="en-US" w:eastAsia="zh-CN"/>
        </w:rPr>
        <w:t>双灯头</w:t>
      </w:r>
      <w:r>
        <w:rPr>
          <w:rFonts w:hint="eastAsia" w:ascii="宋体" w:hAnsi="宋体"/>
          <w:sz w:val="28"/>
          <w:szCs w:val="28"/>
        </w:rPr>
        <w:t>深腔照明率</w:t>
      </w:r>
      <w:r>
        <w:rPr>
          <w:rFonts w:hint="eastAsia" w:ascii="宋体" w:hAnsi="宋体"/>
          <w:sz w:val="28"/>
          <w:szCs w:val="28"/>
          <w:lang w:val="en-US" w:eastAsia="zh-CN"/>
        </w:rPr>
        <w:t>均</w:t>
      </w:r>
      <w:r>
        <w:rPr>
          <w:rFonts w:hint="eastAsia" w:ascii="宋体" w:hAnsi="宋体"/>
          <w:sz w:val="28"/>
          <w:szCs w:val="28"/>
        </w:rPr>
        <w:t>≥100%</w:t>
      </w:r>
      <w:r>
        <w:rPr>
          <w:rFonts w:hint="eastAsia" w:ascii="宋体" w:hAnsi="宋体"/>
          <w:sz w:val="28"/>
          <w:szCs w:val="28"/>
          <w:lang w:eastAsia="zh-CN"/>
        </w:rPr>
        <w:t>。</w:t>
      </w:r>
    </w:p>
    <w:p w14:paraId="1C00B165">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150"/>
        <w:textAlignment w:val="auto"/>
        <w:rPr>
          <w:rFonts w:ascii="宋体" w:hAnsi="宋体"/>
          <w:sz w:val="28"/>
          <w:szCs w:val="28"/>
        </w:rPr>
      </w:pPr>
      <w:r>
        <w:rPr>
          <w:rFonts w:hint="eastAsia" w:ascii="宋体" w:hAnsi="宋体" w:cs="Times New Roman"/>
          <w:color w:val="000000" w:themeColor="text1"/>
          <w:kern w:val="2"/>
          <w:sz w:val="28"/>
          <w:szCs w:val="28"/>
          <w:lang w:val="en-US" w:eastAsia="zh-CN" w:bidi="ar-SA"/>
          <w14:textFill>
            <w14:solidFill>
              <w14:schemeClr w14:val="tx1"/>
            </w14:solidFill>
          </w14:textFill>
        </w:rPr>
        <w:t>18、</w:t>
      </w:r>
      <w:r>
        <w:rPr>
          <w:rFonts w:hint="eastAsia" w:ascii="宋体" w:hAnsi="宋体"/>
          <w:sz w:val="28"/>
          <w:szCs w:val="28"/>
          <w:lang w:val="en-US" w:eastAsia="zh-CN"/>
        </w:rPr>
        <w:t>双</w:t>
      </w:r>
      <w:r>
        <w:rPr>
          <w:rFonts w:hint="eastAsia" w:ascii="宋体" w:hAnsi="宋体"/>
          <w:sz w:val="28"/>
          <w:szCs w:val="28"/>
        </w:rPr>
        <w:t>灯</w:t>
      </w:r>
      <w:r>
        <w:rPr>
          <w:sz w:val="28"/>
          <w:szCs w:val="28"/>
        </w:rPr>
        <w:t>偏置单遮板</w:t>
      </w:r>
      <w:r>
        <w:rPr>
          <w:rFonts w:hint="eastAsia"/>
          <w:sz w:val="28"/>
          <w:szCs w:val="28"/>
        </w:rPr>
        <w:t>深腔无影率</w:t>
      </w:r>
      <w:r>
        <w:rPr>
          <w:rFonts w:hint="eastAsia" w:ascii="宋体" w:hAnsi="宋体"/>
          <w:sz w:val="28"/>
          <w:szCs w:val="28"/>
        </w:rPr>
        <w:t>≥</w:t>
      </w:r>
      <w:r>
        <w:rPr>
          <w:rFonts w:ascii="宋体" w:hAnsi="宋体"/>
          <w:sz w:val="28"/>
          <w:szCs w:val="28"/>
        </w:rPr>
        <w:t>71</w:t>
      </w:r>
      <w:r>
        <w:rPr>
          <w:rFonts w:hint="eastAsia" w:ascii="宋体" w:hAnsi="宋体"/>
          <w:sz w:val="28"/>
          <w:szCs w:val="28"/>
        </w:rPr>
        <w:t>%，</w:t>
      </w:r>
      <w:r>
        <w:rPr>
          <w:rFonts w:hint="eastAsia"/>
          <w:sz w:val="28"/>
          <w:szCs w:val="28"/>
        </w:rPr>
        <w:t>双</w:t>
      </w:r>
      <w:r>
        <w:rPr>
          <w:sz w:val="28"/>
          <w:szCs w:val="28"/>
        </w:rPr>
        <w:t>遮板</w:t>
      </w:r>
      <w:r>
        <w:rPr>
          <w:rFonts w:hint="eastAsia"/>
          <w:sz w:val="28"/>
          <w:szCs w:val="28"/>
        </w:rPr>
        <w:t>深腔无影率≥</w:t>
      </w:r>
      <w:r>
        <w:rPr>
          <w:sz w:val="28"/>
          <w:szCs w:val="28"/>
        </w:rPr>
        <w:t>60</w:t>
      </w:r>
      <w:r>
        <w:rPr>
          <w:rFonts w:hint="eastAsia"/>
          <w:sz w:val="28"/>
          <w:szCs w:val="28"/>
        </w:rPr>
        <w:t>%。（提供第三方检测报告</w:t>
      </w:r>
      <w:r>
        <w:rPr>
          <w:rFonts w:hint="eastAsia" w:ascii="宋体" w:hAnsi="宋体"/>
          <w:sz w:val="28"/>
          <w:szCs w:val="28"/>
        </w:rPr>
        <w:t>）</w:t>
      </w:r>
    </w:p>
    <w:p w14:paraId="3DD16B65">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150"/>
        <w:textAlignment w:val="auto"/>
        <w:rPr>
          <w:rFonts w:ascii="宋体" w:hAnsi="宋体"/>
          <w:sz w:val="28"/>
          <w:szCs w:val="28"/>
        </w:rPr>
      </w:pPr>
      <w:r>
        <w:rPr>
          <w:rFonts w:hint="eastAsia" w:ascii="宋体" w:hAnsi="宋体" w:cs="Times New Roman"/>
          <w:color w:val="000000" w:themeColor="text1"/>
          <w:kern w:val="2"/>
          <w:sz w:val="28"/>
          <w:szCs w:val="28"/>
          <w:lang w:val="en-US" w:eastAsia="zh-CN" w:bidi="ar-SA"/>
          <w14:textFill>
            <w14:solidFill>
              <w14:schemeClr w14:val="tx1"/>
            </w14:solidFill>
          </w14:textFill>
        </w:rPr>
        <w:t>19、</w:t>
      </w:r>
      <w:r>
        <w:rPr>
          <w:rFonts w:hint="eastAsia" w:ascii="宋体" w:hAnsi="宋体"/>
          <w:sz w:val="28"/>
          <w:szCs w:val="28"/>
        </w:rPr>
        <w:t>显色指数R</w:t>
      </w:r>
      <w:r>
        <w:rPr>
          <w:rFonts w:ascii="宋体" w:hAnsi="宋体"/>
          <w:sz w:val="28"/>
          <w:szCs w:val="28"/>
        </w:rPr>
        <w:t>a</w:t>
      </w:r>
      <w:r>
        <w:rPr>
          <w:rFonts w:hint="eastAsia" w:ascii="宋体" w:hAnsi="宋体"/>
          <w:sz w:val="28"/>
          <w:szCs w:val="28"/>
        </w:rPr>
        <w:t>：≥9</w:t>
      </w:r>
      <w:r>
        <w:rPr>
          <w:rFonts w:hint="eastAsia" w:ascii="宋体" w:hAnsi="宋体"/>
          <w:sz w:val="28"/>
          <w:szCs w:val="28"/>
          <w:lang w:val="en-US" w:eastAsia="zh-CN"/>
        </w:rPr>
        <w:t>6</w:t>
      </w:r>
      <w:r>
        <w:rPr>
          <w:rFonts w:hint="eastAsia" w:ascii="宋体" w:hAnsi="宋体"/>
          <w:sz w:val="28"/>
          <w:szCs w:val="28"/>
        </w:rPr>
        <w:t>。</w:t>
      </w:r>
    </w:p>
    <w:p w14:paraId="0B273523">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150"/>
        <w:textAlignment w:val="auto"/>
        <w:rPr>
          <w:rFonts w:ascii="宋体" w:hAnsi="宋体"/>
          <w:sz w:val="28"/>
          <w:szCs w:val="28"/>
        </w:rPr>
      </w:pPr>
      <w:r>
        <w:rPr>
          <w:rFonts w:hint="eastAsia" w:ascii="宋体" w:hAnsi="宋体" w:cs="Times New Roman"/>
          <w:color w:val="000000" w:themeColor="text1"/>
          <w:kern w:val="2"/>
          <w:sz w:val="28"/>
          <w:szCs w:val="28"/>
          <w:lang w:val="en-US" w:eastAsia="zh-CN" w:bidi="ar-SA"/>
          <w14:textFill>
            <w14:solidFill>
              <w14:schemeClr w14:val="tx1"/>
            </w14:solidFill>
          </w14:textFill>
        </w:rPr>
        <w:t>20、</w:t>
      </w:r>
      <w:r>
        <w:rPr>
          <w:rFonts w:hint="eastAsia" w:ascii="宋体" w:hAnsi="宋体"/>
          <w:sz w:val="28"/>
          <w:szCs w:val="28"/>
        </w:rPr>
        <w:t>具备色温可调功能，可调范围不小于350</w:t>
      </w:r>
      <w:r>
        <w:rPr>
          <w:rFonts w:ascii="宋体" w:hAnsi="宋体"/>
          <w:sz w:val="28"/>
          <w:szCs w:val="28"/>
        </w:rPr>
        <w:t>0K-</w:t>
      </w:r>
      <w:r>
        <w:rPr>
          <w:rFonts w:hint="eastAsia" w:ascii="宋体" w:hAnsi="宋体"/>
          <w:sz w:val="28"/>
          <w:szCs w:val="28"/>
        </w:rPr>
        <w:t>510</w:t>
      </w:r>
      <w:r>
        <w:rPr>
          <w:rFonts w:ascii="宋体" w:hAnsi="宋体"/>
          <w:sz w:val="28"/>
          <w:szCs w:val="28"/>
        </w:rPr>
        <w:t>0K</w:t>
      </w:r>
      <w:r>
        <w:rPr>
          <w:rFonts w:hint="eastAsia" w:ascii="宋体" w:hAnsi="宋体"/>
          <w:sz w:val="28"/>
          <w:szCs w:val="28"/>
        </w:rPr>
        <w:t>，不少于5级可调。（</w:t>
      </w:r>
      <w:r>
        <w:rPr>
          <w:rFonts w:hint="eastAsia"/>
          <w:sz w:val="28"/>
          <w:szCs w:val="28"/>
        </w:rPr>
        <w:t>提供第三方检测报告</w:t>
      </w:r>
      <w:r>
        <w:rPr>
          <w:rFonts w:hint="eastAsia" w:ascii="宋体" w:hAnsi="宋体"/>
          <w:sz w:val="28"/>
          <w:szCs w:val="28"/>
        </w:rPr>
        <w:t>）</w:t>
      </w:r>
    </w:p>
    <w:p w14:paraId="0F57334E">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560" w:firstLineChars="200"/>
        <w:textAlignment w:val="auto"/>
        <w:rPr>
          <w:rFonts w:ascii="宋体" w:hAnsi="宋体"/>
          <w:sz w:val="28"/>
          <w:szCs w:val="28"/>
        </w:rPr>
      </w:pPr>
      <w:r>
        <w:rPr>
          <w:rFonts w:hint="eastAsia" w:ascii="宋体" w:hAnsi="宋体" w:cs="Times New Roman"/>
          <w:color w:val="000000" w:themeColor="text1"/>
          <w:kern w:val="2"/>
          <w:sz w:val="28"/>
          <w:szCs w:val="28"/>
          <w:lang w:val="en-US" w:eastAsia="zh-CN" w:bidi="ar-SA"/>
          <w14:textFill>
            <w14:solidFill>
              <w14:schemeClr w14:val="tx1"/>
            </w14:solidFill>
          </w14:textFill>
        </w:rPr>
        <w:t>21、</w:t>
      </w:r>
      <w:r>
        <w:rPr>
          <w:rFonts w:hint="eastAsia"/>
          <w:sz w:val="28"/>
          <w:szCs w:val="28"/>
        </w:rPr>
        <w:t>光源功率≤</w:t>
      </w:r>
      <w:r>
        <w:rPr>
          <w:sz w:val="28"/>
          <w:szCs w:val="28"/>
        </w:rPr>
        <w:t>3</w:t>
      </w:r>
      <w:r>
        <w:rPr>
          <w:rFonts w:hint="eastAsia"/>
          <w:sz w:val="28"/>
          <w:szCs w:val="28"/>
          <w:lang w:val="en-US" w:eastAsia="zh-CN"/>
        </w:rPr>
        <w:t>5</w:t>
      </w:r>
      <w:r>
        <w:rPr>
          <w:sz w:val="28"/>
          <w:szCs w:val="28"/>
        </w:rPr>
        <w:t>W</w:t>
      </w:r>
      <w:r>
        <w:rPr>
          <w:rFonts w:hint="eastAsia"/>
          <w:sz w:val="28"/>
          <w:szCs w:val="28"/>
          <w:lang w:eastAsia="zh-CN"/>
        </w:rPr>
        <w:t>。</w:t>
      </w:r>
    </w:p>
    <w:p w14:paraId="1E46C152">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360" w:leftChars="0" w:firstLine="560" w:firstLineChars="200"/>
        <w:textAlignment w:val="auto"/>
        <w:rPr>
          <w:rFonts w:ascii="宋体" w:hAnsi="宋体"/>
          <w:sz w:val="28"/>
          <w:szCs w:val="28"/>
        </w:rPr>
      </w:pPr>
      <w:r>
        <w:rPr>
          <w:rFonts w:hint="eastAsia" w:ascii="宋体" w:hAnsi="宋体" w:cs="Times New Roman"/>
          <w:color w:val="000000" w:themeColor="text1"/>
          <w:kern w:val="2"/>
          <w:sz w:val="28"/>
          <w:szCs w:val="28"/>
          <w:lang w:val="en-US" w:eastAsia="zh-CN" w:bidi="ar-SA"/>
          <w14:textFill>
            <w14:solidFill>
              <w14:schemeClr w14:val="tx1"/>
            </w14:solidFill>
          </w14:textFill>
        </w:rPr>
        <w:t>22、</w:t>
      </w:r>
      <w:r>
        <w:rPr>
          <w:rFonts w:hint="eastAsia" w:ascii="宋体" w:hAnsi="宋体"/>
          <w:sz w:val="28"/>
          <w:szCs w:val="28"/>
        </w:rPr>
        <w:t>手术灯照度≥</w:t>
      </w:r>
      <w:r>
        <w:rPr>
          <w:rFonts w:ascii="宋体" w:hAnsi="宋体"/>
          <w:sz w:val="28"/>
          <w:szCs w:val="28"/>
        </w:rPr>
        <w:t>10</w:t>
      </w:r>
      <w:r>
        <w:rPr>
          <w:rFonts w:hint="eastAsia" w:ascii="宋体" w:hAnsi="宋体"/>
          <w:sz w:val="28"/>
          <w:szCs w:val="28"/>
        </w:rPr>
        <w:t>级可调节，同时具备一键腔镜模式。</w:t>
      </w:r>
    </w:p>
    <w:p w14:paraId="12DF2C54">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360" w:leftChars="0" w:firstLine="560" w:firstLineChars="200"/>
        <w:textAlignment w:val="auto"/>
        <w:rPr>
          <w:rFonts w:ascii="宋体" w:hAnsi="宋体"/>
          <w:sz w:val="28"/>
          <w:szCs w:val="28"/>
        </w:rPr>
      </w:pPr>
      <w:r>
        <w:rPr>
          <w:rFonts w:hint="eastAsia" w:ascii="宋体" w:hAnsi="宋体" w:cs="Times New Roman"/>
          <w:color w:val="000000" w:themeColor="text1"/>
          <w:kern w:val="2"/>
          <w:sz w:val="28"/>
          <w:szCs w:val="28"/>
          <w:lang w:val="en-US" w:eastAsia="zh-CN" w:bidi="ar-SA"/>
          <w14:textFill>
            <w14:solidFill>
              <w14:schemeClr w14:val="tx1"/>
            </w14:solidFill>
          </w14:textFill>
        </w:rPr>
        <w:t>23、</w:t>
      </w:r>
      <w:r>
        <w:rPr>
          <w:rFonts w:hint="eastAsia" w:ascii="宋体" w:hAnsi="宋体"/>
          <w:sz w:val="28"/>
          <w:szCs w:val="28"/>
        </w:rPr>
        <w:t>辐照度</w:t>
      </w:r>
      <w:r>
        <w:rPr>
          <w:rFonts w:ascii="宋体" w:hAnsi="宋体"/>
          <w:sz w:val="28"/>
          <w:szCs w:val="28"/>
        </w:rPr>
        <w:t>/</w:t>
      </w:r>
      <w:r>
        <w:rPr>
          <w:rFonts w:hint="eastAsia" w:ascii="宋体" w:hAnsi="宋体"/>
          <w:sz w:val="28"/>
          <w:szCs w:val="28"/>
        </w:rPr>
        <w:t>中心照度≤3</w:t>
      </w:r>
      <w:r>
        <w:rPr>
          <w:rFonts w:ascii="宋体" w:hAnsi="宋体"/>
          <w:sz w:val="28"/>
          <w:szCs w:val="28"/>
        </w:rPr>
        <w:t>.5</w:t>
      </w:r>
      <w:r>
        <w:rPr>
          <w:sz w:val="28"/>
          <w:szCs w:val="28"/>
        </w:rPr>
        <w:t xml:space="preserve"> </w:t>
      </w:r>
      <w:r>
        <w:rPr>
          <w:rFonts w:ascii="宋体" w:hAnsi="宋体"/>
          <w:sz w:val="28"/>
          <w:szCs w:val="28"/>
        </w:rPr>
        <w:t>mW/(</w:t>
      </w:r>
      <w:r>
        <w:rPr>
          <w:sz w:val="28"/>
          <w:szCs w:val="28"/>
        </w:rPr>
        <w:t xml:space="preserve"> </w:t>
      </w:r>
      <w:r>
        <w:rPr>
          <w:rFonts w:ascii="宋体" w:hAnsi="宋体"/>
          <w:sz w:val="28"/>
          <w:szCs w:val="28"/>
        </w:rPr>
        <w:t>m2·lx)</w:t>
      </w:r>
      <w:r>
        <w:rPr>
          <w:rFonts w:hint="eastAsia" w:ascii="宋体" w:hAnsi="宋体"/>
          <w:color w:val="FF0000"/>
          <w:sz w:val="28"/>
          <w:szCs w:val="28"/>
        </w:rPr>
        <w:t xml:space="preserve"> </w:t>
      </w:r>
    </w:p>
    <w:p w14:paraId="28756B73">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360" w:leftChars="0" w:firstLine="560" w:firstLineChars="200"/>
        <w:textAlignment w:val="auto"/>
        <w:rPr>
          <w:rFonts w:ascii="宋体" w:hAnsi="宋体"/>
          <w:sz w:val="28"/>
          <w:szCs w:val="28"/>
        </w:rPr>
      </w:pPr>
      <w:r>
        <w:rPr>
          <w:rFonts w:hint="eastAsia" w:ascii="宋体" w:hAnsi="宋体" w:cs="Times New Roman"/>
          <w:color w:val="000000" w:themeColor="text1"/>
          <w:kern w:val="2"/>
          <w:sz w:val="28"/>
          <w:szCs w:val="28"/>
          <w:lang w:val="en-US" w:eastAsia="zh-CN" w:bidi="ar-SA"/>
          <w14:textFill>
            <w14:solidFill>
              <w14:schemeClr w14:val="tx1"/>
            </w14:solidFill>
          </w14:textFill>
        </w:rPr>
        <w:t>24、</w:t>
      </w:r>
      <w:r>
        <w:rPr>
          <w:rFonts w:hint="eastAsia" w:ascii="宋体" w:hAnsi="宋体"/>
          <w:sz w:val="28"/>
          <w:szCs w:val="28"/>
          <w:lang w:val="en-US" w:eastAsia="zh-CN"/>
        </w:rPr>
        <w:t>配置清单：</w:t>
      </w:r>
    </w:p>
    <w:p w14:paraId="37D2188B">
      <w:pPr>
        <w:rPr>
          <w:rFonts w:hint="default" w:eastAsiaTheme="minorEastAsia"/>
          <w:lang w:val="en-US" w:eastAsia="zh-CN"/>
        </w:rPr>
      </w:pPr>
    </w:p>
    <w:tbl>
      <w:tblPr>
        <w:tblStyle w:val="13"/>
        <w:tblW w:w="848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77"/>
        <w:gridCol w:w="4686"/>
        <w:gridCol w:w="2617"/>
      </w:tblGrid>
      <w:tr w14:paraId="5896E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7" w:hRule="atLeast"/>
        </w:trPr>
        <w:tc>
          <w:tcPr>
            <w:tcW w:w="8480" w:type="dxa"/>
            <w:gridSpan w:val="3"/>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66721252">
            <w:pPr>
              <w:keepNext w:val="0"/>
              <w:keepLines w:val="0"/>
              <w:widowControl/>
              <w:suppressLineNumbers w:val="0"/>
              <w:jc w:val="center"/>
              <w:textAlignment w:val="center"/>
              <w:rPr>
                <w:rFonts w:hint="default" w:ascii="微软雅黑" w:hAnsi="微软雅黑" w:eastAsia="微软雅黑" w:cs="微软雅黑"/>
                <w:b/>
                <w:bCs/>
                <w:i w:val="0"/>
                <w:iCs w:val="0"/>
                <w:color w:val="000000"/>
                <w:sz w:val="28"/>
                <w:szCs w:val="28"/>
                <w:u w:val="none"/>
                <w:lang w:val="en-US"/>
              </w:rPr>
            </w:pPr>
            <w:r>
              <w:rPr>
                <w:rFonts w:hint="eastAsia" w:ascii="微软雅黑" w:hAnsi="微软雅黑" w:eastAsia="微软雅黑" w:cs="微软雅黑"/>
                <w:b/>
                <w:bCs/>
                <w:i w:val="0"/>
                <w:iCs w:val="0"/>
                <w:color w:val="000000"/>
                <w:kern w:val="0"/>
                <w:sz w:val="24"/>
                <w:szCs w:val="24"/>
                <w:u w:val="none"/>
                <w:lang w:val="en-US" w:eastAsia="zh-CN" w:bidi="ar"/>
              </w:rPr>
              <w:t>单套手术无影灯配置单</w:t>
            </w:r>
          </w:p>
        </w:tc>
      </w:tr>
      <w:tr w14:paraId="18A99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27" w:hRule="atLeast"/>
        </w:trPr>
        <w:tc>
          <w:tcPr>
            <w:tcW w:w="1177" w:type="dxa"/>
            <w:tcBorders>
              <w:top w:val="single" w:color="000000" w:sz="4" w:space="0"/>
              <w:left w:val="single" w:color="000000" w:sz="4" w:space="0"/>
              <w:bottom w:val="nil"/>
              <w:right w:val="single" w:color="000000" w:sz="4" w:space="0"/>
            </w:tcBorders>
            <w:shd w:val="clear" w:color="auto" w:fill="FFFFFF"/>
            <w:vAlign w:val="center"/>
          </w:tcPr>
          <w:p w14:paraId="21B35FA7">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序号</w:t>
            </w:r>
          </w:p>
        </w:tc>
        <w:tc>
          <w:tcPr>
            <w:tcW w:w="0" w:type="auto"/>
            <w:tcBorders>
              <w:top w:val="single" w:color="000000" w:sz="4" w:space="0"/>
              <w:left w:val="single" w:color="000000" w:sz="4" w:space="0"/>
              <w:bottom w:val="nil"/>
              <w:right w:val="single" w:color="000000" w:sz="4" w:space="0"/>
            </w:tcBorders>
            <w:shd w:val="clear" w:color="auto" w:fill="FFFFFF"/>
            <w:noWrap/>
            <w:vAlign w:val="center"/>
          </w:tcPr>
          <w:p w14:paraId="7027CDBF">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名称</w:t>
            </w:r>
          </w:p>
        </w:tc>
        <w:tc>
          <w:tcPr>
            <w:tcW w:w="0" w:type="auto"/>
            <w:tcBorders>
              <w:top w:val="single" w:color="000000" w:sz="4" w:space="0"/>
              <w:left w:val="single" w:color="000000" w:sz="4" w:space="0"/>
              <w:bottom w:val="nil"/>
              <w:right w:val="single" w:color="000000" w:sz="4" w:space="0"/>
            </w:tcBorders>
            <w:shd w:val="clear" w:color="auto" w:fill="FFFFFF"/>
            <w:noWrap/>
            <w:vAlign w:val="center"/>
          </w:tcPr>
          <w:p w14:paraId="26C5CF08">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数量</w:t>
            </w:r>
          </w:p>
        </w:tc>
      </w:tr>
      <w:tr w14:paraId="031AE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7" w:hRule="atLeast"/>
        </w:trPr>
        <w:tc>
          <w:tcPr>
            <w:tcW w:w="11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AD818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8641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双灯悬吊系统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9EA9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0DA47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7" w:hRule="atLeast"/>
        </w:trPr>
        <w:tc>
          <w:tcPr>
            <w:tcW w:w="11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A0961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33F7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灯头带C臂组件，关节无限位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9B16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r>
      <w:tr w14:paraId="3077E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7" w:hRule="atLeast"/>
        </w:trPr>
        <w:tc>
          <w:tcPr>
            <w:tcW w:w="11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6A956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4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4D78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灭菌手柄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5ED5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r>
      <w:tr w14:paraId="26CC5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7" w:hRule="atLeast"/>
        </w:trPr>
        <w:tc>
          <w:tcPr>
            <w:tcW w:w="11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B157B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4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7A96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天花吊顶装饰组件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F3F0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7B21D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7" w:hRule="atLeast"/>
        </w:trPr>
        <w:tc>
          <w:tcPr>
            <w:tcW w:w="11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EC531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4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C696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LED灯标准安装及服务（全包）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C923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7D890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7" w:hRule="atLeast"/>
        </w:trPr>
        <w:tc>
          <w:tcPr>
            <w:tcW w:w="11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048D6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DBDD1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普通手柄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B4FD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r>
      <w:tr w14:paraId="15680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27" w:hRule="atLeast"/>
        </w:trPr>
        <w:tc>
          <w:tcPr>
            <w:tcW w:w="11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13B46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4038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灯头，色温可调，按键臂控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AF47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r>
      <w:tr w14:paraId="330A7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8" w:hRule="atLeast"/>
        </w:trPr>
        <w:tc>
          <w:tcPr>
            <w:tcW w:w="11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4CABF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645A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普通腔镜环境光（8000lux）</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80E4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r>
    </w:tbl>
    <w:p w14:paraId="3383841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lang w:val="en-US" w:eastAsia="zh-CN"/>
        </w:rPr>
      </w:pPr>
    </w:p>
    <w:p w14:paraId="5401604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（二）</w:t>
      </w:r>
      <w:r>
        <w:rPr>
          <w:rFonts w:hint="eastAsia" w:cs="Times New Roman" w:asciiTheme="minorEastAsia" w:hAnsiTheme="minorEastAsia" w:eastAsiaTheme="minorEastAsia"/>
          <w:b/>
          <w:color w:val="auto"/>
          <w:kern w:val="2"/>
          <w:sz w:val="28"/>
          <w:szCs w:val="28"/>
          <w:highlight w:val="none"/>
          <w:lang w:val="en-US" w:eastAsia="zh-CN" w:bidi="ar-SA"/>
        </w:rPr>
        <w:t>商务参数</w:t>
      </w:r>
    </w:p>
    <w:p w14:paraId="2B08CBD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★1、运输、装卸、培训、安装调试：由中标人负责承担，最终通过使用科室、设备科及相关部门确认验收交付使用</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国产设备交付，设备必须为6个月内生产的产品；进口设备交付，设备必须为一年内生产的产品</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cr/>
      </w:r>
      <w:r>
        <w:rPr>
          <w:rFonts w:hint="default" w:ascii="宋体" w:hAnsi="宋体" w:cs="宋体"/>
          <w:color w:val="auto"/>
          <w:sz w:val="24"/>
          <w:szCs w:val="24"/>
          <w:highlight w:val="none"/>
          <w:lang w:val="en-US"/>
        </w:rPr>
        <w:t xml:space="preserve">    </w:t>
      </w:r>
      <w:r>
        <w:rPr>
          <w:rFonts w:hint="eastAsia" w:ascii="宋体" w:hAnsi="宋体" w:eastAsia="宋体" w:cs="宋体"/>
          <w:color w:val="auto"/>
          <w:sz w:val="24"/>
          <w:szCs w:val="24"/>
          <w:highlight w:val="none"/>
        </w:rPr>
        <w:t>★2、交货时间：按</w:t>
      </w:r>
      <w:r>
        <w:rPr>
          <w:rFonts w:hint="eastAsia" w:ascii="宋体" w:hAnsi="宋体" w:cs="宋体"/>
          <w:color w:val="auto"/>
          <w:sz w:val="24"/>
          <w:szCs w:val="24"/>
          <w:highlight w:val="none"/>
          <w:lang w:val="en-US" w:eastAsia="zh-CN"/>
        </w:rPr>
        <w:t>合同约定的日期交货。</w:t>
      </w:r>
    </w:p>
    <w:p w14:paraId="493D008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、交货地点：娄底市中心医院</w:t>
      </w:r>
      <w:r>
        <w:rPr>
          <w:rFonts w:hint="eastAsia" w:ascii="宋体" w:hAnsi="宋体" w:cs="宋体"/>
          <w:color w:val="auto"/>
          <w:sz w:val="24"/>
          <w:szCs w:val="24"/>
          <w:highlight w:val="none"/>
          <w:lang w:val="en-US" w:eastAsia="zh-CN"/>
        </w:rPr>
        <w:t>指定地点</w:t>
      </w:r>
      <w:r>
        <w:rPr>
          <w:rFonts w:hint="eastAsia" w:ascii="宋体" w:hAnsi="宋体" w:eastAsia="宋体" w:cs="宋体"/>
          <w:color w:val="auto"/>
          <w:sz w:val="24"/>
          <w:szCs w:val="24"/>
          <w:highlight w:val="none"/>
        </w:rPr>
        <w:t>。</w:t>
      </w:r>
    </w:p>
    <w:p w14:paraId="09ACA097">
      <w:pPr>
        <w:keepNext w:val="0"/>
        <w:keepLines w:val="0"/>
        <w:pageBreakBefore w:val="0"/>
        <w:widowControl/>
        <w:numPr>
          <w:ilvl w:val="0"/>
          <w:numId w:val="0"/>
        </w:numPr>
        <w:kinsoku/>
        <w:wordWrap/>
        <w:overflowPunct/>
        <w:topLinePunct w:val="0"/>
        <w:autoSpaceDE/>
        <w:autoSpaceDN/>
        <w:bidi w:val="0"/>
        <w:adjustRightInd w:val="0"/>
        <w:snapToGrid w:val="0"/>
        <w:spacing w:after="0" w:line="400" w:lineRule="exact"/>
        <w:ind w:leftChars="0" w:firstLine="480" w:firstLineChars="200"/>
        <w:textAlignment w:val="auto"/>
        <w:rPr>
          <w:rFonts w:hint="eastAsia" w:ascii="思源黑体 CN Medium" w:hAnsi="思源黑体 CN Medium" w:eastAsia="思源黑体 CN Medium" w:cs="思源黑体 CN Medium"/>
          <w:color w:val="auto"/>
          <w:sz w:val="21"/>
          <w:szCs w:val="21"/>
          <w:highlight w:val="none"/>
          <w:lang w:val="en-US"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、付款方式：设备验收合格后，供应商将发票交到娄底市中心医院后按程序支付货款90%（一般情况下4个月内支付、特殊情况下最多不超过6个月），甲方在设备验收合格</w:t>
      </w:r>
      <w:r>
        <w:rPr>
          <w:rFonts w:hint="eastAsia" w:ascii="宋体" w:hAnsi="宋体" w:eastAsia="宋体" w:cs="宋体"/>
          <w:color w:val="auto"/>
          <w:sz w:val="24"/>
          <w:szCs w:val="24"/>
          <w:highlight w:val="none"/>
          <w:lang w:val="en-US" w:eastAsia="zh-CN"/>
        </w:rPr>
        <w:t>满</w:t>
      </w:r>
      <w:r>
        <w:rPr>
          <w:rFonts w:hint="eastAsia" w:ascii="宋体" w:hAnsi="宋体" w:cs="宋体"/>
          <w:color w:val="auto"/>
          <w:sz w:val="24"/>
          <w:szCs w:val="24"/>
          <w:highlight w:val="none"/>
          <w:u w:val="none"/>
          <w:lang w:val="en-US" w:eastAsia="zh-CN"/>
        </w:rPr>
        <w:t>叁年</w:t>
      </w:r>
      <w:r>
        <w:rPr>
          <w:rFonts w:hint="eastAsia" w:ascii="宋体" w:hAnsi="宋体" w:eastAsia="宋体" w:cs="宋体"/>
          <w:color w:val="auto"/>
          <w:sz w:val="24"/>
          <w:szCs w:val="24"/>
          <w:highlight w:val="none"/>
        </w:rPr>
        <w:t>后支付10%余款给乙方。</w:t>
      </w:r>
      <w:r>
        <w:rPr>
          <w:rFonts w:hint="eastAsia" w:ascii="宋体" w:hAnsi="宋体" w:eastAsia="宋体" w:cs="宋体"/>
          <w:color w:val="auto"/>
          <w:sz w:val="24"/>
          <w:szCs w:val="24"/>
          <w:highlight w:val="none"/>
        </w:rPr>
        <w:cr/>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★5、质保与售后：整机保修</w:t>
      </w:r>
      <w:r>
        <w:rPr>
          <w:rFonts w:hint="eastAsia" w:ascii="宋体" w:hAnsi="宋体" w:cs="宋体"/>
          <w:color w:val="auto"/>
          <w:sz w:val="24"/>
          <w:szCs w:val="24"/>
          <w:highlight w:val="none"/>
          <w:lang w:val="en-US" w:eastAsia="zh-CN"/>
        </w:rPr>
        <w:t>叁</w:t>
      </w:r>
      <w:r>
        <w:rPr>
          <w:rFonts w:hint="eastAsia" w:ascii="宋体" w:hAnsi="宋体" w:eastAsia="宋体" w:cs="宋体"/>
          <w:color w:val="auto"/>
          <w:sz w:val="24"/>
          <w:szCs w:val="24"/>
          <w:highlight w:val="none"/>
        </w:rPr>
        <w:t>年，终身维修。</w:t>
      </w:r>
      <w:r>
        <w:rPr>
          <w:rFonts w:hint="eastAsia" w:ascii="宋体" w:hAnsi="宋体" w:cs="宋体"/>
          <w:color w:val="auto"/>
          <w:sz w:val="24"/>
          <w:szCs w:val="24"/>
          <w:highlight w:val="none"/>
          <w:lang w:val="en-US" w:eastAsia="zh-CN"/>
        </w:rPr>
        <w:t>验收时</w:t>
      </w:r>
      <w:r>
        <w:rPr>
          <w:rFonts w:hint="eastAsia" w:ascii="宋体" w:hAnsi="宋体" w:eastAsia="宋体" w:cs="宋体"/>
          <w:color w:val="auto"/>
          <w:sz w:val="24"/>
          <w:szCs w:val="24"/>
          <w:highlight w:val="none"/>
        </w:rPr>
        <w:t>出具原厂售后质保承诺书，质保期内每年巡检</w:t>
      </w:r>
      <w:r>
        <w:rPr>
          <w:rFonts w:hint="eastAsia" w:ascii="宋体" w:hAnsi="宋体" w:cs="宋体"/>
          <w:color w:val="auto"/>
          <w:sz w:val="24"/>
          <w:szCs w:val="24"/>
          <w:highlight w:val="none"/>
          <w:lang w:val="en-US" w:eastAsia="zh-CN"/>
        </w:rPr>
        <w:t>一</w:t>
      </w:r>
      <w:r>
        <w:rPr>
          <w:rFonts w:hint="eastAsia" w:ascii="宋体" w:hAnsi="宋体" w:eastAsia="宋体" w:cs="宋体"/>
          <w:color w:val="auto"/>
          <w:sz w:val="24"/>
          <w:szCs w:val="24"/>
          <w:highlight w:val="none"/>
        </w:rPr>
        <w:t>次</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并提交巡检记录</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eastAsia="zh-CN"/>
        </w:rPr>
        <w:t>质保期内</w:t>
      </w:r>
      <w:r>
        <w:rPr>
          <w:rFonts w:hint="eastAsia" w:ascii="宋体" w:hAnsi="宋体" w:cs="宋体"/>
          <w:color w:val="auto"/>
          <w:sz w:val="24"/>
          <w:szCs w:val="24"/>
          <w:highlight w:val="none"/>
          <w:lang w:val="en-US" w:eastAsia="zh-CN"/>
        </w:rPr>
        <w:t>出现故障</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1小时响应，响应后24小时上门服务。</w:t>
      </w:r>
    </w:p>
    <w:p w14:paraId="531AD4F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6、在投标文件中必须提供相关技术资料并加盖投标人公章（如技术参数、技术白皮书、说明书、彩页等），并在响应表中对技术参数中“★”、“▲”以及要求提供佐证材料的条款备注该条参数响应或正偏离的佐证资料所在页码。</w:t>
      </w:r>
    </w:p>
    <w:p w14:paraId="6F3DB2B4">
      <w:pPr>
        <w:pStyle w:val="12"/>
        <w:keepNext w:val="0"/>
        <w:keepLines w:val="0"/>
        <w:pageBreakBefore w:val="0"/>
        <w:kinsoku/>
        <w:wordWrap/>
        <w:topLinePunct w:val="0"/>
        <w:autoSpaceDE/>
        <w:autoSpaceDN/>
        <w:bidi w:val="0"/>
        <w:ind w:left="0" w:leftChars="0" w:firstLine="480" w:firstLineChars="200"/>
        <w:rPr>
          <w:rFonts w:hint="default"/>
          <w:color w:val="auto"/>
          <w:highlight w:val="none"/>
          <w:lang w:val="en-US"/>
        </w:rPr>
      </w:pPr>
      <w:r>
        <w:rPr>
          <w:rFonts w:hint="eastAsia" w:ascii="宋体" w:hAnsi="宋体" w:cs="宋体"/>
          <w:color w:val="auto"/>
          <w:sz w:val="24"/>
          <w:szCs w:val="24"/>
          <w:highlight w:val="none"/>
          <w:lang w:val="en-US" w:eastAsia="zh-CN"/>
        </w:rPr>
        <w:t>★</w:t>
      </w:r>
      <w:r>
        <w:rPr>
          <w:rFonts w:hint="eastAsia" w:ascii="宋体" w:hAnsi="宋体" w:eastAsia="宋体" w:cs="宋体"/>
          <w:color w:val="auto"/>
          <w:kern w:val="2"/>
          <w:sz w:val="24"/>
          <w:szCs w:val="24"/>
          <w:highlight w:val="none"/>
          <w:lang w:val="en-US" w:eastAsia="zh-CN" w:bidi="ar-SA"/>
        </w:rPr>
        <w:t>7、须由厂家工程师进行拆装。</w:t>
      </w:r>
    </w:p>
    <w:p w14:paraId="5C8A17C2">
      <w:pPr>
        <w:keepNext w:val="0"/>
        <w:keepLines w:val="0"/>
        <w:pageBreakBefore w:val="0"/>
        <w:widowControl/>
        <w:kinsoku/>
        <w:wordWrap/>
        <w:overflowPunct/>
        <w:topLinePunct w:val="0"/>
        <w:autoSpaceDE/>
        <w:autoSpaceDN/>
        <w:bidi w:val="0"/>
        <w:adjustRightInd w:val="0"/>
        <w:snapToGrid w:val="0"/>
        <w:spacing w:line="360" w:lineRule="auto"/>
        <w:ind w:firstLine="723" w:firstLineChars="200"/>
        <w:textAlignment w:val="auto"/>
        <w:rPr>
          <w:rFonts w:hint="eastAsia" w:hAnsi="Times New Roman" w:eastAsia="宋体" w:cs="Times New Roman"/>
          <w:b/>
          <w:bCs/>
          <w:sz w:val="36"/>
          <w:szCs w:val="36"/>
          <w:lang w:val="en-US" w:eastAsia="zh-CN"/>
        </w:rPr>
      </w:pPr>
    </w:p>
    <w:p w14:paraId="46A704C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2、“三证合一”或“五证合一”营业执照，医疗器械经营许可证或医疗器械经营备案凭证、生产厂家营业执照、生产许可证、产品注册证；</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4FEB20C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auto"/>
          <w:kern w:val="0"/>
          <w:sz w:val="28"/>
          <w:szCs w:val="28"/>
          <w:lang w:val="en-US" w:eastAsia="zh-CN" w:bidi="ar-SA"/>
        </w:rPr>
        <w:t>四、合同</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4ED35CE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3C23025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15F72AF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7335FCB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41E9FEE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28C58B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2FB31F4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6DCF20E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47EF7BE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2009454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4A20BA21">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1403046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2FEF4D3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0021B8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手术无影灯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手术无影灯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4861085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256FD72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280C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7AD161E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4409864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2A0F812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6ED712E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0D20B66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2E66625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35B5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2D3A041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手术无影灯</w:t>
            </w:r>
          </w:p>
        </w:tc>
        <w:tc>
          <w:tcPr>
            <w:tcW w:w="1220" w:type="dxa"/>
            <w:vAlign w:val="center"/>
          </w:tcPr>
          <w:p w14:paraId="6C8C027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5731617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37B0588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25E4E1F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5套</w:t>
            </w:r>
          </w:p>
        </w:tc>
        <w:tc>
          <w:tcPr>
            <w:tcW w:w="1654" w:type="dxa"/>
            <w:vAlign w:val="top"/>
          </w:tcPr>
          <w:p w14:paraId="6F2DF60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5583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2845F461">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1B20FA8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23EC5D9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382C26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1D78A7B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31243D9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84ED94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0593341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2.4须由厂家工程师进行拆装</w:t>
      </w:r>
      <w:r>
        <w:rPr>
          <w:rFonts w:hint="eastAsia" w:ascii="宋体" w:hAnsi="宋体" w:cs="宋体"/>
          <w:color w:val="FF0000"/>
          <w:sz w:val="24"/>
          <w:szCs w:val="24"/>
          <w:highlight w:val="none"/>
          <w:lang w:val="en-US" w:eastAsia="zh-CN"/>
        </w:rPr>
        <w:t>，费用由乙方承担</w:t>
      </w:r>
      <w:r>
        <w:rPr>
          <w:rFonts w:hint="eastAsia" w:ascii="宋体" w:hAnsi="宋体" w:eastAsia="宋体" w:cs="宋体"/>
          <w:color w:val="FF0000"/>
          <w:sz w:val="24"/>
          <w:szCs w:val="24"/>
          <w:highlight w:val="none"/>
          <w:lang w:val="en-US" w:eastAsia="zh-CN"/>
        </w:rPr>
        <w:t>。</w:t>
      </w:r>
    </w:p>
    <w:p w14:paraId="409E5B5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14E506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w:t>
      </w:r>
      <w:bookmarkStart w:id="5" w:name="_GoBack"/>
      <w:bookmarkEnd w:id="5"/>
      <w:r>
        <w:rPr>
          <w:rFonts w:hint="eastAsia" w:ascii="宋体" w:hAnsi="宋体" w:eastAsia="宋体" w:cs="宋体"/>
          <w:color w:val="000000" w:themeColor="text1"/>
          <w:sz w:val="24"/>
          <w:szCs w:val="24"/>
          <w:highlight w:val="none"/>
          <w:lang w:val="en-US" w:eastAsia="zh-CN"/>
          <w14:textFill>
            <w14:solidFill>
              <w14:schemeClr w14:val="tx1"/>
            </w14:solidFill>
          </w14:textFill>
        </w:rPr>
        <w:t>则设备的技术参数和质量标准以投标文件/响应文件为准；</w:t>
      </w:r>
      <w:r>
        <w:rPr>
          <w:rFonts w:hint="eastAsia" w:ascii="宋体" w:hAnsi="宋体" w:eastAsia="宋体" w:cs="宋体"/>
          <w:color w:val="auto"/>
          <w:sz w:val="24"/>
          <w:szCs w:val="24"/>
          <w:highlight w:val="none"/>
          <w:lang w:val="en-US" w:eastAsia="zh-CN"/>
        </w:rPr>
        <w:t>如乙方应交付的设备属于国产</w:t>
      </w:r>
      <w:r>
        <w:rPr>
          <w:rFonts w:hint="eastAsia" w:ascii="宋体" w:hAnsi="宋体" w:cs="宋体"/>
          <w:color w:val="auto"/>
          <w:sz w:val="24"/>
          <w:szCs w:val="24"/>
          <w:highlight w:val="none"/>
          <w:lang w:val="en-US" w:eastAsia="zh-CN"/>
        </w:rPr>
        <w:t>设备，则应保证该设备为交付时起近</w:t>
      </w:r>
      <w:r>
        <w:rPr>
          <w:rFonts w:hint="eastAsia" w:ascii="宋体" w:hAnsi="宋体" w:cs="宋体"/>
          <w:color w:val="auto"/>
          <w:sz w:val="24"/>
          <w:szCs w:val="24"/>
          <w:highlight w:val="none"/>
          <w:lang w:eastAsia="zh-CN"/>
        </w:rPr>
        <w:t>6个月内生产的产品；</w:t>
      </w:r>
      <w:r>
        <w:rPr>
          <w:rFonts w:hint="eastAsia" w:ascii="宋体" w:hAnsi="宋体" w:cs="宋体"/>
          <w:color w:val="auto"/>
          <w:sz w:val="24"/>
          <w:szCs w:val="24"/>
          <w:highlight w:val="none"/>
          <w:lang w:val="en-US" w:eastAsia="zh-CN"/>
        </w:rPr>
        <w:t>如乙方</w:t>
      </w:r>
      <w:r>
        <w:rPr>
          <w:rFonts w:hint="eastAsia" w:ascii="宋体" w:hAnsi="宋体" w:eastAsia="宋体" w:cs="宋体"/>
          <w:color w:val="auto"/>
          <w:sz w:val="24"/>
          <w:szCs w:val="24"/>
          <w:highlight w:val="none"/>
          <w:lang w:val="en-US" w:eastAsia="zh-CN"/>
        </w:rPr>
        <w:t>应</w:t>
      </w:r>
      <w:r>
        <w:rPr>
          <w:rFonts w:hint="eastAsia" w:ascii="宋体" w:hAnsi="宋体" w:cs="宋体"/>
          <w:color w:val="auto"/>
          <w:sz w:val="24"/>
          <w:szCs w:val="24"/>
          <w:highlight w:val="none"/>
          <w:lang w:val="en-US" w:eastAsia="zh-CN"/>
        </w:rPr>
        <w:t>交付的设备属于</w:t>
      </w:r>
      <w:r>
        <w:rPr>
          <w:rFonts w:hint="eastAsia" w:ascii="宋体" w:hAnsi="宋体" w:eastAsia="宋体" w:cs="宋体"/>
          <w:color w:val="auto"/>
          <w:sz w:val="24"/>
          <w:szCs w:val="24"/>
          <w:highlight w:val="none"/>
          <w:lang w:val="en-US" w:eastAsia="zh-CN"/>
        </w:rPr>
        <w:t>进口设备</w:t>
      </w:r>
      <w:r>
        <w:rPr>
          <w:rFonts w:hint="eastAsia" w:ascii="宋体" w:hAnsi="宋体" w:cs="宋体"/>
          <w:color w:val="auto"/>
          <w:sz w:val="24"/>
          <w:szCs w:val="24"/>
          <w:highlight w:val="none"/>
          <w:lang w:val="en-US" w:eastAsia="zh-CN"/>
        </w:rPr>
        <w:t>，则应保证该设备</w:t>
      </w:r>
      <w:r>
        <w:rPr>
          <w:rFonts w:hint="eastAsia" w:ascii="宋体" w:hAnsi="宋体" w:cs="宋体"/>
          <w:color w:val="auto"/>
          <w:sz w:val="24"/>
          <w:szCs w:val="24"/>
          <w:highlight w:val="none"/>
          <w:lang w:eastAsia="zh-CN"/>
        </w:rPr>
        <w:t>为</w:t>
      </w:r>
      <w:r>
        <w:rPr>
          <w:rFonts w:hint="eastAsia" w:ascii="宋体" w:hAnsi="宋体" w:cs="宋体"/>
          <w:color w:val="auto"/>
          <w:sz w:val="24"/>
          <w:szCs w:val="24"/>
          <w:highlight w:val="none"/>
          <w:lang w:val="en-US" w:eastAsia="zh-CN"/>
        </w:rPr>
        <w:t>交付时起近一年</w:t>
      </w:r>
      <w:r>
        <w:rPr>
          <w:rFonts w:hint="eastAsia" w:ascii="宋体" w:hAnsi="宋体" w:cs="宋体"/>
          <w:color w:val="auto"/>
          <w:sz w:val="24"/>
          <w:szCs w:val="24"/>
          <w:highlight w:val="none"/>
          <w:lang w:eastAsia="zh-CN"/>
        </w:rPr>
        <w:t>内生产的产品</w:t>
      </w:r>
      <w:r>
        <w:rPr>
          <w:rFonts w:hint="eastAsia" w:ascii="宋体" w:hAnsi="宋体" w:eastAsia="宋体" w:cs="宋体"/>
          <w:color w:val="auto"/>
          <w:sz w:val="24"/>
          <w:szCs w:val="24"/>
          <w:highlight w:val="none"/>
          <w:lang w:val="en-US" w:eastAsia="zh-CN"/>
        </w:rPr>
        <w:t>。</w:t>
      </w:r>
    </w:p>
    <w:p w14:paraId="39BFE17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72FBEE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6BC9B3D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6F30CB1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3FFE16B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599D542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16BAEC8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0A9A023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6E45577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034DC57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10E0CF8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7E3C893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4C34187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436F029A">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1EA412D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332751B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0E9F17B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4E09373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4852A93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25C42E3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C1A2EE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2648662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18B84B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30E6705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4C69A4C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19A2F42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63AECC7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94D9C5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7799A6C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732E1FC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4A76532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17202C1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5C06FAC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096E3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3B9B8A6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FBC594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67B399C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彭春涛</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721294732@qq.com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7CF67F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FEE82F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B35EC5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07FBE4A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15ECF8B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4C64DB2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2285D0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47A2E1F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4AE493E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52A0716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6B9F90B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7A84295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690B318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558A76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37869B3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3F86863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7ED099B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537009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751C905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72AC43A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0BE156E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27C3F65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 甲方《娄底市中心医院医疗器械供应商考核管理制度》、</w:t>
      </w:r>
      <w:r>
        <w:rPr>
          <w:rFonts w:hint="eastAsia" w:ascii="宋体" w:hAnsi="宋体" w:eastAsia="宋体" w:cs="宋体"/>
          <w:color w:val="auto"/>
          <w:sz w:val="24"/>
          <w:highlight w:val="none"/>
          <w:lang w:eastAsia="zh-CN"/>
        </w:rPr>
        <w:t>乙方加盖公章的资质复印件、售后承诺等作为本合同附件。</w:t>
      </w:r>
    </w:p>
    <w:p w14:paraId="46760E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0490936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3A4DCC1D">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0A024F3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0BFC937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001AF8A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419359F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3DE36823">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C305D6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1996C00F">
      <w:pPr>
        <w:spacing w:line="480" w:lineRule="exact"/>
        <w:rPr>
          <w:rFonts w:hint="eastAsia" w:ascii="黑体" w:hAnsi="黑体" w:eastAsia="黑体" w:cs="黑体"/>
          <w:sz w:val="32"/>
          <w:szCs w:val="32"/>
        </w:rPr>
      </w:pPr>
      <w:r>
        <w:rPr>
          <w:rFonts w:ascii="宋体" w:hAnsi="宋体" w:eastAsia="宋体" w:cs="宋体"/>
          <w:sz w:val="24"/>
        </w:rPr>
        <w:drawing>
          <wp:anchor distT="0" distB="0" distL="114300" distR="114300" simplePos="0" relativeHeight="251664384" behindDoc="0" locked="0" layoutInCell="1" allowOverlap="1">
            <wp:simplePos x="0" y="0"/>
            <wp:positionH relativeFrom="column">
              <wp:posOffset>38100</wp:posOffset>
            </wp:positionH>
            <wp:positionV relativeFrom="paragraph">
              <wp:posOffset>377190</wp:posOffset>
            </wp:positionV>
            <wp:extent cx="5615305" cy="7988935"/>
            <wp:effectExtent l="0" t="0" r="4445" b="12065"/>
            <wp:wrapSquare wrapText="bothSides"/>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15305" cy="7988935"/>
                    </a:xfrm>
                    <a:prstGeom prst="rect">
                      <a:avLst/>
                    </a:prstGeom>
                  </pic:spPr>
                </pic:pic>
              </a:graphicData>
            </a:graphic>
          </wp:anchor>
        </w:drawing>
      </w:r>
      <w:r>
        <w:rPr>
          <w:rFonts w:hint="eastAsia" w:ascii="黑体" w:hAnsi="黑体" w:eastAsia="黑体" w:cs="黑体"/>
          <w:sz w:val="32"/>
          <w:szCs w:val="32"/>
        </w:rPr>
        <w:t>附件：</w:t>
      </w:r>
    </w:p>
    <w:p w14:paraId="58AA685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1CAE619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6EA637CE">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黑体" w:hAnsi="黑体" w:eastAsia="黑体" w:cs="黑体"/>
          <w:color w:val="000000" w:themeColor="text1"/>
          <w:sz w:val="32"/>
          <w:szCs w:val="32"/>
          <w:highlight w:val="none"/>
          <w:lang w:val="en-US" w:eastAsia="zh-CN"/>
          <w14:textFill>
            <w14:solidFill>
              <w14:schemeClr w14:val="tx1"/>
            </w14:solidFill>
          </w14:textFill>
        </w:rPr>
      </w:pPr>
    </w:p>
    <w:p w14:paraId="59A1829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35A5647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2D5D3CC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4195693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76B9AE15">
      <w:pPr>
        <w:spacing w:line="480" w:lineRule="exact"/>
        <w:rPr>
          <w:rFonts w:hint="eastAsia" w:ascii="黑体" w:hAnsi="黑体" w:eastAsia="黑体" w:cs="黑体"/>
          <w:sz w:val="32"/>
          <w:szCs w:val="32"/>
        </w:rPr>
      </w:pPr>
    </w:p>
    <w:p w14:paraId="07B141D5">
      <w:pPr>
        <w:spacing w:line="480" w:lineRule="exact"/>
        <w:rPr>
          <w:rFonts w:hint="eastAsia" w:ascii="黑体" w:hAnsi="黑体" w:eastAsia="黑体" w:cs="黑体"/>
          <w:sz w:val="32"/>
          <w:szCs w:val="32"/>
        </w:rPr>
      </w:pPr>
    </w:p>
    <w:p w14:paraId="26D1E816">
      <w:pPr>
        <w:spacing w:line="480" w:lineRule="exact"/>
        <w:rPr>
          <w:rFonts w:hint="eastAsia" w:ascii="黑体" w:hAnsi="黑体" w:eastAsia="黑体" w:cs="黑体"/>
          <w:sz w:val="32"/>
          <w:szCs w:val="32"/>
        </w:rPr>
      </w:pPr>
    </w:p>
    <w:p w14:paraId="44226F89">
      <w:pPr>
        <w:spacing w:line="480" w:lineRule="exact"/>
        <w:rPr>
          <w:rFonts w:hint="eastAsia" w:ascii="黑体" w:hAnsi="黑体" w:eastAsia="黑体" w:cs="黑体"/>
          <w:sz w:val="32"/>
          <w:szCs w:val="32"/>
        </w:rPr>
      </w:pPr>
    </w:p>
    <w:p w14:paraId="20B7AE6B">
      <w:pPr>
        <w:spacing w:line="480" w:lineRule="exact"/>
        <w:rPr>
          <w:rFonts w:hint="eastAsia" w:ascii="黑体" w:hAnsi="黑体" w:eastAsia="黑体" w:cs="黑体"/>
          <w:sz w:val="32"/>
          <w:szCs w:val="32"/>
        </w:rPr>
      </w:pPr>
    </w:p>
    <w:p w14:paraId="764B8DD9">
      <w:pPr>
        <w:spacing w:line="480" w:lineRule="exact"/>
        <w:rPr>
          <w:rFonts w:hint="eastAsia" w:ascii="黑体" w:hAnsi="黑体" w:eastAsia="黑体" w:cs="黑体"/>
          <w:sz w:val="32"/>
          <w:szCs w:val="32"/>
        </w:rPr>
      </w:pPr>
    </w:p>
    <w:p w14:paraId="227001E0">
      <w:pPr>
        <w:spacing w:line="480" w:lineRule="exact"/>
        <w:rPr>
          <w:rFonts w:hint="eastAsia" w:ascii="宋体" w:hAnsi="宋体" w:eastAsia="宋体" w:cs="宋体"/>
          <w:sz w:val="24"/>
        </w:rPr>
      </w:pPr>
    </w:p>
    <w:p w14:paraId="55002253">
      <w:pPr>
        <w:spacing w:line="480" w:lineRule="exact"/>
        <w:rPr>
          <w:rFonts w:hint="eastAsia" w:ascii="宋体" w:hAnsi="宋体" w:eastAsia="宋体" w:cs="宋体"/>
          <w:sz w:val="24"/>
        </w:rPr>
      </w:pPr>
    </w:p>
    <w:p w14:paraId="2848D38D">
      <w:pPr>
        <w:spacing w:line="480" w:lineRule="exact"/>
        <w:rPr>
          <w:rFonts w:hint="eastAsia" w:ascii="宋体" w:hAnsi="宋体" w:eastAsia="宋体" w:cs="宋体"/>
          <w:sz w:val="24"/>
        </w:rPr>
      </w:pPr>
    </w:p>
    <w:p w14:paraId="1609F11D">
      <w:pPr>
        <w:spacing w:line="480" w:lineRule="exact"/>
        <w:rPr>
          <w:rFonts w:hint="eastAsia" w:ascii="宋体" w:hAnsi="宋体" w:eastAsia="宋体" w:cs="宋体"/>
          <w:sz w:val="24"/>
        </w:rPr>
      </w:pPr>
    </w:p>
    <w:p w14:paraId="5531761F">
      <w:pPr>
        <w:spacing w:line="480" w:lineRule="exact"/>
        <w:rPr>
          <w:rFonts w:hint="eastAsia" w:ascii="宋体" w:hAnsi="宋体" w:eastAsia="宋体" w:cs="宋体"/>
          <w:sz w:val="24"/>
        </w:rPr>
      </w:pPr>
    </w:p>
    <w:p w14:paraId="1D5C0BF1">
      <w:pPr>
        <w:spacing w:line="480" w:lineRule="exact"/>
        <w:rPr>
          <w:rFonts w:hint="eastAsia" w:ascii="宋体" w:hAnsi="宋体" w:eastAsia="宋体" w:cs="宋体"/>
          <w:sz w:val="24"/>
        </w:rPr>
      </w:pPr>
    </w:p>
    <w:p w14:paraId="33EAFCC5">
      <w:pPr>
        <w:spacing w:line="480" w:lineRule="exact"/>
        <w:rPr>
          <w:rFonts w:hint="eastAsia" w:ascii="宋体" w:hAnsi="宋体" w:eastAsia="宋体" w:cs="宋体"/>
          <w:sz w:val="24"/>
        </w:rPr>
      </w:pPr>
    </w:p>
    <w:p w14:paraId="0DAE4335">
      <w:pPr>
        <w:spacing w:line="480" w:lineRule="exact"/>
        <w:rPr>
          <w:rFonts w:hint="eastAsia" w:ascii="宋体" w:hAnsi="宋体" w:eastAsia="宋体" w:cs="宋体"/>
          <w:sz w:val="24"/>
        </w:rPr>
      </w:pPr>
    </w:p>
    <w:p w14:paraId="34A2261D">
      <w:pPr>
        <w:spacing w:line="480" w:lineRule="exact"/>
        <w:rPr>
          <w:rFonts w:hint="eastAsia" w:ascii="宋体" w:hAnsi="宋体" w:eastAsia="宋体" w:cs="宋体"/>
          <w:sz w:val="24"/>
        </w:rPr>
      </w:pPr>
    </w:p>
    <w:p w14:paraId="113A1CF0">
      <w:pPr>
        <w:spacing w:line="480" w:lineRule="exact"/>
        <w:rPr>
          <w:rFonts w:hint="eastAsia" w:ascii="宋体" w:hAnsi="宋体" w:eastAsia="宋体" w:cs="宋体"/>
          <w:sz w:val="24"/>
        </w:rPr>
      </w:pPr>
    </w:p>
    <w:p w14:paraId="59E42C74">
      <w:pPr>
        <w:spacing w:line="480" w:lineRule="exact"/>
        <w:rPr>
          <w:rFonts w:hint="eastAsia" w:ascii="宋体" w:hAnsi="宋体" w:eastAsia="宋体" w:cs="宋体"/>
          <w:sz w:val="24"/>
        </w:rPr>
      </w:pPr>
    </w:p>
    <w:p w14:paraId="1D205281">
      <w:pPr>
        <w:spacing w:line="480" w:lineRule="exact"/>
        <w:rPr>
          <w:rFonts w:hint="eastAsia" w:ascii="宋体" w:hAnsi="宋体" w:eastAsia="宋体" w:cs="宋体"/>
          <w:sz w:val="24"/>
        </w:rPr>
      </w:pPr>
    </w:p>
    <w:p w14:paraId="588942DA">
      <w:pPr>
        <w:spacing w:line="480" w:lineRule="exact"/>
        <w:rPr>
          <w:rFonts w:hint="eastAsia" w:ascii="宋体" w:hAnsi="宋体" w:eastAsia="宋体" w:cs="宋体"/>
          <w:sz w:val="24"/>
        </w:rPr>
      </w:pPr>
    </w:p>
    <w:p w14:paraId="14EEB46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1312" behindDoc="0" locked="0" layoutInCell="1" allowOverlap="1">
            <wp:simplePos x="0" y="0"/>
            <wp:positionH relativeFrom="column">
              <wp:posOffset>-116840</wp:posOffset>
            </wp:positionH>
            <wp:positionV relativeFrom="paragraph">
              <wp:posOffset>1338580</wp:posOffset>
            </wp:positionV>
            <wp:extent cx="5888990" cy="8423910"/>
            <wp:effectExtent l="0" t="0" r="16510" b="15240"/>
            <wp:wrapTopAndBottom/>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888990" cy="8423910"/>
                    </a:xfrm>
                    <a:prstGeom prst="rect">
                      <a:avLst/>
                    </a:prstGeom>
                  </pic:spPr>
                </pic:pic>
              </a:graphicData>
            </a:graphic>
          </wp:anchor>
        </w:drawing>
      </w:r>
    </w:p>
    <w:p w14:paraId="2585365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0641E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2336" behindDoc="0" locked="0" layoutInCell="1" allowOverlap="1">
            <wp:simplePos x="0" y="0"/>
            <wp:positionH relativeFrom="column">
              <wp:posOffset>-38100</wp:posOffset>
            </wp:positionH>
            <wp:positionV relativeFrom="paragraph">
              <wp:posOffset>224790</wp:posOffset>
            </wp:positionV>
            <wp:extent cx="5995670" cy="8456930"/>
            <wp:effectExtent l="0" t="0" r="5080" b="1270"/>
            <wp:wrapSquare wrapText="bothSides"/>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9"/>
                    <a:stretch>
                      <a:fillRect/>
                    </a:stretch>
                  </pic:blipFill>
                  <pic:spPr>
                    <a:xfrm>
                      <a:off x="647700" y="1139190"/>
                      <a:ext cx="5995670" cy="8456930"/>
                    </a:xfrm>
                    <a:prstGeom prst="rect">
                      <a:avLst/>
                    </a:prstGeom>
                  </pic:spPr>
                </pic:pic>
              </a:graphicData>
            </a:graphic>
          </wp:anchor>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0288" behindDoc="0" locked="0" layoutInCell="1" allowOverlap="1">
            <wp:simplePos x="0" y="0"/>
            <wp:positionH relativeFrom="column">
              <wp:posOffset>236220</wp:posOffset>
            </wp:positionH>
            <wp:positionV relativeFrom="paragraph">
              <wp:posOffset>113030</wp:posOffset>
            </wp:positionV>
            <wp:extent cx="5976620" cy="8301355"/>
            <wp:effectExtent l="0" t="0" r="5080" b="4445"/>
            <wp:wrapSquare wrapText="bothSides"/>
            <wp:docPr id="10" name="图片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
                    <pic:cNvPicPr>
                      <a:picLocks noChangeAspect="1"/>
                    </pic:cNvPicPr>
                  </pic:nvPicPr>
                  <pic:blipFill>
                    <a:blip r:embed="rId10"/>
                    <a:stretch>
                      <a:fillRect/>
                    </a:stretch>
                  </pic:blipFill>
                  <pic:spPr>
                    <a:xfrm>
                      <a:off x="0" y="0"/>
                      <a:ext cx="5976620" cy="8301355"/>
                    </a:xfrm>
                    <a:prstGeom prst="rect">
                      <a:avLst/>
                    </a:prstGeom>
                  </pic:spPr>
                </pic:pic>
              </a:graphicData>
            </a:graphic>
          </wp:anchor>
        </w:drawing>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44"/>
          <w:szCs w:val="44"/>
          <w:lang w:val="en-US" w:eastAsia="zh-CN"/>
        </w:rPr>
      </w:pPr>
      <w:bookmarkStart w:id="1" w:name="_Toc16523574"/>
      <w:r>
        <w:rPr>
          <w:rFonts w:hint="eastAsia" w:ascii="方正小标宋简体" w:hAnsi="方正小标宋简体" w:eastAsia="方正小标宋简体" w:cs="方正小标宋简体"/>
          <w:color w:val="auto"/>
          <w:sz w:val="44"/>
          <w:szCs w:val="44"/>
          <w:lang w:val="en-US" w:eastAsia="zh-CN"/>
        </w:rPr>
        <w:t>第三章</w:t>
      </w:r>
      <w:bookmarkStart w:id="2" w:name="_Toc16523573"/>
      <w:r>
        <w:rPr>
          <w:rFonts w:hint="eastAsia" w:ascii="方正小标宋简体" w:hAnsi="方正小标宋简体" w:eastAsia="方正小标宋简体" w:cs="方正小标宋简体"/>
          <w:color w:val="auto"/>
          <w:sz w:val="44"/>
          <w:szCs w:val="44"/>
          <w:lang w:val="en-US" w:eastAsia="zh-CN"/>
        </w:rPr>
        <w:t>评标方法及标准</w:t>
      </w:r>
      <w:bookmarkEnd w:id="2"/>
    </w:p>
    <w:p w14:paraId="3ECB58F7">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3"/>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740B22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4449B4F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22E4A11F">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7199EA01">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697785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0CE71E9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28CB0A69">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5CEE7045">
            <w:pPr>
              <w:jc w:val="center"/>
              <w:rPr>
                <w:rFonts w:hint="eastAsia" w:ascii="仿宋" w:hAnsi="仿宋" w:eastAsia="仿宋" w:cs="仿宋"/>
                <w:sz w:val="24"/>
                <w:szCs w:val="24"/>
              </w:rPr>
            </w:pPr>
            <w:r>
              <w:rPr>
                <w:rFonts w:hint="eastAsia" w:ascii="仿宋" w:hAnsi="仿宋" w:eastAsia="仿宋" w:cs="仿宋"/>
                <w:sz w:val="24"/>
                <w:szCs w:val="24"/>
              </w:rPr>
              <w:t>50%</w:t>
            </w:r>
          </w:p>
        </w:tc>
      </w:tr>
      <w:tr w14:paraId="4D7B5B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676E7974">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075C0F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EA3A0FD">
            <w:pPr>
              <w:jc w:val="center"/>
              <w:rPr>
                <w:rFonts w:hint="eastAsia" w:ascii="仿宋" w:hAnsi="仿宋" w:eastAsia="仿宋" w:cs="仿宋"/>
                <w:sz w:val="24"/>
                <w:szCs w:val="24"/>
              </w:rPr>
            </w:pPr>
            <w:r>
              <w:rPr>
                <w:rFonts w:hint="eastAsia" w:ascii="仿宋" w:hAnsi="仿宋" w:eastAsia="仿宋" w:cs="仿宋"/>
                <w:sz w:val="24"/>
                <w:szCs w:val="24"/>
              </w:rPr>
              <w:t>40%</w:t>
            </w:r>
          </w:p>
        </w:tc>
      </w:tr>
      <w:tr w14:paraId="7E0166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23C192E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288D3A80">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0A015B9">
            <w:pPr>
              <w:jc w:val="center"/>
              <w:rPr>
                <w:rFonts w:hint="eastAsia" w:ascii="仿宋" w:hAnsi="仿宋" w:eastAsia="仿宋" w:cs="仿宋"/>
                <w:sz w:val="24"/>
                <w:szCs w:val="24"/>
              </w:rPr>
            </w:pPr>
            <w:r>
              <w:rPr>
                <w:rFonts w:hint="eastAsia" w:ascii="仿宋" w:hAnsi="仿宋" w:eastAsia="仿宋" w:cs="仿宋"/>
                <w:sz w:val="24"/>
                <w:szCs w:val="24"/>
              </w:rPr>
              <w:t>10%</w:t>
            </w:r>
          </w:p>
        </w:tc>
      </w:tr>
      <w:tr w14:paraId="047698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1E85E3F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5C986A8A">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07F0CF53">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3"/>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1E8710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79A2F86E">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6BC085C6">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6B61F726">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8B98E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39A100E7">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35B0C503">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4BE5234D">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11B6706A">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、满足招标文件要求且投标报价中最低的投标报价为评标基准价其价格分为满分；其他投标人的价格分统一按照以下公式计算：</w:t>
            </w:r>
          </w:p>
          <w:p w14:paraId="5D3679C9">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32D9E824">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76F3E0C">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5032BA03">
      <w:pPr>
        <w:jc w:val="center"/>
        <w:rPr>
          <w:rFonts w:hint="eastAsia" w:ascii="仿宋" w:hAnsi="仿宋" w:eastAsia="仿宋" w:cs="仿宋"/>
          <w:sz w:val="24"/>
          <w:szCs w:val="24"/>
        </w:rPr>
      </w:pPr>
    </w:p>
    <w:p w14:paraId="657702CE">
      <w:pPr>
        <w:jc w:val="center"/>
        <w:rPr>
          <w:rFonts w:hint="eastAsia" w:ascii="仿宋" w:hAnsi="仿宋" w:eastAsia="仿宋" w:cs="仿宋"/>
          <w:sz w:val="24"/>
          <w:szCs w:val="24"/>
        </w:rPr>
      </w:pPr>
    </w:p>
    <w:p w14:paraId="138133DF">
      <w:pPr>
        <w:jc w:val="center"/>
        <w:rPr>
          <w:rFonts w:hint="eastAsia" w:ascii="仿宋" w:hAnsi="仿宋" w:eastAsia="仿宋" w:cs="仿宋"/>
          <w:sz w:val="24"/>
          <w:szCs w:val="24"/>
        </w:rPr>
      </w:pPr>
    </w:p>
    <w:p w14:paraId="42C3E1CD">
      <w:pPr>
        <w:jc w:val="center"/>
        <w:rPr>
          <w:rFonts w:hint="eastAsia" w:ascii="仿宋" w:hAnsi="仿宋" w:eastAsia="仿宋" w:cs="仿宋"/>
          <w:sz w:val="24"/>
          <w:szCs w:val="24"/>
        </w:rPr>
      </w:pPr>
    </w:p>
    <w:p w14:paraId="61515F4F">
      <w:pPr>
        <w:jc w:val="center"/>
        <w:rPr>
          <w:rFonts w:hint="eastAsia" w:ascii="仿宋" w:hAnsi="仿宋" w:eastAsia="仿宋" w:cs="仿宋"/>
          <w:sz w:val="24"/>
          <w:szCs w:val="24"/>
        </w:rPr>
      </w:pPr>
      <w:r>
        <w:rPr>
          <w:rFonts w:hint="eastAsia" w:ascii="仿宋" w:hAnsi="仿宋" w:eastAsia="仿宋" w:cs="仿宋"/>
          <w:sz w:val="24"/>
          <w:szCs w:val="24"/>
        </w:rPr>
        <w:br w:type="page"/>
      </w:r>
    </w:p>
    <w:p w14:paraId="533E6EAD">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3"/>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3958F8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105966A6">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2DC01C33">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141822D5">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F1186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6A1D3458">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49480A32">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5EFD762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664DAD47">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7DD7129A">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29D8158B">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565A21A5">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0D93CF5A">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4A9031F3">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7122CB36">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17E8DD14">
      <w:pPr>
        <w:jc w:val="center"/>
        <w:rPr>
          <w:rFonts w:hint="eastAsia" w:ascii="仿宋" w:hAnsi="仿宋" w:eastAsia="仿宋" w:cs="仿宋"/>
          <w:sz w:val="24"/>
          <w:szCs w:val="24"/>
        </w:rPr>
      </w:pPr>
    </w:p>
    <w:p w14:paraId="08975E6E">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3"/>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670"/>
        <w:gridCol w:w="825"/>
        <w:gridCol w:w="5110"/>
      </w:tblGrid>
      <w:tr w14:paraId="0ECC9E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6832E51F">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4D0609AB">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250EA6A7">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9609B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03FD351F">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2E4B4453">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05E0444A">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70" w:type="dxa"/>
            <w:tcBorders>
              <w:tl2br w:val="nil"/>
              <w:tr2bl w:val="nil"/>
            </w:tcBorders>
            <w:noWrap w:val="0"/>
            <w:vAlign w:val="center"/>
          </w:tcPr>
          <w:p w14:paraId="5699FAC2">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825" w:type="dxa"/>
            <w:tcBorders>
              <w:tl2br w:val="nil"/>
              <w:tr2bl w:val="nil"/>
            </w:tcBorders>
            <w:noWrap w:val="0"/>
            <w:vAlign w:val="center"/>
          </w:tcPr>
          <w:p w14:paraId="0AFDD3B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5110" w:type="dxa"/>
            <w:tcBorders>
              <w:tl2br w:val="nil"/>
              <w:tr2bl w:val="nil"/>
            </w:tcBorders>
            <w:noWrap w:val="0"/>
            <w:vAlign w:val="center"/>
          </w:tcPr>
          <w:p w14:paraId="3954F59F">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15316222">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75C3856C">
            <w:pPr>
              <w:jc w:val="left"/>
              <w:rPr>
                <w:rFonts w:hint="eastAsia" w:ascii="仿宋" w:hAnsi="仿宋" w:eastAsia="仿宋" w:cs="仿宋"/>
                <w:color w:val="auto"/>
                <w:sz w:val="24"/>
                <w:szCs w:val="24"/>
              </w:rPr>
            </w:pPr>
            <w:r>
              <w:rPr>
                <w:rFonts w:hint="eastAsia" w:ascii="仿宋" w:hAnsi="仿宋" w:eastAsia="仿宋" w:cs="仿宋"/>
                <w:color w:val="auto"/>
                <w:sz w:val="24"/>
                <w:szCs w:val="24"/>
              </w:rPr>
              <w:t>2、质保期在招标要求基础上再增加1年的加10分，增加2年以上的加20分，最高可加20分。</w:t>
            </w:r>
          </w:p>
        </w:tc>
      </w:tr>
      <w:tr w14:paraId="2C79F9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757D7B01">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4D11CC35">
            <w:pPr>
              <w:jc w:val="center"/>
              <w:rPr>
                <w:rFonts w:hint="eastAsia" w:ascii="仿宋" w:hAnsi="仿宋" w:eastAsia="仿宋" w:cs="仿宋"/>
                <w:sz w:val="24"/>
                <w:szCs w:val="24"/>
              </w:rPr>
            </w:pPr>
          </w:p>
        </w:tc>
        <w:tc>
          <w:tcPr>
            <w:tcW w:w="670" w:type="dxa"/>
            <w:tcBorders>
              <w:tl2br w:val="nil"/>
              <w:tr2bl w:val="nil"/>
            </w:tcBorders>
            <w:noWrap w:val="0"/>
            <w:vAlign w:val="center"/>
          </w:tcPr>
          <w:p w14:paraId="7573F614">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825" w:type="dxa"/>
            <w:tcBorders>
              <w:tl2br w:val="nil"/>
              <w:tr2bl w:val="nil"/>
            </w:tcBorders>
            <w:noWrap w:val="0"/>
            <w:vAlign w:val="center"/>
          </w:tcPr>
          <w:p w14:paraId="1DB46AB2">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5110" w:type="dxa"/>
            <w:tcBorders>
              <w:tl2br w:val="nil"/>
              <w:tr2bl w:val="nil"/>
            </w:tcBorders>
            <w:noWrap w:val="0"/>
            <w:vAlign w:val="center"/>
          </w:tcPr>
          <w:p w14:paraId="31334E6B">
            <w:pPr>
              <w:jc w:val="left"/>
              <w:rPr>
                <w:rFonts w:hint="eastAsia" w:ascii="仿宋" w:hAnsi="仿宋" w:eastAsia="仿宋" w:cs="仿宋"/>
                <w:color w:val="auto"/>
                <w:sz w:val="24"/>
                <w:szCs w:val="24"/>
              </w:rPr>
            </w:pPr>
            <w:r>
              <w:rPr>
                <w:rFonts w:hint="eastAsia" w:ascii="仿宋" w:hAnsi="仿宋" w:eastAsia="仿宋" w:cs="仿宋"/>
                <w:color w:val="auto"/>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4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④</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t>培训</w:t>
            </w:r>
            <w:r>
              <w:rPr>
                <w:rFonts w:hint="eastAsia" w:ascii="仿宋" w:hAnsi="仿宋" w:eastAsia="仿宋" w:cs="仿宋"/>
                <w:color w:val="auto"/>
                <w:sz w:val="24"/>
                <w:szCs w:val="24"/>
                <w:lang w:eastAsia="zh-CN"/>
              </w:rPr>
              <w:t>计划安排</w:t>
            </w:r>
            <w:r>
              <w:rPr>
                <w:rFonts w:hint="eastAsia" w:ascii="仿宋" w:hAnsi="仿宋" w:eastAsia="仿宋" w:cs="仿宋"/>
                <w:color w:val="auto"/>
                <w:sz w:val="24"/>
                <w:szCs w:val="24"/>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5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⑤</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eastAsia="zh-CN"/>
              </w:rPr>
              <w:t>培训效果</w:t>
            </w:r>
            <w:r>
              <w:rPr>
                <w:rFonts w:hint="eastAsia" w:ascii="仿宋" w:hAnsi="仿宋" w:eastAsia="仿宋" w:cs="仿宋"/>
                <w:color w:val="auto"/>
                <w:sz w:val="24"/>
                <w:szCs w:val="24"/>
              </w:rPr>
              <w:t>等。</w:t>
            </w:r>
          </w:p>
          <w:p w14:paraId="4B9699F4">
            <w:pPr>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0299DE0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DA45E9E">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21595C66">
            <w:pPr>
              <w:jc w:val="center"/>
              <w:rPr>
                <w:rFonts w:hint="eastAsia" w:ascii="仿宋" w:hAnsi="仿宋" w:eastAsia="仿宋" w:cs="仿宋"/>
                <w:sz w:val="24"/>
                <w:szCs w:val="24"/>
              </w:rPr>
            </w:pPr>
          </w:p>
        </w:tc>
        <w:tc>
          <w:tcPr>
            <w:tcW w:w="670" w:type="dxa"/>
            <w:tcBorders>
              <w:tl2br w:val="nil"/>
              <w:tr2bl w:val="nil"/>
            </w:tcBorders>
            <w:noWrap w:val="0"/>
            <w:vAlign w:val="center"/>
          </w:tcPr>
          <w:p w14:paraId="255A65AB">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825" w:type="dxa"/>
            <w:tcBorders>
              <w:tl2br w:val="nil"/>
              <w:tr2bl w:val="nil"/>
            </w:tcBorders>
            <w:noWrap w:val="0"/>
            <w:vAlign w:val="center"/>
          </w:tcPr>
          <w:p w14:paraId="675809EE">
            <w:pPr>
              <w:jc w:val="center"/>
              <w:rPr>
                <w:rFonts w:hint="eastAsia" w:ascii="仿宋" w:hAnsi="仿宋" w:eastAsia="仿宋" w:cs="仿宋"/>
                <w:sz w:val="24"/>
                <w:szCs w:val="24"/>
              </w:rPr>
            </w:pPr>
            <w:r>
              <w:rPr>
                <w:rFonts w:hint="eastAsia" w:ascii="仿宋" w:hAnsi="仿宋" w:eastAsia="仿宋" w:cs="仿宋"/>
                <w:sz w:val="24"/>
                <w:szCs w:val="24"/>
              </w:rPr>
              <w:t>30</w:t>
            </w:r>
          </w:p>
        </w:tc>
        <w:tc>
          <w:tcPr>
            <w:tcW w:w="5110" w:type="dxa"/>
            <w:tcBorders>
              <w:tl2br w:val="nil"/>
              <w:tr2bl w:val="nil"/>
            </w:tcBorders>
            <w:noWrap w:val="0"/>
            <w:vAlign w:val="center"/>
          </w:tcPr>
          <w:p w14:paraId="25223A2B">
            <w:pPr>
              <w:jc w:val="left"/>
              <w:rPr>
                <w:rFonts w:hint="eastAsia" w:ascii="仿宋" w:hAnsi="仿宋" w:eastAsia="仿宋" w:cs="仿宋"/>
                <w:color w:val="auto"/>
                <w:sz w:val="24"/>
                <w:szCs w:val="24"/>
              </w:rPr>
            </w:pPr>
            <w:r>
              <w:rPr>
                <w:rFonts w:hint="eastAsia" w:ascii="仿宋" w:hAnsi="仿宋" w:eastAsia="仿宋" w:cs="仿宋"/>
                <w:color w:val="auto"/>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分，计满30分为止，未按要求提供不得分。</w:t>
            </w:r>
          </w:p>
        </w:tc>
      </w:tr>
    </w:tbl>
    <w:p w14:paraId="7FAA99BB">
      <w:pPr>
        <w:jc w:val="center"/>
        <w:rPr>
          <w:rFonts w:hint="eastAsia" w:ascii="仿宋" w:hAnsi="仿宋" w:eastAsia="仿宋" w:cs="仿宋"/>
          <w:color w:val="auto"/>
          <w:sz w:val="24"/>
          <w:szCs w:val="24"/>
        </w:rPr>
      </w:pPr>
    </w:p>
    <w:p w14:paraId="34C4EC0E">
      <w:pPr>
        <w:pStyle w:val="2"/>
        <w:numPr>
          <w:ilvl w:val="0"/>
          <w:numId w:val="0"/>
        </w:numPr>
        <w:spacing w:line="240" w:lineRule="auto"/>
        <w:ind w:left="2940" w:leftChars="0"/>
        <w:jc w:val="both"/>
        <w:rPr>
          <w:rFonts w:hint="eastAsia" w:ascii="宋体" w:hAnsi="宋体" w:cs="宋体"/>
          <w:color w:val="auto"/>
          <w:sz w:val="30"/>
          <w:szCs w:val="30"/>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34583E1">
      <w:pPr>
        <w:rPr>
          <w:rFonts w:hint="eastAsia" w:ascii="宋体" w:hAnsi="宋体" w:cs="宋体"/>
          <w:color w:val="auto"/>
        </w:rPr>
      </w:pPr>
    </w:p>
    <w:p w14:paraId="0C36B7E3">
      <w:pPr>
        <w:rPr>
          <w:rFonts w:hint="eastAsia"/>
          <w:color w:val="auto"/>
        </w:rPr>
      </w:pPr>
    </w:p>
    <w:p w14:paraId="642A6E11">
      <w:pPr>
        <w:jc w:val="center"/>
        <w:rPr>
          <w:b/>
          <w:color w:val="auto"/>
          <w:sz w:val="24"/>
        </w:rPr>
      </w:pPr>
      <w:r>
        <w:rPr>
          <w:b/>
          <w:color w:val="auto"/>
          <w:sz w:val="28"/>
          <w:szCs w:val="28"/>
        </w:rPr>
        <w:t>第一部分、开标一览表</w:t>
      </w:r>
    </w:p>
    <w:p w14:paraId="31CF1AE0">
      <w:pPr>
        <w:jc w:val="center"/>
        <w:rPr>
          <w:b/>
          <w:color w:val="auto"/>
          <w:sz w:val="24"/>
        </w:rPr>
      </w:pPr>
    </w:p>
    <w:p w14:paraId="6D74B725">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5F8096E0">
      <w:pPr>
        <w:pStyle w:val="20"/>
        <w:rPr>
          <w:color w:val="auto"/>
        </w:rPr>
      </w:pPr>
    </w:p>
    <w:p w14:paraId="3009323F">
      <w:pPr>
        <w:adjustRightInd w:val="0"/>
        <w:snapToGrid w:val="0"/>
        <w:spacing w:line="360" w:lineRule="auto"/>
        <w:jc w:val="center"/>
        <w:rPr>
          <w:rFonts w:hint="eastAsia" w:ascii="宋体" w:hAnsi="宋体" w:cs="宋体"/>
          <w:b/>
          <w:color w:val="auto"/>
          <w:sz w:val="28"/>
          <w:szCs w:val="28"/>
        </w:rPr>
      </w:pPr>
    </w:p>
    <w:p w14:paraId="60B9049D">
      <w:pPr>
        <w:adjustRightInd w:val="0"/>
        <w:snapToGrid w:val="0"/>
        <w:spacing w:line="360" w:lineRule="auto"/>
        <w:jc w:val="center"/>
        <w:rPr>
          <w:rFonts w:hint="eastAsia" w:ascii="宋体" w:hAnsi="宋体" w:cs="宋体"/>
          <w:b/>
          <w:color w:val="auto"/>
          <w:sz w:val="28"/>
          <w:szCs w:val="28"/>
        </w:rPr>
      </w:pPr>
    </w:p>
    <w:p w14:paraId="47A9E7E6">
      <w:pPr>
        <w:adjustRightInd w:val="0"/>
        <w:snapToGrid w:val="0"/>
        <w:spacing w:line="360" w:lineRule="auto"/>
        <w:jc w:val="center"/>
        <w:rPr>
          <w:rFonts w:hint="eastAsia" w:ascii="宋体" w:hAnsi="宋体" w:cs="宋体"/>
          <w:b/>
          <w:color w:val="auto"/>
          <w:sz w:val="28"/>
          <w:szCs w:val="28"/>
        </w:rPr>
      </w:pPr>
    </w:p>
    <w:p w14:paraId="0B851203">
      <w:pPr>
        <w:adjustRightInd w:val="0"/>
        <w:snapToGrid w:val="0"/>
        <w:spacing w:line="360" w:lineRule="auto"/>
        <w:jc w:val="center"/>
        <w:rPr>
          <w:rFonts w:hint="eastAsia" w:ascii="宋体" w:hAnsi="宋体" w:cs="宋体"/>
          <w:b/>
          <w:color w:val="auto"/>
          <w:sz w:val="28"/>
          <w:szCs w:val="28"/>
        </w:rPr>
      </w:pPr>
    </w:p>
    <w:p w14:paraId="5B522B1B">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6BE0168">
      <w:pPr>
        <w:pStyle w:val="19"/>
        <w:rPr>
          <w:rFonts w:hint="eastAsia"/>
          <w:lang w:eastAsia="zh-CN"/>
        </w:rPr>
      </w:pPr>
    </w:p>
    <w:p w14:paraId="1C4CE19E">
      <w:pPr>
        <w:adjustRightInd w:val="0"/>
        <w:snapToGrid w:val="0"/>
        <w:spacing w:line="360" w:lineRule="auto"/>
        <w:jc w:val="center"/>
        <w:rPr>
          <w:rFonts w:hint="eastAsia" w:ascii="宋体" w:hAnsi="宋体" w:cs="宋体"/>
          <w:b/>
          <w:color w:val="auto"/>
          <w:sz w:val="24"/>
          <w:szCs w:val="20"/>
        </w:rPr>
      </w:pPr>
    </w:p>
    <w:p w14:paraId="5F76F163">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CD8A2E9">
      <w:pPr>
        <w:adjustRightInd w:val="0"/>
        <w:snapToGrid w:val="0"/>
        <w:spacing w:line="360" w:lineRule="auto"/>
        <w:rPr>
          <w:rFonts w:hint="eastAsia" w:ascii="宋体" w:hAnsi="宋体" w:cs="宋体"/>
          <w:b/>
          <w:color w:val="auto"/>
          <w:sz w:val="28"/>
          <w:szCs w:val="28"/>
        </w:rPr>
      </w:pPr>
    </w:p>
    <w:p w14:paraId="57FDFFD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5DC957A3">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EF331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9B331C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387948B">
      <w:pPr>
        <w:adjustRightInd w:val="0"/>
        <w:snapToGrid w:val="0"/>
        <w:spacing w:line="360" w:lineRule="auto"/>
        <w:ind w:firstLine="480" w:firstLineChars="200"/>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FD0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5E52C6EF">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346FCCD3">
      <w:pPr>
        <w:adjustRightInd w:val="0"/>
        <w:snapToGrid w:val="0"/>
        <w:spacing w:line="360" w:lineRule="auto"/>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7C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44E9FC1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1ED57AA">
      <w:pPr>
        <w:adjustRightInd w:val="0"/>
        <w:snapToGrid w:val="0"/>
        <w:spacing w:line="360" w:lineRule="auto"/>
        <w:rPr>
          <w:rFonts w:hint="eastAsia" w:ascii="宋体" w:hAnsi="宋体" w:cs="宋体"/>
          <w:color w:val="auto"/>
          <w:sz w:val="24"/>
        </w:rPr>
      </w:pPr>
    </w:p>
    <w:p w14:paraId="73683F9B">
      <w:pPr>
        <w:adjustRightInd w:val="0"/>
        <w:snapToGrid w:val="0"/>
        <w:spacing w:line="360" w:lineRule="auto"/>
        <w:rPr>
          <w:rFonts w:hint="eastAsia" w:ascii="宋体" w:hAnsi="宋体" w:cs="宋体"/>
          <w:color w:val="auto"/>
          <w:sz w:val="24"/>
        </w:rPr>
      </w:pPr>
    </w:p>
    <w:p w14:paraId="74E54024">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1F56670">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83F8CB4">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4EF6AB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E41FF70">
      <w:pPr>
        <w:adjustRightInd w:val="0"/>
        <w:snapToGrid w:val="0"/>
        <w:spacing w:line="360" w:lineRule="auto"/>
        <w:rPr>
          <w:rFonts w:hint="eastAsia" w:ascii="宋体" w:hAnsi="宋体" w:cs="宋体"/>
          <w:b/>
          <w:color w:val="auto"/>
          <w:sz w:val="28"/>
          <w:szCs w:val="28"/>
        </w:rPr>
      </w:pPr>
    </w:p>
    <w:p w14:paraId="0F5DBA54">
      <w:pPr>
        <w:rPr>
          <w:rFonts w:hint="eastAsia" w:ascii="宋体" w:hAnsi="宋体" w:cs="宋体"/>
          <w:b/>
          <w:color w:val="auto"/>
          <w:sz w:val="24"/>
          <w:szCs w:val="20"/>
        </w:rPr>
      </w:pPr>
      <w:r>
        <w:rPr>
          <w:rFonts w:hint="eastAsia" w:ascii="宋体" w:hAnsi="宋体" w:cs="宋体"/>
          <w:b/>
          <w:color w:val="auto"/>
          <w:sz w:val="24"/>
          <w:szCs w:val="20"/>
        </w:rPr>
        <w:br w:type="page"/>
      </w:r>
    </w:p>
    <w:p w14:paraId="2A1D0F17">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 w:val="24"/>
        </w:rPr>
      </w:pPr>
      <w:r>
        <w:rPr>
          <w:rFonts w:hint="eastAsia" w:ascii="宋体" w:hAnsi="宋体" w:cs="宋体"/>
          <w:b/>
          <w:color w:val="auto"/>
          <w:sz w:val="24"/>
          <w:szCs w:val="20"/>
        </w:rPr>
        <w:t>二、投标人资格声明</w:t>
      </w:r>
    </w:p>
    <w:p w14:paraId="09B775A3">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DD6DC6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0DB7BF5D">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536784E">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98527F">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2181211">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265A087B">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五、我单位具备法律、行政法规规定的其他条件。</w:t>
      </w:r>
    </w:p>
    <w:p w14:paraId="2E36ED8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E4EEB9A">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0226D39D">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35752034">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60EB9185">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024C14A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ADBE667">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64DDD701">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kern w:val="0"/>
          <w:sz w:val="24"/>
        </w:rPr>
      </w:pPr>
      <w:r>
        <w:rPr>
          <w:rFonts w:hint="eastAsia" w:ascii="宋体" w:hAnsi="宋体" w:cs="宋体"/>
          <w:color w:val="auto"/>
          <w:sz w:val="24"/>
        </w:rPr>
        <w:t>投标人名称（盖单位公章）：</w:t>
      </w:r>
    </w:p>
    <w:p w14:paraId="55D549B2">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2C3DEF84">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6F3D623">
      <w:pPr>
        <w:adjustRightInd w:val="0"/>
        <w:snapToGrid w:val="0"/>
        <w:spacing w:line="360" w:lineRule="auto"/>
        <w:jc w:val="center"/>
        <w:rPr>
          <w:rFonts w:hint="eastAsia" w:ascii="宋体" w:hAnsi="宋体" w:cs="宋体"/>
          <w:b/>
          <w:color w:val="auto"/>
          <w:sz w:val="24"/>
          <w:szCs w:val="20"/>
        </w:rPr>
      </w:pPr>
    </w:p>
    <w:p w14:paraId="40F1283F">
      <w:pPr>
        <w:adjustRightInd w:val="0"/>
        <w:snapToGrid w:val="0"/>
        <w:spacing w:line="360" w:lineRule="auto"/>
        <w:rPr>
          <w:rFonts w:hint="eastAsia" w:ascii="宋体" w:hAnsi="宋体" w:cs="宋体"/>
          <w:b/>
          <w:color w:val="auto"/>
          <w:sz w:val="24"/>
          <w:szCs w:val="20"/>
        </w:rPr>
      </w:pPr>
    </w:p>
    <w:p w14:paraId="137A24EF">
      <w:pPr>
        <w:adjustRightInd w:val="0"/>
        <w:snapToGrid w:val="0"/>
        <w:spacing w:line="360" w:lineRule="auto"/>
        <w:rPr>
          <w:rFonts w:hint="eastAsia" w:ascii="宋体" w:hAnsi="宋体" w:cs="宋体"/>
          <w:b/>
          <w:color w:val="auto"/>
          <w:sz w:val="24"/>
          <w:szCs w:val="20"/>
        </w:rPr>
      </w:pPr>
    </w:p>
    <w:p w14:paraId="5128EA67">
      <w:pPr>
        <w:adjustRightInd w:val="0"/>
        <w:snapToGrid w:val="0"/>
        <w:spacing w:line="360" w:lineRule="auto"/>
        <w:rPr>
          <w:rFonts w:hint="eastAsia" w:ascii="宋体" w:hAnsi="宋体" w:cs="宋体"/>
          <w:b/>
          <w:color w:val="auto"/>
          <w:sz w:val="24"/>
          <w:szCs w:val="20"/>
        </w:rPr>
      </w:pPr>
    </w:p>
    <w:p w14:paraId="27E5A23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8E56FA9">
      <w:pPr>
        <w:adjustRightInd w:val="0"/>
        <w:snapToGrid w:val="0"/>
        <w:spacing w:line="360" w:lineRule="auto"/>
        <w:jc w:val="center"/>
        <w:rPr>
          <w:rFonts w:hint="eastAsia" w:ascii="宋体" w:hAnsi="宋体" w:cs="宋体"/>
          <w:b/>
          <w:color w:val="auto"/>
          <w:sz w:val="24"/>
          <w:szCs w:val="20"/>
        </w:rPr>
      </w:pPr>
    </w:p>
    <w:p w14:paraId="675A77B9">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3EFCC07C">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802804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9A5AFCB">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8865E0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D7A1C8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8FD500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6D76AF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6755BE39">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2DEE619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663AA6F9">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5BE5D0A">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CEF50E">
      <w:pPr>
        <w:jc w:val="left"/>
        <w:rPr>
          <w:rFonts w:hint="eastAsia" w:ascii="宋体" w:hAnsi="宋体" w:eastAsia="宋体" w:cs="Times New Roman"/>
          <w:b w:val="0"/>
          <w:bCs w:val="0"/>
          <w:color w:val="auto"/>
          <w:kern w:val="2"/>
          <w:sz w:val="24"/>
          <w:szCs w:val="24"/>
          <w:lang w:val="en-US" w:eastAsia="zh-CN" w:bidi="ar-SA"/>
        </w:rPr>
      </w:pPr>
    </w:p>
    <w:p w14:paraId="30756FE5">
      <w:pPr>
        <w:jc w:val="left"/>
        <w:rPr>
          <w:rFonts w:hint="eastAsia" w:ascii="宋体" w:hAnsi="宋体" w:eastAsia="宋体" w:cs="Times New Roman"/>
          <w:b w:val="0"/>
          <w:bCs w:val="0"/>
          <w:color w:val="auto"/>
          <w:kern w:val="2"/>
          <w:sz w:val="24"/>
          <w:szCs w:val="24"/>
          <w:lang w:val="en-US" w:eastAsia="zh-CN" w:bidi="ar-SA"/>
        </w:rPr>
      </w:pPr>
    </w:p>
    <w:p w14:paraId="15990E6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97D7B90">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2D0C4DC7">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62A84631">
      <w:pPr>
        <w:pStyle w:val="19"/>
        <w:rPr>
          <w:rFonts w:hint="eastAsia"/>
          <w:lang w:eastAsia="zh-CN"/>
        </w:rPr>
      </w:pPr>
    </w:p>
    <w:p w14:paraId="7C3A650F">
      <w:pPr>
        <w:spacing w:before="120" w:beforeLines="50" w:after="120" w:afterLines="50" w:line="276" w:lineRule="auto"/>
        <w:jc w:val="center"/>
        <w:rPr>
          <w:b/>
          <w:color w:val="auto"/>
          <w:sz w:val="24"/>
        </w:rPr>
      </w:pPr>
      <w:r>
        <w:rPr>
          <w:b/>
          <w:color w:val="auto"/>
          <w:sz w:val="24"/>
        </w:rPr>
        <w:t>采购需求响应/偏离表</w:t>
      </w:r>
    </w:p>
    <w:p w14:paraId="08E5B6D6">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7E6D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35B2D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2E39D26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08D2C1B3">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515E670">
            <w:pPr>
              <w:adjustRightInd w:val="0"/>
              <w:snapToGrid w:val="0"/>
              <w:spacing w:before="50" w:line="360" w:lineRule="auto"/>
              <w:jc w:val="center"/>
              <w:rPr>
                <w:color w:val="auto"/>
              </w:rPr>
            </w:pPr>
            <w:r>
              <w:rPr>
                <w:color w:val="auto"/>
              </w:rPr>
              <w:t>投标文件应答</w:t>
            </w:r>
          </w:p>
        </w:tc>
        <w:tc>
          <w:tcPr>
            <w:tcW w:w="1513" w:type="dxa"/>
            <w:noWrap w:val="0"/>
            <w:vAlign w:val="center"/>
          </w:tcPr>
          <w:p w14:paraId="5FDFAC2D">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52B13AE">
            <w:pPr>
              <w:adjustRightInd w:val="0"/>
              <w:snapToGrid w:val="0"/>
              <w:spacing w:before="50" w:line="360" w:lineRule="auto"/>
              <w:ind w:left="-88" w:leftChars="-42"/>
              <w:jc w:val="center"/>
              <w:rPr>
                <w:color w:val="auto"/>
                <w:szCs w:val="21"/>
              </w:rPr>
            </w:pPr>
            <w:r>
              <w:rPr>
                <w:color w:val="auto"/>
                <w:szCs w:val="21"/>
              </w:rPr>
              <w:t>偏离说明</w:t>
            </w:r>
          </w:p>
        </w:tc>
      </w:tr>
      <w:tr w14:paraId="36F3D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29A584E">
            <w:pPr>
              <w:adjustRightInd w:val="0"/>
              <w:snapToGrid w:val="0"/>
              <w:spacing w:before="50" w:line="360" w:lineRule="auto"/>
              <w:ind w:left="-88" w:leftChars="-42"/>
              <w:jc w:val="center"/>
              <w:rPr>
                <w:color w:val="auto"/>
                <w:szCs w:val="21"/>
              </w:rPr>
            </w:pPr>
          </w:p>
        </w:tc>
        <w:tc>
          <w:tcPr>
            <w:tcW w:w="1877" w:type="dxa"/>
            <w:noWrap w:val="0"/>
            <w:vAlign w:val="center"/>
          </w:tcPr>
          <w:p w14:paraId="04FA1F79">
            <w:pPr>
              <w:adjustRightInd w:val="0"/>
              <w:snapToGrid w:val="0"/>
              <w:spacing w:before="50" w:line="360" w:lineRule="auto"/>
              <w:ind w:left="-88" w:leftChars="-42"/>
              <w:jc w:val="center"/>
              <w:rPr>
                <w:color w:val="auto"/>
                <w:szCs w:val="21"/>
              </w:rPr>
            </w:pPr>
          </w:p>
        </w:tc>
        <w:tc>
          <w:tcPr>
            <w:tcW w:w="1671" w:type="dxa"/>
            <w:noWrap w:val="0"/>
            <w:vAlign w:val="center"/>
          </w:tcPr>
          <w:p w14:paraId="111429EA">
            <w:pPr>
              <w:adjustRightInd w:val="0"/>
              <w:snapToGrid w:val="0"/>
              <w:spacing w:before="50" w:line="360" w:lineRule="auto"/>
              <w:ind w:left="-88" w:leftChars="-42"/>
              <w:jc w:val="center"/>
              <w:rPr>
                <w:color w:val="auto"/>
                <w:szCs w:val="21"/>
              </w:rPr>
            </w:pPr>
          </w:p>
        </w:tc>
        <w:tc>
          <w:tcPr>
            <w:tcW w:w="1608" w:type="dxa"/>
            <w:noWrap w:val="0"/>
            <w:vAlign w:val="center"/>
          </w:tcPr>
          <w:p w14:paraId="3F5C712D">
            <w:pPr>
              <w:adjustRightInd w:val="0"/>
              <w:snapToGrid w:val="0"/>
              <w:spacing w:before="50" w:line="360" w:lineRule="auto"/>
              <w:ind w:left="-88" w:leftChars="-42"/>
              <w:jc w:val="center"/>
              <w:rPr>
                <w:color w:val="auto"/>
                <w:szCs w:val="21"/>
              </w:rPr>
            </w:pPr>
          </w:p>
        </w:tc>
        <w:tc>
          <w:tcPr>
            <w:tcW w:w="1513" w:type="dxa"/>
            <w:noWrap w:val="0"/>
            <w:vAlign w:val="center"/>
          </w:tcPr>
          <w:p w14:paraId="1FD267E1">
            <w:pPr>
              <w:adjustRightInd w:val="0"/>
              <w:snapToGrid w:val="0"/>
              <w:spacing w:before="50" w:line="360" w:lineRule="auto"/>
              <w:ind w:left="-88" w:leftChars="-42"/>
              <w:jc w:val="center"/>
              <w:rPr>
                <w:color w:val="auto"/>
                <w:szCs w:val="21"/>
              </w:rPr>
            </w:pPr>
          </w:p>
        </w:tc>
        <w:tc>
          <w:tcPr>
            <w:tcW w:w="1061" w:type="dxa"/>
            <w:noWrap w:val="0"/>
            <w:vAlign w:val="center"/>
          </w:tcPr>
          <w:p w14:paraId="1B0463B5">
            <w:pPr>
              <w:adjustRightInd w:val="0"/>
              <w:snapToGrid w:val="0"/>
              <w:spacing w:before="50" w:line="360" w:lineRule="auto"/>
              <w:ind w:left="-88" w:leftChars="-42"/>
              <w:jc w:val="center"/>
              <w:rPr>
                <w:color w:val="auto"/>
                <w:szCs w:val="21"/>
              </w:rPr>
            </w:pPr>
          </w:p>
        </w:tc>
      </w:tr>
      <w:tr w14:paraId="3C6C57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DE623C7">
            <w:pPr>
              <w:adjustRightInd w:val="0"/>
              <w:snapToGrid w:val="0"/>
              <w:spacing w:before="50" w:line="360" w:lineRule="auto"/>
              <w:ind w:left="-88" w:leftChars="-42"/>
              <w:jc w:val="center"/>
              <w:rPr>
                <w:color w:val="auto"/>
                <w:szCs w:val="21"/>
              </w:rPr>
            </w:pPr>
          </w:p>
        </w:tc>
        <w:tc>
          <w:tcPr>
            <w:tcW w:w="1877" w:type="dxa"/>
            <w:noWrap w:val="0"/>
            <w:vAlign w:val="center"/>
          </w:tcPr>
          <w:p w14:paraId="0139CDB7">
            <w:pPr>
              <w:adjustRightInd w:val="0"/>
              <w:snapToGrid w:val="0"/>
              <w:spacing w:before="50" w:line="360" w:lineRule="auto"/>
              <w:ind w:left="-88" w:leftChars="-42"/>
              <w:jc w:val="center"/>
              <w:rPr>
                <w:color w:val="auto"/>
                <w:szCs w:val="21"/>
              </w:rPr>
            </w:pPr>
          </w:p>
        </w:tc>
        <w:tc>
          <w:tcPr>
            <w:tcW w:w="1671" w:type="dxa"/>
            <w:noWrap w:val="0"/>
            <w:vAlign w:val="center"/>
          </w:tcPr>
          <w:p w14:paraId="74FA9D80">
            <w:pPr>
              <w:adjustRightInd w:val="0"/>
              <w:snapToGrid w:val="0"/>
              <w:spacing w:before="50" w:line="360" w:lineRule="auto"/>
              <w:ind w:left="-88" w:leftChars="-42"/>
              <w:jc w:val="center"/>
              <w:rPr>
                <w:color w:val="auto"/>
                <w:szCs w:val="21"/>
              </w:rPr>
            </w:pPr>
          </w:p>
        </w:tc>
        <w:tc>
          <w:tcPr>
            <w:tcW w:w="1608" w:type="dxa"/>
            <w:noWrap w:val="0"/>
            <w:vAlign w:val="center"/>
          </w:tcPr>
          <w:p w14:paraId="4DF49294">
            <w:pPr>
              <w:adjustRightInd w:val="0"/>
              <w:snapToGrid w:val="0"/>
              <w:spacing w:before="50" w:line="360" w:lineRule="auto"/>
              <w:ind w:left="-88" w:leftChars="-42"/>
              <w:jc w:val="center"/>
              <w:rPr>
                <w:color w:val="auto"/>
                <w:szCs w:val="21"/>
              </w:rPr>
            </w:pPr>
          </w:p>
        </w:tc>
        <w:tc>
          <w:tcPr>
            <w:tcW w:w="1513" w:type="dxa"/>
            <w:noWrap w:val="0"/>
            <w:vAlign w:val="center"/>
          </w:tcPr>
          <w:p w14:paraId="72CDE795">
            <w:pPr>
              <w:adjustRightInd w:val="0"/>
              <w:snapToGrid w:val="0"/>
              <w:spacing w:before="50" w:line="360" w:lineRule="auto"/>
              <w:ind w:left="-88" w:leftChars="-42"/>
              <w:jc w:val="center"/>
              <w:rPr>
                <w:color w:val="auto"/>
                <w:szCs w:val="21"/>
              </w:rPr>
            </w:pPr>
          </w:p>
        </w:tc>
        <w:tc>
          <w:tcPr>
            <w:tcW w:w="1061" w:type="dxa"/>
            <w:noWrap w:val="0"/>
            <w:vAlign w:val="center"/>
          </w:tcPr>
          <w:p w14:paraId="35D7F53B">
            <w:pPr>
              <w:adjustRightInd w:val="0"/>
              <w:snapToGrid w:val="0"/>
              <w:spacing w:before="50" w:line="360" w:lineRule="auto"/>
              <w:ind w:left="-88" w:leftChars="-42"/>
              <w:jc w:val="center"/>
              <w:rPr>
                <w:color w:val="auto"/>
                <w:szCs w:val="21"/>
              </w:rPr>
            </w:pPr>
          </w:p>
        </w:tc>
      </w:tr>
      <w:tr w14:paraId="6DCDB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C5504F">
            <w:pPr>
              <w:adjustRightInd w:val="0"/>
              <w:snapToGrid w:val="0"/>
              <w:spacing w:before="50" w:line="360" w:lineRule="auto"/>
              <w:ind w:left="-88" w:leftChars="-42"/>
              <w:jc w:val="center"/>
              <w:rPr>
                <w:color w:val="auto"/>
                <w:szCs w:val="21"/>
              </w:rPr>
            </w:pPr>
          </w:p>
        </w:tc>
        <w:tc>
          <w:tcPr>
            <w:tcW w:w="1877" w:type="dxa"/>
            <w:noWrap w:val="0"/>
            <w:vAlign w:val="center"/>
          </w:tcPr>
          <w:p w14:paraId="3FC5B1D9">
            <w:pPr>
              <w:adjustRightInd w:val="0"/>
              <w:snapToGrid w:val="0"/>
              <w:spacing w:before="50" w:line="360" w:lineRule="auto"/>
              <w:ind w:left="-88" w:leftChars="-42"/>
              <w:jc w:val="center"/>
              <w:rPr>
                <w:color w:val="auto"/>
                <w:szCs w:val="21"/>
              </w:rPr>
            </w:pPr>
          </w:p>
        </w:tc>
        <w:tc>
          <w:tcPr>
            <w:tcW w:w="1671" w:type="dxa"/>
            <w:noWrap w:val="0"/>
            <w:vAlign w:val="center"/>
          </w:tcPr>
          <w:p w14:paraId="6B2107E1">
            <w:pPr>
              <w:adjustRightInd w:val="0"/>
              <w:snapToGrid w:val="0"/>
              <w:spacing w:before="50" w:line="360" w:lineRule="auto"/>
              <w:ind w:left="-88" w:leftChars="-42"/>
              <w:jc w:val="center"/>
              <w:rPr>
                <w:color w:val="auto"/>
                <w:szCs w:val="21"/>
              </w:rPr>
            </w:pPr>
          </w:p>
        </w:tc>
        <w:tc>
          <w:tcPr>
            <w:tcW w:w="1608" w:type="dxa"/>
            <w:noWrap w:val="0"/>
            <w:vAlign w:val="center"/>
          </w:tcPr>
          <w:p w14:paraId="50438157">
            <w:pPr>
              <w:adjustRightInd w:val="0"/>
              <w:snapToGrid w:val="0"/>
              <w:spacing w:before="50" w:line="360" w:lineRule="auto"/>
              <w:ind w:left="-88" w:leftChars="-42"/>
              <w:jc w:val="center"/>
              <w:rPr>
                <w:color w:val="auto"/>
                <w:szCs w:val="21"/>
              </w:rPr>
            </w:pPr>
          </w:p>
        </w:tc>
        <w:tc>
          <w:tcPr>
            <w:tcW w:w="1513" w:type="dxa"/>
            <w:noWrap w:val="0"/>
            <w:vAlign w:val="center"/>
          </w:tcPr>
          <w:p w14:paraId="2617429B">
            <w:pPr>
              <w:adjustRightInd w:val="0"/>
              <w:snapToGrid w:val="0"/>
              <w:spacing w:before="50" w:line="360" w:lineRule="auto"/>
              <w:ind w:left="-88" w:leftChars="-42"/>
              <w:jc w:val="center"/>
              <w:rPr>
                <w:color w:val="auto"/>
                <w:szCs w:val="21"/>
              </w:rPr>
            </w:pPr>
          </w:p>
        </w:tc>
        <w:tc>
          <w:tcPr>
            <w:tcW w:w="1061" w:type="dxa"/>
            <w:noWrap w:val="0"/>
            <w:vAlign w:val="center"/>
          </w:tcPr>
          <w:p w14:paraId="469BAD0E">
            <w:pPr>
              <w:adjustRightInd w:val="0"/>
              <w:snapToGrid w:val="0"/>
              <w:spacing w:before="50" w:line="360" w:lineRule="auto"/>
              <w:ind w:left="-88" w:leftChars="-42"/>
              <w:jc w:val="center"/>
              <w:rPr>
                <w:color w:val="auto"/>
                <w:szCs w:val="21"/>
              </w:rPr>
            </w:pPr>
          </w:p>
        </w:tc>
      </w:tr>
      <w:tr w14:paraId="46674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497E606C">
            <w:pPr>
              <w:rPr>
                <w:b/>
                <w:color w:val="auto"/>
              </w:rPr>
            </w:pPr>
          </w:p>
        </w:tc>
      </w:tr>
    </w:tbl>
    <w:p w14:paraId="40556A6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48C94C08">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7C43CBC0">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75DFE47">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w:t>
      </w:r>
      <w:r>
        <w:rPr>
          <w:rFonts w:hint="eastAsia"/>
          <w:color w:val="FF0000"/>
          <w:sz w:val="24"/>
          <w:lang w:eastAsia="zh-CN"/>
        </w:rPr>
        <w:t>（</w:t>
      </w:r>
      <w:r>
        <w:rPr>
          <w:rFonts w:hint="eastAsia"/>
          <w:color w:val="FF0000"/>
          <w:sz w:val="24"/>
          <w:lang w:val="en-US" w:eastAsia="zh-CN"/>
        </w:rPr>
        <w:t>包括商务参数）</w:t>
      </w:r>
      <w:r>
        <w:rPr>
          <w:rFonts w:hint="eastAsia"/>
          <w:color w:val="auto"/>
          <w:sz w:val="24"/>
          <w:lang w:eastAsia="zh-CN"/>
        </w:rPr>
        <w:t>必须在响应表中逐条应答。</w:t>
      </w:r>
    </w:p>
    <w:p w14:paraId="0DA40BA3">
      <w:pPr>
        <w:pStyle w:val="20"/>
        <w:rPr>
          <w:color w:val="auto"/>
        </w:rPr>
      </w:pPr>
    </w:p>
    <w:p w14:paraId="0EFEE20B">
      <w:pPr>
        <w:pStyle w:val="19"/>
        <w:rPr>
          <w:rFonts w:hint="eastAsia"/>
          <w:lang w:eastAsia="zh-CN"/>
        </w:rPr>
      </w:pPr>
    </w:p>
    <w:p w14:paraId="2CB8A4F5"/>
    <w:p w14:paraId="58D1B8B1">
      <w:pPr>
        <w:pStyle w:val="20"/>
        <w:rPr>
          <w:color w:val="auto"/>
        </w:rPr>
      </w:pPr>
    </w:p>
    <w:p w14:paraId="43E00E01">
      <w:pPr>
        <w:pStyle w:val="19"/>
        <w:rPr>
          <w:rFonts w:hint="eastAsia"/>
          <w:lang w:eastAsia="zh-CN"/>
        </w:rPr>
      </w:pPr>
    </w:p>
    <w:p w14:paraId="53FA0AAC"/>
    <w:p w14:paraId="36507233"/>
    <w:p w14:paraId="5AA899CA"/>
    <w:p w14:paraId="2936BFC4"/>
    <w:p w14:paraId="740A0EF9"/>
    <w:p w14:paraId="57A7D16B"/>
    <w:p w14:paraId="003C5A4F"/>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思源黑体 CN Medium">
    <w:altName w:val="方正黑体_GBK"/>
    <w:panose1 w:val="020B0600000000000000"/>
    <w:charset w:val="86"/>
    <w:family w:val="auto"/>
    <w:pitch w:val="default"/>
    <w:sig w:usb0="00000000" w:usb1="00000000" w:usb2="00000016" w:usb3="00000000" w:csb0="60060107" w:csb1="00000000"/>
  </w:font>
  <w:font w:name="仿宋">
    <w:altName w:val="方正仿宋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9C88">
    <w:pPr>
      <w:pStyle w:val="9"/>
      <w:rPr>
        <w:rFonts w:hint="eastAsia" w:ascii="仿宋_GB2312" w:eastAsia="仿宋_GB2312"/>
        <w:bCs/>
        <w:u w:val="single"/>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20831">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D20831">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A9478CC">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9"/>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4788">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8318E5"/>
    <w:rsid w:val="00AE556A"/>
    <w:rsid w:val="01350E35"/>
    <w:rsid w:val="01807593"/>
    <w:rsid w:val="01EF5CA0"/>
    <w:rsid w:val="02390242"/>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14A6E83"/>
    <w:rsid w:val="12080B62"/>
    <w:rsid w:val="12994AC5"/>
    <w:rsid w:val="129F447F"/>
    <w:rsid w:val="12C86253"/>
    <w:rsid w:val="15060AC8"/>
    <w:rsid w:val="15125EAE"/>
    <w:rsid w:val="15675A4C"/>
    <w:rsid w:val="1691323B"/>
    <w:rsid w:val="17E51656"/>
    <w:rsid w:val="17F91BB8"/>
    <w:rsid w:val="193E7D91"/>
    <w:rsid w:val="1943608F"/>
    <w:rsid w:val="19E91315"/>
    <w:rsid w:val="1AF56B46"/>
    <w:rsid w:val="1B7B72C0"/>
    <w:rsid w:val="1D5071B5"/>
    <w:rsid w:val="1D5D59A6"/>
    <w:rsid w:val="1DD7486D"/>
    <w:rsid w:val="1E79119D"/>
    <w:rsid w:val="1EFD25AF"/>
    <w:rsid w:val="1F334F58"/>
    <w:rsid w:val="1F385662"/>
    <w:rsid w:val="1F796B24"/>
    <w:rsid w:val="1FC602A8"/>
    <w:rsid w:val="1FDFE26B"/>
    <w:rsid w:val="1FE73549"/>
    <w:rsid w:val="1FFF6652"/>
    <w:rsid w:val="2038045E"/>
    <w:rsid w:val="209055C8"/>
    <w:rsid w:val="20AF0900"/>
    <w:rsid w:val="20B41DA7"/>
    <w:rsid w:val="21C61C7A"/>
    <w:rsid w:val="2383771E"/>
    <w:rsid w:val="23F374DB"/>
    <w:rsid w:val="24881A32"/>
    <w:rsid w:val="24E375C9"/>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2F9730FD"/>
    <w:rsid w:val="302741D2"/>
    <w:rsid w:val="308B184D"/>
    <w:rsid w:val="309C1E01"/>
    <w:rsid w:val="30BB11DD"/>
    <w:rsid w:val="31F17CD1"/>
    <w:rsid w:val="321B02E0"/>
    <w:rsid w:val="324F4D43"/>
    <w:rsid w:val="3330157F"/>
    <w:rsid w:val="33384C93"/>
    <w:rsid w:val="340F06E9"/>
    <w:rsid w:val="34C12F54"/>
    <w:rsid w:val="35101668"/>
    <w:rsid w:val="366241E2"/>
    <w:rsid w:val="369029A0"/>
    <w:rsid w:val="36B66AAC"/>
    <w:rsid w:val="36E47928"/>
    <w:rsid w:val="372F7378"/>
    <w:rsid w:val="37BA0809"/>
    <w:rsid w:val="37DE919F"/>
    <w:rsid w:val="38F7D690"/>
    <w:rsid w:val="397348CD"/>
    <w:rsid w:val="39FBA7F3"/>
    <w:rsid w:val="3A8E0AB7"/>
    <w:rsid w:val="3A994AB7"/>
    <w:rsid w:val="3B3B544D"/>
    <w:rsid w:val="3B654F2B"/>
    <w:rsid w:val="3B9B6E72"/>
    <w:rsid w:val="3BB72BAE"/>
    <w:rsid w:val="3BFC7D2B"/>
    <w:rsid w:val="3C7C799C"/>
    <w:rsid w:val="3C8A61A4"/>
    <w:rsid w:val="3D5E17FF"/>
    <w:rsid w:val="3DF93413"/>
    <w:rsid w:val="3DFD1951"/>
    <w:rsid w:val="3DFFD27E"/>
    <w:rsid w:val="3E1F0DA4"/>
    <w:rsid w:val="3E584E51"/>
    <w:rsid w:val="3E62C1E0"/>
    <w:rsid w:val="3E6E70D5"/>
    <w:rsid w:val="3EBE1ADE"/>
    <w:rsid w:val="3F788D05"/>
    <w:rsid w:val="3FB7200B"/>
    <w:rsid w:val="3FEF41F9"/>
    <w:rsid w:val="3FF36FC1"/>
    <w:rsid w:val="3FFBF02C"/>
    <w:rsid w:val="403B4B34"/>
    <w:rsid w:val="4140452A"/>
    <w:rsid w:val="414D7889"/>
    <w:rsid w:val="41BB0BAE"/>
    <w:rsid w:val="425629F5"/>
    <w:rsid w:val="4284152B"/>
    <w:rsid w:val="429A4992"/>
    <w:rsid w:val="42FF3888"/>
    <w:rsid w:val="435B161D"/>
    <w:rsid w:val="43B25DAC"/>
    <w:rsid w:val="44771DFD"/>
    <w:rsid w:val="45D569C3"/>
    <w:rsid w:val="46C011EB"/>
    <w:rsid w:val="475F9F54"/>
    <w:rsid w:val="479B74B7"/>
    <w:rsid w:val="48735221"/>
    <w:rsid w:val="49E92B05"/>
    <w:rsid w:val="4A354E62"/>
    <w:rsid w:val="4AEE1A11"/>
    <w:rsid w:val="4B7F39F4"/>
    <w:rsid w:val="4B9387EE"/>
    <w:rsid w:val="4BAE646F"/>
    <w:rsid w:val="4CAC1559"/>
    <w:rsid w:val="4D1D09A0"/>
    <w:rsid w:val="4D754257"/>
    <w:rsid w:val="4DCD6AB3"/>
    <w:rsid w:val="4E334DF1"/>
    <w:rsid w:val="4EE7662F"/>
    <w:rsid w:val="50216DCD"/>
    <w:rsid w:val="50540C20"/>
    <w:rsid w:val="506258C6"/>
    <w:rsid w:val="51AC28BD"/>
    <w:rsid w:val="52183ACC"/>
    <w:rsid w:val="5275566D"/>
    <w:rsid w:val="52950FA7"/>
    <w:rsid w:val="531356F0"/>
    <w:rsid w:val="53238E8B"/>
    <w:rsid w:val="537E2BE5"/>
    <w:rsid w:val="53B55872"/>
    <w:rsid w:val="544055F2"/>
    <w:rsid w:val="54AD4386"/>
    <w:rsid w:val="55D8243C"/>
    <w:rsid w:val="575FAF7E"/>
    <w:rsid w:val="581A7C72"/>
    <w:rsid w:val="583A4BD7"/>
    <w:rsid w:val="59C74B1F"/>
    <w:rsid w:val="5A886F59"/>
    <w:rsid w:val="5BDF167E"/>
    <w:rsid w:val="5E9BBF88"/>
    <w:rsid w:val="5EBFE873"/>
    <w:rsid w:val="5F153ADC"/>
    <w:rsid w:val="5FBFAB6E"/>
    <w:rsid w:val="604D5946"/>
    <w:rsid w:val="611B6B1B"/>
    <w:rsid w:val="61FF68C0"/>
    <w:rsid w:val="62C222C2"/>
    <w:rsid w:val="632D7C40"/>
    <w:rsid w:val="63F39F53"/>
    <w:rsid w:val="64133D6A"/>
    <w:rsid w:val="64245572"/>
    <w:rsid w:val="653D36B9"/>
    <w:rsid w:val="65824D95"/>
    <w:rsid w:val="674A3DD5"/>
    <w:rsid w:val="678E4F5D"/>
    <w:rsid w:val="67F3562A"/>
    <w:rsid w:val="67FFBBE3"/>
    <w:rsid w:val="680E122C"/>
    <w:rsid w:val="6A4E1D63"/>
    <w:rsid w:val="6C486FE4"/>
    <w:rsid w:val="6CA409DF"/>
    <w:rsid w:val="6D9F787E"/>
    <w:rsid w:val="6DBC6A8E"/>
    <w:rsid w:val="6DBE71AC"/>
    <w:rsid w:val="6DE375E4"/>
    <w:rsid w:val="6DFF0C8E"/>
    <w:rsid w:val="6E8E5287"/>
    <w:rsid w:val="6EEFE731"/>
    <w:rsid w:val="6EF17664"/>
    <w:rsid w:val="6F8D6265"/>
    <w:rsid w:val="6FAC3B48"/>
    <w:rsid w:val="6FAD463B"/>
    <w:rsid w:val="6FB7ACDA"/>
    <w:rsid w:val="6FBE332C"/>
    <w:rsid w:val="6FDBE144"/>
    <w:rsid w:val="6FFF67CC"/>
    <w:rsid w:val="70CE0BC9"/>
    <w:rsid w:val="71554367"/>
    <w:rsid w:val="71584067"/>
    <w:rsid w:val="71F26E91"/>
    <w:rsid w:val="72CE2295"/>
    <w:rsid w:val="72FB9D37"/>
    <w:rsid w:val="735201FF"/>
    <w:rsid w:val="737B50A4"/>
    <w:rsid w:val="73F40E72"/>
    <w:rsid w:val="74566F5C"/>
    <w:rsid w:val="750117A8"/>
    <w:rsid w:val="755B2270"/>
    <w:rsid w:val="75E27514"/>
    <w:rsid w:val="762BE131"/>
    <w:rsid w:val="76920D75"/>
    <w:rsid w:val="76C47877"/>
    <w:rsid w:val="76FC90CC"/>
    <w:rsid w:val="76FF6CFD"/>
    <w:rsid w:val="77423DFF"/>
    <w:rsid w:val="77EE6ED4"/>
    <w:rsid w:val="77FD832A"/>
    <w:rsid w:val="783B5EA9"/>
    <w:rsid w:val="78B114A6"/>
    <w:rsid w:val="79C6FDAF"/>
    <w:rsid w:val="79EB699D"/>
    <w:rsid w:val="79FFEA3A"/>
    <w:rsid w:val="7A3E5854"/>
    <w:rsid w:val="7ABA298D"/>
    <w:rsid w:val="7B0620DE"/>
    <w:rsid w:val="7B7D7C18"/>
    <w:rsid w:val="7BBF44BB"/>
    <w:rsid w:val="7BF15CE4"/>
    <w:rsid w:val="7C3A27E5"/>
    <w:rsid w:val="7C5533D1"/>
    <w:rsid w:val="7D9727DD"/>
    <w:rsid w:val="7DDF8A36"/>
    <w:rsid w:val="7DFE74A2"/>
    <w:rsid w:val="7E2117BD"/>
    <w:rsid w:val="7E8BAD0B"/>
    <w:rsid w:val="7ED7DBED"/>
    <w:rsid w:val="7EF7B2A4"/>
    <w:rsid w:val="7EFB4F6E"/>
    <w:rsid w:val="7F164138"/>
    <w:rsid w:val="7F1A5E95"/>
    <w:rsid w:val="7F3B676F"/>
    <w:rsid w:val="7FA75B91"/>
    <w:rsid w:val="7FB1DF06"/>
    <w:rsid w:val="7FBC7699"/>
    <w:rsid w:val="7FCFF1E1"/>
    <w:rsid w:val="7FFB0877"/>
    <w:rsid w:val="7FFDFA69"/>
    <w:rsid w:val="7FFE88A1"/>
    <w:rsid w:val="7FFFD909"/>
    <w:rsid w:val="87EFD207"/>
    <w:rsid w:val="8B7D3439"/>
    <w:rsid w:val="8EFAA180"/>
    <w:rsid w:val="8EFE3913"/>
    <w:rsid w:val="9EFF74B7"/>
    <w:rsid w:val="9F670A24"/>
    <w:rsid w:val="A4FC5874"/>
    <w:rsid w:val="A99BC227"/>
    <w:rsid w:val="ABFF86F2"/>
    <w:rsid w:val="ADFDDBA5"/>
    <w:rsid w:val="AFDF5C35"/>
    <w:rsid w:val="AFEFD62F"/>
    <w:rsid w:val="B7FBACA6"/>
    <w:rsid w:val="BBDFF490"/>
    <w:rsid w:val="BCD519AA"/>
    <w:rsid w:val="BF59071B"/>
    <w:rsid w:val="BF7D9491"/>
    <w:rsid w:val="BFF77D2B"/>
    <w:rsid w:val="C3FEA355"/>
    <w:rsid w:val="CDFF7760"/>
    <w:rsid w:val="CFFF8E32"/>
    <w:rsid w:val="D6D5AD7C"/>
    <w:rsid w:val="D7D36704"/>
    <w:rsid w:val="DBDE3CFA"/>
    <w:rsid w:val="DFAD8580"/>
    <w:rsid w:val="DFF97BBC"/>
    <w:rsid w:val="DFFA836E"/>
    <w:rsid w:val="DFFEDE01"/>
    <w:rsid w:val="DFFF05F4"/>
    <w:rsid w:val="E6F7C8DE"/>
    <w:rsid w:val="E87AC6AD"/>
    <w:rsid w:val="E9FE6660"/>
    <w:rsid w:val="EADE7AA2"/>
    <w:rsid w:val="ED6D9162"/>
    <w:rsid w:val="EF7B1925"/>
    <w:rsid w:val="EFECA95C"/>
    <w:rsid w:val="EFF91F3A"/>
    <w:rsid w:val="EFFF278C"/>
    <w:rsid w:val="F1347A70"/>
    <w:rsid w:val="F76D9192"/>
    <w:rsid w:val="F7AF362D"/>
    <w:rsid w:val="F7D57869"/>
    <w:rsid w:val="F91F5623"/>
    <w:rsid w:val="F99F179C"/>
    <w:rsid w:val="FB6F87D3"/>
    <w:rsid w:val="FB7D52BD"/>
    <w:rsid w:val="FBBD03F1"/>
    <w:rsid w:val="FBF3B75B"/>
    <w:rsid w:val="FCEB7648"/>
    <w:rsid w:val="FDF7EAA8"/>
    <w:rsid w:val="FDFF9C76"/>
    <w:rsid w:val="FEAFF452"/>
    <w:rsid w:val="FED7AE9E"/>
    <w:rsid w:val="FEE34724"/>
    <w:rsid w:val="FF1EFC35"/>
    <w:rsid w:val="FF477DD4"/>
    <w:rsid w:val="FF5F7F20"/>
    <w:rsid w:val="FF7B9B69"/>
    <w:rsid w:val="FF7D155A"/>
    <w:rsid w:val="FFAFFB84"/>
    <w:rsid w:val="FFBF9032"/>
    <w:rsid w:val="FFC8EF32"/>
    <w:rsid w:val="FFD76697"/>
    <w:rsid w:val="FFDF81E1"/>
    <w:rsid w:val="FFE13652"/>
    <w:rsid w:val="FFECE770"/>
    <w:rsid w:val="FFEFBF13"/>
    <w:rsid w:val="FFF3DD05"/>
    <w:rsid w:val="FFF716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0"/>
    <w:pPr>
      <w:keepNext/>
      <w:keepLines/>
      <w:spacing w:line="360" w:lineRule="auto"/>
      <w:outlineLvl w:val="1"/>
    </w:pPr>
    <w:rPr>
      <w:b/>
      <w:bCs/>
      <w:sz w:val="24"/>
      <w:szCs w:val="32"/>
    </w:rPr>
  </w:style>
  <w:style w:type="paragraph" w:styleId="4">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ind w:firstLine="420"/>
      <w:jc w:val="left"/>
    </w:pPr>
    <w:rPr>
      <w:kern w:val="0"/>
      <w:sz w:val="20"/>
      <w:szCs w:val="20"/>
    </w:rPr>
  </w:style>
  <w:style w:type="paragraph" w:styleId="6">
    <w:name w:val="annotation text"/>
    <w:basedOn w:val="1"/>
    <w:qFormat/>
    <w:uiPriority w:val="0"/>
    <w:pPr>
      <w:jc w:val="left"/>
    </w:pPr>
  </w:style>
  <w:style w:type="paragraph" w:styleId="7">
    <w:name w:val="Body Text Indent"/>
    <w:basedOn w:val="1"/>
    <w:autoRedefine/>
    <w:qFormat/>
    <w:uiPriority w:val="99"/>
    <w:pPr>
      <w:spacing w:line="400" w:lineRule="exact"/>
      <w:ind w:left="630"/>
    </w:pPr>
    <w:rPr>
      <w:rFonts w:ascii="楷体_GB2312"/>
      <w:sz w:val="30"/>
      <w:szCs w:val="30"/>
    </w:rPr>
  </w:style>
  <w:style w:type="paragraph" w:styleId="8">
    <w:name w:val="Date"/>
    <w:basedOn w:val="1"/>
    <w:next w:val="1"/>
    <w:qFormat/>
    <w:uiPriority w:val="0"/>
    <w:rPr>
      <w:color w:val="000000"/>
      <w:kern w:val="0"/>
      <w:sz w:val="30"/>
    </w:rPr>
  </w:style>
  <w:style w:type="paragraph" w:styleId="9">
    <w:name w:val="footer"/>
    <w:basedOn w:val="1"/>
    <w:autoRedefine/>
    <w:qFormat/>
    <w:uiPriority w:val="0"/>
    <w:pPr>
      <w:tabs>
        <w:tab w:val="center" w:pos="4153"/>
        <w:tab w:val="right" w:pos="8306"/>
      </w:tabs>
      <w:snapToGrid w:val="0"/>
      <w:jc w:val="left"/>
    </w:pPr>
    <w:rPr>
      <w:kern w:val="0"/>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rPr>
      <w:sz w:val="24"/>
    </w:rPr>
  </w:style>
  <w:style w:type="paragraph" w:styleId="12">
    <w:name w:val="Body Text First Indent 2"/>
    <w:basedOn w:val="7"/>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7">
    <w:name w:val="大标题"/>
    <w:basedOn w:val="1"/>
    <w:next w:val="12"/>
    <w:autoRedefine/>
    <w:qFormat/>
    <w:uiPriority w:val="0"/>
    <w:pPr>
      <w:jc w:val="center"/>
    </w:pPr>
    <w:rPr>
      <w:rFonts w:ascii="Arial" w:hAnsi="Arial" w:eastAsia="宋体"/>
      <w:b/>
      <w:sz w:val="28"/>
      <w:szCs w:val="24"/>
    </w:rPr>
  </w:style>
  <w:style w:type="paragraph" w:customStyle="1" w:styleId="18">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9">
    <w:name w:val="列出段落1"/>
    <w:basedOn w:val="1"/>
    <w:autoRedefine/>
    <w:qFormat/>
    <w:uiPriority w:val="99"/>
    <w:pPr>
      <w:ind w:firstLine="420" w:firstLineChars="200"/>
    </w:pPr>
  </w:style>
  <w:style w:type="paragraph" w:customStyle="1" w:styleId="20">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autoRedefine/>
    <w:qFormat/>
    <w:uiPriority w:val="34"/>
    <w:pPr>
      <w:ind w:firstLine="420" w:firstLineChars="200"/>
    </w:pPr>
    <w:rPr>
      <w:rFonts w:ascii="Calibri" w:hAnsi="Calibri"/>
      <w:szCs w:val="22"/>
    </w:rPr>
  </w:style>
  <w:style w:type="character" w:customStyle="1" w:styleId="22">
    <w:name w:val="NormalCharacter"/>
    <w:autoRedefine/>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6326</Words>
  <Characters>6702</Characters>
  <Lines>0</Lines>
  <Paragraphs>0</Paragraphs>
  <TotalTime>3</TotalTime>
  <ScaleCrop>false</ScaleCrop>
  <LinksUpToDate>false</LinksUpToDate>
  <CharactersWithSpaces>6934</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2023-07-28T01:45:00Z</dcterms:created>
  <dc:creator>是小豹子</dc:creator>
  <cp:lastModifiedBy>沁sqr</cp:lastModifiedBy>
  <dcterms:modified xsi:type="dcterms:W3CDTF">2026-08-12T11:10:59Z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76FB0FAE7D39B64E20C5306ACAD8361B_43</vt:lpwstr>
  </property>
  <property fmtid="{D5CDD505-2E9C-101B-9397-08002B2CF9AE}" pid="4" name="KSOTemplateDocerSaveRecord">
    <vt:lpwstr>eyJoZGlkIjoiYjhlYmE2MWY2NTY0MzZmZTc1MzE0ZTI3ZDViMDM4ZWEiLCJ1c2VySWQiOiIxMDY1NzYwODA4In0=</vt:lpwstr>
  </property>
</Properties>
</file>