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11608FC0">
      <w:pPr>
        <w:pStyle w:val="1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（糖尿病风险早期检测系统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八</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糖尿病风险早期检测系统</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糖尿病风险早期检测系统</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1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FF0000"/>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831"/>
        <w:gridCol w:w="2676"/>
        <w:gridCol w:w="1486"/>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糖尿病风险早期检测系统</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27</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3B4D5E88">
      <w:pPr>
        <w:keepNext w:val="0"/>
        <w:keepLines w:val="0"/>
        <w:pageBreakBefore w:val="0"/>
        <w:kinsoku/>
        <w:wordWrap/>
        <w:overflowPunct/>
        <w:topLinePunct w:val="0"/>
        <w:autoSpaceDE/>
        <w:autoSpaceDN/>
        <w:bidi w:val="0"/>
        <w:ind w:right="1200" w:firstLine="482" w:firstLineChars="200"/>
        <w:jc w:val="both"/>
        <w:textAlignment w:val="auto"/>
        <w:rPr>
          <w:rFonts w:hint="default"/>
          <w:b/>
          <w:sz w:val="24"/>
          <w:szCs w:val="24"/>
          <w:lang w:val="en-US" w:eastAsia="zh-CN"/>
        </w:rPr>
      </w:pPr>
      <w:r>
        <w:rPr>
          <w:rFonts w:hint="eastAsia"/>
          <w:b/>
          <w:sz w:val="24"/>
          <w:szCs w:val="24"/>
          <w:lang w:val="en-US" w:eastAsia="zh-CN"/>
        </w:rPr>
        <w:t>（一）技术参数</w:t>
      </w:r>
    </w:p>
    <w:p w14:paraId="6D1DADD6">
      <w:pPr>
        <w:pStyle w:val="21"/>
        <w:keepNext w:val="0"/>
        <w:keepLines w:val="0"/>
        <w:pageBreakBefore w:val="0"/>
        <w:numPr>
          <w:ilvl w:val="0"/>
          <w:numId w:val="0"/>
        </w:numPr>
        <w:kinsoku/>
        <w:wordWrap/>
        <w:overflowPunct/>
        <w:topLinePunct w:val="0"/>
        <w:autoSpaceDE/>
        <w:autoSpaceDN/>
        <w:bidi w:val="0"/>
        <w:spacing w:line="240" w:lineRule="auto"/>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1.</w:t>
      </w:r>
      <w:r>
        <w:rPr>
          <w:rFonts w:ascii="宋体" w:hAnsi="宋体" w:eastAsia="宋体"/>
          <w:sz w:val="24"/>
          <w:szCs w:val="24"/>
        </w:rPr>
        <w:t>产品适用范围：</w:t>
      </w:r>
      <w:r>
        <w:rPr>
          <w:rFonts w:hint="eastAsia" w:ascii="宋体" w:hAnsi="宋体" w:eastAsia="宋体"/>
          <w:sz w:val="24"/>
          <w:szCs w:val="24"/>
        </w:rPr>
        <w:t>用于检测人体眼睛晶状体</w:t>
      </w:r>
      <w:r>
        <w:rPr>
          <w:rFonts w:hint="eastAsia" w:ascii="宋体" w:hAnsi="宋体" w:eastAsia="宋体"/>
          <w:sz w:val="24"/>
          <w:szCs w:val="24"/>
          <w:lang w:val="en-US" w:eastAsia="zh-CN"/>
        </w:rPr>
        <w:t>或皮肤</w:t>
      </w:r>
      <w:r>
        <w:rPr>
          <w:rFonts w:hint="eastAsia" w:ascii="宋体" w:hAnsi="宋体" w:eastAsia="宋体"/>
          <w:sz w:val="24"/>
          <w:szCs w:val="24"/>
        </w:rPr>
        <w:t>晚期糖基化终末产物积聚水平，临床用于糖尿病筛查</w:t>
      </w:r>
      <w:r>
        <w:rPr>
          <w:rFonts w:ascii="宋体" w:hAnsi="宋体" w:eastAsia="宋体"/>
          <w:sz w:val="24"/>
          <w:szCs w:val="24"/>
        </w:rPr>
        <w:t xml:space="preserve">； </w:t>
      </w:r>
    </w:p>
    <w:p w14:paraId="0B05C332">
      <w:pPr>
        <w:pStyle w:val="21"/>
        <w:keepNext w:val="0"/>
        <w:keepLines w:val="0"/>
        <w:pageBreakBefore w:val="0"/>
        <w:numPr>
          <w:ilvl w:val="0"/>
          <w:numId w:val="0"/>
        </w:numPr>
        <w:kinsoku/>
        <w:wordWrap/>
        <w:overflowPunct/>
        <w:topLinePunct w:val="0"/>
        <w:autoSpaceDE/>
        <w:autoSpaceDN/>
        <w:bidi w:val="0"/>
        <w:spacing w:line="240" w:lineRule="auto"/>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2.检测部位：眼睛晶状体或皮肤；</w:t>
      </w:r>
    </w:p>
    <w:p w14:paraId="4E1B8035">
      <w:pPr>
        <w:pStyle w:val="21"/>
        <w:keepNext w:val="0"/>
        <w:keepLines w:val="0"/>
        <w:pageBreakBefore w:val="0"/>
        <w:numPr>
          <w:ilvl w:val="0"/>
          <w:numId w:val="0"/>
        </w:numPr>
        <w:kinsoku/>
        <w:wordWrap/>
        <w:overflowPunct/>
        <w:topLinePunct w:val="0"/>
        <w:autoSpaceDE/>
        <w:autoSpaceDN/>
        <w:bidi w:val="0"/>
        <w:spacing w:line="240" w:lineRule="auto"/>
        <w:ind w:leftChars="0" w:firstLine="480" w:firstLineChars="200"/>
        <w:textAlignment w:val="auto"/>
        <w:rPr>
          <w:rFonts w:hint="eastAsia" w:ascii="宋体" w:hAnsi="宋体" w:eastAsia="宋体"/>
          <w:sz w:val="24"/>
          <w:szCs w:val="24"/>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bidi="ar"/>
        </w:rPr>
        <w:t>检测指标：晚期糖基化终末产物</w:t>
      </w:r>
      <w:r>
        <w:rPr>
          <w:rFonts w:hint="eastAsia" w:ascii="宋体" w:hAnsi="宋体" w:eastAsia="宋体" w:cs="宋体"/>
          <w:color w:val="000000"/>
          <w:sz w:val="24"/>
          <w:szCs w:val="24"/>
          <w:lang w:bidi="ar"/>
        </w:rPr>
        <w:t>，糖尿病风险评估结果</w:t>
      </w:r>
      <w:r>
        <w:rPr>
          <w:rFonts w:hint="eastAsia" w:ascii="宋体" w:hAnsi="宋体" w:eastAsia="宋体" w:cs="宋体"/>
          <w:color w:val="000000"/>
          <w:kern w:val="0"/>
          <w:sz w:val="24"/>
          <w:szCs w:val="24"/>
          <w:lang w:bidi="ar"/>
        </w:rPr>
        <w:t>；</w:t>
      </w:r>
    </w:p>
    <w:p w14:paraId="1A82CBB0">
      <w:pPr>
        <w:keepNext w:val="0"/>
        <w:keepLines w:val="0"/>
        <w:pageBreakBefore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cs="微软雅黑"/>
          <w:sz w:val="24"/>
          <w:szCs w:val="24"/>
        </w:rPr>
        <w:t>▲</w:t>
      </w:r>
      <w:r>
        <w:rPr>
          <w:rFonts w:hint="eastAsia" w:ascii="宋体" w:hAnsi="宋体" w:eastAsia="宋体" w:cs="微软雅黑"/>
          <w:sz w:val="24"/>
          <w:szCs w:val="24"/>
          <w:lang w:val="en-US" w:eastAsia="zh-CN"/>
        </w:rPr>
        <w:t>4</w:t>
      </w:r>
      <w:r>
        <w:rPr>
          <w:rFonts w:hint="eastAsia" w:ascii="宋体" w:hAnsi="宋体" w:eastAsia="宋体" w:cs="微软雅黑"/>
          <w:sz w:val="24"/>
          <w:szCs w:val="24"/>
        </w:rPr>
        <w:t>.</w:t>
      </w:r>
      <w:r>
        <w:rPr>
          <w:rFonts w:ascii="宋体" w:hAnsi="宋体" w:eastAsia="宋体"/>
          <w:sz w:val="24"/>
          <w:szCs w:val="24"/>
        </w:rPr>
        <w:t>单次检测时间：≤</w:t>
      </w:r>
      <w:r>
        <w:rPr>
          <w:rFonts w:hint="eastAsia" w:ascii="宋体" w:hAnsi="宋体" w:eastAsia="宋体"/>
          <w:sz w:val="24"/>
          <w:szCs w:val="24"/>
          <w:lang w:val="en-US" w:eastAsia="zh-CN"/>
        </w:rPr>
        <w:t>15</w:t>
      </w:r>
      <w:r>
        <w:rPr>
          <w:rFonts w:ascii="宋体" w:hAnsi="宋体" w:eastAsia="宋体"/>
          <w:sz w:val="24"/>
          <w:szCs w:val="24"/>
        </w:rPr>
        <w:t>秒；</w:t>
      </w:r>
    </w:p>
    <w:p w14:paraId="3E48EBCF">
      <w:pPr>
        <w:keepNext w:val="0"/>
        <w:keepLines w:val="0"/>
        <w:pageBreakBefore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5</w:t>
      </w:r>
      <w:r>
        <w:rPr>
          <w:rFonts w:ascii="宋体" w:hAnsi="宋体" w:eastAsia="宋体"/>
          <w:sz w:val="24"/>
          <w:szCs w:val="24"/>
        </w:rPr>
        <w:t>.准确性：灵敏度≥81%、特异性≥87%，筛查结果与口服糖耐量试验（OGTT）筛查结果的安全性及有效性一致；</w:t>
      </w:r>
    </w:p>
    <w:p w14:paraId="68C587E5">
      <w:pPr>
        <w:keepNext w:val="0"/>
        <w:keepLines w:val="0"/>
        <w:pageBreakBefore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6</w:t>
      </w:r>
      <w:r>
        <w:rPr>
          <w:rFonts w:ascii="宋体" w:hAnsi="宋体" w:eastAsia="宋体"/>
          <w:sz w:val="24"/>
          <w:szCs w:val="24"/>
        </w:rPr>
        <w:t>.重复性：</w:t>
      </w:r>
      <w:r>
        <w:rPr>
          <w:rFonts w:hint="eastAsia" w:ascii="宋体" w:hAnsi="宋体" w:eastAsia="宋体"/>
          <w:sz w:val="24"/>
          <w:szCs w:val="24"/>
        </w:rPr>
        <w:t>CV</w:t>
      </w:r>
      <w:r>
        <w:rPr>
          <w:rFonts w:ascii="宋体" w:hAnsi="宋体" w:eastAsia="宋体"/>
          <w:sz w:val="24"/>
          <w:szCs w:val="24"/>
        </w:rPr>
        <w:t>≤5%；</w:t>
      </w:r>
    </w:p>
    <w:p w14:paraId="54E2282C">
      <w:pPr>
        <w:keepNext w:val="0"/>
        <w:keepLines w:val="0"/>
        <w:pageBreakBefore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7</w:t>
      </w:r>
      <w:r>
        <w:rPr>
          <w:rFonts w:ascii="宋体" w:hAnsi="宋体" w:eastAsia="宋体"/>
          <w:sz w:val="24"/>
          <w:szCs w:val="24"/>
        </w:rPr>
        <w:t>.操作方式：全中文触摸屏操作平台，支持外接鼠标、键盘；</w:t>
      </w:r>
    </w:p>
    <w:p w14:paraId="471317AB">
      <w:pPr>
        <w:keepNext w:val="0"/>
        <w:keepLines w:val="0"/>
        <w:pageBreakBefore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8</w:t>
      </w:r>
      <w:r>
        <w:rPr>
          <w:rFonts w:ascii="宋体" w:hAnsi="宋体" w:eastAsia="宋体"/>
          <w:sz w:val="24"/>
          <w:szCs w:val="24"/>
        </w:rPr>
        <w:t>.数据查询功能：提供历史数据查询、导出、打印；</w:t>
      </w:r>
    </w:p>
    <w:p w14:paraId="46DABB58">
      <w:pPr>
        <w:keepNext w:val="0"/>
        <w:keepLines w:val="0"/>
        <w:pageBreakBefore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cs="微软雅黑"/>
          <w:sz w:val="24"/>
          <w:szCs w:val="24"/>
        </w:rPr>
        <w:t>▲</w:t>
      </w:r>
      <w:r>
        <w:rPr>
          <w:rFonts w:hint="eastAsia" w:ascii="宋体" w:hAnsi="宋体" w:eastAsia="宋体" w:cs="微软雅黑"/>
          <w:sz w:val="24"/>
          <w:szCs w:val="24"/>
          <w:lang w:val="en-US" w:eastAsia="zh-CN"/>
        </w:rPr>
        <w:t>9</w:t>
      </w:r>
      <w:r>
        <w:rPr>
          <w:rFonts w:ascii="宋体" w:hAnsi="宋体" w:eastAsia="宋体"/>
          <w:sz w:val="24"/>
          <w:szCs w:val="24"/>
        </w:rPr>
        <w:t>.数据储存容量：</w:t>
      </w:r>
      <w:r>
        <w:rPr>
          <w:rFonts w:hint="eastAsia" w:ascii="宋体" w:hAnsi="宋体" w:eastAsia="宋体"/>
          <w:sz w:val="24"/>
          <w:szCs w:val="24"/>
          <w:lang w:val="en-US" w:eastAsia="zh-CN"/>
        </w:rPr>
        <w:t>≥</w:t>
      </w:r>
      <w:r>
        <w:rPr>
          <w:rFonts w:hint="eastAsia" w:ascii="宋体" w:hAnsi="宋体" w:eastAsia="宋体" w:cs="宋体"/>
          <w:color w:val="000000"/>
          <w:kern w:val="0"/>
          <w:sz w:val="24"/>
          <w:szCs w:val="24"/>
          <w:lang w:bidi="ar"/>
        </w:rPr>
        <w:t>128G SSD硬盘</w:t>
      </w:r>
      <w:r>
        <w:rPr>
          <w:rFonts w:ascii="宋体" w:hAnsi="宋体" w:eastAsia="宋体"/>
          <w:sz w:val="24"/>
          <w:szCs w:val="24"/>
        </w:rPr>
        <w:t>；</w:t>
      </w:r>
    </w:p>
    <w:p w14:paraId="7DC21E86">
      <w:pPr>
        <w:keepNext w:val="0"/>
        <w:keepLines w:val="0"/>
        <w:pageBreakBefore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10</w:t>
      </w:r>
      <w:r>
        <w:rPr>
          <w:rFonts w:ascii="宋体" w:hAnsi="宋体" w:eastAsia="宋体"/>
          <w:sz w:val="24"/>
          <w:szCs w:val="24"/>
        </w:rPr>
        <w:t>.数据通讯：支持USB、网线、无线WiFi三种数据连接；</w:t>
      </w:r>
    </w:p>
    <w:p w14:paraId="5CF60AE2">
      <w:pPr>
        <w:keepNext w:val="0"/>
        <w:keepLines w:val="0"/>
        <w:pageBreakBefore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lang w:val="en-US" w:eastAsia="zh-CN"/>
        </w:rPr>
        <w:t>1</w:t>
      </w:r>
      <w:r>
        <w:rPr>
          <w:rFonts w:ascii="宋体" w:hAnsi="宋体" w:eastAsia="宋体"/>
          <w:sz w:val="24"/>
          <w:szCs w:val="24"/>
        </w:rPr>
        <w:t>.连续工作时间：＞12小时；</w:t>
      </w:r>
    </w:p>
    <w:p w14:paraId="6E043D1D">
      <w:pPr>
        <w:keepNext w:val="0"/>
        <w:keepLines w:val="0"/>
        <w:pageBreakBefore w:val="0"/>
        <w:kinsoku/>
        <w:wordWrap/>
        <w:overflowPunct/>
        <w:topLinePunct w:val="0"/>
        <w:autoSpaceDE/>
        <w:autoSpaceDN/>
        <w:bidi w:val="0"/>
        <w:spacing w:line="360" w:lineRule="auto"/>
        <w:ind w:firstLine="480" w:firstLineChars="200"/>
        <w:textAlignment w:val="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lang w:val="en-US" w:eastAsia="zh-CN"/>
        </w:rPr>
        <w:t>2</w:t>
      </w:r>
      <w:r>
        <w:rPr>
          <w:rFonts w:ascii="宋体" w:hAnsi="宋体" w:eastAsia="宋体"/>
          <w:sz w:val="24"/>
          <w:szCs w:val="24"/>
        </w:rPr>
        <w:t>.检测光源波长：激发光源波长：455-485 nm，发射光源波长：500-600nm；</w:t>
      </w:r>
    </w:p>
    <w:p w14:paraId="306CCF3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sz w:val="24"/>
          <w:szCs w:val="24"/>
          <w:lang w:eastAsia="zh-CN"/>
        </w:rPr>
      </w:pPr>
      <w:r>
        <w:rPr>
          <w:rFonts w:hint="eastAsia" w:ascii="宋体" w:hAnsi="宋体" w:eastAsia="宋体" w:cs="微软雅黑"/>
          <w:sz w:val="24"/>
          <w:szCs w:val="24"/>
        </w:rPr>
        <w:t>▲</w:t>
      </w:r>
      <w:r>
        <w:rPr>
          <w:rFonts w:ascii="宋体" w:hAnsi="宋体" w:eastAsia="宋体"/>
          <w:sz w:val="24"/>
          <w:szCs w:val="24"/>
        </w:rPr>
        <w:t>1</w:t>
      </w:r>
      <w:r>
        <w:rPr>
          <w:rFonts w:hint="eastAsia" w:ascii="宋体" w:hAnsi="宋体" w:eastAsia="宋体"/>
          <w:sz w:val="24"/>
          <w:szCs w:val="24"/>
          <w:lang w:val="en-US" w:eastAsia="zh-CN"/>
        </w:rPr>
        <w:t>3</w:t>
      </w:r>
      <w:r>
        <w:rPr>
          <w:rFonts w:ascii="宋体" w:hAnsi="宋体" w:eastAsia="宋体"/>
          <w:sz w:val="24"/>
          <w:szCs w:val="24"/>
        </w:rPr>
        <w:t>.检测仪使用期限：≥</w:t>
      </w:r>
      <w:r>
        <w:rPr>
          <w:rFonts w:hint="eastAsia" w:ascii="宋体" w:hAnsi="宋体" w:eastAsia="宋体"/>
          <w:sz w:val="24"/>
          <w:szCs w:val="24"/>
        </w:rPr>
        <w:t>10</w:t>
      </w:r>
      <w:r>
        <w:rPr>
          <w:rFonts w:ascii="宋体" w:hAnsi="宋体" w:eastAsia="宋体"/>
          <w:sz w:val="24"/>
          <w:szCs w:val="24"/>
        </w:rPr>
        <w:t>年</w:t>
      </w:r>
      <w:r>
        <w:rPr>
          <w:rFonts w:hint="eastAsia" w:ascii="宋体" w:hAnsi="宋体" w:eastAsia="宋体"/>
          <w:sz w:val="24"/>
          <w:szCs w:val="24"/>
          <w:lang w:eastAsia="zh-CN"/>
        </w:rPr>
        <w:t>；</w:t>
      </w:r>
    </w:p>
    <w:p w14:paraId="3CC30FF6">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ascii="宋体" w:hAnsi="宋体" w:eastAsia="宋体"/>
          <w:color w:val="auto"/>
          <w:sz w:val="24"/>
          <w:szCs w:val="24"/>
        </w:rPr>
      </w:pPr>
      <w:r>
        <w:rPr>
          <w:rFonts w:hint="eastAsia" w:ascii="宋体" w:hAnsi="宋体" w:eastAsia="宋体"/>
          <w:sz w:val="24"/>
          <w:szCs w:val="24"/>
          <w:lang w:val="en-US" w:eastAsia="zh-CN"/>
        </w:rPr>
        <w:t>14.</w:t>
      </w:r>
      <w:r>
        <w:rPr>
          <w:rFonts w:ascii="宋体" w:hAnsi="宋体" w:eastAsia="宋体"/>
          <w:sz w:val="24"/>
          <w:szCs w:val="24"/>
        </w:rPr>
        <w:t>报告输出：支持仪器查看电子报告、打</w:t>
      </w:r>
      <w:bookmarkStart w:id="7" w:name="_GoBack"/>
      <w:r>
        <w:rPr>
          <w:rFonts w:ascii="宋体" w:hAnsi="宋体" w:eastAsia="宋体"/>
          <w:color w:val="auto"/>
          <w:sz w:val="24"/>
          <w:szCs w:val="24"/>
        </w:rPr>
        <w:t>印纸质报告</w:t>
      </w:r>
      <w:r>
        <w:rPr>
          <w:rFonts w:hint="eastAsia" w:ascii="宋体" w:hAnsi="宋体"/>
          <w:color w:val="auto"/>
          <w:sz w:val="24"/>
          <w:szCs w:val="24"/>
          <w:lang w:eastAsia="zh-CN"/>
        </w:rPr>
        <w:t>，支持</w:t>
      </w:r>
      <w:r>
        <w:rPr>
          <w:rFonts w:ascii="宋体" w:hAnsi="宋体" w:eastAsia="宋体"/>
          <w:color w:val="auto"/>
          <w:sz w:val="24"/>
          <w:szCs w:val="24"/>
        </w:rPr>
        <w:t>移动端读取电子报告；</w:t>
      </w:r>
    </w:p>
    <w:bookmarkEnd w:id="7"/>
    <w:p w14:paraId="5F7743FD">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15.设备终身不限次数使用，不额外增加费用；</w:t>
      </w:r>
    </w:p>
    <w:p w14:paraId="6EB096F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sz w:val="24"/>
        </w:rPr>
      </w:pPr>
      <w:r>
        <w:rPr>
          <w:rFonts w:hint="eastAsia" w:ascii="宋体" w:hAnsi="宋体" w:eastAsia="宋体"/>
          <w:sz w:val="24"/>
          <w:szCs w:val="24"/>
        </w:rPr>
        <w:t>1</w:t>
      </w:r>
      <w:r>
        <w:rPr>
          <w:rFonts w:hint="eastAsia" w:ascii="宋体" w:hAnsi="宋体" w:eastAsia="宋体"/>
          <w:sz w:val="24"/>
          <w:szCs w:val="24"/>
          <w:lang w:val="en-US" w:eastAsia="zh-CN"/>
        </w:rPr>
        <w:t>6</w:t>
      </w:r>
      <w:r>
        <w:rPr>
          <w:rFonts w:ascii="宋体" w:hAnsi="宋体" w:eastAsia="宋体"/>
          <w:sz w:val="24"/>
          <w:szCs w:val="24"/>
        </w:rPr>
        <w:t>.计次功能：可记录检测次数，便于统计检测数量；</w:t>
      </w:r>
    </w:p>
    <w:p w14:paraId="61E72486">
      <w:pPr>
        <w:keepNext w:val="0"/>
        <w:keepLines w:val="0"/>
        <w:pageBreakBefore w:val="0"/>
        <w:kinsoku/>
        <w:wordWrap/>
        <w:overflowPunct/>
        <w:topLinePunct w:val="0"/>
        <w:autoSpaceDE/>
        <w:autoSpaceDN/>
        <w:bidi w:val="0"/>
        <w:ind w:right="1200" w:firstLine="480" w:firstLineChars="200"/>
        <w:jc w:val="both"/>
        <w:textAlignment w:val="auto"/>
        <w:rPr>
          <w:rFonts w:hint="eastAsia" w:ascii="宋体" w:hAnsi="宋体" w:eastAsia="宋体"/>
          <w:sz w:val="24"/>
          <w:lang w:val="en-US" w:eastAsia="zh-CN"/>
        </w:rPr>
      </w:pPr>
    </w:p>
    <w:p w14:paraId="3A08F3CD">
      <w:pPr>
        <w:keepNext w:val="0"/>
        <w:keepLines w:val="0"/>
        <w:pageBreakBefore w:val="0"/>
        <w:kinsoku/>
        <w:wordWrap/>
        <w:overflowPunct/>
        <w:topLinePunct w:val="0"/>
        <w:autoSpaceDE/>
        <w:autoSpaceDN/>
        <w:bidi w:val="0"/>
        <w:ind w:right="1200" w:firstLine="482" w:firstLineChars="200"/>
        <w:jc w:val="both"/>
        <w:textAlignment w:val="auto"/>
        <w:rPr>
          <w:rFonts w:hint="eastAsia" w:ascii="宋体" w:hAnsi="宋体" w:eastAsiaTheme="minorEastAsia"/>
          <w:color w:val="auto"/>
          <w:sz w:val="32"/>
          <w:szCs w:val="28"/>
          <w:lang w:val="en-US" w:eastAsia="zh-CN"/>
        </w:rPr>
      </w:pPr>
      <w:r>
        <w:rPr>
          <w:rFonts w:hint="eastAsia"/>
          <w:b/>
          <w:color w:val="auto"/>
          <w:sz w:val="24"/>
          <w:szCs w:val="24"/>
          <w:lang w:val="en-US" w:eastAsia="zh-CN"/>
        </w:rPr>
        <w:t>（二）</w:t>
      </w:r>
      <w:r>
        <w:rPr>
          <w:b/>
          <w:color w:val="auto"/>
          <w:sz w:val="24"/>
          <w:szCs w:val="24"/>
        </w:rPr>
        <w:t>配置</w:t>
      </w:r>
      <w:r>
        <w:rPr>
          <w:rFonts w:hint="eastAsia"/>
          <w:b/>
          <w:color w:val="auto"/>
          <w:sz w:val="24"/>
          <w:szCs w:val="24"/>
          <w:lang w:val="en-US" w:eastAsia="zh-CN"/>
        </w:rPr>
        <w:t>清单：</w:t>
      </w:r>
    </w:p>
    <w:tbl>
      <w:tblPr>
        <w:tblStyle w:val="13"/>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162"/>
        <w:gridCol w:w="1417"/>
        <w:gridCol w:w="821"/>
      </w:tblGrid>
      <w:tr w14:paraId="79EF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02CEB7E5">
            <w:pPr>
              <w:keepNext w:val="0"/>
              <w:keepLines w:val="0"/>
              <w:pageBreakBefore w:val="0"/>
              <w:kinsoku/>
              <w:wordWrap/>
              <w:overflowPunct/>
              <w:topLinePunct w:val="0"/>
              <w:autoSpaceDE/>
              <w:autoSpaceDN/>
              <w:bidi w:val="0"/>
              <w:spacing w:line="276" w:lineRule="auto"/>
              <w:jc w:val="both"/>
              <w:textAlignment w:val="auto"/>
              <w:rPr>
                <w:b/>
                <w:color w:val="auto"/>
                <w:szCs w:val="21"/>
              </w:rPr>
            </w:pPr>
            <w:r>
              <w:rPr>
                <w:b/>
                <w:color w:val="auto"/>
                <w:szCs w:val="21"/>
              </w:rPr>
              <w:t>序号</w:t>
            </w:r>
          </w:p>
        </w:tc>
        <w:tc>
          <w:tcPr>
            <w:tcW w:w="5162" w:type="dxa"/>
            <w:shd w:val="clear" w:color="auto" w:fill="auto"/>
          </w:tcPr>
          <w:p w14:paraId="5EEB143C">
            <w:pPr>
              <w:keepNext w:val="0"/>
              <w:keepLines w:val="0"/>
              <w:pageBreakBefore w:val="0"/>
              <w:kinsoku/>
              <w:wordWrap/>
              <w:overflowPunct/>
              <w:topLinePunct w:val="0"/>
              <w:autoSpaceDE/>
              <w:autoSpaceDN/>
              <w:bidi w:val="0"/>
              <w:spacing w:line="276" w:lineRule="auto"/>
              <w:ind w:firstLine="422" w:firstLineChars="200"/>
              <w:jc w:val="center"/>
              <w:textAlignment w:val="auto"/>
              <w:rPr>
                <w:b/>
                <w:color w:val="auto"/>
                <w:szCs w:val="21"/>
              </w:rPr>
            </w:pPr>
            <w:r>
              <w:rPr>
                <w:b/>
                <w:color w:val="auto"/>
                <w:szCs w:val="21"/>
              </w:rPr>
              <w:t>部件</w:t>
            </w:r>
          </w:p>
        </w:tc>
        <w:tc>
          <w:tcPr>
            <w:tcW w:w="1417" w:type="dxa"/>
            <w:shd w:val="clear" w:color="auto" w:fill="auto"/>
          </w:tcPr>
          <w:p w14:paraId="3744F91C">
            <w:pPr>
              <w:keepNext w:val="0"/>
              <w:keepLines w:val="0"/>
              <w:pageBreakBefore w:val="0"/>
              <w:kinsoku/>
              <w:wordWrap/>
              <w:overflowPunct/>
              <w:topLinePunct w:val="0"/>
              <w:autoSpaceDE/>
              <w:autoSpaceDN/>
              <w:bidi w:val="0"/>
              <w:spacing w:line="276" w:lineRule="auto"/>
              <w:ind w:firstLine="422" w:firstLineChars="200"/>
              <w:jc w:val="center"/>
              <w:textAlignment w:val="auto"/>
              <w:rPr>
                <w:b/>
                <w:color w:val="auto"/>
                <w:szCs w:val="21"/>
              </w:rPr>
            </w:pPr>
            <w:r>
              <w:rPr>
                <w:b/>
                <w:color w:val="auto"/>
                <w:szCs w:val="21"/>
              </w:rPr>
              <w:t>单位</w:t>
            </w:r>
          </w:p>
        </w:tc>
        <w:tc>
          <w:tcPr>
            <w:tcW w:w="821" w:type="dxa"/>
            <w:shd w:val="clear" w:color="auto" w:fill="auto"/>
          </w:tcPr>
          <w:p w14:paraId="3734540D">
            <w:pPr>
              <w:keepNext w:val="0"/>
              <w:keepLines w:val="0"/>
              <w:pageBreakBefore w:val="0"/>
              <w:kinsoku/>
              <w:wordWrap/>
              <w:overflowPunct/>
              <w:topLinePunct w:val="0"/>
              <w:autoSpaceDE/>
              <w:autoSpaceDN/>
              <w:bidi w:val="0"/>
              <w:spacing w:line="276" w:lineRule="auto"/>
              <w:jc w:val="both"/>
              <w:textAlignment w:val="auto"/>
              <w:rPr>
                <w:b/>
                <w:color w:val="auto"/>
                <w:szCs w:val="21"/>
              </w:rPr>
            </w:pPr>
            <w:r>
              <w:rPr>
                <w:b/>
                <w:color w:val="auto"/>
                <w:szCs w:val="21"/>
              </w:rPr>
              <w:t>数量</w:t>
            </w:r>
          </w:p>
        </w:tc>
      </w:tr>
      <w:tr w14:paraId="76B3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1B5EEB83">
            <w:pPr>
              <w:keepNext w:val="0"/>
              <w:keepLines w:val="0"/>
              <w:pageBreakBefore w:val="0"/>
              <w:kinsoku/>
              <w:wordWrap/>
              <w:overflowPunct/>
              <w:topLinePunct w:val="0"/>
              <w:autoSpaceDE/>
              <w:autoSpaceDN/>
              <w:bidi w:val="0"/>
              <w:spacing w:line="276" w:lineRule="auto"/>
              <w:ind w:firstLine="420" w:firstLineChars="200"/>
              <w:jc w:val="left"/>
              <w:textAlignment w:val="auto"/>
              <w:rPr>
                <w:color w:val="auto"/>
                <w:szCs w:val="21"/>
              </w:rPr>
            </w:pPr>
            <w:r>
              <w:rPr>
                <w:color w:val="auto"/>
                <w:szCs w:val="21"/>
              </w:rPr>
              <w:t>1</w:t>
            </w:r>
          </w:p>
        </w:tc>
        <w:tc>
          <w:tcPr>
            <w:tcW w:w="5162" w:type="dxa"/>
            <w:shd w:val="clear" w:color="auto" w:fill="auto"/>
          </w:tcPr>
          <w:p w14:paraId="2A7555B4">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晚期糖基化终末产物荧光检测仪主机</w:t>
            </w:r>
          </w:p>
        </w:tc>
        <w:tc>
          <w:tcPr>
            <w:tcW w:w="1417" w:type="dxa"/>
            <w:shd w:val="clear" w:color="auto" w:fill="auto"/>
          </w:tcPr>
          <w:p w14:paraId="79A431A0">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台</w:t>
            </w:r>
          </w:p>
        </w:tc>
        <w:tc>
          <w:tcPr>
            <w:tcW w:w="821" w:type="dxa"/>
            <w:shd w:val="clear" w:color="auto" w:fill="auto"/>
          </w:tcPr>
          <w:p w14:paraId="51F24B6E">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4B23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top"/>
          </w:tcPr>
          <w:p w14:paraId="594555D7">
            <w:pPr>
              <w:keepNext w:val="0"/>
              <w:keepLines w:val="0"/>
              <w:pageBreakBefore w:val="0"/>
              <w:kinsoku/>
              <w:wordWrap/>
              <w:overflowPunct/>
              <w:topLinePunct w:val="0"/>
              <w:autoSpaceDE/>
              <w:autoSpaceDN/>
              <w:bidi w:val="0"/>
              <w:spacing w:line="276" w:lineRule="auto"/>
              <w:ind w:firstLine="420" w:firstLineChars="200"/>
              <w:jc w:val="left"/>
              <w:textAlignment w:val="auto"/>
              <w:rPr>
                <w:rFonts w:hint="eastAsia" w:eastAsiaTheme="minorEastAsia"/>
                <w:color w:val="auto"/>
                <w:szCs w:val="21"/>
                <w:lang w:val="en-US" w:eastAsia="zh-CN"/>
              </w:rPr>
            </w:pPr>
            <w:r>
              <w:rPr>
                <w:rFonts w:hint="eastAsia"/>
                <w:color w:val="auto"/>
                <w:szCs w:val="21"/>
                <w:lang w:val="en-US" w:eastAsia="zh-CN"/>
              </w:rPr>
              <w:t>2</w:t>
            </w:r>
          </w:p>
        </w:tc>
        <w:tc>
          <w:tcPr>
            <w:tcW w:w="5162" w:type="dxa"/>
            <w:shd w:val="clear" w:color="auto" w:fill="auto"/>
            <w:vAlign w:val="top"/>
          </w:tcPr>
          <w:p w14:paraId="44739B67">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晚期糖基化终末产物荧光检测仪</w:t>
            </w:r>
            <w:r>
              <w:rPr>
                <w:rFonts w:hint="eastAsia"/>
                <w:color w:val="auto"/>
                <w:szCs w:val="21"/>
                <w:lang w:val="en-US" w:eastAsia="zh-CN"/>
              </w:rPr>
              <w:t>软件</w:t>
            </w:r>
          </w:p>
        </w:tc>
        <w:tc>
          <w:tcPr>
            <w:tcW w:w="1417" w:type="dxa"/>
            <w:shd w:val="clear" w:color="auto" w:fill="auto"/>
            <w:vAlign w:val="top"/>
          </w:tcPr>
          <w:p w14:paraId="1D563CF2">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rFonts w:hint="eastAsia"/>
                <w:color w:val="auto"/>
                <w:szCs w:val="21"/>
                <w:lang w:val="en-US" w:eastAsia="zh-CN"/>
              </w:rPr>
              <w:t>套</w:t>
            </w:r>
          </w:p>
        </w:tc>
        <w:tc>
          <w:tcPr>
            <w:tcW w:w="821" w:type="dxa"/>
            <w:shd w:val="clear" w:color="auto" w:fill="auto"/>
            <w:vAlign w:val="top"/>
          </w:tcPr>
          <w:p w14:paraId="66AC3930">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rFonts w:hint="eastAsia"/>
                <w:color w:val="auto"/>
                <w:szCs w:val="21"/>
                <w:lang w:val="en-US" w:eastAsia="zh-CN"/>
              </w:rPr>
              <w:t>1</w:t>
            </w:r>
          </w:p>
        </w:tc>
      </w:tr>
      <w:tr w14:paraId="61B5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shd w:val="clear" w:color="auto" w:fill="auto"/>
          </w:tcPr>
          <w:p w14:paraId="1C65E00C">
            <w:pPr>
              <w:keepNext w:val="0"/>
              <w:keepLines w:val="0"/>
              <w:pageBreakBefore w:val="0"/>
              <w:kinsoku/>
              <w:wordWrap/>
              <w:overflowPunct/>
              <w:topLinePunct w:val="0"/>
              <w:autoSpaceDE/>
              <w:autoSpaceDN/>
              <w:bidi w:val="0"/>
              <w:spacing w:line="276" w:lineRule="auto"/>
              <w:ind w:firstLine="420" w:firstLineChars="200"/>
              <w:jc w:val="left"/>
              <w:textAlignment w:val="auto"/>
              <w:rPr>
                <w:rFonts w:hint="eastAsia" w:eastAsiaTheme="minorEastAsia"/>
                <w:color w:val="auto"/>
                <w:szCs w:val="21"/>
                <w:lang w:val="en-US" w:eastAsia="zh-CN"/>
              </w:rPr>
            </w:pPr>
            <w:r>
              <w:rPr>
                <w:rFonts w:hint="eastAsia"/>
                <w:color w:val="auto"/>
                <w:szCs w:val="21"/>
                <w:lang w:val="en-US" w:eastAsia="zh-CN"/>
              </w:rPr>
              <w:t>3</w:t>
            </w:r>
          </w:p>
        </w:tc>
        <w:tc>
          <w:tcPr>
            <w:tcW w:w="5162" w:type="dxa"/>
            <w:shd w:val="clear" w:color="auto" w:fill="auto"/>
          </w:tcPr>
          <w:p w14:paraId="24B1B0D5">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晚期糖基化终末产物荧光检测仪电源线</w:t>
            </w:r>
          </w:p>
        </w:tc>
        <w:tc>
          <w:tcPr>
            <w:tcW w:w="1417" w:type="dxa"/>
            <w:shd w:val="clear" w:color="auto" w:fill="auto"/>
          </w:tcPr>
          <w:p w14:paraId="42B77A3F">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根</w:t>
            </w:r>
          </w:p>
        </w:tc>
        <w:tc>
          <w:tcPr>
            <w:tcW w:w="821" w:type="dxa"/>
            <w:shd w:val="clear" w:color="auto" w:fill="auto"/>
          </w:tcPr>
          <w:p w14:paraId="5B7525A2">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5C80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6BCACC16">
            <w:pPr>
              <w:keepNext w:val="0"/>
              <w:keepLines w:val="0"/>
              <w:pageBreakBefore w:val="0"/>
              <w:kinsoku/>
              <w:wordWrap/>
              <w:overflowPunct/>
              <w:topLinePunct w:val="0"/>
              <w:autoSpaceDE/>
              <w:autoSpaceDN/>
              <w:bidi w:val="0"/>
              <w:spacing w:line="276" w:lineRule="auto"/>
              <w:ind w:firstLine="420" w:firstLineChars="200"/>
              <w:jc w:val="left"/>
              <w:textAlignment w:val="auto"/>
              <w:rPr>
                <w:rFonts w:hint="eastAsia" w:eastAsiaTheme="minorEastAsia"/>
                <w:color w:val="auto"/>
                <w:szCs w:val="21"/>
                <w:lang w:val="en-US" w:eastAsia="zh-CN"/>
              </w:rPr>
            </w:pPr>
            <w:r>
              <w:rPr>
                <w:rFonts w:hint="eastAsia"/>
                <w:color w:val="auto"/>
                <w:szCs w:val="21"/>
                <w:lang w:val="en-US" w:eastAsia="zh-CN"/>
              </w:rPr>
              <w:t>4</w:t>
            </w:r>
          </w:p>
        </w:tc>
        <w:tc>
          <w:tcPr>
            <w:tcW w:w="5162" w:type="dxa"/>
            <w:shd w:val="clear" w:color="auto" w:fill="auto"/>
          </w:tcPr>
          <w:p w14:paraId="2407A115">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晚期糖基化终末产物荧光检测仪触摸显示屏</w:t>
            </w:r>
          </w:p>
        </w:tc>
        <w:tc>
          <w:tcPr>
            <w:tcW w:w="1417" w:type="dxa"/>
            <w:shd w:val="clear" w:color="auto" w:fill="auto"/>
          </w:tcPr>
          <w:p w14:paraId="5DA11303">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个</w:t>
            </w:r>
          </w:p>
        </w:tc>
        <w:tc>
          <w:tcPr>
            <w:tcW w:w="821" w:type="dxa"/>
            <w:shd w:val="clear" w:color="auto" w:fill="auto"/>
          </w:tcPr>
          <w:p w14:paraId="1AC75333">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0FF6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7D5E15CC">
            <w:pPr>
              <w:keepNext w:val="0"/>
              <w:keepLines w:val="0"/>
              <w:pageBreakBefore w:val="0"/>
              <w:kinsoku/>
              <w:wordWrap/>
              <w:overflowPunct/>
              <w:topLinePunct w:val="0"/>
              <w:autoSpaceDE/>
              <w:autoSpaceDN/>
              <w:bidi w:val="0"/>
              <w:spacing w:line="276" w:lineRule="auto"/>
              <w:ind w:firstLine="420" w:firstLineChars="200"/>
              <w:jc w:val="left"/>
              <w:textAlignment w:val="auto"/>
              <w:rPr>
                <w:rFonts w:hint="eastAsia" w:eastAsiaTheme="minorEastAsia"/>
                <w:color w:val="auto"/>
                <w:szCs w:val="21"/>
                <w:lang w:val="en-US" w:eastAsia="zh-CN"/>
              </w:rPr>
            </w:pPr>
            <w:r>
              <w:rPr>
                <w:rFonts w:hint="eastAsia"/>
                <w:color w:val="auto"/>
                <w:szCs w:val="21"/>
                <w:lang w:val="en-US" w:eastAsia="zh-CN"/>
              </w:rPr>
              <w:t>5</w:t>
            </w:r>
          </w:p>
        </w:tc>
        <w:tc>
          <w:tcPr>
            <w:tcW w:w="5162" w:type="dxa"/>
            <w:shd w:val="clear" w:color="auto" w:fill="auto"/>
          </w:tcPr>
          <w:p w14:paraId="4E37557D">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晚期糖基化终末产物荧光检测仪无线键鼠套装</w:t>
            </w:r>
          </w:p>
        </w:tc>
        <w:tc>
          <w:tcPr>
            <w:tcW w:w="1417" w:type="dxa"/>
            <w:shd w:val="clear" w:color="auto" w:fill="auto"/>
          </w:tcPr>
          <w:p w14:paraId="16965087">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个</w:t>
            </w:r>
          </w:p>
        </w:tc>
        <w:tc>
          <w:tcPr>
            <w:tcW w:w="821" w:type="dxa"/>
            <w:shd w:val="clear" w:color="auto" w:fill="auto"/>
          </w:tcPr>
          <w:p w14:paraId="6E8F1B6C">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47AB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1711A0D0">
            <w:pPr>
              <w:keepNext w:val="0"/>
              <w:keepLines w:val="0"/>
              <w:pageBreakBefore w:val="0"/>
              <w:kinsoku/>
              <w:wordWrap/>
              <w:overflowPunct/>
              <w:topLinePunct w:val="0"/>
              <w:autoSpaceDE/>
              <w:autoSpaceDN/>
              <w:bidi w:val="0"/>
              <w:spacing w:line="276" w:lineRule="auto"/>
              <w:ind w:firstLine="420" w:firstLineChars="200"/>
              <w:jc w:val="left"/>
              <w:textAlignment w:val="auto"/>
              <w:rPr>
                <w:rFonts w:hint="eastAsia" w:eastAsiaTheme="minorEastAsia"/>
                <w:color w:val="auto"/>
                <w:szCs w:val="21"/>
                <w:lang w:val="en-US" w:eastAsia="zh-CN"/>
              </w:rPr>
            </w:pPr>
            <w:r>
              <w:rPr>
                <w:rFonts w:hint="eastAsia"/>
                <w:color w:val="auto"/>
                <w:szCs w:val="21"/>
                <w:lang w:val="en-US" w:eastAsia="zh-CN"/>
              </w:rPr>
              <w:t>6</w:t>
            </w:r>
          </w:p>
        </w:tc>
        <w:tc>
          <w:tcPr>
            <w:tcW w:w="5162" w:type="dxa"/>
            <w:shd w:val="clear" w:color="auto" w:fill="auto"/>
          </w:tcPr>
          <w:p w14:paraId="4773B5F2">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外置Wi-Fi天线</w:t>
            </w:r>
          </w:p>
        </w:tc>
        <w:tc>
          <w:tcPr>
            <w:tcW w:w="1417" w:type="dxa"/>
            <w:shd w:val="clear" w:color="auto" w:fill="auto"/>
          </w:tcPr>
          <w:p w14:paraId="61966A10">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根</w:t>
            </w:r>
          </w:p>
        </w:tc>
        <w:tc>
          <w:tcPr>
            <w:tcW w:w="821" w:type="dxa"/>
            <w:shd w:val="clear" w:color="auto" w:fill="auto"/>
          </w:tcPr>
          <w:p w14:paraId="0A464276">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6C3E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shd w:val="clear" w:color="auto" w:fill="auto"/>
          </w:tcPr>
          <w:p w14:paraId="58CFBBBD">
            <w:pPr>
              <w:keepNext w:val="0"/>
              <w:keepLines w:val="0"/>
              <w:pageBreakBefore w:val="0"/>
              <w:kinsoku/>
              <w:wordWrap/>
              <w:overflowPunct/>
              <w:topLinePunct w:val="0"/>
              <w:autoSpaceDE/>
              <w:autoSpaceDN/>
              <w:bidi w:val="0"/>
              <w:spacing w:line="276" w:lineRule="auto"/>
              <w:ind w:firstLine="420" w:firstLineChars="200"/>
              <w:jc w:val="left"/>
              <w:textAlignment w:val="auto"/>
              <w:rPr>
                <w:rFonts w:hint="eastAsia" w:eastAsiaTheme="minorEastAsia"/>
                <w:color w:val="auto"/>
                <w:szCs w:val="21"/>
                <w:lang w:val="en-US" w:eastAsia="zh-CN"/>
              </w:rPr>
            </w:pPr>
            <w:r>
              <w:rPr>
                <w:rFonts w:hint="eastAsia"/>
                <w:color w:val="auto"/>
                <w:szCs w:val="21"/>
                <w:lang w:val="en-US" w:eastAsia="zh-CN"/>
              </w:rPr>
              <w:t>7</w:t>
            </w:r>
          </w:p>
        </w:tc>
        <w:tc>
          <w:tcPr>
            <w:tcW w:w="5162" w:type="dxa"/>
            <w:shd w:val="clear" w:color="auto" w:fill="auto"/>
          </w:tcPr>
          <w:p w14:paraId="51067FC2">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晚期糖基化终末产物荧光检测仪产品合格证</w:t>
            </w:r>
          </w:p>
        </w:tc>
        <w:tc>
          <w:tcPr>
            <w:tcW w:w="1417" w:type="dxa"/>
            <w:shd w:val="clear" w:color="auto" w:fill="auto"/>
          </w:tcPr>
          <w:p w14:paraId="185A1856">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份</w:t>
            </w:r>
          </w:p>
        </w:tc>
        <w:tc>
          <w:tcPr>
            <w:tcW w:w="821" w:type="dxa"/>
            <w:shd w:val="clear" w:color="auto" w:fill="auto"/>
          </w:tcPr>
          <w:p w14:paraId="7803A575">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3BCD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3D153986">
            <w:pPr>
              <w:keepNext w:val="0"/>
              <w:keepLines w:val="0"/>
              <w:pageBreakBefore w:val="0"/>
              <w:kinsoku/>
              <w:wordWrap/>
              <w:overflowPunct/>
              <w:topLinePunct w:val="0"/>
              <w:autoSpaceDE/>
              <w:autoSpaceDN/>
              <w:bidi w:val="0"/>
              <w:spacing w:line="276" w:lineRule="auto"/>
              <w:ind w:firstLine="420" w:firstLineChars="200"/>
              <w:jc w:val="left"/>
              <w:textAlignment w:val="auto"/>
              <w:rPr>
                <w:rFonts w:hint="eastAsia" w:eastAsiaTheme="minorEastAsia"/>
                <w:color w:val="auto"/>
                <w:szCs w:val="21"/>
                <w:lang w:val="en-US" w:eastAsia="zh-CN"/>
              </w:rPr>
            </w:pPr>
            <w:r>
              <w:rPr>
                <w:rFonts w:hint="eastAsia"/>
                <w:color w:val="auto"/>
                <w:szCs w:val="21"/>
                <w:lang w:val="en-US" w:eastAsia="zh-CN"/>
              </w:rPr>
              <w:t>8</w:t>
            </w:r>
          </w:p>
        </w:tc>
        <w:tc>
          <w:tcPr>
            <w:tcW w:w="5162" w:type="dxa"/>
            <w:shd w:val="clear" w:color="auto" w:fill="auto"/>
          </w:tcPr>
          <w:p w14:paraId="26CD2240">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晚期糖基化终末产物荧光检测仪产品说明书</w:t>
            </w:r>
          </w:p>
        </w:tc>
        <w:tc>
          <w:tcPr>
            <w:tcW w:w="1417" w:type="dxa"/>
            <w:shd w:val="clear" w:color="auto" w:fill="auto"/>
          </w:tcPr>
          <w:p w14:paraId="077D075B">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份</w:t>
            </w:r>
          </w:p>
        </w:tc>
        <w:tc>
          <w:tcPr>
            <w:tcW w:w="821" w:type="dxa"/>
            <w:shd w:val="clear" w:color="auto" w:fill="auto"/>
          </w:tcPr>
          <w:p w14:paraId="7D4D4F84">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26AC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1995994F">
            <w:pPr>
              <w:keepNext w:val="0"/>
              <w:keepLines w:val="0"/>
              <w:pageBreakBefore w:val="0"/>
              <w:kinsoku/>
              <w:wordWrap/>
              <w:overflowPunct/>
              <w:topLinePunct w:val="0"/>
              <w:autoSpaceDE/>
              <w:autoSpaceDN/>
              <w:bidi w:val="0"/>
              <w:spacing w:line="276" w:lineRule="auto"/>
              <w:ind w:firstLine="420" w:firstLineChars="200"/>
              <w:jc w:val="left"/>
              <w:textAlignment w:val="auto"/>
              <w:rPr>
                <w:rFonts w:hint="eastAsia" w:eastAsiaTheme="minorEastAsia"/>
                <w:color w:val="auto"/>
                <w:szCs w:val="21"/>
                <w:lang w:val="en-US" w:eastAsia="zh-CN"/>
              </w:rPr>
            </w:pPr>
            <w:r>
              <w:rPr>
                <w:rFonts w:hint="eastAsia"/>
                <w:color w:val="auto"/>
                <w:szCs w:val="21"/>
                <w:lang w:val="en-US" w:eastAsia="zh-CN"/>
              </w:rPr>
              <w:t>9</w:t>
            </w:r>
          </w:p>
        </w:tc>
        <w:tc>
          <w:tcPr>
            <w:tcW w:w="5162" w:type="dxa"/>
            <w:shd w:val="clear" w:color="auto" w:fill="auto"/>
          </w:tcPr>
          <w:p w14:paraId="39CBE922">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晚期糖基化终末产物荧光检测仪操作指南</w:t>
            </w:r>
          </w:p>
        </w:tc>
        <w:tc>
          <w:tcPr>
            <w:tcW w:w="1417" w:type="dxa"/>
            <w:shd w:val="clear" w:color="auto" w:fill="auto"/>
          </w:tcPr>
          <w:p w14:paraId="47D446BB">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份</w:t>
            </w:r>
          </w:p>
        </w:tc>
        <w:tc>
          <w:tcPr>
            <w:tcW w:w="821" w:type="dxa"/>
            <w:shd w:val="clear" w:color="auto" w:fill="auto"/>
          </w:tcPr>
          <w:p w14:paraId="13D3B918">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458B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6E8D5EF2">
            <w:pPr>
              <w:keepNext w:val="0"/>
              <w:keepLines w:val="0"/>
              <w:pageBreakBefore w:val="0"/>
              <w:kinsoku/>
              <w:wordWrap/>
              <w:overflowPunct/>
              <w:topLinePunct w:val="0"/>
              <w:autoSpaceDE/>
              <w:autoSpaceDN/>
              <w:bidi w:val="0"/>
              <w:spacing w:line="276" w:lineRule="auto"/>
              <w:jc w:val="center"/>
              <w:textAlignment w:val="auto"/>
              <w:rPr>
                <w:rFonts w:hint="default" w:eastAsiaTheme="minorEastAsia"/>
                <w:color w:val="auto"/>
                <w:szCs w:val="21"/>
                <w:lang w:val="en-US" w:eastAsia="zh-CN"/>
              </w:rPr>
            </w:pPr>
            <w:r>
              <w:rPr>
                <w:rFonts w:hint="eastAsia"/>
                <w:color w:val="auto"/>
                <w:szCs w:val="21"/>
                <w:lang w:val="en-US" w:eastAsia="zh-CN"/>
              </w:rPr>
              <w:t>10</w:t>
            </w:r>
          </w:p>
        </w:tc>
        <w:tc>
          <w:tcPr>
            <w:tcW w:w="5162" w:type="dxa"/>
            <w:shd w:val="clear" w:color="auto" w:fill="auto"/>
          </w:tcPr>
          <w:p w14:paraId="1099F1A1">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晚期糖基化终末产物荧光检测验收卡</w:t>
            </w:r>
          </w:p>
        </w:tc>
        <w:tc>
          <w:tcPr>
            <w:tcW w:w="1417" w:type="dxa"/>
            <w:shd w:val="clear" w:color="auto" w:fill="auto"/>
          </w:tcPr>
          <w:p w14:paraId="2A10E1C2">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份</w:t>
            </w:r>
          </w:p>
        </w:tc>
        <w:tc>
          <w:tcPr>
            <w:tcW w:w="821" w:type="dxa"/>
            <w:shd w:val="clear" w:color="auto" w:fill="auto"/>
          </w:tcPr>
          <w:p w14:paraId="37031D8D">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27F3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shd w:val="clear" w:color="auto" w:fill="auto"/>
          </w:tcPr>
          <w:p w14:paraId="075E03B3">
            <w:pPr>
              <w:keepNext w:val="0"/>
              <w:keepLines w:val="0"/>
              <w:pageBreakBefore w:val="0"/>
              <w:kinsoku/>
              <w:wordWrap/>
              <w:overflowPunct/>
              <w:topLinePunct w:val="0"/>
              <w:autoSpaceDE/>
              <w:autoSpaceDN/>
              <w:bidi w:val="0"/>
              <w:spacing w:line="276" w:lineRule="auto"/>
              <w:jc w:val="center"/>
              <w:textAlignment w:val="auto"/>
              <w:rPr>
                <w:rFonts w:hint="eastAsia" w:eastAsiaTheme="minorEastAsia"/>
                <w:color w:val="auto"/>
                <w:szCs w:val="21"/>
                <w:lang w:val="en-US" w:eastAsia="zh-CN"/>
              </w:rPr>
            </w:pPr>
            <w:r>
              <w:rPr>
                <w:color w:val="auto"/>
                <w:szCs w:val="21"/>
              </w:rPr>
              <w:t>1</w:t>
            </w:r>
            <w:r>
              <w:rPr>
                <w:rFonts w:hint="eastAsia"/>
                <w:color w:val="auto"/>
                <w:szCs w:val="21"/>
                <w:lang w:val="en-US" w:eastAsia="zh-CN"/>
              </w:rPr>
              <w:t>1</w:t>
            </w:r>
          </w:p>
        </w:tc>
        <w:tc>
          <w:tcPr>
            <w:tcW w:w="5162" w:type="dxa"/>
            <w:shd w:val="clear" w:color="auto" w:fill="auto"/>
          </w:tcPr>
          <w:p w14:paraId="4B0508E5">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晚期糖基化终末产物荧光检测仪保修卡</w:t>
            </w:r>
          </w:p>
        </w:tc>
        <w:tc>
          <w:tcPr>
            <w:tcW w:w="1417" w:type="dxa"/>
            <w:shd w:val="clear" w:color="auto" w:fill="auto"/>
          </w:tcPr>
          <w:p w14:paraId="6F223BE6">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份</w:t>
            </w:r>
          </w:p>
        </w:tc>
        <w:tc>
          <w:tcPr>
            <w:tcW w:w="821" w:type="dxa"/>
            <w:shd w:val="clear" w:color="auto" w:fill="auto"/>
          </w:tcPr>
          <w:p w14:paraId="5B765846">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57621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426FECDA">
            <w:pPr>
              <w:keepNext w:val="0"/>
              <w:keepLines w:val="0"/>
              <w:pageBreakBefore w:val="0"/>
              <w:kinsoku/>
              <w:wordWrap/>
              <w:overflowPunct/>
              <w:topLinePunct w:val="0"/>
              <w:autoSpaceDE/>
              <w:autoSpaceDN/>
              <w:bidi w:val="0"/>
              <w:spacing w:line="276" w:lineRule="auto"/>
              <w:jc w:val="center"/>
              <w:textAlignment w:val="auto"/>
              <w:rPr>
                <w:rFonts w:hint="eastAsia" w:eastAsiaTheme="minorEastAsia"/>
                <w:color w:val="auto"/>
                <w:szCs w:val="21"/>
                <w:lang w:val="en-US" w:eastAsia="zh-CN"/>
              </w:rPr>
            </w:pPr>
            <w:r>
              <w:rPr>
                <w:color w:val="auto"/>
                <w:szCs w:val="21"/>
              </w:rPr>
              <w:t>1</w:t>
            </w:r>
            <w:r>
              <w:rPr>
                <w:rFonts w:hint="eastAsia"/>
                <w:color w:val="auto"/>
                <w:szCs w:val="21"/>
                <w:lang w:val="en-US" w:eastAsia="zh-CN"/>
              </w:rPr>
              <w:t>2</w:t>
            </w:r>
          </w:p>
        </w:tc>
        <w:tc>
          <w:tcPr>
            <w:tcW w:w="5162" w:type="dxa"/>
            <w:shd w:val="clear" w:color="auto" w:fill="auto"/>
          </w:tcPr>
          <w:p w14:paraId="701AE918">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晚期糖基化终末产物荧光检测仪装箱清单</w:t>
            </w:r>
          </w:p>
        </w:tc>
        <w:tc>
          <w:tcPr>
            <w:tcW w:w="1417" w:type="dxa"/>
            <w:shd w:val="clear" w:color="auto" w:fill="auto"/>
          </w:tcPr>
          <w:p w14:paraId="669EF964">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份</w:t>
            </w:r>
          </w:p>
        </w:tc>
        <w:tc>
          <w:tcPr>
            <w:tcW w:w="821" w:type="dxa"/>
            <w:shd w:val="clear" w:color="auto" w:fill="auto"/>
          </w:tcPr>
          <w:p w14:paraId="33CFF1E3">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3C19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0D510D65">
            <w:pPr>
              <w:keepNext w:val="0"/>
              <w:keepLines w:val="0"/>
              <w:pageBreakBefore w:val="0"/>
              <w:kinsoku/>
              <w:wordWrap/>
              <w:overflowPunct/>
              <w:topLinePunct w:val="0"/>
              <w:autoSpaceDE/>
              <w:autoSpaceDN/>
              <w:bidi w:val="0"/>
              <w:spacing w:line="276" w:lineRule="auto"/>
              <w:jc w:val="center"/>
              <w:textAlignment w:val="auto"/>
              <w:rPr>
                <w:rFonts w:hint="eastAsia" w:eastAsiaTheme="minorEastAsia"/>
                <w:color w:val="auto"/>
                <w:szCs w:val="21"/>
                <w:lang w:val="en-US" w:eastAsia="zh-CN"/>
              </w:rPr>
            </w:pPr>
            <w:r>
              <w:rPr>
                <w:color w:val="auto"/>
                <w:szCs w:val="21"/>
              </w:rPr>
              <w:t>1</w:t>
            </w:r>
            <w:r>
              <w:rPr>
                <w:rFonts w:hint="eastAsia"/>
                <w:color w:val="auto"/>
                <w:szCs w:val="21"/>
                <w:lang w:val="en-US" w:eastAsia="zh-CN"/>
              </w:rPr>
              <w:t>3</w:t>
            </w:r>
          </w:p>
        </w:tc>
        <w:tc>
          <w:tcPr>
            <w:tcW w:w="5162" w:type="dxa"/>
            <w:shd w:val="clear" w:color="auto" w:fill="auto"/>
          </w:tcPr>
          <w:p w14:paraId="5EB7A360">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color w:val="auto"/>
                <w:szCs w:val="21"/>
              </w:rPr>
              <w:t>电动升降桌</w:t>
            </w:r>
          </w:p>
        </w:tc>
        <w:tc>
          <w:tcPr>
            <w:tcW w:w="1417" w:type="dxa"/>
            <w:shd w:val="clear" w:color="auto" w:fill="auto"/>
          </w:tcPr>
          <w:p w14:paraId="7DA9A747">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张</w:t>
            </w:r>
          </w:p>
        </w:tc>
        <w:tc>
          <w:tcPr>
            <w:tcW w:w="821" w:type="dxa"/>
            <w:shd w:val="clear" w:color="auto" w:fill="auto"/>
          </w:tcPr>
          <w:p w14:paraId="62C1CBA4">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r w14:paraId="5CC6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tcPr>
          <w:p w14:paraId="31599618">
            <w:pPr>
              <w:keepNext w:val="0"/>
              <w:keepLines w:val="0"/>
              <w:pageBreakBefore w:val="0"/>
              <w:kinsoku/>
              <w:wordWrap/>
              <w:overflowPunct/>
              <w:topLinePunct w:val="0"/>
              <w:autoSpaceDE/>
              <w:autoSpaceDN/>
              <w:bidi w:val="0"/>
              <w:spacing w:line="276" w:lineRule="auto"/>
              <w:jc w:val="center"/>
              <w:textAlignment w:val="auto"/>
              <w:rPr>
                <w:rFonts w:hint="eastAsia" w:eastAsiaTheme="minorEastAsia"/>
                <w:color w:val="auto"/>
                <w:szCs w:val="21"/>
                <w:lang w:val="en-US" w:eastAsia="zh-CN"/>
              </w:rPr>
            </w:pPr>
            <w:r>
              <w:rPr>
                <w:color w:val="auto"/>
                <w:szCs w:val="21"/>
              </w:rPr>
              <w:t>1</w:t>
            </w:r>
            <w:r>
              <w:rPr>
                <w:rFonts w:hint="eastAsia"/>
                <w:color w:val="auto"/>
                <w:szCs w:val="21"/>
                <w:lang w:val="en-US" w:eastAsia="zh-CN"/>
              </w:rPr>
              <w:t>4</w:t>
            </w:r>
          </w:p>
        </w:tc>
        <w:tc>
          <w:tcPr>
            <w:tcW w:w="5162" w:type="dxa"/>
            <w:shd w:val="clear" w:color="auto" w:fill="auto"/>
          </w:tcPr>
          <w:p w14:paraId="736C1395">
            <w:pPr>
              <w:keepNext w:val="0"/>
              <w:keepLines w:val="0"/>
              <w:pageBreakBefore w:val="0"/>
              <w:kinsoku/>
              <w:wordWrap/>
              <w:overflowPunct/>
              <w:topLinePunct w:val="0"/>
              <w:autoSpaceDE/>
              <w:autoSpaceDN/>
              <w:bidi w:val="0"/>
              <w:spacing w:line="276" w:lineRule="auto"/>
              <w:ind w:firstLine="420" w:firstLineChars="200"/>
              <w:textAlignment w:val="auto"/>
              <w:rPr>
                <w:color w:val="auto"/>
                <w:szCs w:val="21"/>
              </w:rPr>
            </w:pPr>
            <w:r>
              <w:rPr>
                <w:rFonts w:hint="eastAsia" w:eastAsia="宋体"/>
                <w:color w:val="auto"/>
                <w:szCs w:val="21"/>
                <w:lang w:val="en-US" w:eastAsia="zh-CN"/>
              </w:rPr>
              <w:t>纸质输出设备</w:t>
            </w:r>
          </w:p>
        </w:tc>
        <w:tc>
          <w:tcPr>
            <w:tcW w:w="1417" w:type="dxa"/>
            <w:shd w:val="clear" w:color="auto" w:fill="auto"/>
          </w:tcPr>
          <w:p w14:paraId="5DB8F825">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台</w:t>
            </w:r>
          </w:p>
        </w:tc>
        <w:tc>
          <w:tcPr>
            <w:tcW w:w="821" w:type="dxa"/>
            <w:shd w:val="clear" w:color="auto" w:fill="auto"/>
          </w:tcPr>
          <w:p w14:paraId="11F1D522">
            <w:pPr>
              <w:keepNext w:val="0"/>
              <w:keepLines w:val="0"/>
              <w:pageBreakBefore w:val="0"/>
              <w:kinsoku/>
              <w:wordWrap/>
              <w:overflowPunct/>
              <w:topLinePunct w:val="0"/>
              <w:autoSpaceDE/>
              <w:autoSpaceDN/>
              <w:bidi w:val="0"/>
              <w:spacing w:line="276" w:lineRule="auto"/>
              <w:ind w:firstLine="420" w:firstLineChars="200"/>
              <w:jc w:val="center"/>
              <w:textAlignment w:val="auto"/>
              <w:rPr>
                <w:color w:val="auto"/>
                <w:szCs w:val="21"/>
              </w:rPr>
            </w:pPr>
            <w:r>
              <w:rPr>
                <w:color w:val="auto"/>
                <w:szCs w:val="21"/>
              </w:rPr>
              <w:t>1</w:t>
            </w:r>
          </w:p>
        </w:tc>
      </w:tr>
    </w:tbl>
    <w:p w14:paraId="4DA47C55">
      <w:pPr>
        <w:keepNext w:val="0"/>
        <w:keepLines w:val="0"/>
        <w:pageBreakBefore w:val="0"/>
        <w:kinsoku/>
        <w:wordWrap/>
        <w:overflowPunct/>
        <w:topLinePunct w:val="0"/>
        <w:autoSpaceDE/>
        <w:autoSpaceDN/>
        <w:bidi w:val="0"/>
        <w:ind w:right="1200" w:firstLine="560" w:firstLineChars="200"/>
        <w:jc w:val="both"/>
        <w:textAlignment w:val="auto"/>
        <w:rPr>
          <w:rFonts w:hint="eastAsia" w:ascii="黑体" w:hAnsi="黑体" w:eastAsia="黑体" w:cs="Times New Roman"/>
          <w:sz w:val="28"/>
          <w:szCs w:val="28"/>
          <w:lang w:val="en-US" w:eastAsia="zh-CN"/>
        </w:rPr>
      </w:pPr>
      <w:bookmarkStart w:id="1" w:name="OLE_LINK2"/>
      <w:r>
        <w:rPr>
          <w:rFonts w:hint="eastAsia" w:ascii="黑体" w:hAnsi="黑体" w:eastAsia="黑体" w:cs="Times New Roman"/>
          <w:sz w:val="28"/>
          <w:szCs w:val="28"/>
          <w:lang w:val="en-US" w:eastAsia="zh-CN"/>
        </w:rPr>
        <w:t>（三）</w:t>
      </w:r>
      <w:r>
        <w:rPr>
          <w:rFonts w:hint="eastAsia" w:ascii="黑体" w:hAnsi="黑体" w:eastAsia="黑体" w:cs="Times New Roman"/>
          <w:sz w:val="28"/>
          <w:szCs w:val="28"/>
        </w:rPr>
        <w:t>商务</w:t>
      </w:r>
      <w:r>
        <w:rPr>
          <w:rFonts w:hint="eastAsia" w:ascii="黑体" w:hAnsi="黑体" w:eastAsia="黑体" w:cs="Times New Roman"/>
          <w:sz w:val="28"/>
          <w:szCs w:val="28"/>
          <w:lang w:val="en-US" w:eastAsia="zh-CN"/>
        </w:rPr>
        <w:t>参数</w:t>
      </w:r>
    </w:p>
    <w:p w14:paraId="58EC7B97">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cs="宋体"/>
          <w:sz w:val="22"/>
          <w:szCs w:val="22"/>
          <w:lang w:val="en-US" w:eastAsia="zh-CN"/>
        </w:rPr>
      </w:pPr>
      <w:r>
        <w:rPr>
          <w:rFonts w:hint="eastAsia" w:ascii="宋体" w:hAnsi="宋体" w:cs="宋体"/>
          <w:sz w:val="22"/>
          <w:szCs w:val="22"/>
        </w:rPr>
        <w:t>★1</w:t>
      </w:r>
      <w:r>
        <w:rPr>
          <w:rFonts w:hint="eastAsia" w:ascii="宋体" w:hAnsi="宋体" w:cs="宋体" w:eastAsiaTheme="minorEastAsia"/>
          <w:b w:val="0"/>
          <w:bCs w:val="0"/>
          <w:kern w:val="2"/>
          <w:sz w:val="22"/>
          <w:szCs w:val="22"/>
          <w:lang w:val="en-US" w:eastAsia="zh-CN" w:bidi="ar-SA"/>
        </w:rPr>
        <w:t>、运输、装卸、培训、安装调试：由中标人负责承担，最终通过使用科室、设备科及相关部门确认验收交付使用。中标方负责免费培训</w:t>
      </w:r>
      <w:bookmarkStart w:id="2" w:name="OLE_LINK1"/>
      <w:r>
        <w:rPr>
          <w:rFonts w:hint="eastAsia" w:ascii="宋体" w:hAnsi="宋体" w:cs="宋体" w:eastAsiaTheme="minorEastAsia"/>
          <w:b w:val="0"/>
          <w:bCs w:val="0"/>
          <w:kern w:val="2"/>
          <w:sz w:val="22"/>
          <w:szCs w:val="22"/>
          <w:lang w:val="en-US" w:eastAsia="zh-CN" w:bidi="ar-SA"/>
        </w:rPr>
        <w:t>至少操作员2-5名和诊断医生1-3名</w:t>
      </w:r>
      <w:bookmarkEnd w:id="2"/>
      <w:r>
        <w:rPr>
          <w:rFonts w:hint="eastAsia" w:ascii="宋体" w:hAnsi="宋体" w:cs="宋体" w:eastAsiaTheme="minorEastAsia"/>
          <w:b w:val="0"/>
          <w:bCs w:val="0"/>
          <w:kern w:val="2"/>
          <w:sz w:val="22"/>
          <w:szCs w:val="22"/>
          <w:lang w:val="en-US" w:eastAsia="zh-CN" w:bidi="ar-SA"/>
        </w:rPr>
        <w:t>，直至医护人员完全熟练掌握并可单独操作使用设备，取得相应上岗证方可验收。培</w:t>
      </w:r>
      <w:r>
        <w:rPr>
          <w:rFonts w:hint="eastAsia" w:ascii="宋体" w:hAnsi="宋体" w:cs="宋体"/>
          <w:sz w:val="22"/>
          <w:szCs w:val="22"/>
          <w:lang w:val="en-US" w:eastAsia="zh-CN"/>
        </w:rPr>
        <w:t>训方式：厂家指定专业人员到医院现场培训并进行设备操作指导，直到科室可以正常使用设备为止；仪器交付使用后，如科室在使用过程中遇到无法解决的技术问题，不论是工程，还是临床方面，中标方需及时联系解决。</w:t>
      </w:r>
    </w:p>
    <w:p w14:paraId="107A9C23">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cs="宋体"/>
          <w:sz w:val="22"/>
          <w:szCs w:val="22"/>
        </w:rPr>
      </w:pPr>
      <w:r>
        <w:rPr>
          <w:rFonts w:hint="eastAsia" w:ascii="宋体" w:hAnsi="宋体" w:cs="宋体"/>
          <w:sz w:val="22"/>
          <w:szCs w:val="22"/>
        </w:rPr>
        <w:t>★2、交货时间：按合同约定的日期交货。</w:t>
      </w:r>
    </w:p>
    <w:p w14:paraId="068322F5">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cs="宋体"/>
          <w:sz w:val="22"/>
          <w:szCs w:val="22"/>
        </w:rPr>
      </w:pPr>
      <w:r>
        <w:rPr>
          <w:rFonts w:hint="eastAsia" w:ascii="宋体" w:hAnsi="宋体" w:cs="宋体"/>
          <w:sz w:val="22"/>
          <w:szCs w:val="22"/>
        </w:rPr>
        <w:t>★3、交货地点：娄底市中心医院指定地点。</w:t>
      </w:r>
    </w:p>
    <w:p w14:paraId="7329CCA8">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cs="宋体"/>
          <w:sz w:val="22"/>
          <w:szCs w:val="22"/>
        </w:rPr>
      </w:pPr>
      <w:r>
        <w:rPr>
          <w:rFonts w:hint="eastAsia" w:ascii="宋体" w:hAnsi="宋体" w:cs="宋体"/>
          <w:sz w:val="22"/>
          <w:szCs w:val="22"/>
        </w:rPr>
        <w:t>★4、付款方式：设备验收合格后，供应商将发票交到娄底市中心医院后按程序支付货款90%（一般情况下4个月内支付、特殊情况下最多不超过6个月），甲方在设备验收合格满</w:t>
      </w:r>
      <w:r>
        <w:rPr>
          <w:rFonts w:hint="eastAsia" w:ascii="宋体" w:hAnsi="宋体" w:cs="宋体"/>
          <w:sz w:val="22"/>
          <w:szCs w:val="22"/>
          <w:lang w:val="en-US" w:eastAsia="zh-CN"/>
        </w:rPr>
        <w:t>3</w:t>
      </w:r>
      <w:r>
        <w:rPr>
          <w:rFonts w:hint="eastAsia" w:ascii="宋体" w:hAnsi="宋体" w:cs="宋体"/>
          <w:sz w:val="22"/>
          <w:szCs w:val="22"/>
        </w:rPr>
        <w:t>年后支付10%余款给乙方。</w:t>
      </w:r>
    </w:p>
    <w:p w14:paraId="3E1198FE">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cs="宋体"/>
          <w:sz w:val="22"/>
          <w:szCs w:val="22"/>
        </w:rPr>
      </w:pPr>
      <w:r>
        <w:rPr>
          <w:rFonts w:hint="eastAsia" w:ascii="宋体" w:hAnsi="宋体" w:cs="宋体"/>
          <w:sz w:val="22"/>
          <w:szCs w:val="22"/>
        </w:rPr>
        <w:t>★5、质保与售后：整机保修</w:t>
      </w:r>
      <w:r>
        <w:rPr>
          <w:rFonts w:hint="eastAsia" w:ascii="宋体" w:hAnsi="宋体" w:cs="宋体"/>
          <w:sz w:val="22"/>
          <w:szCs w:val="22"/>
          <w:lang w:val="en-US" w:eastAsia="zh-CN"/>
        </w:rPr>
        <w:t>3</w:t>
      </w:r>
      <w:r>
        <w:rPr>
          <w:rFonts w:hint="eastAsia" w:ascii="宋体" w:hAnsi="宋体" w:cs="宋体"/>
          <w:sz w:val="22"/>
          <w:szCs w:val="22"/>
        </w:rPr>
        <w:t>年，终身维修。验收时出具原厂售后质保承诺书，质保期内每年巡检一次，并提交巡检记录。</w:t>
      </w:r>
      <w:r>
        <w:rPr>
          <w:rFonts w:hint="eastAsia" w:ascii="宋体" w:hAnsi="宋体" w:cs="宋体"/>
          <w:color w:val="FF0000"/>
          <w:sz w:val="22"/>
          <w:szCs w:val="22"/>
        </w:rPr>
        <w:t>质保期内出现故障，24小时响应，响应后4小时上门服务</w:t>
      </w:r>
      <w:r>
        <w:rPr>
          <w:rFonts w:hint="eastAsia" w:ascii="宋体" w:hAnsi="宋体" w:cs="宋体"/>
          <w:color w:val="FF0000"/>
          <w:sz w:val="22"/>
          <w:szCs w:val="22"/>
          <w:lang w:eastAsia="zh-CN"/>
        </w:rPr>
        <w:t>。</w:t>
      </w:r>
      <w:r>
        <w:rPr>
          <w:rFonts w:hint="eastAsia" w:ascii="宋体" w:hAnsi="宋体" w:cs="宋体"/>
          <w:color w:val="FF0000"/>
          <w:sz w:val="22"/>
          <w:szCs w:val="22"/>
          <w:lang w:val="en-US" w:eastAsia="zh-CN"/>
        </w:rPr>
        <w:t>在湖南省有售后维修点，有备品仓库，故障期间须免费提供备用机供临床使用</w:t>
      </w:r>
      <w:r>
        <w:rPr>
          <w:rFonts w:hint="eastAsia" w:ascii="宋体" w:hAnsi="宋体" w:cs="宋体"/>
          <w:color w:val="FF0000"/>
          <w:sz w:val="22"/>
          <w:szCs w:val="22"/>
        </w:rPr>
        <w:t>。</w:t>
      </w:r>
      <w:r>
        <w:rPr>
          <w:rFonts w:hint="eastAsia" w:ascii="宋体" w:hAnsi="宋体" w:cs="宋体"/>
          <w:sz w:val="22"/>
          <w:szCs w:val="22"/>
          <w:lang w:val="en-US" w:eastAsia="zh-CN"/>
        </w:rPr>
        <w:t>提供操作手册、维修手册、软件备份、说明书等相关中文技术资料各两套。</w:t>
      </w:r>
    </w:p>
    <w:p w14:paraId="602B8B63">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cs="宋体"/>
          <w:sz w:val="22"/>
          <w:szCs w:val="22"/>
        </w:rPr>
      </w:pPr>
      <w:r>
        <w:rPr>
          <w:rFonts w:hint="eastAsia" w:ascii="宋体" w:hAnsi="宋体" w:cs="宋体"/>
          <w:sz w:val="22"/>
          <w:szCs w:val="22"/>
        </w:rPr>
        <w:t>★6、</w:t>
      </w:r>
      <w:r>
        <w:rPr>
          <w:rFonts w:hint="eastAsia" w:ascii="宋体" w:hAnsi="宋体" w:cs="宋体"/>
          <w:color w:val="auto"/>
          <w:sz w:val="24"/>
          <w:szCs w:val="24"/>
          <w:lang w:val="en-US" w:eastAsia="zh-CN"/>
        </w:rPr>
        <w:t>在投标文件中必须提供相关技术资料并加盖投标人公章（如技术参数、技术白皮书、说明书、彩页等），并在响应表中对技术参数中“★”、“▲”以及要求提供佐证材料的条款备注该条参数响应或正偏离的佐证资料所在页码。</w:t>
      </w:r>
    </w:p>
    <w:p w14:paraId="5B3C64E1">
      <w:pPr>
        <w:keepNext w:val="0"/>
        <w:keepLines w:val="0"/>
        <w:pageBreakBefore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★7、设备</w:t>
      </w:r>
      <w:r>
        <w:rPr>
          <w:rFonts w:hint="eastAsia" w:ascii="宋体" w:hAnsi="宋体" w:eastAsia="宋体" w:cs="宋体"/>
          <w:sz w:val="22"/>
          <w:szCs w:val="22"/>
          <w:lang w:val="en-US" w:eastAsia="zh-CN"/>
        </w:rPr>
        <w:t>所有接口免费开放，</w:t>
      </w:r>
      <w:r>
        <w:rPr>
          <w:rFonts w:hint="eastAsia" w:ascii="宋体" w:hAnsi="宋体" w:cs="宋体"/>
          <w:sz w:val="22"/>
          <w:szCs w:val="22"/>
        </w:rPr>
        <w:t>设备</w:t>
      </w:r>
      <w:r>
        <w:rPr>
          <w:rFonts w:hint="eastAsia" w:ascii="宋体" w:hAnsi="宋体" w:cs="宋体"/>
          <w:sz w:val="22"/>
          <w:szCs w:val="22"/>
          <w:lang w:val="en-US" w:eastAsia="zh-CN"/>
        </w:rPr>
        <w:t>系统需对接医院，</w:t>
      </w:r>
      <w:r>
        <w:rPr>
          <w:rFonts w:hint="eastAsia" w:ascii="宋体" w:hAnsi="宋体" w:eastAsia="宋体" w:cs="宋体"/>
          <w:sz w:val="22"/>
          <w:szCs w:val="22"/>
          <w:lang w:val="en-US" w:eastAsia="zh-CN"/>
        </w:rPr>
        <w:t>如需接入医院HIS、LIS、PACS、体检系统等，由投标方负责连接并承担相应费用</w:t>
      </w:r>
      <w:r>
        <w:rPr>
          <w:rFonts w:hint="eastAsia" w:ascii="宋体" w:hAnsi="宋体" w:eastAsia="宋体" w:cs="宋体"/>
          <w:sz w:val="22"/>
          <w:szCs w:val="22"/>
        </w:rPr>
        <w:t>，采购人不再出具任何费用。</w:t>
      </w:r>
      <w:bookmarkEnd w:id="1"/>
    </w:p>
    <w:p w14:paraId="1B13C895">
      <w:pPr>
        <w:keepNext w:val="0"/>
        <w:keepLines w:val="0"/>
        <w:pageBreakBefore w:val="0"/>
        <w:widowControl/>
        <w:suppressLineNumbers w:val="0"/>
        <w:kinsoku/>
        <w:wordWrap/>
        <w:overflowPunct/>
        <w:topLinePunct w:val="0"/>
        <w:autoSpaceDE/>
        <w:autoSpaceDN/>
        <w:bidi w:val="0"/>
        <w:ind w:firstLine="440" w:firstLineChars="200"/>
        <w:jc w:val="left"/>
        <w:textAlignment w:val="auto"/>
        <w:rPr>
          <w:rFonts w:hint="eastAsia" w:ascii="宋体" w:hAnsi="宋体" w:eastAsia="宋体"/>
          <w:sz w:val="24"/>
          <w:szCs w:val="24"/>
        </w:rPr>
      </w:pPr>
      <w:r>
        <w:rPr>
          <w:rFonts w:hint="eastAsia" w:ascii="宋体" w:hAnsi="宋体" w:eastAsia="宋体" w:cs="宋体"/>
          <w:sz w:val="22"/>
          <w:szCs w:val="22"/>
        </w:rPr>
        <w:t>★</w:t>
      </w:r>
      <w:r>
        <w:rPr>
          <w:rFonts w:hint="eastAsia" w:ascii="宋体" w:hAnsi="宋体" w:cs="宋体"/>
          <w:sz w:val="22"/>
          <w:szCs w:val="22"/>
          <w:lang w:val="en-US" w:eastAsia="zh-CN"/>
        </w:rPr>
        <w:t>8、软件系统使用与升级更新终身免费，并提供升级更新的书面相关证明文件及记录。</w:t>
      </w:r>
      <w:r>
        <w:rPr>
          <w:rFonts w:ascii="宋体" w:hAnsi="宋体" w:eastAsia="宋体" w:cs="宋体"/>
          <w:b w:val="0"/>
          <w:bCs w:val="0"/>
          <w:color w:val="000000"/>
          <w:kern w:val="0"/>
          <w:sz w:val="24"/>
          <w:szCs w:val="24"/>
          <w:lang w:val="en-US" w:eastAsia="zh-CN" w:bidi="ar"/>
        </w:rPr>
        <w:t xml:space="preserve"> </w:t>
      </w:r>
    </w:p>
    <w:p w14:paraId="5347552A">
      <w:pPr>
        <w:pStyle w:val="19"/>
        <w:keepNext w:val="0"/>
        <w:keepLines w:val="0"/>
        <w:pageBreakBefore w:val="0"/>
        <w:kinsoku/>
        <w:wordWrap/>
        <w:overflowPunct/>
        <w:topLinePunct w:val="0"/>
        <w:autoSpaceDE/>
        <w:autoSpaceDN/>
        <w:bidi w:val="0"/>
        <w:ind w:firstLine="440" w:firstLineChars="200"/>
        <w:textAlignment w:val="auto"/>
        <w:rPr>
          <w:rFonts w:hint="eastAsia" w:ascii="华文中宋" w:hAnsi="华文中宋" w:eastAsia="华文中宋" w:cs="华文中宋"/>
          <w:bCs/>
          <w:sz w:val="22"/>
          <w:lang w:eastAsia="zh-CN"/>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2、“三证合一”或“五证合一”营业执照，医疗器械经营许可证或医疗器械经营备案凭证、生产厂家营业执照、生产许可证、产品注册证；</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4FEB20C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5AE55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6B82D84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18CFA86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BF72EC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1EC7A4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66DBBC9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7187930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EEAF56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3605191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D9FBDA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5B19DBB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DE572D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4904B9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263D97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糖尿病风险早期检测系统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糖尿病风险早期检测系统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999F7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1D9D1E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717B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vAlign w:val="top"/>
          </w:tcPr>
          <w:p w14:paraId="40A3DFB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269F26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2546540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0336367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2430B43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7B79BE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D8F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5EC08B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糖尿病风险早期检测系统</w:t>
            </w:r>
          </w:p>
        </w:tc>
        <w:tc>
          <w:tcPr>
            <w:tcW w:w="1220" w:type="dxa"/>
            <w:vAlign w:val="center"/>
          </w:tcPr>
          <w:p w14:paraId="1751BA8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507726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36DE24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24AF3CA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E53225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8F7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69955DB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B69E23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1AB449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eastAsiaTheme="minorEastAsia"/>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eastAsiaTheme="minorEastAsia"/>
          <w:color w:val="000000" w:themeColor="text1"/>
          <w:sz w:val="24"/>
          <w:szCs w:val="24"/>
          <w:highlight w:val="none"/>
          <w14:textFill>
            <w14:solidFill>
              <w14:schemeClr w14:val="tx1"/>
            </w14:solidFill>
          </w14:textFill>
        </w:rPr>
        <w:t>本合同设备</w:t>
      </w:r>
      <w:r>
        <w:rPr>
          <w:rFonts w:hint="eastAsia" w:ascii="宋体" w:hAnsi="宋体" w:cs="宋体" w:eastAsiaTheme="minorEastAsia"/>
          <w:color w:val="000000" w:themeColor="text1"/>
          <w:sz w:val="24"/>
          <w:szCs w:val="24"/>
          <w:highlight w:val="none"/>
          <w:lang w:eastAsia="zh-CN"/>
          <w14:textFill>
            <w14:solidFill>
              <w14:schemeClr w14:val="tx1"/>
            </w14:solidFill>
          </w14:textFill>
        </w:rPr>
        <w:t>无需</w:t>
      </w:r>
      <w:r>
        <w:rPr>
          <w:rFonts w:hint="eastAsia" w:ascii="宋体" w:hAnsi="宋体" w:cs="宋体" w:eastAsiaTheme="minorEastAsia"/>
          <w:color w:val="000000" w:themeColor="text1"/>
          <w:sz w:val="24"/>
          <w:szCs w:val="24"/>
          <w:highlight w:val="none"/>
          <w14:textFill>
            <w14:solidFill>
              <w14:schemeClr w14:val="tx1"/>
            </w14:solidFill>
          </w14:textFill>
        </w:rPr>
        <w:t>与甲方</w:t>
      </w:r>
      <w:r>
        <w:rPr>
          <w:rFonts w:hint="eastAsia" w:ascii="宋体" w:hAnsi="宋体" w:cs="宋体" w:eastAsiaTheme="minorEastAsia"/>
          <w:color w:val="000000" w:themeColor="text1"/>
          <w:sz w:val="24"/>
          <w:szCs w:val="24"/>
          <w:highlight w:val="none"/>
          <w:lang w:eastAsia="zh-CN"/>
          <w14:textFill>
            <w14:solidFill>
              <w14:schemeClr w14:val="tx1"/>
            </w14:solidFill>
          </w14:textFill>
        </w:rPr>
        <w:t>使用的</w:t>
      </w:r>
      <w:r>
        <w:rPr>
          <w:rFonts w:hint="eastAsia" w:ascii="宋体" w:hAnsi="宋体" w:cs="宋体" w:eastAsiaTheme="minorEastAsia"/>
          <w:color w:val="000000" w:themeColor="text1"/>
          <w:sz w:val="24"/>
          <w:szCs w:val="24"/>
          <w:highlight w:val="none"/>
          <w14:textFill>
            <w14:solidFill>
              <w14:schemeClr w14:val="tx1"/>
            </w14:solidFill>
          </w14:textFill>
        </w:rPr>
        <w:t>信息系统</w:t>
      </w:r>
      <w:r>
        <w:rPr>
          <w:rFonts w:hint="eastAsia" w:ascii="宋体" w:hAnsi="宋体" w:cs="宋体" w:eastAsiaTheme="minorEastAsia"/>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eastAsiaTheme="minorEastAsia"/>
          <w:color w:val="000000" w:themeColor="text1"/>
          <w:sz w:val="24"/>
          <w:szCs w:val="24"/>
          <w:highlight w:val="none"/>
          <w14:textFill>
            <w14:solidFill>
              <w14:schemeClr w14:val="tx1"/>
            </w14:solidFill>
          </w14:textFill>
        </w:rPr>
        <w:t>本合同设备</w:t>
      </w:r>
      <w:r>
        <w:rPr>
          <w:rFonts w:hint="eastAsia" w:ascii="宋体" w:hAnsi="宋体" w:cs="宋体" w:eastAsiaTheme="minorEastAsia"/>
          <w:color w:val="000000" w:themeColor="text1"/>
          <w:sz w:val="24"/>
          <w:szCs w:val="24"/>
          <w:highlight w:val="none"/>
          <w:lang w:eastAsia="zh-CN"/>
          <w14:textFill>
            <w14:solidFill>
              <w14:schemeClr w14:val="tx1"/>
            </w14:solidFill>
          </w14:textFill>
        </w:rPr>
        <w:t>需要</w:t>
      </w:r>
      <w:r>
        <w:rPr>
          <w:rFonts w:hint="eastAsia" w:ascii="宋体" w:hAnsi="宋体" w:cs="宋体" w:eastAsiaTheme="minorEastAsia"/>
          <w:color w:val="000000" w:themeColor="text1"/>
          <w:sz w:val="24"/>
          <w:szCs w:val="24"/>
          <w:highlight w:val="none"/>
          <w14:textFill>
            <w14:solidFill>
              <w14:schemeClr w14:val="tx1"/>
            </w14:solidFill>
          </w14:textFill>
        </w:rPr>
        <w:t>与甲方</w:t>
      </w:r>
      <w:r>
        <w:rPr>
          <w:rFonts w:hint="eastAsia" w:ascii="宋体" w:hAnsi="宋体" w:cs="宋体" w:eastAsiaTheme="minorEastAsia"/>
          <w:color w:val="000000" w:themeColor="text1"/>
          <w:sz w:val="24"/>
          <w:szCs w:val="24"/>
          <w:highlight w:val="none"/>
          <w:lang w:eastAsia="zh-CN"/>
          <w14:textFill>
            <w14:solidFill>
              <w14:schemeClr w14:val="tx1"/>
            </w14:solidFill>
          </w14:textFill>
        </w:rPr>
        <w:t>使用的</w:t>
      </w:r>
      <w:r>
        <w:rPr>
          <w:rFonts w:hint="eastAsia" w:ascii="宋体" w:hAnsi="宋体" w:cs="宋体" w:eastAsiaTheme="minorEastAsia"/>
          <w:color w:val="000000" w:themeColor="text1"/>
          <w:sz w:val="24"/>
          <w:szCs w:val="24"/>
          <w:highlight w:val="none"/>
          <w14:textFill>
            <w14:solidFill>
              <w14:schemeClr w14:val="tx1"/>
            </w14:solidFill>
          </w14:textFill>
        </w:rPr>
        <w:t>信息系统</w:t>
      </w:r>
      <w:r>
        <w:rPr>
          <w:rFonts w:hint="eastAsia" w:ascii="宋体" w:hAnsi="宋体" w:cs="宋体" w:eastAsiaTheme="minorEastAsia"/>
          <w:color w:val="000000" w:themeColor="text1"/>
          <w:sz w:val="24"/>
          <w:szCs w:val="24"/>
          <w:highlight w:val="none"/>
          <w:lang w:eastAsia="zh-CN"/>
          <w14:textFill>
            <w14:solidFill>
              <w14:schemeClr w14:val="tx1"/>
            </w14:solidFill>
          </w14:textFill>
        </w:rPr>
        <w:t>对接，因</w:t>
      </w:r>
      <w:r>
        <w:rPr>
          <w:rFonts w:hint="eastAsia" w:ascii="宋体" w:hAnsi="宋体" w:cs="宋体" w:eastAsiaTheme="minorEastAsia"/>
          <w:color w:val="000000" w:themeColor="text1"/>
          <w:sz w:val="24"/>
          <w:szCs w:val="24"/>
          <w:highlight w:val="none"/>
          <w14:textFill>
            <w14:solidFill>
              <w14:schemeClr w14:val="tx1"/>
            </w14:solidFill>
          </w14:textFill>
        </w:rPr>
        <w:t>对接产生的接口开发等</w:t>
      </w:r>
      <w:r>
        <w:rPr>
          <w:rFonts w:hint="eastAsia" w:ascii="宋体" w:hAnsi="宋体" w:cs="宋体" w:eastAsiaTheme="minorEastAsia"/>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eastAsiaTheme="minorEastAsia"/>
          <w:color w:val="000000" w:themeColor="text1"/>
          <w:sz w:val="24"/>
          <w:szCs w:val="24"/>
          <w:highlight w:val="none"/>
          <w14:textFill>
            <w14:solidFill>
              <w14:schemeClr w14:val="tx1"/>
            </w14:solidFill>
          </w14:textFill>
        </w:rPr>
        <w:t>全部费用均由乙方承担。</w:t>
      </w:r>
    </w:p>
    <w:p w14:paraId="0BE111A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cs="宋体" w:eastAsiaTheme="minorEastAsia"/>
          <w:color w:val="FF0000"/>
          <w:sz w:val="24"/>
          <w:szCs w:val="24"/>
          <w:highlight w:val="none"/>
          <w:lang w:val="en-US" w:eastAsia="zh-CN"/>
        </w:rPr>
      </w:pPr>
      <w:r>
        <w:rPr>
          <w:rFonts w:hint="eastAsia" w:ascii="宋体" w:hAnsi="宋体" w:cs="宋体" w:eastAsiaTheme="minorEastAsia"/>
          <w:color w:val="FF0000"/>
          <w:sz w:val="24"/>
          <w:szCs w:val="24"/>
          <w:highlight w:val="none"/>
          <w:lang w:val="en-US" w:eastAsia="zh-CN"/>
        </w:rPr>
        <w:t>1.4软件系统由乙方提供终身免费使用与升级更新，并提供升级更新的书面相关证明文件及记录。</w:t>
      </w:r>
    </w:p>
    <w:p w14:paraId="594428A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4C15AD2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37D686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2285F5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4F29546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113CC8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highlight w:val="none"/>
          <w:lang w:val="en-US" w:eastAsia="zh-CN"/>
        </w:rPr>
        <w:t>如乙方应交付的设备属于国产</w:t>
      </w:r>
      <w:r>
        <w:rPr>
          <w:rFonts w:hint="eastAsia" w:ascii="宋体" w:hAnsi="宋体" w:cs="宋体" w:eastAsiaTheme="minorEastAsia"/>
          <w:color w:val="auto"/>
          <w:sz w:val="24"/>
          <w:szCs w:val="24"/>
          <w:highlight w:val="none"/>
          <w:lang w:val="en-US" w:eastAsia="zh-CN"/>
        </w:rPr>
        <w:t>设备，则应保证该设备为交付时起近</w:t>
      </w:r>
      <w:r>
        <w:rPr>
          <w:rFonts w:hint="eastAsia" w:ascii="宋体" w:hAnsi="宋体" w:cs="宋体" w:eastAsiaTheme="minorEastAsia"/>
          <w:color w:val="auto"/>
          <w:sz w:val="24"/>
          <w:szCs w:val="24"/>
          <w:highlight w:val="none"/>
          <w:lang w:eastAsia="zh-CN"/>
        </w:rPr>
        <w:t>6个月内生产的产品；</w:t>
      </w:r>
      <w:r>
        <w:rPr>
          <w:rFonts w:hint="eastAsia" w:ascii="宋体" w:hAnsi="宋体" w:cs="宋体" w:eastAsiaTheme="minorEastAsia"/>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eastAsiaTheme="minorEastAsia"/>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eastAsiaTheme="minorEastAsia"/>
          <w:color w:val="auto"/>
          <w:sz w:val="24"/>
          <w:szCs w:val="24"/>
          <w:highlight w:val="none"/>
          <w:lang w:val="en-US" w:eastAsia="zh-CN"/>
        </w:rPr>
        <w:t>，则应保证该设备</w:t>
      </w:r>
      <w:r>
        <w:rPr>
          <w:rFonts w:hint="eastAsia" w:ascii="宋体" w:hAnsi="宋体" w:cs="宋体" w:eastAsiaTheme="minorEastAsia"/>
          <w:color w:val="auto"/>
          <w:sz w:val="24"/>
          <w:szCs w:val="24"/>
          <w:highlight w:val="none"/>
          <w:lang w:eastAsia="zh-CN"/>
        </w:rPr>
        <w:t>为</w:t>
      </w:r>
      <w:r>
        <w:rPr>
          <w:rFonts w:hint="eastAsia" w:ascii="宋体" w:hAnsi="宋体" w:cs="宋体" w:eastAsiaTheme="minorEastAsia"/>
          <w:color w:val="auto"/>
          <w:sz w:val="24"/>
          <w:szCs w:val="24"/>
          <w:highlight w:val="none"/>
          <w:lang w:val="en-US" w:eastAsia="zh-CN"/>
        </w:rPr>
        <w:t>交付时起近一年</w:t>
      </w:r>
      <w:r>
        <w:rPr>
          <w:rFonts w:hint="eastAsia" w:ascii="宋体" w:hAnsi="宋体" w:cs="宋体" w:eastAsiaTheme="minorEastAsia"/>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2EDC7B5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4365A75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5FB08E3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3E45EE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47B0674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4425E48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6C7770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7C24A4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6C0AF2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3DF2CE8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1E1686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3768E474">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83E488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FF0000"/>
          <w:sz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w:t>
      </w:r>
      <w:r>
        <w:rPr>
          <w:rFonts w:hint="eastAsia" w:ascii="宋体" w:hAnsi="宋体" w:eastAsia="宋体" w:cs="宋体"/>
          <w:color w:val="FF0000"/>
          <w:sz w:val="24"/>
          <w:szCs w:val="24"/>
          <w:highlight w:val="none"/>
          <w:lang w:val="en-US" w:eastAsia="zh-CN"/>
        </w:rPr>
        <w:t>，故障期间乙方须免费提供备用机供甲方使用，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w:t>
      </w:r>
      <w:r>
        <w:rPr>
          <w:rFonts w:hint="eastAsia" w:ascii="宋体" w:hAnsi="宋体" w:eastAsia="宋体" w:cs="宋体"/>
          <w:color w:val="000000" w:themeColor="text1"/>
          <w:sz w:val="24"/>
          <w:highlight w:val="none"/>
          <w:lang w:val="en-US" w:eastAsia="zh-CN"/>
          <w14:textFill>
            <w14:solidFill>
              <w14:schemeClr w14:val="tx1"/>
            </w14:solidFill>
          </w14:textFill>
        </w:rPr>
        <w:t>方</w:t>
      </w:r>
      <w:r>
        <w:rPr>
          <w:rFonts w:hint="eastAsia" w:ascii="宋体" w:hAnsi="宋体" w:eastAsia="宋体" w:cs="宋体"/>
          <w:color w:val="FF0000"/>
          <w:sz w:val="24"/>
          <w:highlight w:val="none"/>
          <w:lang w:val="en-US" w:eastAsia="zh-CN"/>
        </w:rPr>
        <w:t>。</w:t>
      </w:r>
    </w:p>
    <w:p w14:paraId="320E902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A1A047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r>
        <w:rPr>
          <w:rFonts w:hint="eastAsia" w:ascii="宋体" w:hAnsi="宋体" w:cs="宋体"/>
          <w:color w:val="FF0000"/>
          <w:sz w:val="24"/>
          <w:szCs w:val="24"/>
          <w:highlight w:val="none"/>
          <w:lang w:val="en-US" w:eastAsia="zh-CN"/>
        </w:rPr>
        <w:t>，但</w:t>
      </w:r>
      <w:r>
        <w:rPr>
          <w:rFonts w:hint="eastAsia" w:ascii="宋体" w:hAnsi="宋体" w:eastAsia="宋体" w:cs="宋体"/>
          <w:color w:val="FF0000"/>
          <w:sz w:val="24"/>
          <w:szCs w:val="24"/>
          <w:highlight w:val="none"/>
          <w:lang w:val="en-US" w:eastAsia="zh-CN"/>
        </w:rPr>
        <w:t>故障期间乙方须免费提供备用机供甲方使用。</w:t>
      </w:r>
    </w:p>
    <w:p w14:paraId="528308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4A9F0E4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140E84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4CF4A1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Theme="minorEastAsia" w:cstheme="minorBidi"/>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Theme="minorEastAsia" w:cstheme="minorBidi"/>
          <w:color w:val="000000" w:themeColor="text1"/>
          <w:sz w:val="28"/>
          <w:szCs w:val="28"/>
          <w:highlight w:val="none"/>
          <w:u w:val="none"/>
          <w:lang w:val="en-US" w:eastAsia="zh-CN"/>
          <w14:textFill>
            <w14:solidFill>
              <w14:schemeClr w14:val="tx1"/>
            </w14:solidFill>
          </w14:textFill>
        </w:rPr>
        <w:t xml:space="preserve">  </w:t>
      </w:r>
    </w:p>
    <w:p w14:paraId="03A5361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24C13A9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13DAD1D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5152C3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25B71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190B9A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1DDB29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4A873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7C05B2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A83C4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935C1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1DF9E1A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A3EF7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7ADA486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8E6CC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75DAF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1BE76D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80DF0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7CD219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5F30AD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D5136C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8168D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9DCF17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7D9745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7A7E57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CA6B69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3EECD83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02156E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6E0094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6A7A0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5EB09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eastAsiaTheme="minorEastAsia"/>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F1730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eastAsiaTheme="minorEastAsia"/>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84CD8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auto"/>
          <w:sz w:val="24"/>
          <w:szCs w:val="24"/>
          <w:highlight w:val="none"/>
          <w:u w:val="single"/>
          <w:lang w:val="en-US" w:eastAsia="zh-CN"/>
        </w:rPr>
        <w:t>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担相应违约责任。</w:t>
      </w:r>
    </w:p>
    <w:p w14:paraId="29D8B62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2CE37E1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eastAsiaTheme="minorEastAsia"/>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465E84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59095A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0B73A2B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eastAsiaTheme="minorEastAsia"/>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595089E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77AAB3B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w:t>
      </w:r>
      <w:r>
        <w:rPr>
          <w:rFonts w:hint="eastAsia" w:ascii="宋体" w:hAnsi="宋体" w:eastAsia="宋体" w:cs="宋体"/>
          <w:color w:val="000000" w:themeColor="text1"/>
          <w:sz w:val="24"/>
          <w:highlight w:val="none"/>
          <w14:textFill>
            <w14:solidFill>
              <w14:schemeClr w14:val="tx1"/>
            </w14:solidFill>
          </w14:textFill>
        </w:rPr>
        <w:t>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847A04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1218C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45F67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DFE86A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29B378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849D2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B7C23F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04AA3E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81D3FA3">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F19DDE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EA637CE">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p>
    <w:p w14:paraId="59A1829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35A5647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D5D3C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3" w:name="_Toc16523574"/>
      <w:r>
        <w:rPr>
          <w:rFonts w:hint="eastAsia" w:ascii="方正小标宋简体" w:hAnsi="方正小标宋简体" w:eastAsia="方正小标宋简体" w:cs="方正小标宋简体"/>
          <w:color w:val="auto"/>
          <w:sz w:val="44"/>
          <w:szCs w:val="44"/>
          <w:lang w:val="en-US" w:eastAsia="zh-CN"/>
        </w:rPr>
        <w:t>第三章</w:t>
      </w:r>
      <w:bookmarkStart w:id="4"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4"/>
    </w:p>
    <w:p w14:paraId="3ECB58F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740B22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4449B4F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22E4A11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199EA0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697785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CE71E9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CB0A69">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CEE7045">
            <w:pPr>
              <w:jc w:val="center"/>
              <w:rPr>
                <w:rFonts w:hint="eastAsia" w:ascii="仿宋" w:hAnsi="仿宋" w:eastAsia="仿宋" w:cs="仿宋"/>
                <w:sz w:val="24"/>
                <w:szCs w:val="24"/>
              </w:rPr>
            </w:pPr>
            <w:r>
              <w:rPr>
                <w:rFonts w:hint="eastAsia" w:ascii="仿宋" w:hAnsi="仿宋" w:eastAsia="仿宋" w:cs="仿宋"/>
                <w:sz w:val="24"/>
                <w:szCs w:val="24"/>
              </w:rPr>
              <w:t>50%</w:t>
            </w:r>
          </w:p>
        </w:tc>
      </w:tr>
      <w:tr w14:paraId="4D7B5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676E797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75C0F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A3A0FD">
            <w:pPr>
              <w:jc w:val="center"/>
              <w:rPr>
                <w:rFonts w:hint="eastAsia" w:ascii="仿宋" w:hAnsi="仿宋" w:eastAsia="仿宋" w:cs="仿宋"/>
                <w:sz w:val="24"/>
                <w:szCs w:val="24"/>
              </w:rPr>
            </w:pPr>
            <w:r>
              <w:rPr>
                <w:rFonts w:hint="eastAsia" w:ascii="仿宋" w:hAnsi="仿宋" w:eastAsia="仿宋" w:cs="仿宋"/>
                <w:sz w:val="24"/>
                <w:szCs w:val="24"/>
              </w:rPr>
              <w:t>40%</w:t>
            </w:r>
          </w:p>
        </w:tc>
      </w:tr>
      <w:tr w14:paraId="7E0166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3C192E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8D3A8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A015B9">
            <w:pPr>
              <w:jc w:val="center"/>
              <w:rPr>
                <w:rFonts w:hint="eastAsia" w:ascii="仿宋" w:hAnsi="仿宋" w:eastAsia="仿宋" w:cs="仿宋"/>
                <w:sz w:val="24"/>
                <w:szCs w:val="24"/>
              </w:rPr>
            </w:pPr>
            <w:r>
              <w:rPr>
                <w:rFonts w:hint="eastAsia" w:ascii="仿宋" w:hAnsi="仿宋" w:eastAsia="仿宋" w:cs="仿宋"/>
                <w:sz w:val="24"/>
                <w:szCs w:val="24"/>
              </w:rPr>
              <w:t>10%</w:t>
            </w:r>
          </w:p>
        </w:tc>
      </w:tr>
      <w:tr w14:paraId="04769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E85E3F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5C986A8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7F0CF53">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1E871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A2F86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BC085C6">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6B61F726">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B98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39A100E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5B0C503">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4BE5234D">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1B6706A">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5D3679C9">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2D9E824">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6F3E0C">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032BA03">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34C4EC0E">
      <w:pPr>
        <w:pStyle w:val="2"/>
        <w:numPr>
          <w:ilvl w:val="0"/>
          <w:numId w:val="0"/>
        </w:numPr>
        <w:spacing w:line="240" w:lineRule="auto"/>
        <w:ind w:left="2940" w:leftChars="0"/>
        <w:jc w:val="both"/>
        <w:rPr>
          <w:rFonts w:hint="eastAsia" w:ascii="宋体" w:hAnsi="宋体" w:cs="宋体"/>
          <w:color w:val="auto"/>
          <w:sz w:val="30"/>
          <w:szCs w:val="30"/>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3"/>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5" w:name="_Toc486424819"/>
      <w:bookmarkStart w:id="6" w:name="_Toc476514128"/>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5"/>
    <w:bookmarkEnd w:id="6"/>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1350E35"/>
    <w:rsid w:val="01807593"/>
    <w:rsid w:val="01EF5CA0"/>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691323B"/>
    <w:rsid w:val="17E51656"/>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1FFF6652"/>
    <w:rsid w:val="2038045E"/>
    <w:rsid w:val="209055C8"/>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9730FD"/>
    <w:rsid w:val="302741D2"/>
    <w:rsid w:val="308B184D"/>
    <w:rsid w:val="309C1E01"/>
    <w:rsid w:val="30BB11DD"/>
    <w:rsid w:val="31F17CD1"/>
    <w:rsid w:val="321B02E0"/>
    <w:rsid w:val="324F4D43"/>
    <w:rsid w:val="3330157F"/>
    <w:rsid w:val="33384C93"/>
    <w:rsid w:val="340F06E9"/>
    <w:rsid w:val="34C12F54"/>
    <w:rsid w:val="35101668"/>
    <w:rsid w:val="366241E2"/>
    <w:rsid w:val="369029A0"/>
    <w:rsid w:val="36B66AAC"/>
    <w:rsid w:val="36E47928"/>
    <w:rsid w:val="372F7378"/>
    <w:rsid w:val="37BA0809"/>
    <w:rsid w:val="37DE919F"/>
    <w:rsid w:val="37FF9285"/>
    <w:rsid w:val="38F7D690"/>
    <w:rsid w:val="397348CD"/>
    <w:rsid w:val="39FBA7F3"/>
    <w:rsid w:val="3A8E0AB7"/>
    <w:rsid w:val="3A994AB7"/>
    <w:rsid w:val="3B3B544D"/>
    <w:rsid w:val="3B654F2B"/>
    <w:rsid w:val="3B9B6E72"/>
    <w:rsid w:val="3BB72BAE"/>
    <w:rsid w:val="3BFC7D2B"/>
    <w:rsid w:val="3C7C799C"/>
    <w:rsid w:val="3C8A61A4"/>
    <w:rsid w:val="3D5E17FF"/>
    <w:rsid w:val="3DF93413"/>
    <w:rsid w:val="3DFD1951"/>
    <w:rsid w:val="3DFFD27E"/>
    <w:rsid w:val="3E1F0DA4"/>
    <w:rsid w:val="3E584E51"/>
    <w:rsid w:val="3E62C1E0"/>
    <w:rsid w:val="3E6E70D5"/>
    <w:rsid w:val="3EBE1ADE"/>
    <w:rsid w:val="3F788D05"/>
    <w:rsid w:val="3F9727CE"/>
    <w:rsid w:val="3FB7200B"/>
    <w:rsid w:val="3FE76078"/>
    <w:rsid w:val="3FEF41F9"/>
    <w:rsid w:val="3FF36FC1"/>
    <w:rsid w:val="3FFBF02C"/>
    <w:rsid w:val="403B4B34"/>
    <w:rsid w:val="4140452A"/>
    <w:rsid w:val="414D7889"/>
    <w:rsid w:val="41BB0BAE"/>
    <w:rsid w:val="425629F5"/>
    <w:rsid w:val="4284152B"/>
    <w:rsid w:val="429A4992"/>
    <w:rsid w:val="42FF3888"/>
    <w:rsid w:val="435B161D"/>
    <w:rsid w:val="43B25DAC"/>
    <w:rsid w:val="44771DFD"/>
    <w:rsid w:val="45D569C3"/>
    <w:rsid w:val="46C011EB"/>
    <w:rsid w:val="475F9F54"/>
    <w:rsid w:val="479B74B7"/>
    <w:rsid w:val="47DD565F"/>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2950FA7"/>
    <w:rsid w:val="531356F0"/>
    <w:rsid w:val="53238E8B"/>
    <w:rsid w:val="537E2BE5"/>
    <w:rsid w:val="53B55872"/>
    <w:rsid w:val="544055F2"/>
    <w:rsid w:val="54AD4386"/>
    <w:rsid w:val="55D8243C"/>
    <w:rsid w:val="575FAF7E"/>
    <w:rsid w:val="581A7C72"/>
    <w:rsid w:val="583A4BD7"/>
    <w:rsid w:val="59C74B1F"/>
    <w:rsid w:val="5A6375FB"/>
    <w:rsid w:val="5A886F59"/>
    <w:rsid w:val="5BDF167E"/>
    <w:rsid w:val="5E9BBF88"/>
    <w:rsid w:val="5EBFE873"/>
    <w:rsid w:val="5F153ADC"/>
    <w:rsid w:val="5FBFAB6E"/>
    <w:rsid w:val="604D5946"/>
    <w:rsid w:val="611B6B1B"/>
    <w:rsid w:val="615B5D50"/>
    <w:rsid w:val="61FF68C0"/>
    <w:rsid w:val="62C222C2"/>
    <w:rsid w:val="632D7C40"/>
    <w:rsid w:val="63F39F53"/>
    <w:rsid w:val="64133D6A"/>
    <w:rsid w:val="64245572"/>
    <w:rsid w:val="65824D95"/>
    <w:rsid w:val="674A3DD5"/>
    <w:rsid w:val="678E4F5D"/>
    <w:rsid w:val="67F3562A"/>
    <w:rsid w:val="67FFBBE3"/>
    <w:rsid w:val="680E122C"/>
    <w:rsid w:val="6A4E1D63"/>
    <w:rsid w:val="6C486FE4"/>
    <w:rsid w:val="6CA409DF"/>
    <w:rsid w:val="6D9F787E"/>
    <w:rsid w:val="6DBC6A8E"/>
    <w:rsid w:val="6DBE71AC"/>
    <w:rsid w:val="6DE375E4"/>
    <w:rsid w:val="6DFF0C8E"/>
    <w:rsid w:val="6E8E5287"/>
    <w:rsid w:val="6EF17664"/>
    <w:rsid w:val="6F8D6265"/>
    <w:rsid w:val="6FAC3B48"/>
    <w:rsid w:val="6FAD463B"/>
    <w:rsid w:val="6FB7ACDA"/>
    <w:rsid w:val="6FBE332C"/>
    <w:rsid w:val="6FDBE144"/>
    <w:rsid w:val="6FFE86C0"/>
    <w:rsid w:val="6FFF67CC"/>
    <w:rsid w:val="70CE0BC9"/>
    <w:rsid w:val="71554367"/>
    <w:rsid w:val="71584067"/>
    <w:rsid w:val="71F26E91"/>
    <w:rsid w:val="72CE2295"/>
    <w:rsid w:val="72FB9D37"/>
    <w:rsid w:val="735201FF"/>
    <w:rsid w:val="737B50A4"/>
    <w:rsid w:val="73F40E72"/>
    <w:rsid w:val="74566F5C"/>
    <w:rsid w:val="750117A8"/>
    <w:rsid w:val="755B2270"/>
    <w:rsid w:val="75E27514"/>
    <w:rsid w:val="762BE131"/>
    <w:rsid w:val="76920D75"/>
    <w:rsid w:val="76C47877"/>
    <w:rsid w:val="77423DFF"/>
    <w:rsid w:val="77EE6ED4"/>
    <w:rsid w:val="77FD832A"/>
    <w:rsid w:val="783B5EA9"/>
    <w:rsid w:val="78B114A6"/>
    <w:rsid w:val="79C6FDAF"/>
    <w:rsid w:val="79EB699D"/>
    <w:rsid w:val="79FFEA3A"/>
    <w:rsid w:val="7A3E5854"/>
    <w:rsid w:val="7ABA298D"/>
    <w:rsid w:val="7AE6B50D"/>
    <w:rsid w:val="7B0620DE"/>
    <w:rsid w:val="7B657F0C"/>
    <w:rsid w:val="7B7D7C18"/>
    <w:rsid w:val="7BBF44BB"/>
    <w:rsid w:val="7BF15CE4"/>
    <w:rsid w:val="7C3A27E5"/>
    <w:rsid w:val="7C5533D1"/>
    <w:rsid w:val="7D9727DD"/>
    <w:rsid w:val="7DDF8A36"/>
    <w:rsid w:val="7DFE74A2"/>
    <w:rsid w:val="7E2117BD"/>
    <w:rsid w:val="7E8BAD0B"/>
    <w:rsid w:val="7ED7DBED"/>
    <w:rsid w:val="7EFB4F6E"/>
    <w:rsid w:val="7F164138"/>
    <w:rsid w:val="7F1A5E95"/>
    <w:rsid w:val="7F3B676F"/>
    <w:rsid w:val="7FA75B91"/>
    <w:rsid w:val="7FB1DF06"/>
    <w:rsid w:val="7FBC7699"/>
    <w:rsid w:val="7FBF5FA6"/>
    <w:rsid w:val="7FCFF1E1"/>
    <w:rsid w:val="7FFA7867"/>
    <w:rsid w:val="7FFB0877"/>
    <w:rsid w:val="7FFE88A1"/>
    <w:rsid w:val="7FFFD909"/>
    <w:rsid w:val="87EFD207"/>
    <w:rsid w:val="8B7D3439"/>
    <w:rsid w:val="8EFAA180"/>
    <w:rsid w:val="8EFE3913"/>
    <w:rsid w:val="9EFF74B7"/>
    <w:rsid w:val="9F670A24"/>
    <w:rsid w:val="9FE92664"/>
    <w:rsid w:val="A4FC5874"/>
    <w:rsid w:val="A99BC227"/>
    <w:rsid w:val="ABFF86F2"/>
    <w:rsid w:val="ADFDDBA5"/>
    <w:rsid w:val="AFDF5C35"/>
    <w:rsid w:val="AFEFD62F"/>
    <w:rsid w:val="B7FBACA6"/>
    <w:rsid w:val="BBDFF490"/>
    <w:rsid w:val="BF59071B"/>
    <w:rsid w:val="BF7D9491"/>
    <w:rsid w:val="BFD3BD59"/>
    <w:rsid w:val="BFF77D2B"/>
    <w:rsid w:val="C3FEA355"/>
    <w:rsid w:val="CDFF7760"/>
    <w:rsid w:val="CFFF8E32"/>
    <w:rsid w:val="D6D5AD7C"/>
    <w:rsid w:val="D7D36704"/>
    <w:rsid w:val="DBDE3CFA"/>
    <w:rsid w:val="DDB34E03"/>
    <w:rsid w:val="DFAD8580"/>
    <w:rsid w:val="DFF97BBC"/>
    <w:rsid w:val="DFFA836E"/>
    <w:rsid w:val="DFFEDE01"/>
    <w:rsid w:val="DFFF05F4"/>
    <w:rsid w:val="E6F7C8DE"/>
    <w:rsid w:val="E7FC237C"/>
    <w:rsid w:val="E9FE6660"/>
    <w:rsid w:val="EADE7AA2"/>
    <w:rsid w:val="ED6D9162"/>
    <w:rsid w:val="EF7B1925"/>
    <w:rsid w:val="EFECA95C"/>
    <w:rsid w:val="EFF91F3A"/>
    <w:rsid w:val="EFFF278C"/>
    <w:rsid w:val="F1347A70"/>
    <w:rsid w:val="F3EBDD45"/>
    <w:rsid w:val="F76D9192"/>
    <w:rsid w:val="F76E9365"/>
    <w:rsid w:val="F7AF362D"/>
    <w:rsid w:val="F7D57869"/>
    <w:rsid w:val="F91F5623"/>
    <w:rsid w:val="F99F179C"/>
    <w:rsid w:val="F9F7D318"/>
    <w:rsid w:val="FB6F87D3"/>
    <w:rsid w:val="FB7D52BD"/>
    <w:rsid w:val="FBBD03F1"/>
    <w:rsid w:val="FBF3B75B"/>
    <w:rsid w:val="FCEB7648"/>
    <w:rsid w:val="FDF7EAA8"/>
    <w:rsid w:val="FDFF9C76"/>
    <w:rsid w:val="FE5E10CB"/>
    <w:rsid w:val="FEAFF452"/>
    <w:rsid w:val="FED7AE9E"/>
    <w:rsid w:val="FEE34724"/>
    <w:rsid w:val="FF1EFC35"/>
    <w:rsid w:val="FF477DD4"/>
    <w:rsid w:val="FF5F7F20"/>
    <w:rsid w:val="FF7B9B69"/>
    <w:rsid w:val="FF7D155A"/>
    <w:rsid w:val="FFAFFB84"/>
    <w:rsid w:val="FFBF9032"/>
    <w:rsid w:val="FFC8EF32"/>
    <w:rsid w:val="FFD76697"/>
    <w:rsid w:val="FFDF81E1"/>
    <w:rsid w:val="FFE13652"/>
    <w:rsid w:val="FFECE770"/>
    <w:rsid w:val="FFEFB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szCs w:val="20"/>
    </w:rPr>
  </w:style>
  <w:style w:type="paragraph" w:styleId="6">
    <w:name w:val="annotation text"/>
    <w:basedOn w:val="1"/>
    <w:qFormat/>
    <w:uiPriority w:val="0"/>
    <w:pPr>
      <w:jc w:val="left"/>
    </w:p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12"/>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6326</Words>
  <Characters>6702</Characters>
  <Lines>0</Lines>
  <Paragraphs>0</Paragraphs>
  <TotalTime>12</TotalTime>
  <ScaleCrop>false</ScaleCrop>
  <LinksUpToDate>false</LinksUpToDate>
  <CharactersWithSpaces>6934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2023-07-28T09:45:00Z</dcterms:created>
  <dc:creator>是小豹子</dc:creator>
  <cp:lastModifiedBy>沁sqr</cp:lastModifiedBy>
  <dcterms:modified xsi:type="dcterms:W3CDTF">2026-08-12T11:36:40Z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