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7F381D">
      <w:pPr>
        <w:pStyle w:val="5"/>
        <w:pageBreakBefore w:val="0"/>
        <w:kinsoku/>
        <w:wordWrap/>
        <w:overflowPunct/>
        <w:topLinePunct w:val="0"/>
        <w:autoSpaceDE/>
        <w:autoSpaceDN/>
        <w:bidi w:val="0"/>
        <w:snapToGrid/>
        <w:spacing w:before="0" w:beforeLines="0" w:after="0" w:afterLines="0" w:line="600" w:lineRule="exact"/>
        <w:jc w:val="center"/>
        <w:textAlignment w:val="auto"/>
        <w:rPr>
          <w:rFonts w:hint="default"/>
          <w:color w:val="auto"/>
          <w:lang w:val="en-US" w:eastAsia="zh-CN"/>
        </w:rPr>
      </w:pPr>
      <w:r>
        <w:rPr>
          <w:rFonts w:hint="eastAsia"/>
          <w:color w:val="auto"/>
          <w:lang w:val="en-US" w:eastAsia="zh-CN"/>
        </w:rPr>
        <w:t>娄底市中心医院危险废物委托处理项目采购需求</w:t>
      </w:r>
    </w:p>
    <w:p w14:paraId="03DD9BEB">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600" w:lineRule="exact"/>
        <w:ind w:firstLine="560" w:firstLineChars="200"/>
        <w:jc w:val="both"/>
        <w:textAlignment w:val="auto"/>
        <w:rPr>
          <w:rFonts w:hint="eastAsia" w:ascii="仿宋" w:hAnsi="仿宋" w:eastAsia="仿宋" w:cs="仿宋"/>
          <w:bCs/>
          <w:snapToGrid w:val="0"/>
          <w:color w:val="auto"/>
          <w:sz w:val="28"/>
          <w:szCs w:val="28"/>
          <w:lang w:val="en-US" w:eastAsia="zh-CN"/>
        </w:rPr>
      </w:pPr>
      <w:r>
        <w:rPr>
          <w:rFonts w:hint="eastAsia" w:ascii="仿宋" w:hAnsi="仿宋" w:eastAsia="仿宋" w:cs="仿宋"/>
          <w:color w:val="auto"/>
          <w:sz w:val="28"/>
          <w:szCs w:val="28"/>
          <w:lang w:val="en-US" w:eastAsia="zh-CN"/>
        </w:rPr>
        <w:t>项目名称：娄底市中心医院</w:t>
      </w:r>
      <w:r>
        <w:rPr>
          <w:rFonts w:hint="eastAsia" w:ascii="仿宋" w:hAnsi="仿宋" w:eastAsia="仿宋" w:cs="仿宋"/>
          <w:bCs/>
          <w:snapToGrid w:val="0"/>
          <w:color w:val="auto"/>
          <w:sz w:val="28"/>
          <w:szCs w:val="28"/>
          <w:lang w:val="en-US" w:eastAsia="zh-CN"/>
        </w:rPr>
        <w:t>危险废物</w:t>
      </w:r>
      <w:r>
        <w:rPr>
          <w:rFonts w:hint="eastAsia" w:ascii="仿宋" w:hAnsi="仿宋" w:eastAsia="仿宋" w:cs="仿宋"/>
          <w:bCs/>
          <w:snapToGrid w:val="0"/>
          <w:color w:val="auto"/>
          <w:sz w:val="28"/>
          <w:szCs w:val="28"/>
        </w:rPr>
        <w:t>委托处理</w:t>
      </w:r>
      <w:r>
        <w:rPr>
          <w:rFonts w:hint="eastAsia" w:ascii="仿宋" w:hAnsi="仿宋" w:eastAsia="仿宋" w:cs="仿宋"/>
          <w:bCs/>
          <w:snapToGrid w:val="0"/>
          <w:color w:val="auto"/>
          <w:sz w:val="28"/>
          <w:szCs w:val="28"/>
          <w:lang w:val="en-US" w:eastAsia="zh-CN"/>
        </w:rPr>
        <w:t>项目；</w:t>
      </w:r>
    </w:p>
    <w:p w14:paraId="7C1A739F">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60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招标项目预算：93400.00元。</w:t>
      </w:r>
    </w:p>
    <w:p w14:paraId="76AD0677">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60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服务期限：合同签订之日起12个月。</w:t>
      </w:r>
    </w:p>
    <w:p w14:paraId="34EA0A41">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600" w:lineRule="exact"/>
        <w:ind w:firstLine="560" w:firstLineChars="200"/>
        <w:jc w:val="both"/>
        <w:textAlignment w:val="auto"/>
        <w:rPr>
          <w:rFonts w:hint="default" w:ascii="仿宋" w:hAnsi="仿宋" w:eastAsia="仿宋" w:cs="仿宋"/>
          <w:color w:val="auto"/>
          <w:sz w:val="28"/>
          <w:szCs w:val="28"/>
          <w:lang w:val="en-US"/>
        </w:rPr>
      </w:pPr>
      <w:r>
        <w:rPr>
          <w:rFonts w:hint="eastAsia" w:ascii="仿宋" w:hAnsi="仿宋" w:eastAsia="仿宋" w:cs="仿宋"/>
          <w:color w:val="auto"/>
          <w:sz w:val="28"/>
          <w:szCs w:val="28"/>
        </w:rPr>
        <w:t>服务地点</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娄底市中心医院</w:t>
      </w:r>
    </w:p>
    <w:p w14:paraId="1DC37361">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项目概况：</w:t>
      </w:r>
      <w:r>
        <w:rPr>
          <w:rFonts w:hint="eastAsia" w:ascii="仿宋" w:hAnsi="仿宋" w:eastAsia="仿宋" w:cs="仿宋"/>
          <w:color w:val="auto"/>
          <w:sz w:val="28"/>
          <w:szCs w:val="28"/>
        </w:rPr>
        <w:t>根据《中华人民共和国固体废物污染环境防治法》及相关法律、法规的规定，</w:t>
      </w:r>
      <w:r>
        <w:rPr>
          <w:rFonts w:hint="eastAsia" w:ascii="仿宋" w:hAnsi="仿宋" w:eastAsia="仿宋" w:cs="仿宋"/>
          <w:color w:val="auto"/>
          <w:sz w:val="28"/>
          <w:szCs w:val="28"/>
          <w:lang w:val="en-US" w:eastAsia="zh-CN"/>
        </w:rPr>
        <w:t>采购人</w:t>
      </w:r>
      <w:r>
        <w:rPr>
          <w:rFonts w:hint="eastAsia" w:ascii="仿宋" w:hAnsi="仿宋" w:eastAsia="仿宋" w:cs="仿宋"/>
          <w:color w:val="auto"/>
          <w:sz w:val="28"/>
          <w:szCs w:val="28"/>
        </w:rPr>
        <w:t>产生的危险废物必须与有专业资质的企业签订收集</w:t>
      </w:r>
      <w:r>
        <w:rPr>
          <w:rFonts w:hint="eastAsia" w:ascii="仿宋" w:hAnsi="仿宋" w:eastAsia="仿宋" w:cs="仿宋"/>
          <w:color w:val="auto"/>
          <w:sz w:val="28"/>
          <w:szCs w:val="28"/>
          <w:lang w:val="en-US"/>
        </w:rPr>
        <w:t>委托处理</w:t>
      </w:r>
      <w:r>
        <w:rPr>
          <w:rFonts w:hint="eastAsia" w:ascii="仿宋" w:hAnsi="仿宋" w:eastAsia="仿宋" w:cs="仿宋"/>
          <w:color w:val="auto"/>
          <w:sz w:val="28"/>
          <w:szCs w:val="28"/>
        </w:rPr>
        <w:t>协议，按照法规的要求进行收集、转移</w:t>
      </w:r>
      <w:r>
        <w:rPr>
          <w:rFonts w:hint="eastAsia" w:ascii="仿宋" w:hAnsi="仿宋" w:eastAsia="仿宋" w:cs="仿宋"/>
          <w:color w:val="auto"/>
          <w:sz w:val="28"/>
          <w:szCs w:val="28"/>
          <w:lang w:val="en-US"/>
        </w:rPr>
        <w:t>处理</w:t>
      </w:r>
      <w:r>
        <w:rPr>
          <w:rFonts w:hint="eastAsia" w:ascii="仿宋" w:hAnsi="仿宋" w:eastAsia="仿宋" w:cs="仿宋"/>
          <w:color w:val="auto"/>
          <w:sz w:val="28"/>
          <w:szCs w:val="28"/>
        </w:rPr>
        <w:t>。</w:t>
      </w:r>
    </w:p>
    <w:p w14:paraId="04831578">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服务范围</w:t>
      </w:r>
    </w:p>
    <w:p w14:paraId="663E82F4">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按照国家有关规定和标准对委托的危险废物安全收集处理；</w:t>
      </w:r>
    </w:p>
    <w:p w14:paraId="191876D0">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湖南省固体废物管理信息平台管理、申报、年报等；</w:t>
      </w:r>
    </w:p>
    <w:p w14:paraId="2E1D2967">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firstLine="560" w:firstLineChars="200"/>
        <w:jc w:val="left"/>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危废处置相关标识标牌、标签；</w:t>
      </w:r>
    </w:p>
    <w:p w14:paraId="1C4994BC">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firstLine="560" w:firstLineChars="200"/>
        <w:jc w:val="left"/>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培训计划编辑；</w:t>
      </w:r>
    </w:p>
    <w:p w14:paraId="19860C3B">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firstLine="560" w:firstLineChars="200"/>
        <w:jc w:val="left"/>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管理制度编辑制作；</w:t>
      </w:r>
    </w:p>
    <w:p w14:paraId="36E93E72">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firstLine="560" w:firstLineChars="200"/>
        <w:jc w:val="left"/>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危废专项应急预案编辑；</w:t>
      </w:r>
    </w:p>
    <w:p w14:paraId="1E620876">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firstLine="560" w:firstLineChars="200"/>
        <w:jc w:val="left"/>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危险废物出入库台账编辑；</w:t>
      </w:r>
    </w:p>
    <w:p w14:paraId="15315DB1">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firstLine="560" w:firstLineChars="200"/>
        <w:jc w:val="left"/>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协助采购人规范危废贮存场所；</w:t>
      </w:r>
    </w:p>
    <w:p w14:paraId="60A4C036">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firstLine="560" w:firstLineChars="200"/>
        <w:jc w:val="left"/>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提供合同期内符合要求的危险废物储存容器、防渗漏容器等。</w:t>
      </w:r>
    </w:p>
    <w:p w14:paraId="51CBB44A">
      <w:pPr>
        <w:pStyle w:val="19"/>
        <w:keepNext w:val="0"/>
        <w:keepLines w:val="0"/>
        <w:pageBreakBefore w:val="0"/>
        <w:widowControl w:val="0"/>
        <w:numPr>
          <w:ilvl w:val="0"/>
          <w:numId w:val="1"/>
        </w:numPr>
        <w:kinsoku/>
        <w:wordWrap/>
        <w:overflowPunct/>
        <w:topLinePunct w:val="0"/>
        <w:autoSpaceDE/>
        <w:autoSpaceDN/>
        <w:bidi w:val="0"/>
        <w:adjustRightInd w:val="0"/>
        <w:snapToGrid w:val="0"/>
        <w:spacing w:before="0" w:after="0" w:line="600" w:lineRule="exact"/>
        <w:ind w:left="0" w:leftChars="0" w:firstLine="560" w:firstLineChars="200"/>
        <w:jc w:val="left"/>
        <w:textAlignment w:val="auto"/>
        <w:outlineLvl w:val="9"/>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工作标准及检查方法</w:t>
      </w:r>
    </w:p>
    <w:p w14:paraId="00F22905">
      <w:pPr>
        <w:pStyle w:val="19"/>
        <w:keepNext w:val="0"/>
        <w:keepLines w:val="0"/>
        <w:pageBreakBefore w:val="0"/>
        <w:widowControl w:val="0"/>
        <w:numPr>
          <w:ilvl w:val="0"/>
          <w:numId w:val="3"/>
        </w:numPr>
        <w:kinsoku/>
        <w:wordWrap/>
        <w:overflowPunct/>
        <w:topLinePunct w:val="0"/>
        <w:autoSpaceDE/>
        <w:autoSpaceDN/>
        <w:bidi w:val="0"/>
        <w:adjustRightInd w:val="0"/>
        <w:snapToGrid w:val="0"/>
        <w:spacing w:before="0" w:after="0" w:line="600" w:lineRule="exact"/>
        <w:ind w:firstLine="560" w:firstLineChars="200"/>
        <w:jc w:val="left"/>
        <w:textAlignment w:val="auto"/>
        <w:outlineLvl w:val="9"/>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相关废物储存物资、标识标牌、标签及纸质文件资料按服务范围提供；</w:t>
      </w:r>
    </w:p>
    <w:p w14:paraId="1D7E0D90">
      <w:pPr>
        <w:pStyle w:val="19"/>
        <w:keepNext w:val="0"/>
        <w:keepLines w:val="0"/>
        <w:pageBreakBefore w:val="0"/>
        <w:widowControl w:val="0"/>
        <w:numPr>
          <w:ilvl w:val="0"/>
          <w:numId w:val="3"/>
        </w:numPr>
        <w:kinsoku/>
        <w:wordWrap/>
        <w:overflowPunct/>
        <w:topLinePunct w:val="0"/>
        <w:autoSpaceDE/>
        <w:autoSpaceDN/>
        <w:bidi w:val="0"/>
        <w:adjustRightInd w:val="0"/>
        <w:snapToGrid w:val="0"/>
        <w:spacing w:before="0" w:after="0" w:line="600" w:lineRule="exact"/>
        <w:ind w:firstLine="560" w:firstLineChars="200"/>
        <w:jc w:val="left"/>
        <w:textAlignment w:val="auto"/>
        <w:outlineLvl w:val="9"/>
        <w:rPr>
          <w:rFonts w:hint="default" w:ascii="仿宋" w:hAnsi="仿宋" w:eastAsia="仿宋" w:cs="仿宋"/>
          <w:b/>
          <w:bCs/>
          <w:color w:val="auto"/>
          <w:sz w:val="28"/>
          <w:szCs w:val="28"/>
          <w:lang w:val="en-US" w:eastAsia="zh-CN"/>
        </w:rPr>
      </w:pPr>
      <w:r>
        <w:rPr>
          <w:rFonts w:hint="eastAsia" w:ascii="仿宋" w:hAnsi="仿宋" w:eastAsia="仿宋" w:cs="仿宋"/>
          <w:b w:val="0"/>
          <w:bCs/>
          <w:color w:val="auto"/>
          <w:sz w:val="28"/>
          <w:szCs w:val="28"/>
          <w:lang w:val="en-US" w:eastAsia="zh-CN"/>
        </w:rPr>
        <w:t>危险废物依法依规收集处理并开具危险废物转移联单；</w:t>
      </w:r>
    </w:p>
    <w:p w14:paraId="6043E963">
      <w:pPr>
        <w:pStyle w:val="19"/>
        <w:keepNext w:val="0"/>
        <w:keepLines w:val="0"/>
        <w:pageBreakBefore w:val="0"/>
        <w:widowControl w:val="0"/>
        <w:numPr>
          <w:ilvl w:val="0"/>
          <w:numId w:val="0"/>
        </w:numPr>
        <w:kinsoku/>
        <w:wordWrap/>
        <w:overflowPunct/>
        <w:topLinePunct w:val="0"/>
        <w:autoSpaceDE/>
        <w:autoSpaceDN/>
        <w:bidi w:val="0"/>
        <w:adjustRightInd w:val="0"/>
        <w:snapToGrid w:val="0"/>
        <w:spacing w:before="0" w:after="0" w:line="600" w:lineRule="exact"/>
        <w:ind w:firstLine="560" w:firstLineChars="200"/>
        <w:jc w:val="left"/>
        <w:textAlignment w:val="auto"/>
        <w:outlineLvl w:val="9"/>
        <w:rPr>
          <w:rFonts w:hint="default" w:ascii="仿宋" w:hAnsi="仿宋" w:eastAsia="仿宋" w:cs="仿宋"/>
          <w:b/>
          <w:bCs/>
          <w:color w:val="auto"/>
          <w:sz w:val="28"/>
          <w:szCs w:val="28"/>
          <w:lang w:val="en-US" w:eastAsia="zh-CN"/>
        </w:rPr>
      </w:pPr>
      <w:r>
        <w:rPr>
          <w:rFonts w:hint="eastAsia" w:ascii="仿宋" w:hAnsi="仿宋" w:eastAsia="仿宋" w:cs="仿宋"/>
          <w:b w:val="0"/>
          <w:bCs/>
          <w:color w:val="auto"/>
          <w:sz w:val="28"/>
          <w:szCs w:val="28"/>
          <w:lang w:val="en-US" w:eastAsia="zh-CN"/>
        </w:rPr>
        <w:t>八、</w:t>
      </w:r>
      <w:r>
        <w:rPr>
          <w:rFonts w:hint="eastAsia" w:ascii="仿宋" w:hAnsi="仿宋" w:eastAsia="仿宋" w:cs="仿宋"/>
          <w:color w:val="auto"/>
          <w:sz w:val="28"/>
          <w:szCs w:val="28"/>
          <w:u w:val="none" w:color="auto"/>
          <w:lang w:val="en-US" w:eastAsia="zh-CN"/>
        </w:rPr>
        <w:t>评标方式</w:t>
      </w:r>
      <w:r>
        <w:rPr>
          <w:rFonts w:hint="eastAsia" w:ascii="仿宋" w:hAnsi="仿宋" w:eastAsia="仿宋" w:cs="仿宋"/>
          <w:b/>
          <w:bCs/>
          <w:color w:val="auto"/>
          <w:sz w:val="28"/>
          <w:szCs w:val="28"/>
          <w:lang w:val="en-US" w:eastAsia="zh-CN"/>
        </w:rPr>
        <w:t>：最低评标价法</w:t>
      </w:r>
    </w:p>
    <w:p w14:paraId="64D05DA7">
      <w:pPr>
        <w:pageBreakBefore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九、招标项目要求：</w:t>
      </w:r>
    </w:p>
    <w:p w14:paraId="6F1CA862">
      <w:pPr>
        <w:pageBreakBefore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1、资质要求</w:t>
      </w:r>
    </w:p>
    <w:p w14:paraId="6741F1EA">
      <w:pPr>
        <w:pageBreakBefore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投标人</w:t>
      </w:r>
      <w:r>
        <w:rPr>
          <w:rFonts w:hint="eastAsia" w:ascii="仿宋" w:hAnsi="仿宋" w:eastAsia="仿宋" w:cs="仿宋"/>
          <w:color w:val="auto"/>
          <w:sz w:val="28"/>
          <w:szCs w:val="28"/>
        </w:rPr>
        <w:t>应按顺序制作并提交以下证明文件，评标过程中，将不采取任何补救措施和通过任何方式寻求投标文件以外的任何证明使其无效投标变更为有效投标。经评审委员会批准通过的除外。</w:t>
      </w:r>
    </w:p>
    <w:p w14:paraId="1BC168C9">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color w:val="auto"/>
          <w:sz w:val="28"/>
          <w:szCs w:val="28"/>
          <w:u w:val="none" w:color="auto"/>
        </w:rPr>
      </w:pPr>
      <w:r>
        <w:rPr>
          <w:rFonts w:hint="eastAsia" w:ascii="仿宋" w:hAnsi="仿宋" w:eastAsia="仿宋" w:cs="仿宋"/>
          <w:color w:val="auto"/>
          <w:sz w:val="28"/>
          <w:szCs w:val="28"/>
          <w:u w:val="none" w:color="auto"/>
          <w:lang w:eastAsia="zh-CN"/>
        </w:rPr>
        <w:t>（</w:t>
      </w:r>
      <w:r>
        <w:rPr>
          <w:rFonts w:hint="eastAsia" w:ascii="仿宋" w:hAnsi="仿宋" w:eastAsia="仿宋" w:cs="仿宋"/>
          <w:color w:val="auto"/>
          <w:sz w:val="28"/>
          <w:szCs w:val="28"/>
          <w:u w:val="none" w:color="auto"/>
          <w:lang w:val="en-US" w:eastAsia="zh-CN"/>
        </w:rPr>
        <w:t>1</w:t>
      </w:r>
      <w:r>
        <w:rPr>
          <w:rFonts w:hint="eastAsia" w:ascii="仿宋" w:hAnsi="仿宋" w:eastAsia="仿宋" w:cs="仿宋"/>
          <w:color w:val="auto"/>
          <w:sz w:val="28"/>
          <w:szCs w:val="28"/>
          <w:u w:val="none" w:color="auto"/>
          <w:lang w:eastAsia="zh-CN"/>
        </w:rPr>
        <w:t>）</w:t>
      </w:r>
      <w:r>
        <w:rPr>
          <w:rFonts w:hint="eastAsia" w:ascii="仿宋" w:hAnsi="仿宋" w:eastAsia="仿宋" w:cs="仿宋"/>
          <w:color w:val="auto"/>
          <w:sz w:val="28"/>
          <w:szCs w:val="28"/>
          <w:u w:val="none" w:color="auto"/>
        </w:rPr>
        <w:t>具有</w:t>
      </w:r>
      <w:r>
        <w:rPr>
          <w:rFonts w:hint="eastAsia" w:ascii="仿宋" w:hAnsi="仿宋" w:eastAsia="仿宋" w:cs="仿宋"/>
          <w:color w:val="auto"/>
          <w:sz w:val="28"/>
          <w:szCs w:val="28"/>
          <w:u w:val="single" w:color="auto"/>
        </w:rPr>
        <w:t>独立法人资格</w:t>
      </w:r>
      <w:r>
        <w:rPr>
          <w:rFonts w:hint="eastAsia" w:ascii="仿宋" w:hAnsi="仿宋" w:eastAsia="仿宋" w:cs="仿宋"/>
          <w:color w:val="auto"/>
          <w:sz w:val="28"/>
          <w:szCs w:val="28"/>
          <w:u w:val="none" w:color="auto"/>
        </w:rPr>
        <w:t xml:space="preserve">并依法取得企业营业执照，营业执照处于有效期； </w:t>
      </w:r>
    </w:p>
    <w:p w14:paraId="63A8F58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color w:val="auto"/>
          <w:sz w:val="28"/>
          <w:szCs w:val="28"/>
          <w:u w:val="none" w:color="auto"/>
          <w:lang w:eastAsia="zh-CN"/>
        </w:rPr>
      </w:pPr>
      <w:r>
        <w:rPr>
          <w:rFonts w:hint="eastAsia" w:ascii="仿宋" w:hAnsi="仿宋" w:eastAsia="仿宋" w:cs="仿宋"/>
          <w:color w:val="auto"/>
          <w:sz w:val="28"/>
          <w:szCs w:val="28"/>
          <w:u w:val="none" w:color="auto"/>
        </w:rPr>
        <w:t>（</w:t>
      </w:r>
      <w:r>
        <w:rPr>
          <w:rFonts w:hint="eastAsia" w:ascii="仿宋" w:hAnsi="仿宋" w:eastAsia="仿宋" w:cs="仿宋"/>
          <w:color w:val="auto"/>
          <w:sz w:val="28"/>
          <w:szCs w:val="28"/>
          <w:u w:val="none" w:color="auto"/>
          <w:lang w:val="en-US" w:eastAsia="zh-CN"/>
        </w:rPr>
        <w:t>2</w:t>
      </w:r>
      <w:r>
        <w:rPr>
          <w:rFonts w:hint="eastAsia" w:ascii="仿宋" w:hAnsi="仿宋" w:eastAsia="仿宋" w:cs="仿宋"/>
          <w:color w:val="auto"/>
          <w:sz w:val="28"/>
          <w:szCs w:val="28"/>
          <w:u w:val="none" w:color="auto"/>
        </w:rPr>
        <w:t>）有依法缴纳税收和社会保障资金的良好记录</w:t>
      </w:r>
      <w:r>
        <w:rPr>
          <w:rFonts w:hint="eastAsia" w:ascii="仿宋" w:hAnsi="仿宋" w:eastAsia="仿宋" w:cs="仿宋"/>
          <w:color w:val="auto"/>
          <w:sz w:val="28"/>
          <w:szCs w:val="28"/>
          <w:u w:val="none" w:color="auto"/>
          <w:lang w:eastAsia="zh-CN"/>
        </w:rPr>
        <w:t>；</w:t>
      </w:r>
    </w:p>
    <w:p w14:paraId="5AFE88A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仿宋" w:hAnsi="仿宋" w:eastAsia="仿宋" w:cs="仿宋"/>
          <w:color w:val="auto"/>
          <w:sz w:val="28"/>
          <w:szCs w:val="28"/>
          <w:u w:val="none" w:color="auto"/>
          <w:lang w:val="en-US" w:eastAsia="zh-CN"/>
        </w:rPr>
      </w:pPr>
      <w:r>
        <w:rPr>
          <w:rFonts w:hint="eastAsia" w:ascii="仿宋" w:hAnsi="仿宋" w:eastAsia="仿宋" w:cs="仿宋"/>
          <w:color w:val="auto"/>
          <w:sz w:val="28"/>
          <w:szCs w:val="28"/>
          <w:u w:val="none" w:color="auto"/>
        </w:rPr>
        <w:t>（</w:t>
      </w:r>
      <w:r>
        <w:rPr>
          <w:rFonts w:hint="eastAsia" w:ascii="仿宋" w:hAnsi="仿宋" w:eastAsia="仿宋" w:cs="仿宋"/>
          <w:color w:val="auto"/>
          <w:sz w:val="28"/>
          <w:szCs w:val="28"/>
          <w:u w:val="none" w:color="auto"/>
          <w:lang w:val="en-US" w:eastAsia="zh-CN"/>
        </w:rPr>
        <w:t>3</w:t>
      </w:r>
      <w:r>
        <w:rPr>
          <w:rFonts w:hint="eastAsia" w:ascii="仿宋" w:hAnsi="仿宋" w:eastAsia="仿宋" w:cs="仿宋"/>
          <w:color w:val="auto"/>
          <w:sz w:val="28"/>
          <w:szCs w:val="28"/>
          <w:u w:val="none" w:color="auto"/>
        </w:rPr>
        <w:t>）</w:t>
      </w:r>
      <w:r>
        <w:rPr>
          <w:rFonts w:hint="eastAsia" w:ascii="仿宋" w:hAnsi="仿宋" w:eastAsia="仿宋" w:cs="仿宋"/>
          <w:color w:val="auto"/>
          <w:sz w:val="28"/>
          <w:szCs w:val="28"/>
          <w:u w:val="none" w:color="auto"/>
          <w:lang w:val="en-US" w:eastAsia="zh-CN"/>
        </w:rPr>
        <w:t>参加政府采购活动前三年内，在经营活动中没有重大违法记录；</w:t>
      </w:r>
    </w:p>
    <w:p w14:paraId="6C3B185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仿宋" w:hAnsi="仿宋" w:eastAsia="仿宋" w:cs="仿宋"/>
          <w:color w:val="auto"/>
          <w:sz w:val="28"/>
          <w:szCs w:val="28"/>
          <w:u w:val="none" w:color="auto"/>
        </w:rPr>
      </w:pPr>
      <w:r>
        <w:rPr>
          <w:rFonts w:hint="eastAsia" w:ascii="仿宋" w:hAnsi="仿宋" w:eastAsia="仿宋" w:cs="仿宋"/>
          <w:color w:val="auto"/>
          <w:sz w:val="28"/>
          <w:szCs w:val="28"/>
          <w:u w:val="none" w:color="auto"/>
          <w:lang w:eastAsia="zh-CN"/>
        </w:rPr>
        <w:t>（</w:t>
      </w:r>
      <w:r>
        <w:rPr>
          <w:rFonts w:hint="eastAsia" w:ascii="仿宋" w:hAnsi="仿宋" w:eastAsia="仿宋" w:cs="仿宋"/>
          <w:color w:val="auto"/>
          <w:sz w:val="28"/>
          <w:szCs w:val="28"/>
          <w:u w:val="none" w:color="auto"/>
          <w:lang w:val="en-US" w:eastAsia="zh-CN"/>
        </w:rPr>
        <w:t>4</w:t>
      </w:r>
      <w:r>
        <w:rPr>
          <w:rFonts w:hint="eastAsia" w:ascii="仿宋" w:hAnsi="仿宋" w:eastAsia="仿宋" w:cs="仿宋"/>
          <w:color w:val="auto"/>
          <w:sz w:val="28"/>
          <w:szCs w:val="28"/>
          <w:u w:val="none" w:color="auto"/>
          <w:lang w:eastAsia="zh-CN"/>
        </w:rPr>
        <w:t>）</w:t>
      </w:r>
      <w:r>
        <w:rPr>
          <w:rFonts w:hint="eastAsia" w:ascii="仿宋" w:hAnsi="仿宋" w:eastAsia="仿宋" w:cs="仿宋"/>
          <w:color w:val="auto"/>
          <w:sz w:val="28"/>
          <w:szCs w:val="28"/>
          <w:u w:val="none" w:color="auto"/>
        </w:rPr>
        <w:t>法律、行政法规规定的其他条件</w:t>
      </w:r>
      <w:r>
        <w:rPr>
          <w:rFonts w:hint="eastAsia" w:ascii="仿宋" w:hAnsi="仿宋" w:eastAsia="仿宋" w:cs="仿宋"/>
          <w:color w:val="auto"/>
          <w:sz w:val="28"/>
          <w:szCs w:val="28"/>
          <w:u w:val="none" w:color="auto"/>
          <w:lang w:eastAsia="zh-CN"/>
        </w:rPr>
        <w:t>；</w:t>
      </w:r>
    </w:p>
    <w:p w14:paraId="328F013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color w:val="auto"/>
          <w:sz w:val="28"/>
          <w:szCs w:val="28"/>
          <w:u w:val="none" w:color="auto"/>
          <w:lang w:eastAsia="zh-CN"/>
        </w:rPr>
      </w:pPr>
      <w:r>
        <w:rPr>
          <w:rFonts w:hint="eastAsia" w:ascii="仿宋" w:hAnsi="仿宋" w:eastAsia="仿宋" w:cs="仿宋"/>
          <w:color w:val="auto"/>
          <w:sz w:val="28"/>
          <w:szCs w:val="28"/>
          <w:u w:val="none" w:color="auto"/>
          <w:lang w:eastAsia="zh-CN"/>
        </w:rPr>
        <w:t>（</w:t>
      </w:r>
      <w:r>
        <w:rPr>
          <w:rFonts w:hint="eastAsia" w:ascii="仿宋" w:hAnsi="仿宋" w:eastAsia="仿宋" w:cs="仿宋"/>
          <w:color w:val="auto"/>
          <w:sz w:val="28"/>
          <w:szCs w:val="28"/>
          <w:u w:val="none" w:color="auto"/>
          <w:lang w:val="en-US" w:eastAsia="zh-CN"/>
        </w:rPr>
        <w:t>5</w:t>
      </w:r>
      <w:r>
        <w:rPr>
          <w:rFonts w:hint="eastAsia" w:ascii="仿宋" w:hAnsi="仿宋" w:eastAsia="仿宋" w:cs="仿宋"/>
          <w:color w:val="auto"/>
          <w:sz w:val="28"/>
          <w:szCs w:val="28"/>
          <w:u w:val="none" w:color="auto"/>
          <w:lang w:eastAsia="zh-CN"/>
        </w:rPr>
        <w:t>）</w:t>
      </w:r>
      <w:r>
        <w:rPr>
          <w:rFonts w:hint="eastAsia" w:ascii="仿宋" w:hAnsi="仿宋" w:eastAsia="仿宋" w:cs="仿宋"/>
          <w:color w:val="auto"/>
          <w:sz w:val="28"/>
          <w:szCs w:val="28"/>
          <w:u w:val="none" w:color="auto"/>
        </w:rPr>
        <w:t>取得行政主管部门颁发</w:t>
      </w:r>
      <w:r>
        <w:rPr>
          <w:rFonts w:hint="eastAsia" w:ascii="仿宋" w:hAnsi="仿宋" w:eastAsia="仿宋" w:cs="仿宋"/>
          <w:color w:val="auto"/>
          <w:sz w:val="28"/>
          <w:szCs w:val="28"/>
          <w:u w:val="none" w:color="auto"/>
          <w:lang w:val="en-US" w:eastAsia="zh-CN"/>
        </w:rPr>
        <w:t>的</w:t>
      </w:r>
      <w:r>
        <w:rPr>
          <w:rFonts w:hint="eastAsia" w:ascii="仿宋" w:hAnsi="仿宋" w:eastAsia="仿宋" w:cs="仿宋"/>
          <w:color w:val="auto"/>
          <w:sz w:val="28"/>
          <w:szCs w:val="28"/>
          <w:u w:val="none" w:color="auto"/>
        </w:rPr>
        <w:t>危险废物经营许可证</w:t>
      </w:r>
      <w:r>
        <w:rPr>
          <w:rFonts w:hint="eastAsia" w:ascii="仿宋" w:hAnsi="仿宋" w:eastAsia="仿宋" w:cs="仿宋"/>
          <w:color w:val="auto"/>
          <w:sz w:val="28"/>
          <w:szCs w:val="28"/>
          <w:u w:val="none" w:color="auto"/>
          <w:lang w:val="en-US" w:eastAsia="zh-CN"/>
        </w:rPr>
        <w:t>并具备收集、贮存等实验室废物的资质</w:t>
      </w:r>
      <w:r>
        <w:rPr>
          <w:rFonts w:hint="eastAsia" w:ascii="仿宋" w:hAnsi="仿宋" w:eastAsia="仿宋" w:cs="仿宋"/>
          <w:color w:val="auto"/>
          <w:sz w:val="28"/>
          <w:szCs w:val="28"/>
          <w:u w:val="none" w:color="auto"/>
          <w:lang w:eastAsia="zh-CN"/>
        </w:rPr>
        <w:t>；</w:t>
      </w:r>
    </w:p>
    <w:p w14:paraId="0AC5573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color w:val="auto"/>
          <w:sz w:val="28"/>
          <w:szCs w:val="28"/>
          <w:u w:val="none" w:color="auto"/>
          <w:lang w:eastAsia="zh-CN"/>
        </w:rPr>
      </w:pPr>
      <w:r>
        <w:rPr>
          <w:rFonts w:hint="eastAsia" w:ascii="仿宋" w:hAnsi="仿宋" w:eastAsia="仿宋" w:cs="仿宋"/>
          <w:color w:val="auto"/>
          <w:sz w:val="28"/>
          <w:szCs w:val="28"/>
          <w:u w:val="none" w:color="auto"/>
          <w:lang w:eastAsia="zh-CN"/>
        </w:rPr>
        <w:t>（</w:t>
      </w:r>
      <w:r>
        <w:rPr>
          <w:rFonts w:hint="eastAsia" w:ascii="仿宋" w:hAnsi="仿宋" w:eastAsia="仿宋" w:cs="仿宋"/>
          <w:color w:val="auto"/>
          <w:sz w:val="28"/>
          <w:szCs w:val="28"/>
          <w:u w:val="none" w:color="auto"/>
          <w:lang w:val="en-US" w:eastAsia="zh-CN"/>
        </w:rPr>
        <w:t>6</w:t>
      </w:r>
      <w:r>
        <w:rPr>
          <w:rFonts w:hint="eastAsia" w:ascii="仿宋" w:hAnsi="仿宋" w:eastAsia="仿宋" w:cs="仿宋"/>
          <w:color w:val="auto"/>
          <w:sz w:val="28"/>
          <w:szCs w:val="28"/>
          <w:u w:val="none" w:color="auto"/>
          <w:lang w:eastAsia="zh-CN"/>
        </w:rPr>
        <w:t>）</w:t>
      </w:r>
      <w:r>
        <w:rPr>
          <w:rFonts w:hint="eastAsia" w:ascii="仿宋" w:hAnsi="仿宋" w:eastAsia="仿宋" w:cs="仿宋"/>
          <w:color w:val="auto"/>
          <w:sz w:val="28"/>
          <w:szCs w:val="28"/>
          <w:u w:val="none" w:color="auto"/>
        </w:rPr>
        <w:t>本项目不接受联合体投标</w:t>
      </w:r>
      <w:r>
        <w:rPr>
          <w:rFonts w:hint="eastAsia" w:ascii="仿宋" w:hAnsi="仿宋" w:eastAsia="仿宋" w:cs="仿宋"/>
          <w:color w:val="auto"/>
          <w:sz w:val="28"/>
          <w:szCs w:val="28"/>
          <w:u w:val="none" w:color="auto"/>
          <w:lang w:eastAsia="zh-CN"/>
        </w:rPr>
        <w:t>；</w:t>
      </w:r>
    </w:p>
    <w:p w14:paraId="01BFAC7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color w:val="auto"/>
          <w:sz w:val="28"/>
          <w:szCs w:val="28"/>
          <w:u w:val="none" w:color="auto"/>
        </w:rPr>
      </w:pPr>
      <w:r>
        <w:rPr>
          <w:rFonts w:hint="eastAsia" w:ascii="仿宋" w:hAnsi="仿宋" w:eastAsia="仿宋" w:cs="仿宋"/>
          <w:color w:val="auto"/>
          <w:sz w:val="28"/>
          <w:szCs w:val="28"/>
          <w:u w:val="none" w:color="auto"/>
          <w:lang w:eastAsia="zh-CN"/>
        </w:rPr>
        <w:t>（</w:t>
      </w:r>
      <w:r>
        <w:rPr>
          <w:rFonts w:hint="eastAsia" w:ascii="仿宋" w:hAnsi="仿宋" w:eastAsia="仿宋" w:cs="仿宋"/>
          <w:color w:val="auto"/>
          <w:sz w:val="28"/>
          <w:szCs w:val="28"/>
          <w:u w:val="none" w:color="auto"/>
          <w:lang w:val="en-US" w:eastAsia="zh-CN"/>
        </w:rPr>
        <w:t>7</w:t>
      </w:r>
      <w:r>
        <w:rPr>
          <w:rFonts w:hint="eastAsia" w:ascii="仿宋" w:hAnsi="仿宋" w:eastAsia="仿宋" w:cs="仿宋"/>
          <w:color w:val="auto"/>
          <w:sz w:val="28"/>
          <w:szCs w:val="28"/>
          <w:u w:val="none" w:color="auto"/>
          <w:lang w:eastAsia="zh-CN"/>
        </w:rPr>
        <w:t>）</w:t>
      </w:r>
      <w:r>
        <w:rPr>
          <w:rFonts w:hint="eastAsia" w:ascii="仿宋" w:hAnsi="仿宋" w:eastAsia="仿宋" w:cs="仿宋"/>
          <w:color w:val="auto"/>
          <w:sz w:val="28"/>
          <w:szCs w:val="28"/>
          <w:u w:val="none" w:color="auto"/>
        </w:rPr>
        <w:t>法定代表人的有效授权书</w:t>
      </w:r>
      <w:r>
        <w:rPr>
          <w:rFonts w:hint="eastAsia" w:ascii="仿宋" w:hAnsi="仿宋" w:eastAsia="仿宋" w:cs="仿宋"/>
          <w:color w:val="auto"/>
          <w:sz w:val="28"/>
          <w:szCs w:val="28"/>
          <w:u w:val="none" w:color="auto"/>
          <w:lang w:eastAsia="zh-CN"/>
        </w:rPr>
        <w:t>（</w:t>
      </w:r>
      <w:r>
        <w:rPr>
          <w:rFonts w:hint="eastAsia" w:ascii="仿宋" w:hAnsi="仿宋" w:eastAsia="仿宋" w:cs="仿宋"/>
          <w:color w:val="auto"/>
          <w:sz w:val="28"/>
          <w:szCs w:val="28"/>
          <w:u w:val="none" w:color="auto"/>
        </w:rPr>
        <w:t>原件</w:t>
      </w:r>
      <w:r>
        <w:rPr>
          <w:rFonts w:hint="eastAsia" w:ascii="仿宋" w:hAnsi="仿宋" w:eastAsia="仿宋" w:cs="仿宋"/>
          <w:color w:val="auto"/>
          <w:sz w:val="28"/>
          <w:szCs w:val="28"/>
          <w:u w:val="none" w:color="auto"/>
          <w:lang w:eastAsia="zh-CN"/>
        </w:rPr>
        <w:t>）；</w:t>
      </w:r>
    </w:p>
    <w:p w14:paraId="5C43F18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color w:val="auto"/>
          <w:sz w:val="28"/>
          <w:szCs w:val="28"/>
          <w:u w:val="none" w:color="auto"/>
        </w:rPr>
      </w:pPr>
      <w:r>
        <w:rPr>
          <w:rFonts w:hint="eastAsia" w:ascii="仿宋" w:hAnsi="仿宋" w:eastAsia="仿宋" w:cs="仿宋"/>
          <w:color w:val="auto"/>
          <w:sz w:val="28"/>
          <w:szCs w:val="28"/>
          <w:u w:val="none" w:color="auto"/>
          <w:lang w:eastAsia="zh-CN"/>
        </w:rPr>
        <w:t>（</w:t>
      </w:r>
      <w:r>
        <w:rPr>
          <w:rFonts w:hint="eastAsia" w:ascii="仿宋" w:hAnsi="仿宋" w:eastAsia="仿宋" w:cs="仿宋"/>
          <w:color w:val="auto"/>
          <w:sz w:val="28"/>
          <w:szCs w:val="28"/>
          <w:u w:val="none" w:color="auto"/>
          <w:lang w:val="en-US" w:eastAsia="zh-CN"/>
        </w:rPr>
        <w:t>8</w:t>
      </w:r>
      <w:r>
        <w:rPr>
          <w:rFonts w:hint="eastAsia" w:ascii="仿宋" w:hAnsi="仿宋" w:eastAsia="仿宋" w:cs="仿宋"/>
          <w:color w:val="auto"/>
          <w:sz w:val="28"/>
          <w:szCs w:val="28"/>
          <w:u w:val="none" w:color="auto"/>
          <w:lang w:eastAsia="zh-CN"/>
        </w:rPr>
        <w:t>）</w:t>
      </w:r>
      <w:r>
        <w:rPr>
          <w:rFonts w:hint="eastAsia" w:ascii="仿宋" w:hAnsi="仿宋" w:eastAsia="仿宋" w:cs="仿宋"/>
          <w:color w:val="auto"/>
          <w:sz w:val="28"/>
          <w:szCs w:val="28"/>
          <w:u w:val="none" w:color="auto"/>
        </w:rPr>
        <w:t>被授权代表身份证原件加</w:t>
      </w:r>
      <w:r>
        <w:rPr>
          <w:rFonts w:hint="eastAsia" w:ascii="仿宋" w:hAnsi="仿宋" w:eastAsia="仿宋" w:cs="仿宋"/>
          <w:color w:val="auto"/>
          <w:sz w:val="28"/>
          <w:szCs w:val="28"/>
          <w:u w:val="none" w:color="auto"/>
          <w:lang w:eastAsia="zh-CN"/>
        </w:rPr>
        <w:t>（</w:t>
      </w:r>
      <w:r>
        <w:rPr>
          <w:rFonts w:hint="eastAsia" w:ascii="仿宋" w:hAnsi="仿宋" w:eastAsia="仿宋" w:cs="仿宋"/>
          <w:color w:val="auto"/>
          <w:sz w:val="28"/>
          <w:szCs w:val="28"/>
          <w:u w:val="none" w:color="auto"/>
        </w:rPr>
        <w:t>复印件</w:t>
      </w:r>
      <w:r>
        <w:rPr>
          <w:rFonts w:hint="eastAsia" w:ascii="仿宋" w:hAnsi="仿宋" w:eastAsia="仿宋" w:cs="仿宋"/>
          <w:color w:val="auto"/>
          <w:sz w:val="28"/>
          <w:szCs w:val="28"/>
          <w:u w:val="none" w:color="auto"/>
          <w:lang w:eastAsia="zh-CN"/>
        </w:rPr>
        <w:t>）；</w:t>
      </w:r>
    </w:p>
    <w:p w14:paraId="091D8559">
      <w:pPr>
        <w:pageBreakBefore w:val="0"/>
        <w:numPr>
          <w:ilvl w:val="0"/>
          <w:numId w:val="0"/>
        </w:numPr>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注</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所有复印件须全部加盖投标单位红色印鉴。</w:t>
      </w:r>
    </w:p>
    <w:p w14:paraId="729601A0">
      <w:pPr>
        <w:pageBreakBefore w:val="0"/>
        <w:numPr>
          <w:ilvl w:val="0"/>
          <w:numId w:val="0"/>
        </w:numPr>
        <w:kinsoku/>
        <w:wordWrap/>
        <w:overflowPunct/>
        <w:topLinePunct w:val="0"/>
        <w:autoSpaceDE/>
        <w:autoSpaceDN/>
        <w:bidi w:val="0"/>
        <w:adjustRightInd/>
        <w:snapToGrid/>
        <w:spacing w:line="600" w:lineRule="exact"/>
        <w:ind w:firstLine="562" w:firstLineChars="200"/>
        <w:textAlignment w:val="auto"/>
        <w:rPr>
          <w:rFonts w:hint="default" w:ascii="仿宋" w:hAnsi="仿宋" w:eastAsia="仿宋" w:cs="仿宋"/>
          <w:b/>
          <w:color w:val="auto"/>
          <w:sz w:val="28"/>
          <w:szCs w:val="28"/>
          <w:lang w:val="en-US" w:eastAsia="zh-CN"/>
        </w:rPr>
      </w:pPr>
      <w:r>
        <w:rPr>
          <w:rFonts w:hint="eastAsia" w:ascii="仿宋" w:hAnsi="仿宋" w:eastAsia="仿宋" w:cs="仿宋"/>
          <w:b/>
          <w:color w:val="auto"/>
          <w:sz w:val="28"/>
          <w:szCs w:val="28"/>
          <w:lang w:val="en-US" w:eastAsia="zh-CN"/>
        </w:rPr>
        <w:t>十、服务</w:t>
      </w:r>
      <w:r>
        <w:rPr>
          <w:rFonts w:hint="eastAsia" w:ascii="仿宋" w:hAnsi="仿宋" w:eastAsia="仿宋" w:cs="仿宋"/>
          <w:b/>
          <w:color w:val="auto"/>
          <w:sz w:val="28"/>
          <w:szCs w:val="28"/>
        </w:rPr>
        <w:t>响应</w:t>
      </w:r>
    </w:p>
    <w:p w14:paraId="654CC68A">
      <w:pPr>
        <w:keepNext w:val="0"/>
        <w:keepLines w:val="0"/>
        <w:pageBreakBefore w:val="0"/>
        <w:widowControl w:val="0"/>
        <w:kinsoku/>
        <w:wordWrap/>
        <w:overflowPunct/>
        <w:topLinePunct w:val="0"/>
        <w:autoSpaceDE/>
        <w:autoSpaceDN/>
        <w:bidi w:val="0"/>
        <w:snapToGrid/>
        <w:spacing w:line="600" w:lineRule="exact"/>
        <w:ind w:firstLine="560"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color w:val="auto"/>
          <w:sz w:val="28"/>
          <w:szCs w:val="28"/>
          <w:lang w:val="en-US" w:eastAsia="zh-CN"/>
        </w:rPr>
        <w:t>中</w:t>
      </w:r>
      <w:r>
        <w:rPr>
          <w:rFonts w:hint="eastAsia" w:ascii="仿宋" w:hAnsi="仿宋" w:eastAsia="仿宋" w:cs="仿宋"/>
          <w:color w:val="auto"/>
          <w:sz w:val="28"/>
          <w:szCs w:val="28"/>
        </w:rPr>
        <w:t>标人应在收到</w:t>
      </w: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方电话通知后</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小时内</w:t>
      </w:r>
      <w:r>
        <w:rPr>
          <w:rFonts w:hint="eastAsia" w:ascii="仿宋" w:hAnsi="仿宋" w:eastAsia="仿宋" w:cs="仿宋"/>
          <w:color w:val="auto"/>
          <w:sz w:val="28"/>
          <w:szCs w:val="28"/>
          <w:lang w:val="en-US" w:eastAsia="zh-CN"/>
        </w:rPr>
        <w:t>组织人员到达现场</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48</w:t>
      </w:r>
      <w:r>
        <w:rPr>
          <w:rFonts w:hint="eastAsia" w:ascii="仿宋" w:hAnsi="仿宋" w:eastAsia="仿宋" w:cs="仿宋"/>
          <w:color w:val="auto"/>
          <w:sz w:val="28"/>
          <w:szCs w:val="28"/>
        </w:rPr>
        <w:t>小时内</w:t>
      </w:r>
      <w:r>
        <w:rPr>
          <w:rFonts w:hint="eastAsia" w:ascii="仿宋" w:hAnsi="仿宋" w:eastAsia="仿宋" w:cs="仿宋"/>
          <w:color w:val="auto"/>
          <w:sz w:val="28"/>
          <w:szCs w:val="28"/>
          <w:lang w:val="en-US" w:eastAsia="zh-CN"/>
        </w:rPr>
        <w:t>解决问题</w:t>
      </w:r>
      <w:r>
        <w:rPr>
          <w:rFonts w:hint="eastAsia" w:ascii="仿宋" w:hAnsi="仿宋" w:eastAsia="仿宋" w:cs="仿宋"/>
          <w:color w:val="auto"/>
          <w:sz w:val="28"/>
          <w:szCs w:val="28"/>
        </w:rPr>
        <w:t>。重大问题或其他无法立刻解决的问题应在</w:t>
      </w:r>
      <w:r>
        <w:rPr>
          <w:rFonts w:hint="eastAsia" w:ascii="仿宋" w:hAnsi="仿宋" w:eastAsia="仿宋" w:cs="仿宋"/>
          <w:color w:val="auto"/>
          <w:sz w:val="28"/>
          <w:szCs w:val="28"/>
          <w:lang w:val="en-US" w:eastAsia="zh-CN"/>
        </w:rPr>
        <w:t>24</w:t>
      </w:r>
      <w:r>
        <w:rPr>
          <w:rFonts w:hint="eastAsia" w:ascii="仿宋" w:hAnsi="仿宋" w:eastAsia="仿宋" w:cs="仿宋"/>
          <w:color w:val="auto"/>
          <w:sz w:val="28"/>
          <w:szCs w:val="28"/>
        </w:rPr>
        <w:t>小时内解决或提出明确解决方案。</w:t>
      </w:r>
    </w:p>
    <w:p w14:paraId="09296299">
      <w:pPr>
        <w:keepNext w:val="0"/>
        <w:keepLines w:val="0"/>
        <w:pageBreakBefore w:val="0"/>
        <w:widowControl w:val="0"/>
        <w:kinsoku/>
        <w:wordWrap/>
        <w:overflowPunct/>
        <w:topLinePunct w:val="0"/>
        <w:autoSpaceDE/>
        <w:autoSpaceDN/>
        <w:bidi w:val="0"/>
        <w:adjustRightInd w:val="0"/>
        <w:snapToGrid w:val="0"/>
        <w:spacing w:line="600" w:lineRule="exact"/>
        <w:ind w:firstLine="562" w:firstLineChars="200"/>
        <w:jc w:val="left"/>
        <w:textAlignment w:val="auto"/>
        <w:rPr>
          <w:rFonts w:hint="eastAsia" w:ascii="仿宋" w:hAnsi="仿宋" w:eastAsia="仿宋" w:cs="仿宋"/>
          <w:b/>
          <w:bCs/>
          <w:snapToGrid w:val="0"/>
          <w:color w:val="auto"/>
          <w:sz w:val="28"/>
          <w:szCs w:val="28"/>
        </w:rPr>
      </w:pPr>
      <w:r>
        <w:rPr>
          <w:rFonts w:hint="eastAsia" w:ascii="仿宋" w:hAnsi="仿宋" w:eastAsia="仿宋" w:cs="仿宋"/>
          <w:b/>
          <w:bCs/>
          <w:color w:val="auto"/>
          <w:sz w:val="28"/>
          <w:szCs w:val="28"/>
          <w:lang w:val="en-US" w:eastAsia="zh-CN"/>
        </w:rPr>
        <w:t>十一</w:t>
      </w:r>
      <w:r>
        <w:rPr>
          <w:rFonts w:hint="eastAsia" w:ascii="仿宋" w:hAnsi="仿宋" w:eastAsia="仿宋" w:cs="仿宋"/>
          <w:b/>
          <w:bCs/>
          <w:color w:val="auto"/>
          <w:sz w:val="28"/>
          <w:szCs w:val="28"/>
        </w:rPr>
        <w:t>、</w:t>
      </w:r>
      <w:r>
        <w:rPr>
          <w:rFonts w:hint="eastAsia" w:ascii="仿宋" w:hAnsi="仿宋" w:eastAsia="仿宋" w:cs="仿宋"/>
          <w:b/>
          <w:bCs/>
          <w:snapToGrid w:val="0"/>
          <w:color w:val="auto"/>
          <w:sz w:val="28"/>
          <w:szCs w:val="28"/>
        </w:rPr>
        <w:t>报价说明</w:t>
      </w:r>
    </w:p>
    <w:p w14:paraId="6C43F47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600" w:lineRule="exact"/>
        <w:ind w:firstLine="560" w:firstLineChars="200"/>
        <w:jc w:val="both"/>
        <w:textAlignment w:val="auto"/>
        <w:rPr>
          <w:rFonts w:hint="eastAsia" w:ascii="仿宋" w:hAnsi="仿宋" w:eastAsia="仿宋" w:cs="仿宋"/>
          <w:color w:val="auto"/>
          <w:sz w:val="28"/>
          <w:szCs w:val="28"/>
          <w:lang w:val="en-US"/>
        </w:rPr>
      </w:pPr>
      <w:r>
        <w:rPr>
          <w:rFonts w:hint="eastAsia" w:ascii="仿宋" w:hAnsi="仿宋" w:eastAsia="仿宋" w:cs="仿宋"/>
          <w:color w:val="auto"/>
          <w:sz w:val="28"/>
          <w:szCs w:val="28"/>
        </w:rPr>
        <w:t>本服务项目</w:t>
      </w:r>
      <w:r>
        <w:rPr>
          <w:rFonts w:hint="eastAsia" w:ascii="仿宋" w:hAnsi="仿宋" w:eastAsia="仿宋" w:cs="仿宋"/>
          <w:color w:val="auto"/>
          <w:sz w:val="28"/>
          <w:szCs w:val="28"/>
          <w:lang w:eastAsia="zh-CN"/>
        </w:rPr>
        <w:t>处理服务费上限控制</w:t>
      </w:r>
      <w:r>
        <w:rPr>
          <w:rFonts w:hint="eastAsia" w:ascii="仿宋" w:hAnsi="仿宋" w:eastAsia="仿宋" w:cs="仿宋"/>
          <w:color w:val="auto"/>
          <w:sz w:val="28"/>
          <w:szCs w:val="28"/>
          <w:lang w:val="en-US" w:eastAsia="zh-CN"/>
        </w:rPr>
        <w:t>总</w:t>
      </w:r>
      <w:r>
        <w:rPr>
          <w:rFonts w:hint="eastAsia" w:ascii="仿宋" w:hAnsi="仿宋" w:eastAsia="仿宋" w:cs="仿宋"/>
          <w:color w:val="auto"/>
          <w:sz w:val="28"/>
          <w:szCs w:val="28"/>
          <w:lang w:eastAsia="zh-CN"/>
        </w:rPr>
        <w:t>价为</w:t>
      </w:r>
      <w:r>
        <w:rPr>
          <w:rFonts w:hint="eastAsia" w:ascii="仿宋" w:hAnsi="仿宋" w:eastAsia="仿宋" w:cs="仿宋"/>
          <w:color w:val="auto"/>
          <w:sz w:val="28"/>
          <w:szCs w:val="28"/>
          <w:lang w:val="en-US" w:eastAsia="zh-CN"/>
        </w:rPr>
        <w:t>93400.00</w:t>
      </w:r>
      <w:r>
        <w:rPr>
          <w:rFonts w:hint="eastAsia" w:ascii="仿宋" w:hAnsi="仿宋" w:eastAsia="仿宋" w:cs="仿宋"/>
          <w:color w:val="auto"/>
          <w:sz w:val="28"/>
          <w:szCs w:val="28"/>
          <w:u w:val="none"/>
          <w:lang w:val="en-US" w:eastAsia="zh-CN"/>
        </w:rPr>
        <w:t>元/年，</w:t>
      </w:r>
      <w:r>
        <w:rPr>
          <w:rFonts w:hint="eastAsia" w:ascii="仿宋" w:hAnsi="仿宋" w:eastAsia="仿宋" w:cs="仿宋"/>
          <w:color w:val="auto"/>
          <w:sz w:val="28"/>
          <w:szCs w:val="28"/>
        </w:rPr>
        <w:t>该价格包含</w:t>
      </w:r>
      <w:r>
        <w:rPr>
          <w:rFonts w:hint="eastAsia" w:ascii="仿宋" w:hAnsi="仿宋" w:eastAsia="仿宋" w:cs="仿宋"/>
          <w:color w:val="auto"/>
          <w:sz w:val="28"/>
          <w:szCs w:val="28"/>
          <w:lang w:val="en-US"/>
        </w:rPr>
        <w:t>废物委托处理费废物明细：</w:t>
      </w:r>
    </w:p>
    <w:p w14:paraId="7F713ECD">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600" w:lineRule="exact"/>
        <w:ind w:firstLine="560"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rPr>
        <w:t>HW49（900-047-49）在线监测废液（含各科室产生的化学系废液）</w:t>
      </w:r>
      <w:r>
        <w:rPr>
          <w:rFonts w:hint="eastAsia" w:ascii="仿宋" w:hAnsi="仿宋" w:eastAsia="仿宋" w:cs="仿宋"/>
          <w:color w:val="auto"/>
          <w:sz w:val="28"/>
          <w:szCs w:val="28"/>
          <w:lang w:val="en-US" w:eastAsia="zh-CN"/>
        </w:rPr>
        <w:t>4吨；</w:t>
      </w:r>
    </w:p>
    <w:p w14:paraId="671DB625">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60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rPr>
        <w:t>HW49（900-041-49）沾染性包装物</w:t>
      </w:r>
      <w:r>
        <w:rPr>
          <w:rFonts w:hint="eastAsia" w:ascii="仿宋" w:hAnsi="仿宋" w:eastAsia="仿宋" w:cs="仿宋"/>
          <w:color w:val="auto"/>
          <w:sz w:val="28"/>
          <w:szCs w:val="28"/>
          <w:lang w:val="en-US" w:eastAsia="zh-CN"/>
        </w:rPr>
        <w:t>0.2吨；</w:t>
      </w:r>
    </w:p>
    <w:p w14:paraId="3BB7EF59">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60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HW49（900-999-49）废试剂（普通类）0.5吨；</w:t>
      </w:r>
    </w:p>
    <w:p w14:paraId="2BC99B24">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60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HW49（900-047-49）在线监测产生的试剂瓶0.5吨；</w:t>
      </w:r>
    </w:p>
    <w:p w14:paraId="195C523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600" w:lineRule="exact"/>
        <w:ind w:firstLine="560" w:firstLineChars="200"/>
        <w:jc w:val="both"/>
        <w:textAlignment w:val="auto"/>
        <w:rPr>
          <w:rFonts w:hint="eastAsia"/>
        </w:rPr>
      </w:pPr>
      <w:r>
        <w:rPr>
          <w:rFonts w:hint="eastAsia" w:ascii="仿宋" w:hAnsi="仿宋" w:eastAsia="仿宋" w:cs="仿宋"/>
          <w:color w:val="auto"/>
          <w:sz w:val="28"/>
          <w:szCs w:val="28"/>
        </w:rPr>
        <w:t>人工费、材料费、运输费、贮存费、处置费、</w:t>
      </w:r>
      <w:r>
        <w:rPr>
          <w:rFonts w:hint="eastAsia" w:ascii="仿宋" w:hAnsi="仿宋" w:eastAsia="仿宋" w:cs="仿宋"/>
          <w:color w:val="auto"/>
          <w:sz w:val="28"/>
          <w:szCs w:val="28"/>
          <w:lang w:val="en-US" w:eastAsia="zh-CN"/>
        </w:rPr>
        <w:t>防护服、环保服务费</w:t>
      </w:r>
      <w:r>
        <w:rPr>
          <w:rFonts w:hint="eastAsia" w:ascii="仿宋" w:hAnsi="仿宋" w:eastAsia="仿宋" w:cs="仿宋"/>
          <w:color w:val="auto"/>
          <w:sz w:val="21"/>
          <w:szCs w:val="21"/>
          <w:lang w:val="en-US" w:eastAsia="zh-CN"/>
        </w:rPr>
        <w:t>、</w:t>
      </w:r>
      <w:r>
        <w:rPr>
          <w:rFonts w:hint="eastAsia" w:ascii="仿宋" w:hAnsi="仿宋" w:eastAsia="仿宋" w:cs="仿宋"/>
          <w:color w:val="auto"/>
          <w:sz w:val="28"/>
          <w:szCs w:val="28"/>
        </w:rPr>
        <w:t>税费相关部门的收费等所有费用，采购人不再支付其他任何费用。</w:t>
      </w:r>
    </w:p>
    <w:p w14:paraId="39A8861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600" w:lineRule="exact"/>
        <w:ind w:firstLine="562" w:firstLineChars="200"/>
        <w:jc w:val="both"/>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lang w:val="en-US" w:eastAsia="zh-CN"/>
        </w:rPr>
        <w:t>十、结算方式与</w:t>
      </w:r>
      <w:r>
        <w:rPr>
          <w:rFonts w:hint="eastAsia" w:ascii="仿宋" w:hAnsi="仿宋" w:eastAsia="仿宋" w:cs="仿宋"/>
          <w:b/>
          <w:color w:val="auto"/>
          <w:sz w:val="28"/>
          <w:szCs w:val="28"/>
        </w:rPr>
        <w:t>付款</w:t>
      </w:r>
    </w:p>
    <w:p w14:paraId="7650D590">
      <w:pPr>
        <w:keepNext w:val="0"/>
        <w:keepLines w:val="0"/>
        <w:pageBreakBefore w:val="0"/>
        <w:widowControl/>
        <w:kinsoku/>
        <w:wordWrap/>
        <w:overflowPunct w:val="0"/>
        <w:topLinePunct w:val="0"/>
        <w:autoSpaceDE w:val="0"/>
        <w:autoSpaceDN w:val="0"/>
        <w:bidi w:val="0"/>
        <w:adjustRightInd w:val="0"/>
        <w:snapToGrid/>
        <w:spacing w:line="600" w:lineRule="exact"/>
        <w:ind w:firstLine="560" w:firstLineChars="200"/>
        <w:textAlignment w:val="baseline"/>
        <w:rPr>
          <w:rFonts w:hint="eastAsia" w:ascii="仿宋" w:hAnsi="仿宋" w:eastAsia="仿宋" w:cs="仿宋"/>
          <w:b w:val="0"/>
          <w:bCs w:val="0"/>
          <w:color w:val="auto"/>
          <w:sz w:val="28"/>
          <w:szCs w:val="28"/>
          <w:lang w:val="en-US" w:eastAsia="zh-CN"/>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lang w:val="en-US"/>
        </w:rPr>
        <w:t>本</w:t>
      </w:r>
      <w:r>
        <w:rPr>
          <w:rFonts w:hint="eastAsia" w:ascii="仿宋" w:hAnsi="仿宋" w:eastAsia="仿宋" w:cs="仿宋"/>
          <w:color w:val="auto"/>
          <w:sz w:val="28"/>
          <w:szCs w:val="28"/>
          <w:lang w:val="en-US" w:eastAsia="zh-CN"/>
        </w:rPr>
        <w:t>项目约定服务费实行</w:t>
      </w:r>
      <w:r>
        <w:rPr>
          <w:rFonts w:hint="eastAsia" w:ascii="仿宋" w:hAnsi="仿宋" w:eastAsia="仿宋" w:cs="仿宋"/>
          <w:color w:val="auto"/>
          <w:sz w:val="28"/>
          <w:szCs w:val="28"/>
          <w:lang w:val="en-US"/>
        </w:rPr>
        <w:t>总价</w:t>
      </w:r>
      <w:r>
        <w:rPr>
          <w:rFonts w:hint="eastAsia" w:ascii="仿宋" w:hAnsi="仿宋" w:eastAsia="仿宋" w:cs="仿宋"/>
          <w:color w:val="auto"/>
          <w:sz w:val="28"/>
          <w:szCs w:val="28"/>
          <w:lang w:val="en-US" w:eastAsia="zh-CN"/>
        </w:rPr>
        <w:t>包干</w:t>
      </w:r>
      <w:r>
        <w:rPr>
          <w:rFonts w:hint="eastAsia" w:ascii="仿宋" w:hAnsi="仿宋" w:eastAsia="仿宋" w:cs="仿宋"/>
          <w:color w:val="auto"/>
          <w:sz w:val="28"/>
          <w:szCs w:val="28"/>
          <w:lang w:val="en-US"/>
        </w:rPr>
        <w:t>，</w:t>
      </w:r>
      <w:r>
        <w:rPr>
          <w:rFonts w:hint="eastAsia" w:ascii="仿宋" w:hAnsi="仿宋" w:eastAsia="仿宋" w:cs="仿宋"/>
          <w:color w:val="auto"/>
          <w:sz w:val="28"/>
          <w:szCs w:val="28"/>
          <w:lang w:val="en-US" w:eastAsia="zh-CN"/>
        </w:rPr>
        <w:t>该标准</w:t>
      </w:r>
      <w:r>
        <w:rPr>
          <w:rFonts w:hint="eastAsia" w:ascii="仿宋" w:hAnsi="仿宋" w:eastAsia="仿宋" w:cs="仿宋"/>
          <w:color w:val="auto"/>
          <w:sz w:val="28"/>
          <w:szCs w:val="28"/>
          <w:lang w:val="en-US"/>
        </w:rPr>
        <w:t>包含履行本</w:t>
      </w:r>
      <w:r>
        <w:rPr>
          <w:rFonts w:hint="eastAsia" w:ascii="仿宋" w:hAnsi="仿宋" w:eastAsia="仿宋" w:cs="仿宋"/>
          <w:color w:val="auto"/>
          <w:sz w:val="28"/>
          <w:szCs w:val="28"/>
          <w:lang w:val="en-US" w:eastAsia="zh-CN"/>
        </w:rPr>
        <w:t>项目</w:t>
      </w:r>
      <w:r>
        <w:rPr>
          <w:rFonts w:hint="eastAsia" w:ascii="仿宋" w:hAnsi="仿宋" w:eastAsia="仿宋" w:cs="仿宋"/>
          <w:color w:val="auto"/>
          <w:sz w:val="28"/>
          <w:szCs w:val="28"/>
          <w:lang w:val="en-US"/>
        </w:rPr>
        <w:t>产生的危险废物委托处理费、包装材料费、转运服务费（人工、防护、应急等）、运输费、相关环保服务费、贮存费、税费、相关部门收费等所有费用，</w:t>
      </w:r>
      <w:r>
        <w:rPr>
          <w:rFonts w:hint="eastAsia" w:ascii="仿宋" w:hAnsi="仿宋" w:eastAsia="仿宋" w:cs="仿宋"/>
          <w:color w:val="auto"/>
          <w:sz w:val="28"/>
          <w:szCs w:val="28"/>
          <w:lang w:val="en-US" w:eastAsia="zh-CN"/>
        </w:rPr>
        <w:t>采购人</w:t>
      </w:r>
      <w:r>
        <w:rPr>
          <w:rFonts w:hint="eastAsia" w:ascii="仿宋" w:hAnsi="仿宋" w:eastAsia="仿宋" w:cs="仿宋"/>
          <w:color w:val="auto"/>
          <w:sz w:val="28"/>
          <w:szCs w:val="28"/>
          <w:lang w:val="en-US"/>
        </w:rPr>
        <w:t>不就本</w:t>
      </w:r>
      <w:r>
        <w:rPr>
          <w:rFonts w:hint="eastAsia" w:ascii="仿宋" w:hAnsi="仿宋" w:eastAsia="仿宋" w:cs="仿宋"/>
          <w:color w:val="auto"/>
          <w:sz w:val="28"/>
          <w:szCs w:val="28"/>
          <w:lang w:val="en-US" w:eastAsia="zh-CN"/>
        </w:rPr>
        <w:t>项目</w:t>
      </w:r>
      <w:r>
        <w:rPr>
          <w:rFonts w:hint="eastAsia" w:ascii="仿宋" w:hAnsi="仿宋" w:eastAsia="仿宋" w:cs="仿宋"/>
          <w:color w:val="auto"/>
          <w:sz w:val="28"/>
          <w:szCs w:val="28"/>
          <w:lang w:val="en-US"/>
        </w:rPr>
        <w:t>服务内容额外支付任何费用。</w:t>
      </w:r>
    </w:p>
    <w:p w14:paraId="4ECC7DF2">
      <w:pPr>
        <w:keepNext w:val="0"/>
        <w:keepLines w:val="0"/>
        <w:pageBreakBefore w:val="0"/>
        <w:widowControl/>
        <w:kinsoku/>
        <w:wordWrap/>
        <w:overflowPunct w:val="0"/>
        <w:topLinePunct w:val="0"/>
        <w:autoSpaceDE w:val="0"/>
        <w:autoSpaceDN w:val="0"/>
        <w:bidi w:val="0"/>
        <w:adjustRightInd w:val="0"/>
        <w:snapToGrid/>
        <w:spacing w:line="600" w:lineRule="exact"/>
        <w:ind w:firstLine="560" w:firstLineChars="200"/>
        <w:jc w:val="both"/>
        <w:textAlignment w:val="baseline"/>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2、中标人应在采购人付款前，向采购人提供以中标人名义开具的该次结算金额增值税普通发票。如中标人未提供发票，采购人有权顺延付款期限。</w:t>
      </w:r>
    </w:p>
    <w:p w14:paraId="5BA0C78E">
      <w:pPr>
        <w:keepNext w:val="0"/>
        <w:keepLines w:val="0"/>
        <w:pageBreakBefore w:val="0"/>
        <w:widowControl/>
        <w:kinsoku/>
        <w:wordWrap/>
        <w:overflowPunct w:val="0"/>
        <w:topLinePunct w:val="0"/>
        <w:autoSpaceDE w:val="0"/>
        <w:autoSpaceDN w:val="0"/>
        <w:bidi w:val="0"/>
        <w:adjustRightInd w:val="0"/>
        <w:snapToGrid/>
        <w:spacing w:line="600" w:lineRule="exact"/>
        <w:ind w:firstLine="560" w:firstLineChars="200"/>
        <w:jc w:val="both"/>
        <w:textAlignment w:val="baseline"/>
        <w:rPr>
          <w:rFonts w:hint="eastAsia" w:ascii="仿宋" w:hAnsi="仿宋" w:eastAsia="仿宋" w:cs="仿宋"/>
          <w:b w:val="0"/>
          <w:bCs w:val="0"/>
          <w:color w:val="auto"/>
          <w:sz w:val="28"/>
          <w:szCs w:val="28"/>
          <w:lang w:val="en-US" w:eastAsia="zh-CN"/>
        </w:rPr>
      </w:pPr>
      <w:r>
        <w:rPr>
          <w:rFonts w:hint="default" w:ascii="仿宋" w:hAnsi="仿宋" w:eastAsia="仿宋" w:cs="仿宋"/>
          <w:b w:val="0"/>
          <w:bCs w:val="0"/>
          <w:color w:val="auto"/>
          <w:sz w:val="28"/>
          <w:szCs w:val="28"/>
          <w:lang w:val="en-US" w:eastAsia="zh-CN"/>
        </w:rPr>
        <w:t>十</w:t>
      </w:r>
      <w:r>
        <w:rPr>
          <w:rFonts w:hint="eastAsia" w:ascii="仿宋" w:hAnsi="仿宋" w:eastAsia="仿宋" w:cs="仿宋"/>
          <w:b w:val="0"/>
          <w:bCs w:val="0"/>
          <w:color w:val="auto"/>
          <w:sz w:val="28"/>
          <w:szCs w:val="28"/>
          <w:lang w:val="en-US" w:eastAsia="zh-CN"/>
        </w:rPr>
        <w:t>一、其他未尽事宜双方签订合同时约定。</w:t>
      </w:r>
    </w:p>
    <w:p w14:paraId="1D3337D4">
      <w:pPr>
        <w:keepNext w:val="0"/>
        <w:keepLines w:val="0"/>
        <w:pageBreakBefore w:val="0"/>
        <w:widowControl/>
        <w:kinsoku/>
        <w:wordWrap/>
        <w:overflowPunct w:val="0"/>
        <w:topLinePunct w:val="0"/>
        <w:autoSpaceDE w:val="0"/>
        <w:autoSpaceDN w:val="0"/>
        <w:bidi w:val="0"/>
        <w:adjustRightInd w:val="0"/>
        <w:snapToGrid/>
        <w:spacing w:line="600" w:lineRule="exact"/>
        <w:ind w:firstLine="560" w:firstLineChars="200"/>
        <w:jc w:val="both"/>
        <w:textAlignment w:val="baseline"/>
        <w:rPr>
          <w:rFonts w:hint="eastAsia" w:ascii="仿宋" w:hAnsi="仿宋" w:eastAsia="仿宋" w:cs="仿宋"/>
          <w:b w:val="0"/>
          <w:bCs w:val="0"/>
          <w:color w:val="auto"/>
          <w:sz w:val="28"/>
          <w:szCs w:val="28"/>
          <w:u w:val="single"/>
          <w:lang w:val="en-US" w:eastAsia="zh-CN"/>
        </w:rPr>
      </w:pPr>
      <w:r>
        <w:rPr>
          <w:rFonts w:hint="eastAsia" w:ascii="仿宋" w:hAnsi="仿宋" w:eastAsia="仿宋" w:cs="仿宋"/>
          <w:b w:val="0"/>
          <w:bCs w:val="0"/>
          <w:color w:val="auto"/>
          <w:sz w:val="28"/>
          <w:szCs w:val="28"/>
          <w:lang w:val="en-US" w:eastAsia="zh-CN"/>
        </w:rPr>
        <w:t>十二、供应商报价：</w:t>
      </w:r>
      <w:r>
        <w:rPr>
          <w:rFonts w:hint="eastAsia" w:ascii="仿宋" w:hAnsi="仿宋" w:eastAsia="仿宋" w:cs="仿宋"/>
          <w:b w:val="0"/>
          <w:bCs w:val="0"/>
          <w:color w:val="auto"/>
          <w:sz w:val="28"/>
          <w:szCs w:val="28"/>
          <w:u w:val="single"/>
          <w:lang w:val="en-US" w:eastAsia="zh-CN"/>
        </w:rPr>
        <w:t xml:space="preserve">             元（大写：           元整）</w:t>
      </w:r>
    </w:p>
    <w:p w14:paraId="53ABA9AA">
      <w:pPr>
        <w:ind w:firstLine="560" w:firstLineChars="200"/>
        <w:rPr>
          <w:rFonts w:hint="eastAsia" w:ascii="仿宋" w:hAnsi="仿宋" w:eastAsia="仿宋" w:cs="仿宋"/>
          <w:sz w:val="28"/>
          <w:szCs w:val="28"/>
          <w:lang w:val="en-US" w:eastAsia="zh-CN"/>
        </w:rPr>
      </w:pPr>
      <w:r>
        <w:rPr>
          <w:rFonts w:hint="eastAsia" w:ascii="仿宋" w:hAnsi="仿宋" w:eastAsia="仿宋" w:cs="仿宋"/>
          <w:b w:val="0"/>
          <w:bCs w:val="0"/>
          <w:color w:val="auto"/>
          <w:sz w:val="28"/>
          <w:szCs w:val="28"/>
          <w:u w:val="single"/>
          <w:lang w:val="en-US" w:eastAsia="zh-CN"/>
        </w:rPr>
        <w:t>十三、</w:t>
      </w:r>
      <w:r>
        <w:rPr>
          <w:rFonts w:hint="eastAsia" w:ascii="仿宋" w:hAnsi="仿宋" w:eastAsia="仿宋" w:cs="仿宋"/>
          <w:sz w:val="28"/>
          <w:szCs w:val="28"/>
          <w:lang w:val="en-US" w:eastAsia="zh-CN"/>
        </w:rPr>
        <w:t>供应商在投标时须提供以下材料复印件并加盖公章：</w:t>
      </w:r>
    </w:p>
    <w:p w14:paraId="07A9A82C">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1、营业执照，营业执照营业范围必须包含经营此项目</w:t>
      </w:r>
    </w:p>
    <w:p w14:paraId="79A34538">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2、投标人身份证复印件；</w:t>
      </w:r>
    </w:p>
    <w:p w14:paraId="35E777EE">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3、如投标人不是法定代表人，须持法定代表人亲笔签名的授权委托书，并提供法定代表人身份证复印件。</w:t>
      </w:r>
    </w:p>
    <w:p w14:paraId="32D918A7">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4、售后服务承诺函；</w:t>
      </w:r>
    </w:p>
    <w:p w14:paraId="1C0A0BEB">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5、 三年内在经营活动中没有重大违法记录（需提供“信用中国”网址查询记录证明）</w:t>
      </w:r>
    </w:p>
    <w:p w14:paraId="6601B52D">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 其他招标文件要求的资料。</w:t>
      </w:r>
    </w:p>
    <w:p w14:paraId="1F694710">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7、 </w:t>
      </w:r>
      <w:bookmarkStart w:id="0" w:name="_GoBack"/>
      <w:bookmarkEnd w:id="0"/>
      <w:r>
        <w:rPr>
          <w:rFonts w:hint="eastAsia" w:ascii="仿宋" w:hAnsi="仿宋" w:eastAsia="仿宋" w:cs="仿宋"/>
          <w:sz w:val="28"/>
          <w:szCs w:val="28"/>
          <w:lang w:val="en-US" w:eastAsia="zh-CN"/>
        </w:rPr>
        <w:t>所有资料均密封盖章：</w:t>
      </w:r>
    </w:p>
    <w:p w14:paraId="7E36084F">
      <w:pPr>
        <w:pStyle w:val="13"/>
        <w:ind w:left="0" w:leftChars="0" w:firstLine="480" w:firstLineChars="20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宋体">
    <w:altName w:val="宋体"/>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AC45BF"/>
    <w:multiLevelType w:val="singleLevel"/>
    <w:tmpl w:val="B6AC45BF"/>
    <w:lvl w:ilvl="0" w:tentative="0">
      <w:start w:val="1"/>
      <w:numFmt w:val="decimal"/>
      <w:suff w:val="nothing"/>
      <w:lvlText w:val="%1、"/>
      <w:lvlJc w:val="left"/>
    </w:lvl>
  </w:abstractNum>
  <w:abstractNum w:abstractNumId="1">
    <w:nsid w:val="BC88BE13"/>
    <w:multiLevelType w:val="singleLevel"/>
    <w:tmpl w:val="BC88BE13"/>
    <w:lvl w:ilvl="0" w:tentative="0">
      <w:start w:val="1"/>
      <w:numFmt w:val="decimal"/>
      <w:suff w:val="nothing"/>
      <w:lvlText w:val="%1、"/>
      <w:lvlJc w:val="left"/>
    </w:lvl>
  </w:abstractNum>
  <w:abstractNum w:abstractNumId="2">
    <w:nsid w:val="E8D8BDAC"/>
    <w:multiLevelType w:val="singleLevel"/>
    <w:tmpl w:val="E8D8BDAC"/>
    <w:lvl w:ilvl="0" w:tentative="0">
      <w:start w:val="1"/>
      <w:numFmt w:val="decimal"/>
      <w:suff w:val="nothing"/>
      <w:lvlText w:val="%1、"/>
      <w:lvlJc w:val="left"/>
    </w:lvl>
  </w:abstractNum>
  <w:abstractNum w:abstractNumId="3">
    <w:nsid w:val="1FD5FB24"/>
    <w:multiLevelType w:val="singleLevel"/>
    <w:tmpl w:val="1FD5FB24"/>
    <w:lvl w:ilvl="0" w:tentative="0">
      <w:start w:val="1"/>
      <w:numFmt w:val="chineseCounting"/>
      <w:suff w:val="nothing"/>
      <w:lvlText w:val="%1、"/>
      <w:lvlJc w:val="left"/>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lZTFiYjc0MWQ5NDVmYWY2MjM2ZmYwMGNiZDVmYzYifQ=="/>
  </w:docVars>
  <w:rsids>
    <w:rsidRoot w:val="00000000"/>
    <w:rsid w:val="007858D1"/>
    <w:rsid w:val="015953A8"/>
    <w:rsid w:val="01F62F61"/>
    <w:rsid w:val="079E1558"/>
    <w:rsid w:val="08781091"/>
    <w:rsid w:val="09003201"/>
    <w:rsid w:val="09D72513"/>
    <w:rsid w:val="0D5D497C"/>
    <w:rsid w:val="0FD40742"/>
    <w:rsid w:val="133A5ED0"/>
    <w:rsid w:val="145F157F"/>
    <w:rsid w:val="150C68CB"/>
    <w:rsid w:val="15E75D0D"/>
    <w:rsid w:val="19AB3A38"/>
    <w:rsid w:val="1C8162CA"/>
    <w:rsid w:val="1D5A6DFF"/>
    <w:rsid w:val="21391238"/>
    <w:rsid w:val="234A05BF"/>
    <w:rsid w:val="2B520C9C"/>
    <w:rsid w:val="2E1240CB"/>
    <w:rsid w:val="34076B60"/>
    <w:rsid w:val="351917CB"/>
    <w:rsid w:val="35284DDE"/>
    <w:rsid w:val="35506E0A"/>
    <w:rsid w:val="35B949C1"/>
    <w:rsid w:val="35EB438D"/>
    <w:rsid w:val="379B635A"/>
    <w:rsid w:val="38A500E9"/>
    <w:rsid w:val="3C6F3C0D"/>
    <w:rsid w:val="42BC2E2F"/>
    <w:rsid w:val="43D15145"/>
    <w:rsid w:val="47C62A3C"/>
    <w:rsid w:val="4A8C44EB"/>
    <w:rsid w:val="57B123DF"/>
    <w:rsid w:val="59C469D4"/>
    <w:rsid w:val="5C3655A9"/>
    <w:rsid w:val="5F491D65"/>
    <w:rsid w:val="62591FD7"/>
    <w:rsid w:val="628232F6"/>
    <w:rsid w:val="6B4E0D76"/>
    <w:rsid w:val="6D490634"/>
    <w:rsid w:val="6D73015A"/>
    <w:rsid w:val="6FE6404D"/>
    <w:rsid w:val="74F43A2B"/>
    <w:rsid w:val="76203C5A"/>
    <w:rsid w:val="77DA092C"/>
    <w:rsid w:val="78047B96"/>
    <w:rsid w:val="79403EDB"/>
    <w:rsid w:val="7A6D74B8"/>
    <w:rsid w:val="7B617BC7"/>
    <w:rsid w:val="7D905C21"/>
    <w:rsid w:val="7FDA75A5"/>
    <w:rsid w:val="7FED4B47"/>
    <w:rsid w:val="7FFE4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link w:val="17"/>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2"/>
    <w:basedOn w:val="1"/>
    <w:next w:val="1"/>
    <w:link w:val="18"/>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6">
    <w:name w:val="heading 3"/>
    <w:qFormat/>
    <w:uiPriority w:val="0"/>
    <w:pPr>
      <w:keepNext/>
      <w:keepLines/>
      <w:widowControl w:val="0"/>
      <w:spacing w:before="260" w:after="260" w:line="413" w:lineRule="auto"/>
      <w:jc w:val="both"/>
      <w:outlineLvl w:val="2"/>
    </w:pPr>
    <w:rPr>
      <w:rFonts w:ascii="华文宋体" w:hAnsi="华文宋体" w:eastAsia="华文宋体" w:cs="华文宋体"/>
      <w:b/>
      <w:kern w:val="2"/>
      <w:sz w:val="32"/>
      <w:lang w:val="en-US" w:eastAsia="zh-CN" w:bidi="ar-SA"/>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customStyle="1" w:styleId="2">
    <w:name w:val="正文格式"/>
    <w:basedOn w:val="3"/>
    <w:qFormat/>
    <w:uiPriority w:val="0"/>
    <w:pPr>
      <w:widowControl/>
      <w:adjustRightInd w:val="0"/>
      <w:spacing w:line="400" w:lineRule="atLeast"/>
      <w:ind w:firstLine="482"/>
      <w:textAlignment w:val="baseline"/>
    </w:pPr>
    <w:rPr>
      <w:kern w:val="0"/>
      <w:sz w:val="24"/>
      <w:szCs w:val="20"/>
    </w:rPr>
  </w:style>
  <w:style w:type="paragraph" w:customStyle="1" w:styleId="3">
    <w:name w:val="正文11"/>
    <w:next w:val="2"/>
    <w:qFormat/>
    <w:uiPriority w:val="0"/>
    <w:pPr>
      <w:widowControl w:val="0"/>
      <w:suppressAutoHyphens w:val="0"/>
      <w:bidi w:val="0"/>
      <w:spacing w:beforeLines="0" w:beforeAutospacing="0" w:afterLines="0" w:afterAutospacing="0"/>
      <w:jc w:val="both"/>
    </w:pPr>
    <w:rPr>
      <w:rFonts w:ascii="Times New Roman" w:hAnsi="Times New Roman" w:eastAsia="宋体" w:cs="Times New Roman"/>
      <w:color w:val="000000"/>
      <w:kern w:val="2"/>
      <w:sz w:val="21"/>
      <w:szCs w:val="24"/>
      <w:lang w:val="en-US" w:eastAsia="zh-CN" w:bidi="ar-SA"/>
    </w:rPr>
  </w:style>
  <w:style w:type="paragraph" w:styleId="7">
    <w:name w:val="Normal Indent"/>
    <w:basedOn w:val="1"/>
    <w:next w:val="8"/>
    <w:qFormat/>
    <w:uiPriority w:val="0"/>
    <w:pPr>
      <w:widowControl/>
      <w:ind w:firstLine="420"/>
      <w:jc w:val="left"/>
    </w:pPr>
    <w:rPr>
      <w:kern w:val="0"/>
      <w:sz w:val="20"/>
      <w:szCs w:val="20"/>
    </w:rPr>
  </w:style>
  <w:style w:type="paragraph" w:customStyle="1" w:styleId="8">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9">
    <w:name w:val="Body Text"/>
    <w:basedOn w:val="1"/>
    <w:next w:val="10"/>
    <w:qFormat/>
    <w:uiPriority w:val="1"/>
    <w:rPr>
      <w:rFonts w:ascii="宋体" w:hAnsi="宋体" w:eastAsia="宋体" w:cs="宋体"/>
      <w:sz w:val="24"/>
      <w:szCs w:val="24"/>
      <w:lang w:val="zh-CN" w:eastAsia="zh-CN" w:bidi="zh-CN"/>
    </w:rPr>
  </w:style>
  <w:style w:type="paragraph" w:styleId="10">
    <w:name w:val="Title"/>
    <w:basedOn w:val="1"/>
    <w:next w:val="1"/>
    <w:qFormat/>
    <w:uiPriority w:val="10"/>
    <w:pPr>
      <w:spacing w:before="240" w:after="60"/>
      <w:jc w:val="center"/>
      <w:outlineLvl w:val="0"/>
    </w:pPr>
    <w:rPr>
      <w:rFonts w:ascii="Cambria" w:hAnsi="Cambria" w:cs="Times New Roman"/>
      <w:b/>
      <w:bCs/>
      <w:sz w:val="32"/>
      <w:szCs w:val="32"/>
    </w:rPr>
  </w:style>
  <w:style w:type="paragraph" w:styleId="11">
    <w:name w:val="Body Text Indent"/>
    <w:basedOn w:val="1"/>
    <w:next w:val="1"/>
    <w:qFormat/>
    <w:uiPriority w:val="0"/>
    <w:pPr>
      <w:spacing w:after="120"/>
      <w:ind w:left="420" w:leftChars="200"/>
    </w:pPr>
    <w:rPr>
      <w:rFonts w:ascii="Times New Roman" w:hAnsi="Times New Roman"/>
      <w:kern w:val="0"/>
      <w:sz w:val="24"/>
    </w:rPr>
  </w:style>
  <w:style w:type="paragraph" w:styleId="12">
    <w:name w:val="Normal (Web)"/>
    <w:basedOn w:val="1"/>
    <w:qFormat/>
    <w:uiPriority w:val="99"/>
    <w:pPr>
      <w:widowControl/>
      <w:spacing w:before="100" w:beforeAutospacing="1" w:after="100" w:afterAutospacing="1"/>
      <w:jc w:val="left"/>
    </w:pPr>
    <w:rPr>
      <w:kern w:val="0"/>
    </w:rPr>
  </w:style>
  <w:style w:type="paragraph" w:styleId="13">
    <w:name w:val="Body Text First Indent 2"/>
    <w:basedOn w:val="11"/>
    <w:next w:val="7"/>
    <w:qFormat/>
    <w:uiPriority w:val="0"/>
    <w:pPr>
      <w:ind w:firstLine="420" w:firstLineChars="200"/>
    </w:p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标题 1 Char"/>
    <w:link w:val="4"/>
    <w:qFormat/>
    <w:uiPriority w:val="0"/>
    <w:rPr>
      <w:b/>
      <w:kern w:val="44"/>
      <w:sz w:val="44"/>
    </w:rPr>
  </w:style>
  <w:style w:type="character" w:customStyle="1" w:styleId="18">
    <w:name w:val="标题 2 Char"/>
    <w:link w:val="5"/>
    <w:qFormat/>
    <w:uiPriority w:val="0"/>
    <w:rPr>
      <w:rFonts w:ascii="Arial" w:hAnsi="Arial" w:eastAsia="黑体"/>
      <w:b/>
      <w:sz w:val="32"/>
    </w:rPr>
  </w:style>
  <w:style w:type="paragraph" w:customStyle="1" w:styleId="19">
    <w:name w:val="三级"/>
    <w:basedOn w:val="6"/>
    <w:qFormat/>
    <w:uiPriority w:val="0"/>
    <w:rPr>
      <w:rFonts w:ascii="宋体" w:hAnsi="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1192</Words>
  <Characters>1263</Characters>
  <Lines>0</Lines>
  <Paragraphs>0</Paragraphs>
  <TotalTime>1</TotalTime>
  <ScaleCrop>false</ScaleCrop>
  <LinksUpToDate>false</LinksUpToDate>
  <CharactersWithSpaces>1288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2023-04-15T01:27:00Z</dcterms:created>
  <dc:creator>Administrator</dc:creator>
  <cp:lastModifiedBy>是小豹子</cp:lastModifiedBy>
  <cp:lastPrinted>2024-01-08T01:46:00Z</cp:lastPrinted>
  <dcterms:modified xsi:type="dcterms:W3CDTF">2026-08-13T08:15:05Z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0F50EDF955E94E86908FF86B035F41CF_13</vt:lpwstr>
  </property>
  <property fmtid="{D5CDD505-2E9C-101B-9397-08002B2CF9AE}" pid="4" name="KSOTemplateDocerSaveRecord">
    <vt:lpwstr>eyJoZGlkIjoiMWZlZTFiYjc0MWQ5NDVmYWY2MjM2ZmYwMGNiZDVmYzYiLCJ1c2VySWQiOiIzMDQ3NTQ4MDUifQ==</vt:lpwstr>
  </property>
</Properties>
</file>