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43F9">
      <w:pPr>
        <w:pStyle w:val="6"/>
        <w:snapToGrid w:val="0"/>
        <w:jc w:val="center"/>
        <w:rPr>
          <w:rFonts w:ascii="Arial" w:hAnsi="Arial" w:eastAsia="方正小标宋简体" w:cs="Arial"/>
          <w:color w:val="auto"/>
          <w:sz w:val="72"/>
          <w:szCs w:val="72"/>
        </w:rPr>
      </w:pPr>
    </w:p>
    <w:p w14:paraId="16840ED3">
      <w:pPr>
        <w:pStyle w:val="6"/>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14:paraId="62762BB7">
      <w:pPr>
        <w:pStyle w:val="6"/>
        <w:snapToGrid w:val="0"/>
        <w:jc w:val="center"/>
        <w:rPr>
          <w:rFonts w:ascii="Arial" w:hAnsi="Arial" w:eastAsia="方正小标宋简体" w:cs="Arial"/>
          <w:sz w:val="72"/>
          <w:szCs w:val="72"/>
        </w:rPr>
      </w:pPr>
    </w:p>
    <w:p w14:paraId="2C6D482E">
      <w:pPr>
        <w:pStyle w:val="6"/>
        <w:snapToGrid w:val="0"/>
        <w:jc w:val="center"/>
        <w:rPr>
          <w:rFonts w:ascii="Arial" w:hAnsi="Arial" w:eastAsia="方正小标宋简体" w:cs="Arial"/>
          <w:sz w:val="72"/>
          <w:szCs w:val="72"/>
        </w:rPr>
      </w:pPr>
    </w:p>
    <w:p w14:paraId="0C1B899A">
      <w:pPr>
        <w:pStyle w:val="6"/>
        <w:snapToGrid w:val="0"/>
        <w:jc w:val="center"/>
        <w:rPr>
          <w:rFonts w:ascii="Arial" w:hAnsi="Arial" w:eastAsia="方正小标宋简体" w:cs="Arial"/>
          <w:sz w:val="72"/>
          <w:szCs w:val="72"/>
        </w:rPr>
      </w:pPr>
    </w:p>
    <w:p w14:paraId="1A95871E">
      <w:pPr>
        <w:pStyle w:val="6"/>
        <w:snapToGrid w:val="0"/>
        <w:jc w:val="center"/>
        <w:rPr>
          <w:rFonts w:ascii="Arial" w:hAnsi="Arial" w:cs="Arial"/>
          <w:sz w:val="32"/>
          <w:szCs w:val="32"/>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2BAC077E">
      <w:pPr>
        <w:pStyle w:val="6"/>
        <w:snapToGrid w:val="0"/>
        <w:jc w:val="center"/>
        <w:rPr>
          <w:rFonts w:ascii="Arial" w:hAnsi="Arial" w:cs="Arial"/>
          <w:sz w:val="32"/>
          <w:szCs w:val="32"/>
        </w:rPr>
      </w:pPr>
    </w:p>
    <w:p w14:paraId="704AEA95">
      <w:pPr>
        <w:pStyle w:val="6"/>
        <w:snapToGrid w:val="0"/>
        <w:jc w:val="center"/>
        <w:rPr>
          <w:rFonts w:ascii="Arial" w:hAnsi="Arial" w:cs="Arial"/>
          <w:sz w:val="32"/>
          <w:szCs w:val="32"/>
        </w:rPr>
      </w:pPr>
    </w:p>
    <w:p w14:paraId="370692B7">
      <w:pPr>
        <w:pStyle w:val="6"/>
        <w:snapToGrid w:val="0"/>
        <w:jc w:val="center"/>
        <w:rPr>
          <w:rFonts w:ascii="Arial" w:hAnsi="Arial" w:cs="Arial"/>
          <w:sz w:val="32"/>
          <w:szCs w:val="32"/>
        </w:rPr>
      </w:pPr>
    </w:p>
    <w:p w14:paraId="3B433057">
      <w:pPr>
        <w:pStyle w:val="6"/>
        <w:snapToGrid w:val="0"/>
        <w:jc w:val="center"/>
        <w:rPr>
          <w:rFonts w:ascii="Arial" w:hAnsi="Arial" w:cs="Arial"/>
          <w:sz w:val="32"/>
          <w:szCs w:val="32"/>
        </w:rPr>
      </w:pPr>
    </w:p>
    <w:p w14:paraId="4682DD67">
      <w:pPr>
        <w:pStyle w:val="6"/>
        <w:snapToGrid w:val="0"/>
        <w:jc w:val="center"/>
        <w:rPr>
          <w:rFonts w:ascii="Arial" w:hAnsi="Arial" w:cs="Arial"/>
          <w:sz w:val="32"/>
          <w:szCs w:val="32"/>
        </w:rPr>
      </w:pPr>
    </w:p>
    <w:p w14:paraId="295EDADF">
      <w:pPr>
        <w:pStyle w:val="6"/>
        <w:snapToGrid w:val="0"/>
        <w:jc w:val="center"/>
        <w:rPr>
          <w:rFonts w:ascii="Arial" w:hAnsi="Arial" w:cs="Arial"/>
          <w:sz w:val="32"/>
          <w:szCs w:val="32"/>
        </w:rPr>
      </w:pPr>
    </w:p>
    <w:p w14:paraId="05545ADF">
      <w:pPr>
        <w:pStyle w:val="6"/>
        <w:snapToGrid w:val="0"/>
        <w:jc w:val="center"/>
        <w:rPr>
          <w:rFonts w:ascii="Arial" w:hAnsi="Arial" w:cs="Arial"/>
          <w:sz w:val="32"/>
          <w:szCs w:val="32"/>
        </w:rPr>
      </w:pPr>
    </w:p>
    <w:p w14:paraId="2B4B62AC">
      <w:pPr>
        <w:pStyle w:val="6"/>
        <w:snapToGrid w:val="0"/>
        <w:jc w:val="center"/>
        <w:rPr>
          <w:rFonts w:ascii="Arial" w:hAnsi="Arial" w:cs="Arial"/>
          <w:sz w:val="32"/>
          <w:szCs w:val="32"/>
        </w:rPr>
      </w:pPr>
    </w:p>
    <w:p w14:paraId="2E9C0262">
      <w:pPr>
        <w:pStyle w:val="6"/>
        <w:snapToGrid w:val="0"/>
        <w:jc w:val="center"/>
        <w:rPr>
          <w:rFonts w:ascii="Arial" w:hAnsi="Arial" w:cs="Arial"/>
          <w:sz w:val="32"/>
          <w:szCs w:val="32"/>
        </w:rPr>
      </w:pPr>
    </w:p>
    <w:p w14:paraId="33AD271B">
      <w:pPr>
        <w:pStyle w:val="6"/>
        <w:snapToGrid w:val="0"/>
        <w:jc w:val="center"/>
        <w:rPr>
          <w:rFonts w:ascii="Arial" w:hAnsi="Arial" w:cs="Arial"/>
          <w:sz w:val="32"/>
          <w:szCs w:val="32"/>
        </w:rPr>
      </w:pPr>
    </w:p>
    <w:p w14:paraId="0F619B18">
      <w:pPr>
        <w:pStyle w:val="6"/>
        <w:snapToGrid w:val="0"/>
        <w:jc w:val="center"/>
        <w:rPr>
          <w:rFonts w:ascii="Arial" w:hAnsi="Arial" w:cs="Arial"/>
          <w:sz w:val="32"/>
          <w:szCs w:val="32"/>
        </w:rPr>
      </w:pPr>
    </w:p>
    <w:p w14:paraId="6357A890">
      <w:pPr>
        <w:spacing w:line="360" w:lineRule="auto"/>
        <w:rPr>
          <w:rFonts w:hint="eastAsia"/>
          <w:bCs/>
          <w:sz w:val="32"/>
          <w:szCs w:val="32"/>
        </w:rPr>
      </w:pPr>
    </w:p>
    <w:p w14:paraId="218BAC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bookmarkStart w:id="4" w:name="_GoBack"/>
      <w:r>
        <w:rPr>
          <w:rFonts w:hint="eastAsia"/>
          <w:bCs/>
          <w:sz w:val="32"/>
          <w:szCs w:val="32"/>
        </w:rPr>
        <w:t>娄底市中心医院</w:t>
      </w:r>
      <w:r>
        <w:rPr>
          <w:rFonts w:hint="eastAsia"/>
          <w:bCs/>
          <w:sz w:val="32"/>
          <w:szCs w:val="32"/>
          <w:lang w:eastAsia="zh-CN"/>
        </w:rPr>
        <w:t>HRP维保及消毒供应系统升级服务</w:t>
      </w:r>
      <w:r>
        <w:rPr>
          <w:rFonts w:hint="eastAsia"/>
          <w:bCs/>
          <w:sz w:val="32"/>
          <w:szCs w:val="32"/>
        </w:rPr>
        <w:t>项目</w:t>
      </w:r>
      <w:bookmarkEnd w:id="4"/>
      <w:r>
        <w:rPr>
          <w:rFonts w:hint="eastAsia"/>
          <w:bCs/>
          <w:sz w:val="32"/>
          <w:szCs w:val="32"/>
        </w:rPr>
        <w:t>文件（院内</w:t>
      </w:r>
      <w:r>
        <w:rPr>
          <w:rFonts w:hint="eastAsia"/>
          <w:bCs/>
          <w:sz w:val="32"/>
          <w:szCs w:val="32"/>
          <w:lang w:eastAsia="zh-CN"/>
        </w:rPr>
        <w:t>单一来源</w:t>
      </w:r>
      <w:r>
        <w:rPr>
          <w:rFonts w:hint="eastAsia"/>
          <w:bCs/>
          <w:sz w:val="32"/>
          <w:szCs w:val="32"/>
        </w:rPr>
        <w:t>）</w:t>
      </w:r>
    </w:p>
    <w:p w14:paraId="02F110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587C9C5A">
      <w:pPr>
        <w:spacing w:line="320" w:lineRule="exact"/>
        <w:jc w:val="left"/>
        <w:rPr>
          <w:sz w:val="24"/>
        </w:rPr>
      </w:pPr>
    </w:p>
    <w:p w14:paraId="1AB6346D">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八</w:t>
      </w:r>
      <w:r>
        <w:rPr>
          <w:rFonts w:hint="eastAsia" w:ascii="宋体" w:hAnsi="宋体" w:cs="宋体"/>
          <w:bCs/>
          <w:sz w:val="32"/>
          <w:szCs w:val="32"/>
        </w:rPr>
        <w:t>月</w:t>
      </w:r>
    </w:p>
    <w:p w14:paraId="0B00856B">
      <w:pPr>
        <w:rPr>
          <w:rFonts w:hint="eastAsia" w:ascii="宋体" w:hAnsi="宋体" w:cs="宋体"/>
          <w:color w:val="auto"/>
          <w:sz w:val="44"/>
          <w:szCs w:val="44"/>
          <w:lang w:val="en-US" w:eastAsia="zh-CN"/>
        </w:rPr>
      </w:pPr>
    </w:p>
    <w:p w14:paraId="364B36E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16CC19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第一章</w:t>
      </w:r>
      <w:r>
        <w:rPr>
          <w:rFonts w:hint="eastAsia" w:ascii="宋体" w:hAnsi="宋体" w:cs="宋体"/>
          <w:color w:val="auto"/>
          <w:sz w:val="44"/>
          <w:szCs w:val="44"/>
        </w:rPr>
        <w:t>投标邀请</w:t>
      </w:r>
      <w:bookmarkEnd w:id="0"/>
    </w:p>
    <w:p w14:paraId="1BF1FA8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娄底市中心医院的HRP维保及消毒供应系统升级服务项目（项目名称）项目进行单一来源采购，现邀请你单位（快享医疗科技（上海）有限公司）参加协商。</w:t>
      </w:r>
    </w:p>
    <w:p w14:paraId="068D625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43280D9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项目名称：HRP维保及消毒供应系统升级服务项目</w:t>
      </w:r>
    </w:p>
    <w:p w14:paraId="23F2527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二、采购方式</w:t>
      </w:r>
    </w:p>
    <w:p w14:paraId="52349D9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1、院内单一来源议价，由院内组织议价小组谈判。</w:t>
      </w:r>
    </w:p>
    <w:p w14:paraId="739ED6D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57D4A9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F1CE3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7612871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ED4575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4C207BA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3F4A22A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14:paraId="493D040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7"/>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14:paraId="4159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1E6601D4">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14:paraId="2CE8C036">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14:paraId="6EE1500F">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14:paraId="080557CD">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预算（万元）</w:t>
            </w:r>
          </w:p>
        </w:tc>
      </w:tr>
      <w:tr w14:paraId="4AE4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D8AC5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14:paraId="547880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HRP维保及消毒供应系统升级服务项目</w:t>
            </w:r>
          </w:p>
        </w:tc>
        <w:tc>
          <w:tcPr>
            <w:tcW w:w="1815" w:type="dxa"/>
            <w:tcBorders>
              <w:top w:val="single" w:color="auto" w:sz="4" w:space="0"/>
              <w:left w:val="single" w:color="auto" w:sz="4" w:space="0"/>
              <w:bottom w:val="single" w:color="auto" w:sz="4" w:space="0"/>
              <w:right w:val="single" w:color="auto" w:sz="4" w:space="0"/>
            </w:tcBorders>
            <w:vAlign w:val="center"/>
          </w:tcPr>
          <w:p w14:paraId="61900498">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1批</w:t>
            </w:r>
          </w:p>
        </w:tc>
        <w:tc>
          <w:tcPr>
            <w:tcW w:w="1972" w:type="dxa"/>
            <w:tcBorders>
              <w:top w:val="single" w:color="auto" w:sz="4" w:space="0"/>
              <w:left w:val="single" w:color="auto" w:sz="4" w:space="0"/>
              <w:bottom w:val="single" w:color="auto" w:sz="4" w:space="0"/>
              <w:right w:val="single" w:color="auto" w:sz="4" w:space="0"/>
            </w:tcBorders>
            <w:vAlign w:val="center"/>
          </w:tcPr>
          <w:p w14:paraId="4CE1DA79">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9.6</w:t>
            </w:r>
          </w:p>
        </w:tc>
      </w:tr>
    </w:tbl>
    <w:p w14:paraId="4E0E4728">
      <w:pPr>
        <w:spacing w:line="360" w:lineRule="auto"/>
        <w:rPr>
          <w:rFonts w:hint="default" w:ascii="仿宋_GB2312" w:hAnsi="Times New Roman" w:eastAsia="仿宋_GB2312" w:cs="仿宋_GB2312"/>
          <w:bCs/>
          <w:color w:val="auto"/>
          <w:kern w:val="0"/>
          <w:sz w:val="28"/>
          <w:szCs w:val="28"/>
          <w:lang w:val="en-US" w:eastAsia="zh-CN" w:bidi="ar-SA"/>
        </w:rPr>
      </w:pPr>
    </w:p>
    <w:p w14:paraId="5A0C8E2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、服务地点：娄底市中心医院。</w:t>
      </w:r>
    </w:p>
    <w:p w14:paraId="0C01D2BE">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p w14:paraId="4C2D828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一、事件恢复：服务人员按照客户对应的服务级别协议，为客户提供日常使用系统的事件恢复服务，具体内容包括但不限于：软件安装、业务咨询、报障处理、常用报表核对与纠错、操作性错误导致的问题。</w:t>
      </w:r>
    </w:p>
    <w:p w14:paraId="59192B7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二、问题修复：服务人员在发现系统运行问题或者接收到客户反馈到的问题之后，对问题发生的根本原因进行分析，并商讨、发布、落实对应整改建议，对该问题进行修复。</w:t>
      </w:r>
    </w:p>
    <w:p w14:paraId="4E89B82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版本内需求升级：服务人员收集多方诉求，形成规范需求清单，对产品提供系统升级服务，此版本升级包含大版本升级、小包升级、迭代升级等升级类型（包括消毒供应室系统跨版本升级及手术室消毒包追溯功能费用）。升级内容如下：</w:t>
      </w:r>
    </w:p>
    <w:p w14:paraId="2DBDA75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1、支持回收、清洗、包装、灭菌和发放业务中点击条码可以看到追溯信息功能。</w:t>
      </w:r>
    </w:p>
    <w:p w14:paraId="6D1D88A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2、支持批量查询消毒包从回收到使用全流程信息功能。</w:t>
      </w:r>
    </w:p>
    <w:p w14:paraId="24D0655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3、支持回收、清洗检查、配包和包装拍照记录器械异常信息功能。</w:t>
      </w:r>
    </w:p>
    <w:p w14:paraId="2E267FB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4、支持手术包使用时可以看到包内器械清单功能。</w:t>
      </w:r>
    </w:p>
    <w:p w14:paraId="24A2402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5、支持科室使用消毒包记录异常信息功能。</w:t>
      </w:r>
    </w:p>
    <w:p w14:paraId="05EE506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6、支持消毒供应中心、临床科室、手术室无菌包盘点功能。</w:t>
      </w:r>
    </w:p>
    <w:p w14:paraId="36B114F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7、支持手术室发放到无菌间的功能。</w:t>
      </w:r>
    </w:p>
    <w:p w14:paraId="289F23D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8、支持基数包管理功能。</w:t>
      </w:r>
    </w:p>
    <w:p w14:paraId="67DB396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四、应急服务：服务人员按照对应排查方案和应急预案提供快速应急服务，配合客户快速恢复正常业务。</w:t>
      </w:r>
    </w:p>
    <w:p w14:paraId="04EF74D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五、如软件系统发生故障，乙方自接到甲方故障通知后30分钟内响应，并</w:t>
      </w:r>
    </w:p>
    <w:p w14:paraId="3DCA804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通过远程服务进行维护;如远程服务无法解决，乙方应在接到甲方通知时起12</w:t>
      </w:r>
    </w:p>
    <w:p w14:paraId="71E0BE4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小时内到达现场，并在接到甲方故障通知时起24小时内解决故障。如乙方在前</w:t>
      </w:r>
    </w:p>
    <w:p w14:paraId="4E5E5C5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述时间内未完成服务，甲方有权委托第三方解决，由此产生的费用甲方有权从应</w:t>
      </w:r>
    </w:p>
    <w:p w14:paraId="271A99F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支付给乙方的价款内扣除，不足部分由乙方另行补足。</w:t>
      </w:r>
    </w:p>
    <w:p w14:paraId="3267275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六：日常维护服务范围见附件。</w:t>
      </w:r>
    </w:p>
    <w:p w14:paraId="37D8FAA6">
      <w:pPr>
        <w:numPr>
          <w:ilvl w:val="0"/>
          <w:numId w:val="0"/>
        </w:numPr>
        <w:jc w:val="both"/>
        <w:rPr>
          <w:rFonts w:hint="eastAsia"/>
          <w:b w:val="0"/>
          <w:bCs w:val="0"/>
          <w:sz w:val="24"/>
          <w:szCs w:val="24"/>
          <w:lang w:val="en-US" w:eastAsia="zh-CN"/>
        </w:rPr>
      </w:pPr>
      <w:r>
        <w:rPr>
          <w:rFonts w:hint="eastAsia"/>
          <w:b w:val="0"/>
          <w:bCs w:val="0"/>
          <w:sz w:val="24"/>
          <w:szCs w:val="24"/>
          <w:lang w:val="en-US" w:eastAsia="zh-CN"/>
        </w:rPr>
        <w:t>附件：</w:t>
      </w:r>
    </w:p>
    <w:tbl>
      <w:tblPr>
        <w:tblStyle w:val="17"/>
        <w:tblW w:w="94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7"/>
        <w:gridCol w:w="1082"/>
        <w:gridCol w:w="2736"/>
        <w:gridCol w:w="4700"/>
      </w:tblGrid>
      <w:tr w14:paraId="55927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9466" w:type="dxa"/>
            <w:gridSpan w:val="4"/>
            <w:tcBorders>
              <w:top w:val="single" w:color="000000" w:sz="8" w:space="0"/>
              <w:left w:val="single" w:color="000000" w:sz="8" w:space="0"/>
              <w:bottom w:val="single" w:color="000000" w:sz="4" w:space="0"/>
              <w:right w:val="single" w:color="000000" w:sz="4" w:space="0"/>
            </w:tcBorders>
            <w:shd w:val="clear" w:color="auto" w:fill="FFD966"/>
            <w:vAlign w:val="center"/>
          </w:tcPr>
          <w:p w14:paraId="304283C4">
            <w:pPr>
              <w:keepNext w:val="0"/>
              <w:keepLines w:val="0"/>
              <w:widowControl/>
              <w:suppressLineNumbers w:val="0"/>
              <w:jc w:val="center"/>
              <w:textAlignment w:val="center"/>
              <w:rPr>
                <w:rFonts w:hint="eastAsia"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服务范围清单</w:t>
            </w:r>
          </w:p>
        </w:tc>
      </w:tr>
      <w:tr w14:paraId="2C4D8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tcBorders>
              <w:top w:val="single" w:color="000000" w:sz="4" w:space="0"/>
              <w:left w:val="single" w:color="000000" w:sz="8" w:space="0"/>
              <w:bottom w:val="single" w:color="000000" w:sz="4" w:space="0"/>
              <w:right w:val="single" w:color="000000" w:sz="4" w:space="0"/>
            </w:tcBorders>
            <w:shd w:val="clear" w:color="auto" w:fill="FFFF00"/>
            <w:vAlign w:val="center"/>
          </w:tcPr>
          <w:p w14:paraId="5AAA8D15">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090" w:type="dxa"/>
            <w:tcBorders>
              <w:top w:val="single" w:color="000000" w:sz="4" w:space="0"/>
              <w:left w:val="single" w:color="000000" w:sz="4" w:space="0"/>
              <w:bottom w:val="nil"/>
              <w:right w:val="single" w:color="000000" w:sz="4" w:space="0"/>
            </w:tcBorders>
            <w:shd w:val="clear" w:color="auto" w:fill="FFFF00"/>
            <w:vAlign w:val="center"/>
          </w:tcPr>
          <w:p w14:paraId="6A352987">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大类</w:t>
            </w:r>
          </w:p>
        </w:tc>
        <w:tc>
          <w:tcPr>
            <w:tcW w:w="1334" w:type="dxa"/>
            <w:tcBorders>
              <w:top w:val="single" w:color="000000" w:sz="4" w:space="0"/>
              <w:left w:val="single" w:color="000000" w:sz="4" w:space="0"/>
              <w:bottom w:val="nil"/>
              <w:right w:val="single" w:color="000000" w:sz="4" w:space="0"/>
            </w:tcBorders>
            <w:shd w:val="clear" w:color="auto" w:fill="FFFF00"/>
            <w:vAlign w:val="center"/>
          </w:tcPr>
          <w:p w14:paraId="3BEDFC63">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分系统</w:t>
            </w:r>
          </w:p>
        </w:tc>
        <w:tc>
          <w:tcPr>
            <w:tcW w:w="5952" w:type="dxa"/>
            <w:tcBorders>
              <w:top w:val="single" w:color="000000" w:sz="4" w:space="0"/>
              <w:left w:val="single" w:color="000000" w:sz="4" w:space="0"/>
              <w:bottom w:val="nil"/>
              <w:right w:val="single" w:color="000000" w:sz="4" w:space="0"/>
            </w:tcBorders>
            <w:shd w:val="clear" w:color="auto" w:fill="FFFF00"/>
            <w:vAlign w:val="center"/>
          </w:tcPr>
          <w:p w14:paraId="4B35E51C">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功能模块</w:t>
            </w:r>
          </w:p>
        </w:tc>
      </w:tr>
      <w:tr w14:paraId="1DBD4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924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0BC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耗材管理系统 V5.0</w:t>
            </w: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CC6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耗材基础管理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08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耗材数据维护</w:t>
            </w:r>
          </w:p>
        </w:tc>
      </w:tr>
      <w:tr w14:paraId="0D86B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41C43">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324F1">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32CFE">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51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订单管理</w:t>
            </w:r>
          </w:p>
        </w:tc>
      </w:tr>
      <w:tr w14:paraId="6D3DC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0EA90">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78E57">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BFE26">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47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计划管理</w:t>
            </w:r>
          </w:p>
        </w:tc>
      </w:tr>
      <w:tr w14:paraId="2608D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DC9EE">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B5D20">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691A5">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A2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库存管理</w:t>
            </w:r>
          </w:p>
        </w:tc>
      </w:tr>
      <w:tr w14:paraId="47333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A7D07">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A5BAF">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C8FA2">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F4B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账务管理</w:t>
            </w:r>
          </w:p>
        </w:tc>
      </w:tr>
      <w:tr w14:paraId="03B65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9D613">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96650">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DFADA">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EA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资质管理</w:t>
            </w:r>
          </w:p>
        </w:tc>
      </w:tr>
      <w:tr w14:paraId="7B8F3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351E2">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9A4D4">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1A7DA">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4E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报表管理</w:t>
            </w:r>
          </w:p>
        </w:tc>
      </w:tr>
      <w:tr w14:paraId="73302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E911B">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D668A">
            <w:pPr>
              <w:jc w:val="center"/>
              <w:rPr>
                <w:rFonts w:hint="eastAsia" w:ascii="仿宋" w:hAnsi="仿宋" w:eastAsia="仿宋" w:cs="仿宋"/>
                <w:i w:val="0"/>
                <w:iCs w:val="0"/>
                <w:color w:val="000000"/>
                <w:sz w:val="28"/>
                <w:szCs w:val="28"/>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B4B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全院请领平台</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89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请领限额管理</w:t>
            </w:r>
          </w:p>
        </w:tc>
      </w:tr>
      <w:tr w14:paraId="04AA3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5E1C5">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F8AF4">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87692">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29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请领目录管理</w:t>
            </w:r>
          </w:p>
        </w:tc>
      </w:tr>
      <w:tr w14:paraId="54D35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EE090">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B6760">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E9C0E">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EC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请领单管理</w:t>
            </w:r>
          </w:p>
        </w:tc>
      </w:tr>
      <w:tr w14:paraId="5CE89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072C5">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9A6FB">
            <w:pPr>
              <w:jc w:val="center"/>
              <w:rPr>
                <w:rFonts w:hint="eastAsia" w:ascii="仿宋" w:hAnsi="仿宋" w:eastAsia="仿宋" w:cs="仿宋"/>
                <w:i w:val="0"/>
                <w:iCs w:val="0"/>
                <w:color w:val="000000"/>
                <w:sz w:val="28"/>
                <w:szCs w:val="28"/>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8BED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高值耗材管理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F8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供应商寄售业务管理</w:t>
            </w:r>
          </w:p>
        </w:tc>
      </w:tr>
      <w:tr w14:paraId="2ED56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D6097">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D1469">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F3EE5">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9D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高值跟台手术耗材管理</w:t>
            </w:r>
          </w:p>
        </w:tc>
      </w:tr>
      <w:tr w14:paraId="2B6F0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EB4C4">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CB582">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3C282">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99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高值条码规则管理</w:t>
            </w:r>
          </w:p>
        </w:tc>
      </w:tr>
      <w:tr w14:paraId="76CD8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918D1">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1DD69">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B1764">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32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高值耗材追溯管理</w:t>
            </w:r>
          </w:p>
        </w:tc>
      </w:tr>
      <w:tr w14:paraId="1B863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25840">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E99F1">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2F75E">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03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高值耗材消耗临床核销</w:t>
            </w:r>
          </w:p>
        </w:tc>
      </w:tr>
      <w:tr w14:paraId="5B2D4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D7DAC">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DE38C">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1A165">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F1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手术室、介入室高值二级库</w:t>
            </w:r>
          </w:p>
        </w:tc>
      </w:tr>
      <w:tr w14:paraId="3598F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F4B7C">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17C3B">
            <w:pPr>
              <w:jc w:val="center"/>
              <w:rPr>
                <w:rFonts w:hint="eastAsia" w:ascii="仿宋" w:hAnsi="仿宋" w:eastAsia="仿宋" w:cs="仿宋"/>
                <w:i w:val="0"/>
                <w:iCs w:val="0"/>
                <w:color w:val="000000"/>
                <w:sz w:val="28"/>
                <w:szCs w:val="28"/>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4F8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二级库管理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16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进销存管理（请领、移入库、移出库、盘点、月结）</w:t>
            </w:r>
          </w:p>
        </w:tc>
      </w:tr>
      <w:tr w14:paraId="70EFD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8816A">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FD114">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56ECF">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80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低值耗材定数管理</w:t>
            </w:r>
          </w:p>
        </w:tc>
      </w:tr>
      <w:tr w14:paraId="7B0B2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0B96E">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0F2DD">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54A75">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25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试剂定数管理</w:t>
            </w:r>
          </w:p>
        </w:tc>
      </w:tr>
      <w:tr w14:paraId="08B2C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7CFA3">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80B30">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F9CEF">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A3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病区临床核销</w:t>
            </w:r>
          </w:p>
        </w:tc>
      </w:tr>
      <w:tr w14:paraId="2A921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7E835">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3739B">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B12C8">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AA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额外的住院二级库核销</w:t>
            </w:r>
          </w:p>
        </w:tc>
      </w:tr>
      <w:tr w14:paraId="5CEE5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tcBorders>
              <w:top w:val="nil"/>
              <w:left w:val="single" w:color="000000" w:sz="4" w:space="0"/>
              <w:bottom w:val="nil"/>
              <w:right w:val="single" w:color="000000" w:sz="4" w:space="0"/>
            </w:tcBorders>
            <w:shd w:val="clear" w:color="auto" w:fill="auto"/>
            <w:vAlign w:val="center"/>
          </w:tcPr>
          <w:p w14:paraId="3CE85BDD">
            <w:pPr>
              <w:jc w:val="center"/>
              <w:rPr>
                <w:rFonts w:hint="eastAsia" w:ascii="仿宋" w:hAnsi="仿宋" w:eastAsia="仿宋" w:cs="仿宋"/>
                <w:i w:val="0"/>
                <w:iCs w:val="0"/>
                <w:color w:val="000000"/>
                <w:sz w:val="28"/>
                <w:szCs w:val="28"/>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497E">
            <w:pPr>
              <w:jc w:val="center"/>
              <w:rPr>
                <w:rFonts w:hint="eastAsia" w:ascii="仿宋" w:hAnsi="仿宋" w:eastAsia="仿宋" w:cs="仿宋"/>
                <w:i w:val="0"/>
                <w:iCs w:val="0"/>
                <w:color w:val="000000"/>
                <w:sz w:val="28"/>
                <w:szCs w:val="2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95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统计中心</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4B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医保飞检报表</w:t>
            </w:r>
          </w:p>
        </w:tc>
      </w:tr>
      <w:tr w14:paraId="01D04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B1E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4D1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物资云·耗材</w:t>
            </w: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6FE3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基础信息</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23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供应商资质管理</w:t>
            </w:r>
          </w:p>
        </w:tc>
      </w:tr>
      <w:tr w14:paraId="351FB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B1409">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3CA1F">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BB9C61">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FC3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生产商资质管理</w:t>
            </w:r>
          </w:p>
        </w:tc>
      </w:tr>
      <w:tr w14:paraId="47D72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42165">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A0AB6">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8886E6">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EEC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耗材品名管理</w:t>
            </w:r>
          </w:p>
        </w:tc>
      </w:tr>
      <w:tr w14:paraId="62EC8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ACF91">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4D860">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A7394E">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67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耗材规格管理</w:t>
            </w:r>
          </w:p>
        </w:tc>
      </w:tr>
      <w:tr w14:paraId="0A45B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AF01C">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6750B">
            <w:pPr>
              <w:jc w:val="center"/>
              <w:rPr>
                <w:rFonts w:hint="eastAsia" w:ascii="仿宋" w:hAnsi="仿宋" w:eastAsia="仿宋" w:cs="仿宋"/>
                <w:i w:val="0"/>
                <w:iCs w:val="0"/>
                <w:color w:val="000000"/>
                <w:sz w:val="28"/>
                <w:szCs w:val="28"/>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CE3F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目录管理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F8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供应商产品管理</w:t>
            </w:r>
          </w:p>
        </w:tc>
      </w:tr>
      <w:tr w14:paraId="6DFD6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2AFF7">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A46DB">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9DB6E1">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F87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供应商产品审核</w:t>
            </w:r>
          </w:p>
        </w:tc>
      </w:tr>
      <w:tr w14:paraId="04EF8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25AAC">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713B0">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401083">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6D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供货关系建立与审核</w:t>
            </w:r>
          </w:p>
        </w:tc>
      </w:tr>
      <w:tr w14:paraId="0D4EB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EDD0E">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62E5C">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33039A">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76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采购目录审核</w:t>
            </w:r>
          </w:p>
        </w:tc>
      </w:tr>
      <w:tr w14:paraId="08E1A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A3F28">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B861F">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BA84FA">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21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采购目录管理</w:t>
            </w:r>
          </w:p>
        </w:tc>
      </w:tr>
      <w:tr w14:paraId="754AC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3C904">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D545B">
            <w:pPr>
              <w:jc w:val="center"/>
              <w:rPr>
                <w:rFonts w:hint="eastAsia" w:ascii="仿宋" w:hAnsi="仿宋" w:eastAsia="仿宋" w:cs="仿宋"/>
                <w:i w:val="0"/>
                <w:iCs w:val="0"/>
                <w:color w:val="000000"/>
                <w:sz w:val="28"/>
                <w:szCs w:val="28"/>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7C16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采购管理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82B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采购订单申请</w:t>
            </w:r>
          </w:p>
        </w:tc>
      </w:tr>
      <w:tr w14:paraId="220B0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082CD">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BDEAE">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311F91">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90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采购订单初审</w:t>
            </w:r>
          </w:p>
        </w:tc>
      </w:tr>
      <w:tr w14:paraId="111B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FA926">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8A76C">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DFAC12">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86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采购订单复审</w:t>
            </w:r>
          </w:p>
        </w:tc>
      </w:tr>
      <w:tr w14:paraId="0C1D9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343DB">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4B822">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A1772C">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C2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采购订单配送</w:t>
            </w:r>
          </w:p>
        </w:tc>
      </w:tr>
      <w:tr w14:paraId="51EF6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E9337">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19876">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4140B3">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7F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采购订单退货</w:t>
            </w:r>
          </w:p>
        </w:tc>
      </w:tr>
      <w:tr w14:paraId="04C23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446D8">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6BFC3">
            <w:pPr>
              <w:jc w:val="center"/>
              <w:rPr>
                <w:rFonts w:hint="eastAsia" w:ascii="仿宋" w:hAnsi="仿宋" w:eastAsia="仿宋" w:cs="仿宋"/>
                <w:i w:val="0"/>
                <w:iCs w:val="0"/>
                <w:color w:val="000000"/>
                <w:sz w:val="28"/>
                <w:szCs w:val="28"/>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C4EF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发票管理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BA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发票初审</w:t>
            </w:r>
          </w:p>
        </w:tc>
      </w:tr>
      <w:tr w14:paraId="183B5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F1480">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2330F">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16F055">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95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发票复审</w:t>
            </w:r>
          </w:p>
        </w:tc>
      </w:tr>
      <w:tr w14:paraId="1E3F1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3C97B">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0CCB6">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485ACE">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DE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发票管理</w:t>
            </w:r>
          </w:p>
        </w:tc>
      </w:tr>
      <w:tr w14:paraId="5C4D8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C89E3">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42E86">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C57B0A">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6E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应收管理</w:t>
            </w:r>
          </w:p>
        </w:tc>
      </w:tr>
      <w:tr w14:paraId="6C087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ED236">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28107">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2C9AE9">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87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应付管理</w:t>
            </w:r>
          </w:p>
        </w:tc>
      </w:tr>
      <w:tr w14:paraId="2D748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F13EE">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0F26E">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A0DAFA">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E5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发票结算</w:t>
            </w:r>
          </w:p>
        </w:tc>
      </w:tr>
      <w:tr w14:paraId="5E0E0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A517C">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38A33">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8D1363">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E5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开票凭证</w:t>
            </w:r>
          </w:p>
        </w:tc>
      </w:tr>
      <w:tr w14:paraId="63112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84CA8">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0C9D8">
            <w:pPr>
              <w:jc w:val="center"/>
              <w:rPr>
                <w:rFonts w:hint="eastAsia" w:ascii="仿宋" w:hAnsi="仿宋" w:eastAsia="仿宋" w:cs="仿宋"/>
                <w:i w:val="0"/>
                <w:iCs w:val="0"/>
                <w:color w:val="000000"/>
                <w:sz w:val="28"/>
                <w:szCs w:val="28"/>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89E5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统计查询</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82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订单总数查询</w:t>
            </w:r>
          </w:p>
        </w:tc>
      </w:tr>
      <w:tr w14:paraId="5C30F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741FD">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F2E80">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20215D">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B7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订单类型查询</w:t>
            </w:r>
          </w:p>
        </w:tc>
      </w:tr>
      <w:tr w14:paraId="7A13A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FFFF4">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B7C4D">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28140A">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8E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耗材品规查询</w:t>
            </w:r>
          </w:p>
        </w:tc>
      </w:tr>
      <w:tr w14:paraId="155B9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FFDAE">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C265D">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4192E0">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18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发票数量查询</w:t>
            </w:r>
          </w:p>
        </w:tc>
      </w:tr>
      <w:tr w14:paraId="09A9D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157F0">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346BC">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FF4BF6">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45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配送数量查询</w:t>
            </w:r>
          </w:p>
        </w:tc>
      </w:tr>
      <w:tr w14:paraId="09608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2DF34">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5B0EA">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C2BCD6">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DD9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高值耗材使用记录查询</w:t>
            </w:r>
          </w:p>
        </w:tc>
      </w:tr>
      <w:tr w14:paraId="16F66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BF988">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139F3">
            <w:pPr>
              <w:jc w:val="center"/>
              <w:rPr>
                <w:rFonts w:hint="eastAsia" w:ascii="仿宋" w:hAnsi="仿宋" w:eastAsia="仿宋" w:cs="仿宋"/>
                <w:i w:val="0"/>
                <w:iCs w:val="0"/>
                <w:color w:val="000000"/>
                <w:sz w:val="28"/>
                <w:szCs w:val="28"/>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1035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系统设置</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10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数据导入维护</w:t>
            </w:r>
          </w:p>
        </w:tc>
      </w:tr>
      <w:tr w14:paraId="36626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D3960">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40C49">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99FBB2">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79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公告管理</w:t>
            </w:r>
          </w:p>
        </w:tc>
      </w:tr>
      <w:tr w14:paraId="033ED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30CA9">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4EF9D">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23C558">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C71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机构管理</w:t>
            </w:r>
          </w:p>
        </w:tc>
      </w:tr>
      <w:tr w14:paraId="033C2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DE28F">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41CF6">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DCAF31">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5E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用户管理</w:t>
            </w:r>
          </w:p>
        </w:tc>
      </w:tr>
      <w:tr w14:paraId="3F8C9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BA618">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3CF3D">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0DFB31">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53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角色管理</w:t>
            </w:r>
          </w:p>
        </w:tc>
      </w:tr>
      <w:tr w14:paraId="12E60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464FF">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95D3A">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7638C7">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32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系统配置</w:t>
            </w:r>
          </w:p>
        </w:tc>
      </w:tr>
      <w:tr w14:paraId="16345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9AAE5">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BB8BB">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95018E">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95F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字典管理</w:t>
            </w:r>
          </w:p>
        </w:tc>
      </w:tr>
      <w:tr w14:paraId="5E733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C2D42">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479CA">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3BCB3D">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A3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物资分类管理</w:t>
            </w:r>
          </w:p>
        </w:tc>
      </w:tr>
      <w:tr w14:paraId="2C7E8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BFECD">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D9A99">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986D68">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33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菜单管理</w:t>
            </w:r>
          </w:p>
        </w:tc>
      </w:tr>
      <w:tr w14:paraId="02EB5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1DC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A304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医疗设备管理</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V5.0</w:t>
            </w: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D46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采购管理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21C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申购管理</w:t>
            </w:r>
          </w:p>
        </w:tc>
      </w:tr>
      <w:tr w14:paraId="7789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0F23F">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FE7E2">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1CC0D">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B3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采购计划</w:t>
            </w:r>
          </w:p>
        </w:tc>
      </w:tr>
      <w:tr w14:paraId="29DD2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73F10">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EFAD2">
            <w:pPr>
              <w:jc w:val="center"/>
              <w:rPr>
                <w:rFonts w:hint="eastAsia" w:ascii="仿宋" w:hAnsi="仿宋" w:eastAsia="仿宋" w:cs="仿宋"/>
                <w:i w:val="0"/>
                <w:iCs w:val="0"/>
                <w:color w:val="000000"/>
                <w:sz w:val="28"/>
                <w:szCs w:val="28"/>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600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库存管理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DF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设备入库管理</w:t>
            </w:r>
          </w:p>
        </w:tc>
      </w:tr>
      <w:tr w14:paraId="14A0F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2379C">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A079F">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93EF9">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37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设备领用管理</w:t>
            </w:r>
          </w:p>
        </w:tc>
      </w:tr>
      <w:tr w14:paraId="47767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3347F">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C4C88">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22ACA">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89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退货退库管理</w:t>
            </w:r>
          </w:p>
        </w:tc>
      </w:tr>
      <w:tr w14:paraId="6E90C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49161">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91203">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A133C">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BC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设备盘点管理</w:t>
            </w:r>
          </w:p>
        </w:tc>
      </w:tr>
      <w:tr w14:paraId="46BE2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1739C">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0BDA1">
            <w:pPr>
              <w:jc w:val="center"/>
              <w:rPr>
                <w:rFonts w:hint="eastAsia" w:ascii="仿宋" w:hAnsi="仿宋" w:eastAsia="仿宋" w:cs="仿宋"/>
                <w:i w:val="0"/>
                <w:iCs w:val="0"/>
                <w:color w:val="000000"/>
                <w:sz w:val="28"/>
                <w:szCs w:val="28"/>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82A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FB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设备卡片管理</w:t>
            </w:r>
          </w:p>
        </w:tc>
      </w:tr>
      <w:tr w14:paraId="6FBD9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ECF87">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EB6B5">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CFFB7">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E9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设备维修管理</w:t>
            </w:r>
          </w:p>
        </w:tc>
      </w:tr>
      <w:tr w14:paraId="22F0D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CA6B4">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D0F8E">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05E77">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46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设备巡检管理</w:t>
            </w:r>
          </w:p>
        </w:tc>
      </w:tr>
      <w:tr w14:paraId="19819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43C61">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EBA36">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75A8F">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97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设备保养管理</w:t>
            </w:r>
          </w:p>
        </w:tc>
      </w:tr>
      <w:tr w14:paraId="5431B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74604">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8EFDF">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83CFB">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37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设备合同管理</w:t>
            </w:r>
          </w:p>
        </w:tc>
      </w:tr>
      <w:tr w14:paraId="506DA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8E6DB">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15C79">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4770F">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A4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设备档案管理</w:t>
            </w:r>
          </w:p>
        </w:tc>
      </w:tr>
      <w:tr w14:paraId="10177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003C6">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DAD31">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6AC3E">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BB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设备台账管理</w:t>
            </w:r>
          </w:p>
        </w:tc>
      </w:tr>
      <w:tr w14:paraId="1F856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357C3">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8562C">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46960">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13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计量设备管理</w:t>
            </w:r>
          </w:p>
        </w:tc>
      </w:tr>
      <w:tr w14:paraId="23089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9003B">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EDA41">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7989B">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C94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设备报废管理</w:t>
            </w:r>
          </w:p>
        </w:tc>
      </w:tr>
      <w:tr w14:paraId="25224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72F5B">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37DE1">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89177">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894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设备折旧管理</w:t>
            </w:r>
          </w:p>
        </w:tc>
      </w:tr>
      <w:tr w14:paraId="44132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7AE08">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98A77">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19F91">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44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设备账务管理</w:t>
            </w:r>
          </w:p>
        </w:tc>
      </w:tr>
      <w:tr w14:paraId="26B46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79CAC">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90415">
            <w:pPr>
              <w:jc w:val="center"/>
              <w:rPr>
                <w:rFonts w:hint="eastAsia" w:ascii="仿宋" w:hAnsi="仿宋" w:eastAsia="仿宋" w:cs="仿宋"/>
                <w:i w:val="0"/>
                <w:iCs w:val="0"/>
                <w:color w:val="000000"/>
                <w:sz w:val="28"/>
                <w:szCs w:val="2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E1B18">
            <w:pPr>
              <w:jc w:val="center"/>
              <w:rPr>
                <w:rFonts w:hint="eastAsia" w:ascii="仿宋" w:hAnsi="仿宋" w:eastAsia="仿宋" w:cs="仿宋"/>
                <w:i w:val="0"/>
                <w:iCs w:val="0"/>
                <w:color w:val="000000"/>
                <w:sz w:val="28"/>
                <w:szCs w:val="28"/>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EA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设备项目管理（安装、验收）</w:t>
            </w:r>
          </w:p>
        </w:tc>
      </w:tr>
      <w:tr w14:paraId="3AEDC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DFE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1EA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消毒追溯管理系统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84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基础信息管理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37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基础信息管理</w:t>
            </w:r>
          </w:p>
        </w:tc>
      </w:tr>
      <w:tr w14:paraId="40A78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C5B40">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E312C">
            <w:pPr>
              <w:jc w:val="center"/>
              <w:rPr>
                <w:rFonts w:hint="eastAsia" w:ascii="仿宋" w:hAnsi="仿宋" w:eastAsia="仿宋" w:cs="仿宋"/>
                <w:i w:val="0"/>
                <w:iCs w:val="0"/>
                <w:color w:val="000000"/>
                <w:sz w:val="28"/>
                <w:szCs w:val="2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AA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消毒包过程管理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9D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消毒包过程管理</w:t>
            </w:r>
          </w:p>
        </w:tc>
      </w:tr>
      <w:tr w14:paraId="4FDF0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A0CEC">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3365C">
            <w:pPr>
              <w:jc w:val="center"/>
              <w:rPr>
                <w:rFonts w:hint="eastAsia" w:ascii="仿宋" w:hAnsi="仿宋" w:eastAsia="仿宋" w:cs="仿宋"/>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B31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消毒包临床使用登记</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5E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消毒包临床使用登记</w:t>
            </w:r>
          </w:p>
        </w:tc>
      </w:tr>
      <w:tr w14:paraId="2378C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60309">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205B7">
            <w:pPr>
              <w:jc w:val="center"/>
              <w:rPr>
                <w:rFonts w:hint="eastAsia" w:ascii="仿宋" w:hAnsi="仿宋" w:eastAsia="仿宋" w:cs="仿宋"/>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C6EA">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消毒请领管理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83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消毒请领管理</w:t>
            </w:r>
          </w:p>
        </w:tc>
      </w:tr>
      <w:tr w14:paraId="61D93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FB7BF">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86571">
            <w:pPr>
              <w:jc w:val="center"/>
              <w:rPr>
                <w:rFonts w:hint="eastAsia" w:ascii="仿宋" w:hAnsi="仿宋" w:eastAsia="仿宋" w:cs="仿宋"/>
                <w:i w:val="0"/>
                <w:iCs w:val="0"/>
                <w:color w:val="000000"/>
                <w:sz w:val="28"/>
                <w:szCs w:val="2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E790B">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消毒包质控管理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1E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消毒包质控管理</w:t>
            </w:r>
          </w:p>
        </w:tc>
      </w:tr>
      <w:tr w14:paraId="54D7A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07E1C">
            <w:pPr>
              <w:jc w:val="center"/>
              <w:rPr>
                <w:rFonts w:hint="eastAsia" w:ascii="仿宋" w:hAnsi="仿宋" w:eastAsia="仿宋" w:cs="仿宋"/>
                <w:i w:val="0"/>
                <w:iCs w:val="0"/>
                <w:color w:val="000000"/>
                <w:sz w:val="28"/>
                <w:szCs w:val="28"/>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FCAB5">
            <w:pPr>
              <w:jc w:val="center"/>
              <w:rPr>
                <w:rFonts w:hint="eastAsia" w:ascii="仿宋" w:hAnsi="仿宋" w:eastAsia="仿宋" w:cs="仿宋"/>
                <w:i w:val="0"/>
                <w:iCs w:val="0"/>
                <w:color w:val="000000"/>
                <w:sz w:val="28"/>
                <w:szCs w:val="2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4E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护士长管理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E8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护士长管理</w:t>
            </w:r>
          </w:p>
        </w:tc>
      </w:tr>
    </w:tbl>
    <w:p w14:paraId="724E7A8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p>
    <w:p w14:paraId="605014D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14:paraId="68E20B2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3959C0F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7921934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14:paraId="381D8C2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0DA8D5A9">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2B582E4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14:paraId="477F937C">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14:paraId="156497A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14:paraId="68E003DE">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14:paraId="6120B7C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14:paraId="23D56CF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eastAsia="宋体"/>
          <w:b/>
          <w:color w:val="auto"/>
          <w:sz w:val="28"/>
          <w:u w:val="single"/>
        </w:rPr>
      </w:pPr>
      <w:r>
        <w:rPr>
          <w:rFonts w:hint="eastAsia" w:ascii="仿宋_GB2312" w:eastAsia="仿宋_GB2312" w:cs="仿宋_GB2312"/>
          <w:bCs/>
          <w:color w:val="auto"/>
          <w:kern w:val="0"/>
          <w:sz w:val="28"/>
          <w:szCs w:val="28"/>
          <w:lang w:val="en-US" w:eastAsia="zh-CN" w:bidi="ar-SA"/>
        </w:rPr>
        <w:br w:type="page"/>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合同编号：</w:t>
      </w:r>
    </w:p>
    <w:p w14:paraId="0157643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eastAsia="宋体"/>
          <w:b/>
          <w:color w:val="auto"/>
          <w:sz w:val="44"/>
          <w:szCs w:val="44"/>
        </w:rPr>
      </w:pPr>
      <w:r>
        <w:rPr>
          <w:rFonts w:hint="eastAsia" w:ascii="宋体" w:hAnsi="宋体" w:eastAsia="宋体"/>
          <w:b/>
          <w:color w:val="auto"/>
          <w:sz w:val="44"/>
          <w:szCs w:val="44"/>
          <w:lang w:val="en-US" w:eastAsia="zh-CN"/>
        </w:rPr>
        <w:t>HRP</w:t>
      </w:r>
      <w:r>
        <w:rPr>
          <w:rFonts w:hint="eastAsia" w:ascii="宋体" w:hAnsi="宋体" w:eastAsia="宋体"/>
          <w:b/>
          <w:color w:val="auto"/>
          <w:sz w:val="44"/>
          <w:szCs w:val="44"/>
        </w:rPr>
        <w:t>维保及消毒供应系统升级</w:t>
      </w:r>
      <w:r>
        <w:rPr>
          <w:rFonts w:hint="eastAsia" w:ascii="宋体" w:hAnsi="宋体" w:eastAsia="宋体"/>
          <w:b/>
          <w:color w:val="auto"/>
          <w:sz w:val="44"/>
          <w:szCs w:val="44"/>
          <w:lang w:val="en-US" w:eastAsia="zh-CN"/>
        </w:rPr>
        <w:t>服务</w:t>
      </w:r>
      <w:r>
        <w:rPr>
          <w:rFonts w:hint="eastAsia" w:ascii="宋体" w:hAnsi="宋体" w:eastAsia="宋体"/>
          <w:b/>
          <w:color w:val="auto"/>
          <w:sz w:val="44"/>
          <w:szCs w:val="44"/>
        </w:rPr>
        <w:t>合同</w:t>
      </w:r>
    </w:p>
    <w:p w14:paraId="0142F6A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eastAsia="宋体"/>
          <w:b/>
          <w:color w:val="auto"/>
          <w:sz w:val="56"/>
        </w:rPr>
      </w:pPr>
    </w:p>
    <w:p w14:paraId="6357FA28">
      <w:pPr>
        <w:spacing w:line="460" w:lineRule="exact"/>
        <w:jc w:val="both"/>
        <w:rPr>
          <w:rFonts w:ascii="宋体" w:hAnsi="宋体" w:eastAsia="宋体"/>
          <w:color w:val="auto"/>
          <w:sz w:val="24"/>
          <w:szCs w:val="24"/>
        </w:rPr>
      </w:pPr>
      <w:r>
        <w:rPr>
          <w:rFonts w:hint="eastAsia" w:ascii="宋体" w:hAnsi="宋体" w:eastAsia="宋体"/>
          <w:b/>
          <w:bCs/>
          <w:color w:val="auto"/>
          <w:sz w:val="24"/>
          <w:szCs w:val="24"/>
        </w:rPr>
        <w:t>甲方：娄底市中心医院</w:t>
      </w:r>
    </w:p>
    <w:p w14:paraId="75608FEB">
      <w:pPr>
        <w:spacing w:line="460" w:lineRule="exact"/>
        <w:jc w:val="both"/>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eastAsia="宋体"/>
          <w:color w:val="000000" w:themeColor="text1"/>
          <w:sz w:val="24"/>
          <w:szCs w:val="24"/>
          <w:lang w:val="en-US" w:eastAsia="zh-CN"/>
          <w14:textFill>
            <w14:solidFill>
              <w14:schemeClr w14:val="tx1"/>
            </w14:solidFill>
          </w14:textFill>
        </w:rPr>
        <w:t>法定代表人：杨吉军</w:t>
      </w:r>
    </w:p>
    <w:p w14:paraId="21D4A3A2">
      <w:pPr>
        <w:spacing w:line="460" w:lineRule="exact"/>
        <w:jc w:val="both"/>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统一社会信用代码：12431300447162073W</w:t>
      </w:r>
    </w:p>
    <w:p w14:paraId="47C856D4">
      <w:pPr>
        <w:spacing w:line="460" w:lineRule="exact"/>
        <w:jc w:val="both"/>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地址：湖南省娄底市娄星区长青中街51号</w:t>
      </w:r>
    </w:p>
    <w:p w14:paraId="74A5FC73">
      <w:pPr>
        <w:spacing w:line="460" w:lineRule="exact"/>
        <w:jc w:val="both"/>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乙方：</w:t>
      </w:r>
      <w:r>
        <w:rPr>
          <w:rFonts w:hint="eastAsia" w:ascii="宋体" w:hAnsi="宋体" w:eastAsia="宋体"/>
          <w:b/>
          <w:bCs/>
          <w:color w:val="000000" w:themeColor="text1"/>
          <w:sz w:val="24"/>
          <w:szCs w:val="24"/>
          <w:lang w:eastAsia="zh-CN"/>
          <w14:textFill>
            <w14:solidFill>
              <w14:schemeClr w14:val="tx1"/>
            </w14:solidFill>
          </w14:textFill>
        </w:rPr>
        <w:t>快享医疗科技（上海）有限公司</w:t>
      </w:r>
    </w:p>
    <w:p w14:paraId="207C0EC0">
      <w:pPr>
        <w:spacing w:line="460" w:lineRule="exact"/>
        <w:jc w:val="both"/>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法定代表人：刘宁</w:t>
      </w:r>
    </w:p>
    <w:p w14:paraId="1D97EDF9">
      <w:pPr>
        <w:spacing w:line="460" w:lineRule="exact"/>
        <w:jc w:val="both"/>
        <w:rPr>
          <w:rFonts w:ascii="宋体" w:hAnsi="宋体" w:eastAsia="宋体"/>
          <w:color w:val="auto"/>
          <w:sz w:val="24"/>
          <w:szCs w:val="24"/>
        </w:rPr>
      </w:pPr>
      <w:r>
        <w:rPr>
          <w:rFonts w:hint="eastAsia" w:ascii="宋体" w:hAnsi="宋体" w:eastAsia="宋体"/>
          <w:color w:val="auto"/>
          <w:sz w:val="24"/>
          <w:szCs w:val="24"/>
        </w:rPr>
        <w:t>统一社会信用代码：</w:t>
      </w:r>
      <w:r>
        <w:rPr>
          <w:rFonts w:hint="eastAsia" w:ascii="宋体" w:hAnsi="宋体" w:eastAsia="宋体"/>
          <w:color w:val="auto"/>
          <w:sz w:val="24"/>
          <w:szCs w:val="24"/>
          <w:lang w:eastAsia="zh-CN"/>
        </w:rPr>
        <w:t>91310106MA1FYB1A62</w:t>
      </w:r>
      <w:r>
        <w:rPr>
          <w:rFonts w:hint="eastAsia" w:ascii="宋体" w:hAnsi="宋体" w:eastAsia="宋体"/>
          <w:color w:val="auto"/>
          <w:sz w:val="24"/>
          <w:szCs w:val="24"/>
        </w:rPr>
        <w:t xml:space="preserve">  </w:t>
      </w:r>
    </w:p>
    <w:p w14:paraId="4DD0A175">
      <w:pPr>
        <w:spacing w:line="460" w:lineRule="exact"/>
        <w:jc w:val="both"/>
        <w:rPr>
          <w:rFonts w:hint="eastAsia" w:ascii="宋体" w:hAnsi="宋体" w:eastAsia="宋体"/>
          <w:color w:val="auto"/>
          <w:sz w:val="24"/>
          <w:szCs w:val="24"/>
          <w:lang w:eastAsia="zh-CN"/>
        </w:rPr>
      </w:pPr>
      <w:r>
        <w:rPr>
          <w:rFonts w:hint="eastAsia" w:ascii="宋体" w:hAnsi="宋体" w:eastAsia="宋体"/>
          <w:color w:val="auto"/>
          <w:sz w:val="24"/>
          <w:szCs w:val="24"/>
        </w:rPr>
        <w:t>地址：</w:t>
      </w:r>
      <w:r>
        <w:rPr>
          <w:rFonts w:hint="eastAsia" w:ascii="宋体" w:hAnsi="宋体" w:eastAsia="宋体"/>
          <w:color w:val="auto"/>
          <w:sz w:val="24"/>
          <w:szCs w:val="24"/>
          <w:lang w:eastAsia="zh-CN"/>
        </w:rPr>
        <w:t>上海市静安区寿阳路99弄9号楼10楼（快享医疗）</w:t>
      </w:r>
    </w:p>
    <w:p w14:paraId="0376A535">
      <w:pPr>
        <w:spacing w:line="360" w:lineRule="exact"/>
        <w:rPr>
          <w:rFonts w:ascii="宋体" w:hAnsi="宋体" w:eastAsia="宋体"/>
          <w:b/>
          <w:color w:val="auto"/>
          <w:sz w:val="24"/>
        </w:rPr>
      </w:pPr>
    </w:p>
    <w:p w14:paraId="03E2A74A">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ascii="宋体" w:hAnsi="宋体" w:eastAsia="宋体"/>
          <w:color w:val="auto"/>
          <w:sz w:val="24"/>
        </w:rPr>
      </w:pPr>
      <w:r>
        <w:rPr>
          <w:rFonts w:hint="eastAsia" w:ascii="宋体" w:hAnsi="宋体" w:eastAsia="宋体"/>
          <w:b/>
          <w:color w:val="auto"/>
          <w:sz w:val="24"/>
        </w:rPr>
        <w:t>鉴于</w:t>
      </w:r>
      <w:r>
        <w:rPr>
          <w:rFonts w:hint="eastAsia" w:ascii="宋体" w:hAnsi="宋体" w:eastAsia="宋体"/>
          <w:color w:val="auto"/>
          <w:sz w:val="24"/>
        </w:rPr>
        <w:t>：</w:t>
      </w:r>
    </w:p>
    <w:p w14:paraId="55E579C4">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1.甲方系三级甲等医疗机构，具有签署本合同的合法主体资格，且在签署本合同时无任何法律障碍和重大事件影响甲方继续正常存续和履行本合同的能力；</w:t>
      </w:r>
    </w:p>
    <w:p w14:paraId="21764DEA">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2.乙方系一家依法注册成立、经营及有效存续的公司，具有签署本合同的合法主体资格，且在签署本合同时无任何法律障碍和重大事件影响乙方继续正常存续和履行本合同的能力；</w:t>
      </w:r>
    </w:p>
    <w:p w14:paraId="65C7EC5D">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3.</w:t>
      </w:r>
      <w:r>
        <w:rPr>
          <w:rFonts w:hint="eastAsia" w:ascii="宋体" w:hAnsi="宋体" w:eastAsia="宋体"/>
          <w:color w:val="0000FF"/>
          <w:sz w:val="24"/>
          <w:lang w:val="en-US" w:eastAsia="zh-CN"/>
        </w:rPr>
        <w:t>2021年4月6日，甲方与卫宁健康科技集团股份有限公司（以下简称“卫宁健康”）签订合同，由卫宁健康为甲方提供HRP系统（“卫宁健康医院信息管理软件V5.0”）应用软件及服务。乙方是卫宁健康的控股子公司，因集团业务分工，卫宁健康已将涉及甲方HRP系统业务交由乙方负责，乙方</w:t>
      </w:r>
      <w:r>
        <w:rPr>
          <w:rFonts w:hint="eastAsia" w:ascii="宋体" w:hAnsi="宋体" w:eastAsia="宋体"/>
          <w:color w:val="auto"/>
          <w:sz w:val="24"/>
        </w:rPr>
        <w:t>具有提供本合同约定服务项目的资质和能力，对其所提供的产品、技术和服务拥有合法的占有和处置权，并对涉及本合同约定项目的所有内容可能被控侵权行为负全部责任，保证不损害甲方利益</w:t>
      </w:r>
      <w:r>
        <w:rPr>
          <w:rFonts w:hint="eastAsia" w:ascii="宋体" w:hAnsi="宋体" w:eastAsia="宋体"/>
          <w:color w:val="0000FF"/>
          <w:sz w:val="24"/>
          <w:lang w:eastAsia="zh-CN"/>
        </w:rPr>
        <w:t>（</w:t>
      </w:r>
      <w:r>
        <w:rPr>
          <w:rFonts w:hint="eastAsia" w:ascii="宋体" w:hAnsi="宋体" w:eastAsia="宋体"/>
          <w:color w:val="0000FF"/>
          <w:sz w:val="24"/>
          <w:lang w:val="en-US" w:eastAsia="zh-CN"/>
        </w:rPr>
        <w:t>详见附件二）</w:t>
      </w:r>
      <w:r>
        <w:rPr>
          <w:rFonts w:hint="eastAsia" w:ascii="宋体" w:hAnsi="宋体" w:eastAsia="宋体"/>
          <w:color w:val="auto"/>
          <w:sz w:val="24"/>
        </w:rPr>
        <w:t>。</w:t>
      </w:r>
    </w:p>
    <w:p w14:paraId="707D17EF">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ascii="宋体" w:hAnsi="宋体" w:eastAsia="宋体"/>
          <w:color w:val="auto"/>
          <w:sz w:val="24"/>
          <w:szCs w:val="24"/>
        </w:rPr>
      </w:pPr>
      <w:r>
        <w:rPr>
          <w:rFonts w:hint="eastAsia" w:ascii="宋体" w:hAnsi="宋体" w:eastAsia="宋体"/>
          <w:color w:val="auto"/>
          <w:sz w:val="24"/>
          <w:szCs w:val="24"/>
        </w:rPr>
        <w:t>现甲方采用院内单一来源采购方式向乙方</w:t>
      </w:r>
      <w:r>
        <w:rPr>
          <w:rFonts w:ascii="宋体" w:hAnsi="宋体" w:eastAsia="宋体"/>
          <w:color w:val="auto"/>
          <w:sz w:val="24"/>
          <w:szCs w:val="24"/>
        </w:rPr>
        <w:t>采购</w:t>
      </w:r>
      <w:r>
        <w:rPr>
          <w:rFonts w:hint="eastAsia" w:ascii="宋体" w:hAnsi="宋体" w:eastAsia="宋体"/>
          <w:color w:val="auto"/>
          <w:sz w:val="24"/>
          <w:szCs w:val="24"/>
          <w:u w:val="single"/>
          <w:lang w:eastAsia="zh-CN"/>
        </w:rPr>
        <w:t>HRP系统</w:t>
      </w:r>
      <w:r>
        <w:rPr>
          <w:rFonts w:hint="eastAsia" w:ascii="宋体" w:hAnsi="宋体" w:eastAsia="宋体"/>
          <w:color w:val="auto"/>
          <w:sz w:val="24"/>
          <w:szCs w:val="24"/>
          <w:u w:val="single"/>
          <w:lang w:val="en-US" w:eastAsia="zh-CN"/>
        </w:rPr>
        <w:t>一年维保及消毒供应系统升级</w:t>
      </w:r>
      <w:r>
        <w:rPr>
          <w:rFonts w:hint="eastAsia" w:ascii="宋体" w:hAnsi="宋体" w:eastAsia="宋体"/>
          <w:color w:val="0000FF"/>
          <w:sz w:val="24"/>
          <w:szCs w:val="24"/>
          <w:u w:val="single"/>
          <w:lang w:val="en-US" w:eastAsia="zh-CN"/>
        </w:rPr>
        <w:t>服务</w:t>
      </w:r>
      <w:r>
        <w:rPr>
          <w:rFonts w:ascii="宋体" w:hAnsi="宋体" w:eastAsia="宋体"/>
          <w:color w:val="auto"/>
          <w:sz w:val="24"/>
          <w:szCs w:val="24"/>
        </w:rPr>
        <w:t>，</w:t>
      </w:r>
      <w:r>
        <w:rPr>
          <w:rFonts w:hint="eastAsia" w:ascii="宋体" w:hAnsi="宋体" w:eastAsia="宋体"/>
          <w:color w:val="auto"/>
          <w:sz w:val="24"/>
          <w:szCs w:val="24"/>
        </w:rPr>
        <w:t>甲乙双方依据《中华人民共和国民法典》及相关法律法规的规定，在平等、互利的基础上，就</w:t>
      </w:r>
      <w:r>
        <w:rPr>
          <w:rFonts w:hint="eastAsia" w:ascii="宋体" w:hAnsi="宋体" w:eastAsia="宋体"/>
          <w:color w:val="auto"/>
          <w:sz w:val="24"/>
          <w:szCs w:val="24"/>
          <w:u w:val="single"/>
          <w:lang w:eastAsia="zh-CN"/>
        </w:rPr>
        <w:t>HRP系统</w:t>
      </w:r>
      <w:r>
        <w:rPr>
          <w:rFonts w:hint="eastAsia" w:ascii="宋体" w:hAnsi="宋体" w:eastAsia="宋体"/>
          <w:color w:val="auto"/>
          <w:sz w:val="24"/>
          <w:szCs w:val="24"/>
          <w:u w:val="single"/>
          <w:lang w:val="en-US" w:eastAsia="zh-CN"/>
        </w:rPr>
        <w:t>一年维保及消毒供应系统升级</w:t>
      </w:r>
      <w:r>
        <w:rPr>
          <w:rFonts w:hint="eastAsia" w:ascii="宋体" w:hAnsi="宋体" w:eastAsia="宋体"/>
          <w:color w:val="0000FF"/>
          <w:sz w:val="24"/>
          <w:szCs w:val="24"/>
          <w:u w:val="single"/>
          <w:lang w:val="en-US" w:eastAsia="zh-CN"/>
        </w:rPr>
        <w:t>服务</w:t>
      </w:r>
      <w:r>
        <w:rPr>
          <w:rFonts w:hint="eastAsia" w:ascii="宋体" w:hAnsi="宋体" w:eastAsia="宋体"/>
          <w:color w:val="auto"/>
          <w:sz w:val="24"/>
          <w:szCs w:val="24"/>
        </w:rPr>
        <w:t>采购相关事宜充分协商，特签订本合同，以资共同遵守：</w:t>
      </w:r>
    </w:p>
    <w:p w14:paraId="52CEB946">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ascii="宋体" w:hAnsi="宋体" w:eastAsia="宋体"/>
          <w:b/>
          <w:color w:val="auto"/>
          <w:sz w:val="24"/>
        </w:rPr>
      </w:pPr>
      <w:r>
        <w:rPr>
          <w:rFonts w:hint="eastAsia" w:ascii="宋体" w:hAnsi="宋体" w:eastAsia="宋体"/>
          <w:b/>
          <w:color w:val="auto"/>
          <w:sz w:val="24"/>
        </w:rPr>
        <w:t>第一条  定义</w:t>
      </w:r>
    </w:p>
    <w:p w14:paraId="69F08867">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1.1“一方”：指乙方或甲方中的任何一方。</w:t>
      </w:r>
    </w:p>
    <w:p w14:paraId="33BFB01E">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1.2“双方”：指乙方和甲方。</w:t>
      </w:r>
    </w:p>
    <w:p w14:paraId="37A46722">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1.3“合同”：指由本合同正文及与本合同正文不可分割的附件（</w:t>
      </w:r>
      <w:r>
        <w:rPr>
          <w:rFonts w:hint="eastAsia" w:ascii="宋体" w:hAnsi="宋体" w:eastAsia="宋体"/>
          <w:color w:val="auto"/>
          <w:sz w:val="24"/>
          <w:lang w:val="en-US" w:eastAsia="zh-CN"/>
        </w:rPr>
        <w:t>见附件一、</w:t>
      </w:r>
      <w:r>
        <w:rPr>
          <w:rFonts w:hint="eastAsia" w:ascii="宋体" w:hAnsi="宋体" w:eastAsia="宋体"/>
          <w:color w:val="0000FF"/>
          <w:sz w:val="24"/>
          <w:lang w:val="en-US" w:eastAsia="zh-CN"/>
        </w:rPr>
        <w:t>二</w:t>
      </w:r>
      <w:r>
        <w:rPr>
          <w:rFonts w:hint="eastAsia" w:ascii="宋体" w:hAnsi="宋体" w:eastAsia="宋体"/>
          <w:color w:val="auto"/>
          <w:sz w:val="24"/>
        </w:rPr>
        <w:t>）、补充协议（如有）共同构成的整体。</w:t>
      </w:r>
    </w:p>
    <w:p w14:paraId="1326E19A">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1.4“技术服务”或“服务”：指就双方合作的应用或软件，乙方提供包括但不限于系统初始化部署、医疗数据采集、校验、联调、培训及其他类似的义务。</w:t>
      </w:r>
    </w:p>
    <w:p w14:paraId="199E31D6">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1.5合作产品：指乙方接受甲方的委托，提供了相应技术服务的应用、</w:t>
      </w:r>
      <w:r>
        <w:rPr>
          <w:rFonts w:hint="eastAsia" w:ascii="宋体" w:hAnsi="宋体" w:eastAsia="宋体"/>
          <w:color w:val="auto"/>
          <w:sz w:val="24"/>
          <w:lang w:val="en-US" w:eastAsia="zh-CN"/>
        </w:rPr>
        <w:t>HRP物资</w:t>
      </w:r>
      <w:r>
        <w:rPr>
          <w:rFonts w:ascii="宋体" w:hAnsi="宋体" w:eastAsia="宋体"/>
          <w:color w:val="auto"/>
          <w:sz w:val="24"/>
        </w:rPr>
        <w:t>管理系统</w:t>
      </w:r>
      <w:r>
        <w:rPr>
          <w:rFonts w:hint="eastAsia" w:ascii="宋体" w:hAnsi="宋体" w:eastAsia="宋体"/>
          <w:color w:val="auto"/>
          <w:sz w:val="24"/>
        </w:rPr>
        <w:t>应用软件。</w:t>
      </w:r>
    </w:p>
    <w:p w14:paraId="7A25D630">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ascii="宋体" w:hAnsi="宋体" w:eastAsia="宋体"/>
          <w:b/>
          <w:color w:val="auto"/>
          <w:sz w:val="24"/>
        </w:rPr>
      </w:pPr>
      <w:r>
        <w:rPr>
          <w:rFonts w:hint="eastAsia" w:ascii="宋体" w:hAnsi="宋体" w:eastAsia="宋体"/>
          <w:b/>
          <w:color w:val="auto"/>
          <w:sz w:val="24"/>
        </w:rPr>
        <w:t>第二条  乙方提供</w:t>
      </w:r>
      <w:r>
        <w:rPr>
          <w:rFonts w:hint="eastAsia" w:ascii="宋体" w:hAnsi="宋体" w:eastAsia="宋体"/>
          <w:b/>
          <w:color w:val="auto"/>
          <w:sz w:val="24"/>
          <w:lang w:val="en-US" w:eastAsia="zh-CN"/>
        </w:rPr>
        <w:t>HRP维保一年及消毒供应系统</w:t>
      </w:r>
      <w:r>
        <w:rPr>
          <w:rFonts w:hint="eastAsia" w:ascii="宋体" w:hAnsi="宋体" w:eastAsia="宋体"/>
          <w:b/>
          <w:color w:val="auto"/>
          <w:sz w:val="24"/>
        </w:rPr>
        <w:t>升级服务项目内容</w:t>
      </w:r>
    </w:p>
    <w:p w14:paraId="37573A97">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2.1本合同约定乙方提供</w:t>
      </w:r>
      <w:r>
        <w:rPr>
          <w:rFonts w:hint="eastAsia" w:ascii="宋体" w:hAnsi="宋体" w:eastAsia="宋体"/>
          <w:color w:val="auto"/>
          <w:sz w:val="24"/>
          <w:lang w:eastAsia="zh-CN"/>
        </w:rPr>
        <w:t>消毒供应系统升级项目</w:t>
      </w:r>
      <w:r>
        <w:rPr>
          <w:rFonts w:hint="eastAsia" w:ascii="宋体" w:hAnsi="宋体" w:eastAsia="宋体"/>
          <w:color w:val="auto"/>
          <w:sz w:val="24"/>
        </w:rPr>
        <w:t>的内容，具体包括：</w:t>
      </w:r>
    </w:p>
    <w:p w14:paraId="5C0B19BE">
      <w:pPr>
        <w:pStyle w:val="24"/>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2.1.1</w:t>
      </w:r>
      <w:r>
        <w:rPr>
          <w:rFonts w:hint="eastAsia" w:ascii="宋体" w:hAnsi="宋体" w:eastAsia="宋体" w:cs="宋体"/>
          <w:sz w:val="24"/>
          <w:szCs w:val="24"/>
          <w:highlight w:val="none"/>
          <w:lang w:val="en-US" w:eastAsia="zh-CN" w:bidi="ar-SA"/>
        </w:rPr>
        <w:t>本次供应室消毒包管理信息系统升级改造严格对标《医疗器械监督管理条例》《消毒管理办法》《医院消毒供应中心第1部分：管理规范》《消毒供应质量控制指标（2024 年版）》等相关</w:t>
      </w:r>
      <w:r>
        <w:rPr>
          <w:rFonts w:hint="default" w:ascii="宋体" w:hAnsi="宋体" w:eastAsia="宋体" w:cs="宋体"/>
          <w:sz w:val="24"/>
          <w:szCs w:val="24"/>
          <w:highlight w:val="none"/>
          <w:lang w:val="en-US" w:eastAsia="zh-CN"/>
        </w:rPr>
        <w:t>政策文件</w:t>
      </w:r>
      <w:r>
        <w:rPr>
          <w:rFonts w:hint="eastAsia" w:ascii="宋体" w:hAnsi="宋体" w:eastAsia="宋体" w:cs="宋体"/>
          <w:sz w:val="24"/>
          <w:szCs w:val="24"/>
          <w:highlight w:val="none"/>
          <w:lang w:val="en-US" w:eastAsia="zh-CN" w:bidi="ar-SA"/>
        </w:rPr>
        <w:t>，需依托现有一体化系统完成全流程数字化追溯管控，对现有的供应室消毒包管理信息系统进行升级</w:t>
      </w:r>
      <w:r>
        <w:rPr>
          <w:rFonts w:hint="eastAsia" w:ascii="宋体" w:hAnsi="宋体" w:eastAsia="宋体"/>
          <w:color w:val="auto"/>
          <w:sz w:val="24"/>
        </w:rPr>
        <w:t>，防止数据泄露。</w:t>
      </w:r>
    </w:p>
    <w:p w14:paraId="7D190F7C">
      <w:pPr>
        <w:keepNext w:val="0"/>
        <w:keepLines w:val="0"/>
        <w:pageBreakBefore w:val="0"/>
        <w:widowControl w:val="0"/>
        <w:numPr>
          <w:ilvl w:val="0"/>
          <w:numId w:val="0"/>
        </w:numPr>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lang w:val="en-US" w:eastAsia="zh-CN"/>
        </w:rPr>
      </w:pPr>
      <w:r>
        <w:rPr>
          <w:rFonts w:hint="eastAsia" w:ascii="宋体" w:hAnsi="宋体" w:eastAsia="宋体"/>
          <w:color w:val="auto"/>
          <w:sz w:val="24"/>
        </w:rPr>
        <w:t>2</w:t>
      </w:r>
      <w:r>
        <w:rPr>
          <w:rFonts w:ascii="宋体" w:hAnsi="宋体" w:eastAsia="宋体"/>
          <w:color w:val="auto"/>
          <w:sz w:val="24"/>
        </w:rPr>
        <w:t>.1.2</w:t>
      </w:r>
      <w:r>
        <w:rPr>
          <w:rFonts w:hint="eastAsia" w:ascii="宋体" w:hAnsi="宋体" w:eastAsia="宋体"/>
          <w:color w:val="auto"/>
          <w:sz w:val="24"/>
          <w:lang w:val="en-US" w:eastAsia="zh-CN"/>
        </w:rPr>
        <w:t xml:space="preserve"> 此版本升级包含大版本升级（</w:t>
      </w:r>
      <w:r>
        <w:rPr>
          <w:rFonts w:hint="eastAsia" w:ascii="宋体" w:hAnsi="宋体" w:eastAsia="宋体" w:cs="宋体"/>
          <w:sz w:val="24"/>
          <w:szCs w:val="24"/>
          <w:highlight w:val="none"/>
          <w:lang w:val="en-US" w:eastAsia="zh-CN" w:bidi="ar-SA"/>
        </w:rPr>
        <w:t>供应室消毒包管理信息系统）</w:t>
      </w:r>
      <w:r>
        <w:rPr>
          <w:rFonts w:hint="eastAsia" w:ascii="宋体" w:hAnsi="宋体" w:eastAsia="宋体"/>
          <w:color w:val="auto"/>
          <w:sz w:val="24"/>
          <w:lang w:val="en-US" w:eastAsia="zh-CN"/>
        </w:rPr>
        <w:t>、小包升级、迭代升级等升级类型（包括消毒供应室系统跨版本升级及手术室消毒包追溯功能费用）。升级内容如下：</w:t>
      </w:r>
    </w:p>
    <w:p w14:paraId="3088383C">
      <w:pPr>
        <w:keepNext w:val="0"/>
        <w:keepLines w:val="0"/>
        <w:pageBreakBefore w:val="0"/>
        <w:widowControl w:val="0"/>
        <w:numPr>
          <w:ilvl w:val="0"/>
          <w:numId w:val="0"/>
        </w:numPr>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lang w:val="en-US" w:eastAsia="zh-CN"/>
        </w:rPr>
      </w:pPr>
      <w:r>
        <w:rPr>
          <w:rFonts w:hint="eastAsia" w:ascii="仿宋" w:hAnsi="仿宋" w:eastAsia="仿宋" w:cs="仿宋"/>
          <w:b w:val="0"/>
          <w:bCs w:val="0"/>
          <w:sz w:val="24"/>
          <w:szCs w:val="24"/>
          <w:lang w:val="en-US" w:eastAsia="zh-CN"/>
        </w:rPr>
        <w:t>2.1.2.1</w:t>
      </w:r>
      <w:r>
        <w:rPr>
          <w:rFonts w:hint="eastAsia" w:ascii="宋体" w:hAnsi="宋体" w:eastAsia="宋体"/>
          <w:color w:val="auto"/>
          <w:sz w:val="24"/>
          <w:lang w:val="en-US" w:eastAsia="zh-CN"/>
        </w:rPr>
        <w:t>支持回收、清洗、包装、灭菌和发放业务中点击条码可以看到追溯信息功能。</w:t>
      </w:r>
    </w:p>
    <w:p w14:paraId="19942751">
      <w:pPr>
        <w:keepNext w:val="0"/>
        <w:keepLines w:val="0"/>
        <w:pageBreakBefore w:val="0"/>
        <w:widowControl w:val="0"/>
        <w:numPr>
          <w:ilvl w:val="0"/>
          <w:numId w:val="0"/>
        </w:numPr>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2.1.2.2支持批量查询消毒包从回收到使用全流程信息功能。</w:t>
      </w:r>
    </w:p>
    <w:p w14:paraId="5CEECE15">
      <w:pPr>
        <w:keepNext w:val="0"/>
        <w:keepLines w:val="0"/>
        <w:pageBreakBefore w:val="0"/>
        <w:widowControl w:val="0"/>
        <w:numPr>
          <w:ilvl w:val="0"/>
          <w:numId w:val="0"/>
        </w:numPr>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2.1.2.3支持回收、清洗检查、配包和包装拍照记录器械异常信息功能。</w:t>
      </w:r>
    </w:p>
    <w:p w14:paraId="5413FEB9">
      <w:pPr>
        <w:keepNext w:val="0"/>
        <w:keepLines w:val="0"/>
        <w:pageBreakBefore w:val="0"/>
        <w:widowControl w:val="0"/>
        <w:numPr>
          <w:ilvl w:val="0"/>
          <w:numId w:val="0"/>
        </w:numPr>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2.1.2.4支持手术包使用时可以看到包内器械清单功能。</w:t>
      </w:r>
    </w:p>
    <w:p w14:paraId="235400A2">
      <w:pPr>
        <w:keepNext w:val="0"/>
        <w:keepLines w:val="0"/>
        <w:pageBreakBefore w:val="0"/>
        <w:widowControl w:val="0"/>
        <w:numPr>
          <w:ilvl w:val="0"/>
          <w:numId w:val="0"/>
        </w:numPr>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2.1.2.5支持科室使用消毒包记录异常信息功能。</w:t>
      </w:r>
    </w:p>
    <w:p w14:paraId="39D6FBAA">
      <w:pPr>
        <w:keepNext w:val="0"/>
        <w:keepLines w:val="0"/>
        <w:pageBreakBefore w:val="0"/>
        <w:widowControl w:val="0"/>
        <w:numPr>
          <w:ilvl w:val="0"/>
          <w:numId w:val="0"/>
        </w:numPr>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2.1.2.6支持消毒供应中心、临床科室、手术室无菌包盘点功能。</w:t>
      </w:r>
    </w:p>
    <w:p w14:paraId="7C649E40">
      <w:pPr>
        <w:keepNext w:val="0"/>
        <w:keepLines w:val="0"/>
        <w:pageBreakBefore w:val="0"/>
        <w:widowControl w:val="0"/>
        <w:numPr>
          <w:ilvl w:val="0"/>
          <w:numId w:val="0"/>
        </w:numPr>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2.1.2.7支持手术室发放到无菌间的功能。</w:t>
      </w:r>
    </w:p>
    <w:p w14:paraId="2D067771">
      <w:pPr>
        <w:keepNext w:val="0"/>
        <w:keepLines w:val="0"/>
        <w:pageBreakBefore w:val="0"/>
        <w:widowControl w:val="0"/>
        <w:numPr>
          <w:ilvl w:val="0"/>
          <w:numId w:val="0"/>
        </w:numPr>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2.1.2.8支持基数包管理功能。</w:t>
      </w:r>
    </w:p>
    <w:p w14:paraId="49C3B2AC">
      <w:pPr>
        <w:pStyle w:val="24"/>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2.1.3</w:t>
      </w:r>
      <w:r>
        <w:rPr>
          <w:rFonts w:hint="eastAsia" w:ascii="宋体" w:hAnsi="宋体" w:eastAsia="宋体"/>
          <w:color w:val="auto"/>
          <w:sz w:val="24"/>
          <w:lang w:val="en-US" w:eastAsia="zh-CN"/>
        </w:rPr>
        <w:t xml:space="preserve"> </w:t>
      </w:r>
      <w:r>
        <w:rPr>
          <w:rFonts w:hint="eastAsia" w:ascii="宋体" w:hAnsi="宋体" w:eastAsia="宋体"/>
          <w:color w:val="auto"/>
          <w:sz w:val="24"/>
        </w:rPr>
        <w:t>应每</w:t>
      </w:r>
      <w:r>
        <w:rPr>
          <w:rFonts w:hint="eastAsia" w:ascii="宋体" w:hAnsi="宋体" w:eastAsia="宋体"/>
          <w:color w:val="auto"/>
          <w:sz w:val="24"/>
          <w:u w:val="single"/>
        </w:rPr>
        <w:t xml:space="preserve"> </w:t>
      </w:r>
      <w:r>
        <w:rPr>
          <w:rFonts w:ascii="宋体" w:hAnsi="宋体" w:eastAsia="宋体"/>
          <w:color w:val="auto"/>
          <w:sz w:val="24"/>
          <w:u w:val="single"/>
        </w:rPr>
        <w:t>3</w:t>
      </w:r>
      <w:r>
        <w:rPr>
          <w:rFonts w:hint="eastAsia" w:ascii="宋体" w:hAnsi="宋体" w:eastAsia="宋体"/>
          <w:color w:val="auto"/>
          <w:sz w:val="24"/>
          <w:u w:val="single"/>
        </w:rPr>
        <w:t xml:space="preserve"> </w:t>
      </w:r>
      <w:r>
        <w:rPr>
          <w:rFonts w:hint="eastAsia" w:ascii="宋体" w:hAnsi="宋体" w:eastAsia="宋体"/>
          <w:color w:val="auto"/>
          <w:sz w:val="24"/>
        </w:rPr>
        <w:t>个月为甲方进行一次定期巡检，内容包括系统运行检查和需求收集。</w:t>
      </w:r>
    </w:p>
    <w:p w14:paraId="07110ED0">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2.1.</w:t>
      </w:r>
      <w:r>
        <w:rPr>
          <w:rFonts w:hint="eastAsia" w:ascii="宋体" w:hAnsi="宋体" w:eastAsia="宋体"/>
          <w:color w:val="auto"/>
          <w:sz w:val="24"/>
          <w:lang w:val="en-US" w:eastAsia="zh-CN"/>
        </w:rPr>
        <w:t xml:space="preserve">4 </w:t>
      </w:r>
      <w:r>
        <w:rPr>
          <w:rFonts w:hint="eastAsia" w:ascii="宋体" w:hAnsi="宋体" w:eastAsia="宋体"/>
          <w:color w:val="auto"/>
          <w:sz w:val="24"/>
        </w:rPr>
        <w:t>应每</w:t>
      </w:r>
      <w:r>
        <w:rPr>
          <w:rFonts w:ascii="宋体" w:hAnsi="宋体" w:eastAsia="宋体"/>
          <w:color w:val="auto"/>
          <w:sz w:val="24"/>
        </w:rPr>
        <w:t>3</w:t>
      </w:r>
      <w:r>
        <w:rPr>
          <w:rFonts w:hint="eastAsia" w:ascii="宋体" w:hAnsi="宋体" w:eastAsia="宋体"/>
          <w:color w:val="auto"/>
          <w:sz w:val="24"/>
        </w:rPr>
        <w:t>个月为甲方进行一次定期的</w:t>
      </w:r>
      <w:r>
        <w:rPr>
          <w:rFonts w:hint="eastAsia" w:ascii="宋体" w:hAnsi="宋体" w:eastAsia="宋体"/>
          <w:color w:val="auto"/>
          <w:sz w:val="24"/>
          <w:lang w:eastAsia="zh-CN"/>
        </w:rPr>
        <w:t>HRP</w:t>
      </w:r>
      <w:r>
        <w:rPr>
          <w:rFonts w:hint="eastAsia" w:ascii="宋体" w:hAnsi="宋体" w:eastAsia="宋体"/>
          <w:color w:val="auto"/>
          <w:sz w:val="24"/>
        </w:rPr>
        <w:t>专业培训及软件应用指导服务。</w:t>
      </w:r>
    </w:p>
    <w:p w14:paraId="1F6EF0CF">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2.1.</w:t>
      </w:r>
      <w:r>
        <w:rPr>
          <w:rFonts w:hint="eastAsia" w:ascii="宋体" w:hAnsi="宋体" w:eastAsia="宋体"/>
          <w:color w:val="auto"/>
          <w:sz w:val="24"/>
          <w:lang w:val="en-US" w:eastAsia="zh-CN"/>
        </w:rPr>
        <w:t xml:space="preserve">5 </w:t>
      </w:r>
      <w:r>
        <w:rPr>
          <w:rFonts w:hint="eastAsia" w:ascii="宋体" w:hAnsi="宋体" w:eastAsia="宋体"/>
          <w:color w:val="auto"/>
          <w:sz w:val="24"/>
        </w:rPr>
        <w:t>应每</w:t>
      </w:r>
      <w:r>
        <w:rPr>
          <w:rFonts w:hint="eastAsia" w:ascii="宋体" w:hAnsi="宋体" w:eastAsia="宋体"/>
          <w:color w:val="auto"/>
          <w:sz w:val="24"/>
          <w:u w:val="single"/>
        </w:rPr>
        <w:t>3</w:t>
      </w:r>
      <w:r>
        <w:rPr>
          <w:rFonts w:hint="eastAsia" w:ascii="宋体" w:hAnsi="宋体" w:eastAsia="宋体"/>
          <w:color w:val="auto"/>
          <w:sz w:val="24"/>
        </w:rPr>
        <w:t>个月为甲方进行一次定期技术巡检及系统调优，及时排除故障隐患，使系统始终处于高效率运行状态。</w:t>
      </w:r>
    </w:p>
    <w:p w14:paraId="065D7814">
      <w:pPr>
        <w:pStyle w:val="24"/>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2.1.</w:t>
      </w:r>
      <w:r>
        <w:rPr>
          <w:rFonts w:hint="eastAsia" w:ascii="宋体" w:hAnsi="宋体" w:eastAsia="宋体"/>
          <w:color w:val="auto"/>
          <w:sz w:val="24"/>
          <w:lang w:val="en-US" w:eastAsia="zh-CN"/>
        </w:rPr>
        <w:t xml:space="preserve">6 </w:t>
      </w:r>
      <w:r>
        <w:rPr>
          <w:rFonts w:hint="eastAsia" w:ascii="宋体" w:hAnsi="宋体" w:eastAsia="宋体"/>
          <w:color w:val="auto"/>
          <w:sz w:val="24"/>
        </w:rPr>
        <w:t>利用自身丰富的开发经验、行业经验为甲方提供专业的技术答疑、功能优化、配置优化。</w:t>
      </w:r>
    </w:p>
    <w:p w14:paraId="6E329355">
      <w:pPr>
        <w:pStyle w:val="24"/>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000000" w:themeColor="text1"/>
          <w:sz w:val="24"/>
          <w14:textFill>
            <w14:solidFill>
              <w14:schemeClr w14:val="tx1"/>
            </w14:solidFill>
          </w14:textFill>
        </w:rPr>
      </w:pPr>
      <w:r>
        <w:rPr>
          <w:rFonts w:hint="eastAsia" w:ascii="宋体" w:hAnsi="宋体" w:eastAsia="宋体"/>
          <w:color w:val="auto"/>
          <w:sz w:val="24"/>
        </w:rPr>
        <w:t>2.1.</w:t>
      </w:r>
      <w:r>
        <w:rPr>
          <w:rFonts w:hint="eastAsia" w:ascii="宋体" w:hAnsi="宋体" w:eastAsia="宋体"/>
          <w:color w:val="auto"/>
          <w:sz w:val="24"/>
          <w:lang w:val="en-US" w:eastAsia="zh-CN"/>
        </w:rPr>
        <w:t xml:space="preserve">7 </w:t>
      </w:r>
      <w:r>
        <w:rPr>
          <w:rFonts w:hint="eastAsia" w:ascii="宋体" w:hAnsi="宋体" w:eastAsia="宋体"/>
          <w:color w:val="auto"/>
          <w:sz w:val="24"/>
        </w:rPr>
        <w:t>需配合甲方制定培训计划，并负责按照计划进行培训，保证所有参训人</w:t>
      </w:r>
      <w:r>
        <w:rPr>
          <w:rFonts w:hint="eastAsia" w:ascii="宋体" w:hAnsi="宋体" w:eastAsia="宋体"/>
          <w:color w:val="000000" w:themeColor="text1"/>
          <w:sz w:val="24"/>
          <w14:textFill>
            <w14:solidFill>
              <w14:schemeClr w14:val="tx1"/>
            </w14:solidFill>
          </w14:textFill>
        </w:rPr>
        <w:t>员均能熟练掌握相应软件的操作使用方法。</w:t>
      </w:r>
    </w:p>
    <w:p w14:paraId="2B05461C">
      <w:pPr>
        <w:keepNext w:val="0"/>
        <w:keepLines w:val="0"/>
        <w:pageBreakBefore w:val="0"/>
        <w:widowControl w:val="0"/>
        <w:numPr>
          <w:ilvl w:val="0"/>
          <w:numId w:val="0"/>
        </w:numPr>
        <w:kinsoku/>
        <w:wordWrap/>
        <w:overflowPunct/>
        <w:topLinePunct w:val="0"/>
        <w:autoSpaceDE/>
        <w:autoSpaceDN/>
        <w:bidi w:val="0"/>
        <w:spacing w:line="480" w:lineRule="exact"/>
        <w:ind w:firstLine="480" w:firstLineChars="200"/>
        <w:jc w:val="both"/>
        <w:textAlignment w:val="auto"/>
        <w:rPr>
          <w:rFonts w:hint="eastAsia" w:ascii="宋体" w:hAnsi="宋体" w:eastAsia="宋体" w:cs="宋体"/>
          <w:color w:val="000000" w:themeColor="text1"/>
          <w:kern w:val="2"/>
          <w:sz w:val="24"/>
          <w:lang w:val="en-US" w:eastAsia="zh-CN" w:bidi="ar-SA"/>
          <w14:textFill>
            <w14:solidFill>
              <w14:schemeClr w14:val="tx1"/>
            </w14:solidFill>
          </w14:textFill>
        </w:rPr>
      </w:pPr>
      <w:r>
        <w:rPr>
          <w:rFonts w:hint="eastAsia" w:ascii="宋体" w:hAnsi="宋体" w:eastAsia="宋体" w:cs="宋体"/>
          <w:color w:val="000000" w:themeColor="text1"/>
          <w:kern w:val="2"/>
          <w:sz w:val="24"/>
          <w:lang w:val="en-US" w:eastAsia="zh-CN" w:bidi="ar-SA"/>
          <w14:textFill>
            <w14:solidFill>
              <w14:schemeClr w14:val="tx1"/>
            </w14:solidFill>
          </w14:textFill>
        </w:rPr>
        <w:t>2.2 事件恢复：乙方服务人员按照客户对应的服务级别协议，为甲方提供日常使用系统的事件恢复服务，具体内容包括但不限于：软件安装、业务咨询、报障处理、常用报表核对与纠错、操作性错误导致的问题。</w:t>
      </w:r>
    </w:p>
    <w:p w14:paraId="08898276">
      <w:pPr>
        <w:pStyle w:val="24"/>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eastAsia="宋体"/>
          <w:color w:val="000000" w:themeColor="text1"/>
          <w:sz w:val="24"/>
          <w:lang w:val="en-US" w:eastAsia="zh-CN"/>
          <w14:textFill>
            <w14:solidFill>
              <w14:schemeClr w14:val="tx1"/>
            </w14:solidFill>
          </w14:textFill>
        </w:rPr>
        <w:t>2.3  问题修复：乙方服务人员在发现系统运行问题或者接收到甲方反馈的问题之后，对问题发生的根本原因进行分析，并商讨、发布、落实对应整改建议，对该问题进行修复。</w:t>
      </w:r>
    </w:p>
    <w:p w14:paraId="70BBBC1E">
      <w:pPr>
        <w:pStyle w:val="24"/>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eastAsia="宋体"/>
          <w:color w:val="000000" w:themeColor="text1"/>
          <w:sz w:val="24"/>
          <w:lang w:val="en-US" w:eastAsia="zh-CN"/>
          <w14:textFill>
            <w14:solidFill>
              <w14:schemeClr w14:val="tx1"/>
            </w14:solidFill>
          </w14:textFill>
        </w:rPr>
        <w:t>2.4  应急服务：乙方服务人员按照对应排查方案和应急预案提供快速应急服务，配合甲方快速恢复正常业务。</w:t>
      </w:r>
    </w:p>
    <w:p w14:paraId="31C1A21F">
      <w:pPr>
        <w:pStyle w:val="24"/>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eastAsia="宋体"/>
          <w:color w:val="000000" w:themeColor="text1"/>
          <w:sz w:val="24"/>
          <w:lang w:val="en-US" w:eastAsia="zh-CN"/>
          <w14:textFill>
            <w14:solidFill>
              <w14:schemeClr w14:val="tx1"/>
            </w14:solidFill>
          </w14:textFill>
        </w:rPr>
        <w:t xml:space="preserve">2.5  </w:t>
      </w:r>
      <w:r>
        <w:rPr>
          <w:rFonts w:hint="eastAsia" w:ascii="宋体" w:hAnsi="宋体" w:eastAsia="宋体"/>
          <w:color w:val="0000FF"/>
          <w:sz w:val="24"/>
          <w:lang w:val="en-US" w:eastAsia="zh-CN"/>
        </w:rPr>
        <w:t>HRP维保服务</w:t>
      </w:r>
      <w:r>
        <w:rPr>
          <w:rFonts w:hint="eastAsia" w:ascii="宋体" w:hAnsi="宋体" w:eastAsia="宋体"/>
          <w:color w:val="000000" w:themeColor="text1"/>
          <w:sz w:val="24"/>
          <w:lang w:val="en-US" w:eastAsia="zh-CN"/>
          <w14:textFill>
            <w14:solidFill>
              <w14:schemeClr w14:val="tx1"/>
            </w14:solidFill>
          </w14:textFill>
        </w:rPr>
        <w:t>范围清单详情见附件一。</w:t>
      </w:r>
    </w:p>
    <w:p w14:paraId="049D1746">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ascii="宋体" w:hAnsi="宋体" w:eastAsia="宋体"/>
          <w:b/>
          <w:color w:val="auto"/>
          <w:sz w:val="24"/>
        </w:rPr>
      </w:pPr>
      <w:r>
        <w:rPr>
          <w:rFonts w:hint="eastAsia" w:ascii="宋体" w:hAnsi="宋体" w:eastAsia="宋体"/>
          <w:b/>
          <w:bCs/>
          <w:color w:val="auto"/>
          <w:sz w:val="24"/>
          <w:szCs w:val="24"/>
        </w:rPr>
        <w:t xml:space="preserve">第三条  </w:t>
      </w:r>
      <w:r>
        <w:rPr>
          <w:rFonts w:hint="eastAsia" w:ascii="宋体" w:hAnsi="宋体" w:eastAsia="宋体"/>
          <w:b/>
          <w:bCs/>
          <w:color w:val="0000FF"/>
          <w:sz w:val="24"/>
          <w:szCs w:val="24"/>
          <w:lang w:eastAsia="zh-CN"/>
        </w:rPr>
        <w:t>消毒供应</w:t>
      </w:r>
      <w:r>
        <w:rPr>
          <w:rFonts w:hint="eastAsia" w:ascii="宋体" w:hAnsi="宋体" w:eastAsia="宋体"/>
          <w:b/>
          <w:bCs/>
          <w:color w:val="auto"/>
          <w:sz w:val="24"/>
          <w:szCs w:val="24"/>
        </w:rPr>
        <w:t>系统的安</w:t>
      </w:r>
      <w:r>
        <w:rPr>
          <w:rFonts w:hint="eastAsia" w:ascii="宋体" w:hAnsi="宋体" w:eastAsia="宋体"/>
          <w:b/>
          <w:color w:val="auto"/>
          <w:sz w:val="24"/>
          <w:szCs w:val="24"/>
        </w:rPr>
        <w:t>装、调试、交付等期限</w:t>
      </w:r>
    </w:p>
    <w:p w14:paraId="52B1B308">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bCs/>
          <w:color w:val="auto"/>
          <w:sz w:val="24"/>
        </w:rPr>
      </w:pPr>
      <w:r>
        <w:rPr>
          <w:rFonts w:hint="eastAsia" w:ascii="宋体" w:hAnsi="宋体" w:eastAsia="宋体"/>
          <w:bCs/>
          <w:color w:val="auto"/>
          <w:sz w:val="24"/>
        </w:rPr>
        <w:t>乙方应在本合同签订之日起</w:t>
      </w:r>
      <w:r>
        <w:rPr>
          <w:rFonts w:hint="eastAsia" w:ascii="宋体" w:hAnsi="宋体" w:eastAsia="宋体"/>
          <w:bCs/>
          <w:color w:val="auto"/>
          <w:sz w:val="24"/>
          <w:u w:val="single"/>
        </w:rPr>
        <w:t xml:space="preserve"> </w:t>
      </w:r>
      <w:r>
        <w:rPr>
          <w:rFonts w:ascii="宋体" w:hAnsi="宋体" w:eastAsia="宋体"/>
          <w:bCs/>
          <w:color w:val="auto"/>
          <w:sz w:val="24"/>
          <w:u w:val="single"/>
        </w:rPr>
        <w:t>30</w:t>
      </w:r>
      <w:r>
        <w:rPr>
          <w:rFonts w:hint="eastAsia" w:ascii="宋体" w:hAnsi="宋体" w:eastAsia="宋体"/>
          <w:bCs/>
          <w:color w:val="auto"/>
          <w:sz w:val="24"/>
          <w:u w:val="single"/>
        </w:rPr>
        <w:t xml:space="preserve"> </w:t>
      </w:r>
      <w:r>
        <w:rPr>
          <w:rFonts w:hint="eastAsia" w:ascii="宋体" w:hAnsi="宋体" w:eastAsia="宋体"/>
          <w:bCs/>
          <w:color w:val="auto"/>
          <w:sz w:val="24"/>
        </w:rPr>
        <w:t>日内完成</w:t>
      </w:r>
      <w:r>
        <w:rPr>
          <w:rFonts w:hint="eastAsia" w:ascii="宋体" w:hAnsi="宋体" w:eastAsia="宋体"/>
          <w:color w:val="auto"/>
          <w:sz w:val="24"/>
          <w:lang w:eastAsia="zh-CN"/>
        </w:rPr>
        <w:t>消毒供应系统</w:t>
      </w:r>
      <w:r>
        <w:rPr>
          <w:rFonts w:hint="eastAsia" w:ascii="宋体" w:hAnsi="宋体" w:eastAsia="宋体"/>
          <w:bCs/>
          <w:color w:val="auto"/>
          <w:sz w:val="24"/>
        </w:rPr>
        <w:t>升级、安装、实施、调试、验收并交付给甲方使用。</w:t>
      </w:r>
    </w:p>
    <w:p w14:paraId="7548601E">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ascii="宋体" w:hAnsi="宋体" w:eastAsia="宋体"/>
          <w:b/>
          <w:color w:val="auto"/>
          <w:sz w:val="24"/>
        </w:rPr>
      </w:pPr>
      <w:r>
        <w:rPr>
          <w:rFonts w:hint="eastAsia" w:ascii="宋体" w:hAnsi="宋体" w:eastAsia="宋体"/>
          <w:b/>
          <w:color w:val="auto"/>
          <w:sz w:val="24"/>
        </w:rPr>
        <w:t xml:space="preserve">第四条  </w:t>
      </w:r>
      <w:r>
        <w:rPr>
          <w:rFonts w:hint="eastAsia" w:ascii="宋体" w:hAnsi="宋体" w:eastAsia="宋体"/>
          <w:b/>
          <w:bCs/>
          <w:color w:val="0000FF"/>
          <w:sz w:val="24"/>
          <w:szCs w:val="24"/>
          <w:lang w:eastAsia="zh-CN"/>
        </w:rPr>
        <w:t>消毒供应系统</w:t>
      </w:r>
      <w:r>
        <w:rPr>
          <w:rFonts w:hint="eastAsia" w:ascii="宋体" w:hAnsi="宋体" w:eastAsia="宋体"/>
          <w:b/>
          <w:color w:val="auto"/>
          <w:sz w:val="24"/>
        </w:rPr>
        <w:t>验收</w:t>
      </w:r>
    </w:p>
    <w:p w14:paraId="1AC695F3">
      <w:pPr>
        <w:pStyle w:val="6"/>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Ansi="宋体" w:eastAsia="宋体"/>
          <w:color w:val="auto"/>
        </w:rPr>
      </w:pPr>
      <w:r>
        <w:rPr>
          <w:rFonts w:hint="eastAsia" w:hAnsi="宋体" w:eastAsia="宋体"/>
          <w:color w:val="auto"/>
        </w:rPr>
        <w:t>乙方完成</w:t>
      </w:r>
      <w:r>
        <w:rPr>
          <w:rFonts w:hint="eastAsia" w:ascii="宋体" w:hAnsi="宋体" w:eastAsia="宋体"/>
          <w:color w:val="auto"/>
          <w:sz w:val="24"/>
          <w:lang w:eastAsia="zh-CN"/>
        </w:rPr>
        <w:t>消毒供应系统</w:t>
      </w:r>
      <w:r>
        <w:rPr>
          <w:rFonts w:hint="eastAsia" w:hAnsi="宋体" w:eastAsia="宋体"/>
          <w:bCs/>
          <w:color w:val="auto"/>
        </w:rPr>
        <w:t>软件升级、安装、实施、调试后</w:t>
      </w:r>
      <w:r>
        <w:rPr>
          <w:rFonts w:hint="eastAsia" w:hAnsi="宋体" w:eastAsia="宋体"/>
          <w:color w:val="auto"/>
        </w:rPr>
        <w:t>，书面通知甲方有关部门共同对合同项目进行验收。甲方收到乙方书面验收通知之日起7个工作日内组织验收。经甲方验收合格后，向乙方出具验收合格凭证。如经甲方验收不合格，乙方应无条件返工并在10日内调整到位</w:t>
      </w:r>
      <w:r>
        <w:rPr>
          <w:rFonts w:hint="eastAsia" w:hAnsi="宋体" w:eastAsia="宋体"/>
          <w:color w:val="auto"/>
          <w:lang w:val="en-US" w:eastAsia="zh-CN"/>
        </w:rPr>
        <w:t>并</w:t>
      </w:r>
      <w:r>
        <w:rPr>
          <w:rFonts w:hint="eastAsia" w:hAnsi="宋体" w:eastAsia="宋体"/>
          <w:color w:val="auto"/>
        </w:rPr>
        <w:t>确保验收合格，由此产生的费用全部由乙方承担。</w:t>
      </w:r>
    </w:p>
    <w:p w14:paraId="6B6430C2">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hint="default" w:ascii="宋体" w:hAnsi="宋体" w:eastAsia="宋体"/>
          <w:b/>
          <w:bCs/>
          <w:color w:val="auto"/>
          <w:sz w:val="24"/>
          <w:lang w:val="en-US" w:eastAsia="zh-CN"/>
        </w:rPr>
      </w:pPr>
      <w:r>
        <w:rPr>
          <w:rFonts w:hint="eastAsia" w:ascii="宋体" w:hAnsi="宋体" w:eastAsia="宋体"/>
          <w:b/>
          <w:bCs/>
          <w:color w:val="auto"/>
          <w:sz w:val="24"/>
        </w:rPr>
        <w:t xml:space="preserve">第五条 </w:t>
      </w:r>
      <w:r>
        <w:rPr>
          <w:rFonts w:ascii="宋体" w:hAnsi="宋体" w:eastAsia="宋体"/>
          <w:b/>
          <w:bCs/>
          <w:color w:val="auto"/>
          <w:sz w:val="24"/>
        </w:rPr>
        <w:t xml:space="preserve"> </w:t>
      </w:r>
      <w:r>
        <w:rPr>
          <w:rFonts w:hint="eastAsia" w:ascii="宋体" w:hAnsi="宋体" w:eastAsia="宋体"/>
          <w:b/>
          <w:bCs/>
          <w:color w:val="0000FF"/>
          <w:sz w:val="24"/>
          <w:lang w:eastAsia="zh-CN"/>
        </w:rPr>
        <w:t>HRP系统</w:t>
      </w:r>
      <w:r>
        <w:rPr>
          <w:rFonts w:hint="eastAsia" w:ascii="宋体" w:hAnsi="宋体" w:eastAsia="宋体"/>
          <w:b/>
          <w:bCs/>
          <w:color w:val="auto"/>
          <w:sz w:val="24"/>
        </w:rPr>
        <w:t>维保</w:t>
      </w:r>
      <w:r>
        <w:rPr>
          <w:rFonts w:hint="eastAsia" w:ascii="宋体" w:hAnsi="宋体" w:eastAsia="宋体"/>
          <w:b/>
          <w:bCs/>
          <w:color w:val="0000FF"/>
          <w:sz w:val="24"/>
          <w:lang w:val="en-US" w:eastAsia="zh-CN"/>
        </w:rPr>
        <w:t>期限及服务要求</w:t>
      </w:r>
    </w:p>
    <w:p w14:paraId="2C800A42">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5.1</w:t>
      </w:r>
      <w:r>
        <w:rPr>
          <w:rFonts w:hint="eastAsia" w:ascii="宋体" w:hAnsi="宋体" w:eastAsia="宋体"/>
          <w:color w:val="000000" w:themeColor="text1"/>
          <w:sz w:val="24"/>
          <w:lang w:val="en-US" w:eastAsia="zh-CN"/>
          <w14:textFill>
            <w14:solidFill>
              <w14:schemeClr w14:val="tx1"/>
            </w14:solidFill>
          </w14:textFill>
        </w:rPr>
        <w:t xml:space="preserve"> </w:t>
      </w:r>
      <w:r>
        <w:rPr>
          <w:rFonts w:hint="eastAsia" w:ascii="宋体" w:hAnsi="宋体" w:eastAsia="宋体"/>
          <w:color w:val="0000FF"/>
          <w:sz w:val="24"/>
          <w:lang w:eastAsia="zh-CN"/>
        </w:rPr>
        <w:t>HRP系统</w:t>
      </w:r>
      <w:r>
        <w:rPr>
          <w:rFonts w:hint="eastAsia" w:ascii="宋体" w:hAnsi="宋体" w:eastAsia="宋体"/>
          <w:color w:val="000000" w:themeColor="text1"/>
          <w:sz w:val="24"/>
          <w14:textFill>
            <w14:solidFill>
              <w14:schemeClr w14:val="tx1"/>
            </w14:solidFill>
          </w14:textFill>
        </w:rPr>
        <w:t>维保服务期限为一年，自</w:t>
      </w:r>
      <w:r>
        <w:rPr>
          <w:rFonts w:hint="eastAsia" w:ascii="宋体" w:hAnsi="宋体" w:eastAsia="宋体"/>
          <w:color w:val="000000" w:themeColor="text1"/>
          <w:sz w:val="24"/>
          <w:lang w:val="en-US" w:eastAsia="zh-CN"/>
          <w14:textFill>
            <w14:solidFill>
              <w14:schemeClr w14:val="tx1"/>
            </w14:solidFill>
          </w14:textFill>
        </w:rPr>
        <w:t>合同签订</w:t>
      </w:r>
      <w:r>
        <w:rPr>
          <w:rFonts w:hint="eastAsia" w:ascii="宋体" w:hAnsi="宋体" w:eastAsia="宋体"/>
          <w:color w:val="000000" w:themeColor="text1"/>
          <w:sz w:val="24"/>
          <w14:textFill>
            <w14:solidFill>
              <w14:schemeClr w14:val="tx1"/>
            </w14:solidFill>
          </w14:textFill>
        </w:rPr>
        <w:t>之日起开始计算。</w:t>
      </w:r>
    </w:p>
    <w:p w14:paraId="68D3D96B">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szCs w:val="24"/>
        </w:rPr>
      </w:pPr>
      <w:r>
        <w:rPr>
          <w:rFonts w:hint="eastAsia" w:ascii="宋体" w:hAnsi="宋体" w:eastAsia="宋体"/>
          <w:color w:val="auto"/>
          <w:sz w:val="24"/>
        </w:rPr>
        <w:t>5.2</w:t>
      </w:r>
      <w:r>
        <w:rPr>
          <w:rFonts w:hint="eastAsia" w:ascii="宋体" w:hAnsi="宋体" w:eastAsia="宋体"/>
          <w:color w:val="auto"/>
          <w:sz w:val="24"/>
          <w:lang w:val="en-US" w:eastAsia="zh-CN"/>
        </w:rPr>
        <w:t xml:space="preserve"> </w:t>
      </w:r>
      <w:r>
        <w:rPr>
          <w:rFonts w:hint="eastAsia" w:ascii="宋体" w:hAnsi="宋体" w:eastAsia="宋体"/>
          <w:color w:val="auto"/>
          <w:sz w:val="24"/>
        </w:rPr>
        <w:t>乙方每日</w:t>
      </w:r>
      <w:r>
        <w:rPr>
          <w:rFonts w:hint="eastAsia" w:ascii="宋体" w:hAnsi="宋体" w:eastAsia="宋体"/>
          <w:color w:val="FF0000"/>
          <w:sz w:val="24"/>
          <w:lang w:val="en-US" w:eastAsia="zh-CN"/>
        </w:rPr>
        <w:t>通过</w:t>
      </w:r>
      <w:r>
        <w:rPr>
          <w:rFonts w:hint="eastAsia" w:ascii="宋体" w:hAnsi="宋体" w:eastAsia="宋体"/>
          <w:color w:val="FF0000"/>
          <w:sz w:val="24"/>
        </w:rPr>
        <w:t>电话等</w:t>
      </w:r>
      <w:r>
        <w:rPr>
          <w:rFonts w:hint="eastAsia" w:ascii="宋体" w:hAnsi="宋体" w:eastAsia="宋体"/>
          <w:color w:val="FF0000"/>
          <w:sz w:val="24"/>
          <w:lang w:val="en-US" w:eastAsia="zh-CN"/>
        </w:rPr>
        <w:t>方式</w:t>
      </w:r>
      <w:r>
        <w:rPr>
          <w:rFonts w:hint="eastAsia" w:ascii="宋体" w:hAnsi="宋体" w:eastAsia="宋体"/>
          <w:color w:val="FF0000"/>
          <w:sz w:val="24"/>
        </w:rPr>
        <w:t>提供24小时远程服务</w:t>
      </w:r>
      <w:r>
        <w:rPr>
          <w:rFonts w:hint="eastAsia" w:ascii="宋体" w:hAnsi="宋体" w:eastAsia="宋体"/>
          <w:color w:val="auto"/>
          <w:sz w:val="24"/>
        </w:rPr>
        <w:t>，为甲方提供咨询、故障诊断、故障排除等技术支持服务并对投诉做出相应处理，乙方</w:t>
      </w:r>
      <w:r>
        <w:rPr>
          <w:rFonts w:hint="eastAsia" w:ascii="宋体" w:hAnsi="宋体" w:eastAsia="宋体"/>
          <w:color w:val="auto"/>
          <w:sz w:val="24"/>
          <w:szCs w:val="24"/>
        </w:rPr>
        <w:t>指定</w:t>
      </w:r>
      <w:r>
        <w:rPr>
          <w:rFonts w:hint="eastAsia" w:ascii="宋体" w:hAnsi="宋体" w:eastAsia="宋体"/>
          <w:color w:val="auto"/>
          <w:sz w:val="24"/>
          <w:szCs w:val="24"/>
          <w:u w:val="single"/>
          <w:lang w:val="en-US" w:eastAsia="zh-CN"/>
        </w:rPr>
        <w:t xml:space="preserve"> 石莲 </w:t>
      </w:r>
      <w:r>
        <w:rPr>
          <w:rFonts w:hint="eastAsia" w:ascii="宋体" w:hAnsi="宋体" w:eastAsia="宋体"/>
          <w:color w:val="auto"/>
          <w:sz w:val="24"/>
          <w:szCs w:val="24"/>
        </w:rPr>
        <w:t>、联系电话：</w:t>
      </w:r>
      <w:r>
        <w:rPr>
          <w:rFonts w:hint="eastAsia" w:ascii="宋体" w:hAnsi="宋体" w:eastAsia="宋体"/>
          <w:color w:val="auto"/>
          <w:sz w:val="24"/>
          <w:szCs w:val="24"/>
          <w:u w:val="single"/>
          <w:lang w:val="en-US" w:eastAsia="zh-CN"/>
        </w:rPr>
        <w:t xml:space="preserve"> 17327001787 </w:t>
      </w:r>
      <w:r>
        <w:rPr>
          <w:rFonts w:hint="eastAsia" w:ascii="宋体" w:hAnsi="宋体" w:eastAsia="宋体"/>
          <w:color w:val="auto"/>
          <w:sz w:val="24"/>
          <w:szCs w:val="24"/>
        </w:rPr>
        <w:t>专门负责与甲方联络。</w:t>
      </w:r>
    </w:p>
    <w:p w14:paraId="6352A9E4">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szCs w:val="24"/>
        </w:rPr>
      </w:pPr>
      <w:r>
        <w:rPr>
          <w:rFonts w:hint="eastAsia" w:ascii="宋体" w:hAnsi="宋体" w:eastAsia="宋体"/>
          <w:color w:val="FF0000"/>
          <w:sz w:val="24"/>
          <w:szCs w:val="24"/>
          <w:lang w:val="en-US" w:eastAsia="zh-CN"/>
        </w:rPr>
        <w:t xml:space="preserve">5.3 </w:t>
      </w:r>
      <w:r>
        <w:rPr>
          <w:rFonts w:hint="eastAsia" w:ascii="宋体" w:hAnsi="宋体" w:eastAsia="宋体"/>
          <w:color w:val="auto"/>
          <w:sz w:val="24"/>
          <w:szCs w:val="24"/>
        </w:rPr>
        <w:t>如软件系统发生故障，乙方自接到甲方故障通知后30分钟内响应，并通过远程服务进行维护；如远程服务无法解决，乙方应在接到甲方通知时起</w:t>
      </w:r>
      <w:r>
        <w:rPr>
          <w:rFonts w:hint="eastAsia" w:ascii="宋体" w:hAnsi="宋体" w:eastAsia="宋体"/>
          <w:color w:val="auto"/>
          <w:sz w:val="24"/>
          <w:szCs w:val="24"/>
          <w:lang w:val="en-US" w:eastAsia="zh-CN"/>
        </w:rPr>
        <w:t>12</w:t>
      </w:r>
      <w:r>
        <w:rPr>
          <w:rFonts w:hint="eastAsia" w:ascii="宋体" w:hAnsi="宋体" w:eastAsia="宋体"/>
          <w:color w:val="auto"/>
          <w:sz w:val="24"/>
          <w:szCs w:val="24"/>
        </w:rPr>
        <w:t>小时内到达现场，并在接到甲方故障通知时起24小时内解决故障。如乙方在前述时</w:t>
      </w:r>
      <w:r>
        <w:rPr>
          <w:rFonts w:hint="eastAsia" w:ascii="宋体" w:hAnsi="宋体" w:eastAsia="宋体"/>
          <w:color w:val="000000" w:themeColor="text1"/>
          <w:sz w:val="24"/>
          <w:szCs w:val="24"/>
          <w14:textFill>
            <w14:solidFill>
              <w14:schemeClr w14:val="tx1"/>
            </w14:solidFill>
          </w14:textFill>
        </w:rPr>
        <w:t>间内未</w:t>
      </w:r>
      <w:r>
        <w:rPr>
          <w:rFonts w:hint="eastAsia" w:ascii="宋体" w:hAnsi="宋体" w:eastAsia="宋体"/>
          <w:color w:val="000000" w:themeColor="text1"/>
          <w:sz w:val="24"/>
          <w:szCs w:val="24"/>
          <w:lang w:val="en-US" w:eastAsia="zh-CN"/>
          <w14:textFill>
            <w14:solidFill>
              <w14:schemeClr w14:val="tx1"/>
            </w14:solidFill>
          </w14:textFill>
        </w:rPr>
        <w:t>完成服务</w:t>
      </w:r>
      <w:r>
        <w:rPr>
          <w:rFonts w:hint="eastAsia" w:ascii="宋体" w:hAnsi="宋体" w:eastAsia="宋体"/>
          <w:color w:val="000000" w:themeColor="text1"/>
          <w:sz w:val="24"/>
          <w:szCs w:val="24"/>
          <w14:textFill>
            <w14:solidFill>
              <w14:schemeClr w14:val="tx1"/>
            </w14:solidFill>
          </w14:textFill>
        </w:rPr>
        <w:t>，</w:t>
      </w:r>
      <w:r>
        <w:rPr>
          <w:rFonts w:hint="eastAsia" w:ascii="宋体" w:hAnsi="宋体" w:eastAsia="宋体"/>
          <w:color w:val="auto"/>
          <w:sz w:val="24"/>
          <w:szCs w:val="24"/>
        </w:rPr>
        <w:t>甲方有权委托第三方解决，由此产生的费用甲方有权从</w:t>
      </w:r>
      <w:r>
        <w:rPr>
          <w:rFonts w:hint="eastAsia" w:ascii="宋体" w:hAnsi="宋体" w:eastAsia="宋体"/>
          <w:color w:val="auto"/>
          <w:sz w:val="24"/>
          <w:szCs w:val="24"/>
          <w:lang w:val="en-US" w:eastAsia="zh-CN"/>
        </w:rPr>
        <w:t>应支付给乙方的价款</w:t>
      </w:r>
      <w:r>
        <w:rPr>
          <w:rFonts w:hint="eastAsia" w:ascii="宋体" w:hAnsi="宋体" w:eastAsia="宋体"/>
          <w:color w:val="auto"/>
          <w:sz w:val="24"/>
          <w:szCs w:val="24"/>
        </w:rPr>
        <w:t>内扣除，不足部分由乙方另行补足。</w:t>
      </w:r>
    </w:p>
    <w:p w14:paraId="002BAD89">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ascii="宋体" w:hAnsi="宋体" w:eastAsia="宋体"/>
          <w:b/>
          <w:color w:val="auto"/>
          <w:sz w:val="24"/>
        </w:rPr>
      </w:pPr>
      <w:r>
        <w:rPr>
          <w:rFonts w:hint="eastAsia" w:ascii="宋体" w:hAnsi="宋体" w:eastAsia="宋体"/>
          <w:b/>
          <w:color w:val="auto"/>
          <w:sz w:val="24"/>
        </w:rPr>
        <w:t>第六条  价款标准、支付时间和方式</w:t>
      </w:r>
    </w:p>
    <w:p w14:paraId="4C0C6443">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6</w:t>
      </w:r>
      <w:r>
        <w:rPr>
          <w:rFonts w:ascii="宋体" w:hAnsi="宋体" w:eastAsia="宋体"/>
          <w:color w:val="auto"/>
          <w:sz w:val="24"/>
        </w:rPr>
        <w:t>.</w:t>
      </w:r>
      <w:r>
        <w:rPr>
          <w:rFonts w:hint="eastAsia" w:ascii="宋体" w:hAnsi="宋体" w:eastAsia="宋体"/>
          <w:color w:val="auto"/>
          <w:sz w:val="24"/>
        </w:rPr>
        <w:t>1</w:t>
      </w:r>
      <w:r>
        <w:rPr>
          <w:rFonts w:ascii="宋体" w:hAnsi="宋体" w:eastAsia="宋体"/>
          <w:color w:val="auto"/>
          <w:sz w:val="24"/>
        </w:rPr>
        <w:t xml:space="preserve"> </w:t>
      </w:r>
      <w:r>
        <w:rPr>
          <w:rFonts w:hint="eastAsia" w:ascii="宋体" w:hAnsi="宋体" w:eastAsia="宋体"/>
          <w:color w:val="auto"/>
          <w:sz w:val="24"/>
        </w:rPr>
        <w:t>本合同约定服务费实行总价包干，包干总价为</w:t>
      </w:r>
      <w:r>
        <w:rPr>
          <w:rFonts w:ascii="宋体" w:hAnsi="宋体" w:eastAsia="宋体"/>
          <w:color w:val="auto"/>
          <w:sz w:val="24"/>
          <w:u w:val="none"/>
        </w:rPr>
        <w:t>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olor w:val="auto"/>
          <w:sz w:val="24"/>
          <w:u w:val="none"/>
        </w:rPr>
        <w:t>（小写</w:t>
      </w:r>
      <w:r>
        <w:rPr>
          <w:rFonts w:hint="eastAsia" w:ascii="宋体" w:hAnsi="宋体" w:eastAsia="宋体"/>
          <w:color w:val="auto"/>
          <w:sz w:val="24"/>
          <w:u w:val="none"/>
          <w:lang w:eastAsia="zh-CN"/>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olor w:val="auto"/>
          <w:sz w:val="24"/>
          <w:u w:val="none"/>
        </w:rPr>
        <w:t>元）</w:t>
      </w:r>
      <w:r>
        <w:rPr>
          <w:rFonts w:ascii="宋体" w:hAnsi="宋体" w:eastAsia="宋体"/>
          <w:color w:val="auto"/>
          <w:sz w:val="24"/>
        </w:rPr>
        <w:t>。</w:t>
      </w:r>
      <w:r>
        <w:rPr>
          <w:rFonts w:hint="eastAsia" w:ascii="宋体" w:hAnsi="宋体" w:eastAsia="宋体"/>
          <w:color w:val="auto"/>
          <w:sz w:val="24"/>
        </w:rPr>
        <w:t>该价款已包含软件系统费、模块制作安装费、</w:t>
      </w:r>
      <w:r>
        <w:rPr>
          <w:rFonts w:hint="eastAsia" w:ascii="宋体" w:hAnsi="宋体" w:eastAsia="宋体"/>
          <w:color w:val="0000FF"/>
          <w:sz w:val="24"/>
          <w:lang w:val="en-US" w:eastAsia="zh-CN"/>
        </w:rPr>
        <w:t>维保费、</w:t>
      </w:r>
      <w:r>
        <w:rPr>
          <w:rFonts w:hint="eastAsia" w:ascii="宋体" w:hAnsi="宋体" w:eastAsia="宋体"/>
          <w:color w:val="auto"/>
          <w:sz w:val="24"/>
        </w:rPr>
        <w:t>服务费、运输费、包装费、保险费、装卸费、搬运费、安装调试费、安装材料费、检测检验费、培训费、售后服务费、知识产权许可使用、软件升级费用、税费等全部费用，甲方不再就本合同约定范围内的项目支付任何其他费用。</w:t>
      </w:r>
    </w:p>
    <w:p w14:paraId="187BCA9D">
      <w:pPr>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color w:val="000000" w:themeColor="text1"/>
          <w:spacing w:val="0"/>
          <w:sz w:val="24"/>
          <w:szCs w:val="24"/>
          <w:lang w:val="en-US" w:eastAsia="zh-CN"/>
          <w14:textFill>
            <w14:solidFill>
              <w14:schemeClr w14:val="tx1"/>
            </w14:solidFill>
          </w14:textFill>
        </w:rPr>
      </w:pPr>
      <w:r>
        <w:rPr>
          <w:rFonts w:hint="eastAsia" w:ascii="宋体" w:hAnsi="宋体" w:eastAsia="宋体"/>
          <w:color w:val="000000" w:themeColor="text1"/>
          <w:spacing w:val="0"/>
          <w:sz w:val="24"/>
          <w14:textFill>
            <w14:solidFill>
              <w14:schemeClr w14:val="tx1"/>
            </w14:solidFill>
          </w14:textFill>
        </w:rPr>
        <w:t>6</w:t>
      </w:r>
      <w:r>
        <w:rPr>
          <w:rFonts w:ascii="宋体" w:hAnsi="宋体" w:eastAsia="宋体"/>
          <w:color w:val="000000" w:themeColor="text1"/>
          <w:spacing w:val="0"/>
          <w:sz w:val="24"/>
          <w14:textFill>
            <w14:solidFill>
              <w14:schemeClr w14:val="tx1"/>
            </w14:solidFill>
          </w14:textFill>
        </w:rPr>
        <w:t>.</w:t>
      </w:r>
      <w:r>
        <w:rPr>
          <w:rFonts w:hint="eastAsia" w:ascii="宋体" w:hAnsi="宋体" w:eastAsia="宋体"/>
          <w:color w:val="000000" w:themeColor="text1"/>
          <w:spacing w:val="0"/>
          <w:sz w:val="24"/>
          <w14:textFill>
            <w14:solidFill>
              <w14:schemeClr w14:val="tx1"/>
            </w14:solidFill>
          </w14:textFill>
        </w:rPr>
        <w:t xml:space="preserve">2 </w:t>
      </w:r>
      <w:r>
        <w:rPr>
          <w:rFonts w:hint="eastAsia" w:ascii="宋体" w:hAnsi="宋体" w:eastAsia="宋体" w:cs="宋体"/>
          <w:color w:val="000000" w:themeColor="text1"/>
          <w:spacing w:val="0"/>
          <w:sz w:val="24"/>
          <w:szCs w:val="24"/>
          <w:lang w:val="en-US" w:eastAsia="zh-CN"/>
          <w14:textFill>
            <w14:solidFill>
              <w14:schemeClr w14:val="tx1"/>
            </w14:solidFill>
          </w14:textFill>
        </w:rPr>
        <w:t>甲方分次支付费用至乙方指定收款账户：自本合同生效后4个月内，支付总费用的</w:t>
      </w:r>
      <w:r>
        <w:rPr>
          <w:rFonts w:hint="eastAsia" w:ascii="宋体" w:hAnsi="宋体" w:eastAsia="宋体" w:cs="宋体"/>
          <w:color w:val="000000" w:themeColor="text1"/>
          <w:spacing w:val="0"/>
          <w:sz w:val="24"/>
          <w:szCs w:val="24"/>
          <w:u w:val="single"/>
          <w:lang w:val="en-US" w:eastAsia="zh-CN"/>
          <w14:textFill>
            <w14:solidFill>
              <w14:schemeClr w14:val="tx1"/>
            </w14:solidFill>
          </w14:textFill>
        </w:rPr>
        <w:t xml:space="preserve"> 50% </w:t>
      </w:r>
      <w:r>
        <w:rPr>
          <w:rFonts w:hint="eastAsia" w:ascii="宋体" w:hAnsi="宋体" w:eastAsia="宋体" w:cs="宋体"/>
          <w:color w:val="000000" w:themeColor="text1"/>
          <w:spacing w:val="0"/>
          <w:sz w:val="24"/>
          <w:szCs w:val="24"/>
          <w:lang w:val="en-US" w:eastAsia="zh-CN"/>
          <w14:textFill>
            <w14:solidFill>
              <w14:schemeClr w14:val="tx1"/>
            </w14:solidFill>
          </w14:textFill>
        </w:rPr>
        <w:t>即人民币</w:t>
      </w:r>
      <w:r>
        <w:rPr>
          <w:rFonts w:hint="eastAsia" w:ascii="宋体" w:hAnsi="宋体" w:eastAsia="宋体" w:cs="宋体"/>
          <w:color w:val="000000" w:themeColor="text1"/>
          <w:spacing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sz w:val="24"/>
          <w:szCs w:val="24"/>
          <w:lang w:val="en-US" w:eastAsia="zh-CN"/>
          <w14:textFill>
            <w14:solidFill>
              <w14:schemeClr w14:val="tx1"/>
            </w14:solidFill>
          </w14:textFill>
        </w:rPr>
        <w:t>元整（小写：</w:t>
      </w:r>
      <w:r>
        <w:rPr>
          <w:rFonts w:hint="eastAsia" w:ascii="宋体" w:hAnsi="宋体" w:eastAsia="宋体" w:cs="宋体"/>
          <w:color w:val="000000" w:themeColor="text1"/>
          <w:spacing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sz w:val="24"/>
          <w:szCs w:val="24"/>
          <w:lang w:val="en-US" w:eastAsia="zh-CN"/>
          <w14:textFill>
            <w14:solidFill>
              <w14:schemeClr w14:val="tx1"/>
            </w14:solidFill>
          </w14:textFill>
        </w:rPr>
        <w:t>元）；自本合同</w:t>
      </w:r>
      <w:r>
        <w:rPr>
          <w:rFonts w:hint="eastAsia" w:ascii="宋体" w:hAnsi="宋体" w:eastAsia="宋体" w:cs="宋体"/>
          <w:color w:val="0000FF"/>
          <w:spacing w:val="0"/>
          <w:sz w:val="24"/>
          <w:szCs w:val="24"/>
          <w:lang w:val="en-US" w:eastAsia="zh-CN"/>
        </w:rPr>
        <w:t>HRP系统维保</w:t>
      </w:r>
      <w:r>
        <w:rPr>
          <w:rFonts w:hint="eastAsia" w:ascii="宋体" w:hAnsi="宋体" w:eastAsia="宋体" w:cs="宋体"/>
          <w:color w:val="000000" w:themeColor="text1"/>
          <w:spacing w:val="0"/>
          <w:sz w:val="24"/>
          <w:szCs w:val="24"/>
          <w:lang w:val="en-US" w:eastAsia="zh-CN"/>
          <w14:textFill>
            <w14:solidFill>
              <w14:schemeClr w14:val="tx1"/>
            </w14:solidFill>
          </w14:textFill>
        </w:rPr>
        <w:t>服务期限届满后的</w:t>
      </w:r>
      <w:r>
        <w:rPr>
          <w:rFonts w:hint="eastAsia" w:ascii="宋体" w:hAnsi="宋体" w:eastAsia="宋体" w:cs="宋体"/>
          <w:color w:val="000000" w:themeColor="text1"/>
          <w:spacing w:val="0"/>
          <w:sz w:val="24"/>
          <w:szCs w:val="24"/>
          <w:u w:val="single"/>
          <w:lang w:val="en-US" w:eastAsia="zh-CN"/>
          <w14:textFill>
            <w14:solidFill>
              <w14:schemeClr w14:val="tx1"/>
            </w14:solidFill>
          </w14:textFill>
        </w:rPr>
        <w:t xml:space="preserve"> 30 </w:t>
      </w:r>
      <w:r>
        <w:rPr>
          <w:rFonts w:hint="eastAsia" w:ascii="宋体" w:hAnsi="宋体" w:eastAsia="宋体" w:cs="宋体"/>
          <w:color w:val="000000" w:themeColor="text1"/>
          <w:spacing w:val="0"/>
          <w:sz w:val="24"/>
          <w:szCs w:val="24"/>
          <w:lang w:val="en-US" w:eastAsia="zh-CN"/>
          <w14:textFill>
            <w14:solidFill>
              <w14:schemeClr w14:val="tx1"/>
            </w14:solidFill>
          </w14:textFill>
        </w:rPr>
        <w:t>个工作日内，支付总费用的</w:t>
      </w:r>
      <w:r>
        <w:rPr>
          <w:rFonts w:hint="eastAsia" w:ascii="宋体" w:hAnsi="宋体" w:eastAsia="宋体" w:cs="宋体"/>
          <w:color w:val="000000" w:themeColor="text1"/>
          <w:spacing w:val="0"/>
          <w:sz w:val="24"/>
          <w:szCs w:val="24"/>
          <w:u w:val="single"/>
          <w:lang w:val="en-US" w:eastAsia="zh-CN"/>
          <w14:textFill>
            <w14:solidFill>
              <w14:schemeClr w14:val="tx1"/>
            </w14:solidFill>
          </w14:textFill>
        </w:rPr>
        <w:t xml:space="preserve"> 50% </w:t>
      </w:r>
      <w:r>
        <w:rPr>
          <w:rFonts w:hint="eastAsia" w:ascii="宋体" w:hAnsi="宋体" w:eastAsia="宋体" w:cs="宋体"/>
          <w:color w:val="000000" w:themeColor="text1"/>
          <w:spacing w:val="0"/>
          <w:sz w:val="24"/>
          <w:szCs w:val="24"/>
          <w:lang w:val="en-US" w:eastAsia="zh-CN"/>
          <w14:textFill>
            <w14:solidFill>
              <w14:schemeClr w14:val="tx1"/>
            </w14:solidFill>
          </w14:textFill>
        </w:rPr>
        <w:t>即人民币</w:t>
      </w:r>
      <w:r>
        <w:rPr>
          <w:rFonts w:hint="eastAsia" w:ascii="宋体" w:hAnsi="宋体" w:eastAsia="宋体" w:cs="宋体"/>
          <w:color w:val="000000" w:themeColor="text1"/>
          <w:spacing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sz w:val="24"/>
          <w:szCs w:val="24"/>
          <w:lang w:val="en-US" w:eastAsia="zh-CN"/>
          <w14:textFill>
            <w14:solidFill>
              <w14:schemeClr w14:val="tx1"/>
            </w14:solidFill>
          </w14:textFill>
        </w:rPr>
        <w:t>元整（小写：</w:t>
      </w:r>
      <w:r>
        <w:rPr>
          <w:rFonts w:hint="eastAsia" w:ascii="宋体" w:hAnsi="宋体" w:eastAsia="宋体" w:cs="宋体"/>
          <w:color w:val="000000" w:themeColor="text1"/>
          <w:spacing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sz w:val="24"/>
          <w:szCs w:val="24"/>
          <w:lang w:val="en-US" w:eastAsia="zh-CN"/>
          <w14:textFill>
            <w14:solidFill>
              <w14:schemeClr w14:val="tx1"/>
            </w14:solidFill>
          </w14:textFill>
        </w:rPr>
        <w:t>元）。</w:t>
      </w:r>
    </w:p>
    <w:p w14:paraId="4DEA7C39">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6.3</w:t>
      </w:r>
      <w:r>
        <w:rPr>
          <w:rFonts w:ascii="宋体" w:hAnsi="宋体" w:eastAsia="宋体"/>
          <w:color w:val="auto"/>
          <w:sz w:val="24"/>
        </w:rPr>
        <w:t xml:space="preserve"> </w:t>
      </w:r>
      <w:r>
        <w:rPr>
          <w:rFonts w:hint="eastAsia" w:ascii="宋体" w:hAnsi="宋体" w:eastAsia="宋体"/>
          <w:color w:val="auto"/>
          <w:sz w:val="24"/>
        </w:rPr>
        <w:t>甲方通过银行转账</w:t>
      </w:r>
      <w:r>
        <w:rPr>
          <w:rFonts w:hint="eastAsia" w:ascii="宋体" w:hAnsi="宋体" w:eastAsia="宋体"/>
          <w:color w:val="auto"/>
          <w:sz w:val="24"/>
          <w:lang w:val="en-US" w:eastAsia="zh-CN"/>
        </w:rPr>
        <w:t>方式</w:t>
      </w:r>
      <w:r>
        <w:rPr>
          <w:rFonts w:hint="eastAsia" w:ascii="宋体" w:hAnsi="宋体" w:eastAsia="宋体"/>
          <w:color w:val="auto"/>
          <w:sz w:val="24"/>
        </w:rPr>
        <w:t>向乙方支付价款，乙方指定收款银行账户如下：</w:t>
      </w:r>
    </w:p>
    <w:p w14:paraId="113B959D">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u w:val="single"/>
          <w:lang w:eastAsia="zh-CN"/>
        </w:rPr>
      </w:pPr>
      <w:r>
        <w:rPr>
          <w:rFonts w:hint="eastAsia" w:ascii="宋体" w:hAnsi="宋体" w:eastAsia="宋体"/>
          <w:color w:val="auto"/>
          <w:sz w:val="24"/>
        </w:rPr>
        <w:t>户名：</w:t>
      </w:r>
      <w:r>
        <w:rPr>
          <w:rFonts w:hint="eastAsia" w:ascii="宋体" w:hAnsi="宋体" w:eastAsia="宋体"/>
          <w:color w:val="auto"/>
          <w:sz w:val="24"/>
          <w:u w:val="single"/>
          <w:lang w:eastAsia="zh-CN"/>
        </w:rPr>
        <w:t>快享医疗科技（上海）有限公司</w:t>
      </w:r>
    </w:p>
    <w:p w14:paraId="69B14C48">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u w:val="single"/>
        </w:rPr>
      </w:pPr>
      <w:r>
        <w:rPr>
          <w:rFonts w:hint="eastAsia" w:ascii="宋体" w:hAnsi="宋体" w:eastAsia="宋体"/>
          <w:color w:val="auto"/>
          <w:sz w:val="24"/>
        </w:rPr>
        <w:t>开户</w:t>
      </w:r>
      <w:r>
        <w:rPr>
          <w:rFonts w:hint="eastAsia" w:ascii="宋体" w:hAnsi="宋体" w:eastAsia="宋体"/>
          <w:color w:val="auto"/>
          <w:sz w:val="24"/>
          <w:lang w:eastAsia="zh-CN"/>
        </w:rPr>
        <w:t>行：</w:t>
      </w:r>
      <w:r>
        <w:rPr>
          <w:rFonts w:hint="eastAsia" w:ascii="宋体" w:hAnsi="宋体" w:eastAsia="宋体"/>
          <w:color w:val="auto"/>
          <w:sz w:val="24"/>
          <w:u w:val="single"/>
          <w:lang w:eastAsia="zh-CN"/>
        </w:rPr>
        <w:t>招商银行上海协信星光广场支行</w:t>
      </w:r>
    </w:p>
    <w:p w14:paraId="554B1C1D">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u w:val="single"/>
          <w:lang w:eastAsia="zh-CN"/>
        </w:rPr>
      </w:pPr>
      <w:r>
        <w:rPr>
          <w:rFonts w:hint="eastAsia" w:ascii="宋体" w:hAnsi="宋体" w:eastAsia="宋体"/>
          <w:color w:val="auto"/>
          <w:sz w:val="24"/>
          <w:lang w:eastAsia="zh-CN"/>
        </w:rPr>
        <w:t>账号：</w:t>
      </w:r>
      <w:r>
        <w:rPr>
          <w:rFonts w:hint="eastAsia" w:ascii="宋体" w:hAnsi="宋体" w:eastAsia="宋体"/>
          <w:color w:val="auto"/>
          <w:sz w:val="24"/>
          <w:u w:val="single"/>
          <w:lang w:eastAsia="zh-CN"/>
        </w:rPr>
        <w:t>121928519710701</w:t>
      </w:r>
    </w:p>
    <w:p w14:paraId="3BCEE0A4">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6.4如</w:t>
      </w:r>
      <w:r>
        <w:rPr>
          <w:rFonts w:hint="eastAsia" w:ascii="宋体" w:hAnsi="宋体" w:eastAsia="宋体"/>
          <w:color w:val="FF0000"/>
          <w:sz w:val="24"/>
          <w:lang w:val="en-US" w:eastAsia="zh-CN"/>
        </w:rPr>
        <w:t>乙方</w:t>
      </w:r>
      <w:r>
        <w:rPr>
          <w:rFonts w:hint="eastAsia" w:ascii="宋体" w:hAnsi="宋体" w:eastAsia="宋体"/>
          <w:color w:val="auto"/>
          <w:sz w:val="24"/>
        </w:rPr>
        <w:t>需改变上述账户，应提前10日以书面方式通知</w:t>
      </w:r>
      <w:r>
        <w:rPr>
          <w:rFonts w:hint="eastAsia" w:ascii="宋体" w:hAnsi="宋体" w:eastAsia="宋体"/>
          <w:color w:val="FF0000"/>
          <w:sz w:val="24"/>
          <w:lang w:val="en-US" w:eastAsia="zh-CN"/>
        </w:rPr>
        <w:t>甲方</w:t>
      </w:r>
      <w:r>
        <w:rPr>
          <w:rFonts w:hint="eastAsia" w:ascii="宋体" w:hAnsi="宋体" w:eastAsia="宋体"/>
          <w:color w:val="auto"/>
          <w:sz w:val="24"/>
        </w:rPr>
        <w:t>。</w:t>
      </w:r>
      <w:r>
        <w:rPr>
          <w:rFonts w:hint="eastAsia" w:ascii="宋体" w:hAnsi="宋体" w:eastAsia="宋体"/>
          <w:color w:val="FF0000"/>
          <w:sz w:val="24"/>
          <w:lang w:val="en-US" w:eastAsia="zh-CN"/>
        </w:rPr>
        <w:t>乙方</w:t>
      </w:r>
      <w:r>
        <w:rPr>
          <w:rFonts w:hint="eastAsia" w:ascii="宋体" w:hAnsi="宋体" w:eastAsia="宋体"/>
          <w:color w:val="auto"/>
          <w:sz w:val="24"/>
        </w:rPr>
        <w:t>未按本合同规定通知</w:t>
      </w:r>
      <w:r>
        <w:rPr>
          <w:rFonts w:hint="eastAsia" w:ascii="宋体" w:hAnsi="宋体" w:eastAsia="宋体"/>
          <w:color w:val="auto"/>
          <w:sz w:val="24"/>
          <w:lang w:val="en-US" w:eastAsia="zh-CN"/>
        </w:rPr>
        <w:t>甲方，</w:t>
      </w:r>
      <w:r>
        <w:rPr>
          <w:rFonts w:hint="eastAsia" w:ascii="宋体" w:hAnsi="宋体" w:eastAsia="宋体"/>
          <w:color w:val="FF0000"/>
          <w:sz w:val="24"/>
          <w:lang w:val="en-US" w:eastAsia="zh-CN"/>
        </w:rPr>
        <w:t>由此给甲方、乙方造成的全部经济</w:t>
      </w:r>
      <w:r>
        <w:rPr>
          <w:rFonts w:hint="eastAsia" w:ascii="宋体" w:hAnsi="宋体" w:eastAsia="宋体"/>
          <w:color w:val="FF0000"/>
          <w:sz w:val="24"/>
        </w:rPr>
        <w:t>损失</w:t>
      </w:r>
      <w:r>
        <w:rPr>
          <w:rFonts w:hint="eastAsia" w:ascii="宋体" w:hAnsi="宋体" w:eastAsia="宋体"/>
          <w:color w:val="FF0000"/>
          <w:sz w:val="24"/>
          <w:lang w:val="en-US" w:eastAsia="zh-CN"/>
        </w:rPr>
        <w:t>均由乙方承担</w:t>
      </w:r>
      <w:r>
        <w:rPr>
          <w:rFonts w:hint="eastAsia" w:ascii="宋体" w:hAnsi="宋体" w:eastAsia="宋体"/>
          <w:color w:val="FF0000"/>
          <w:sz w:val="24"/>
        </w:rPr>
        <w:t>。</w:t>
      </w:r>
    </w:p>
    <w:p w14:paraId="43CD187D">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6.5乙方应在甲方每次付款前</w:t>
      </w:r>
      <w:r>
        <w:rPr>
          <w:rFonts w:hint="eastAsia" w:ascii="宋体" w:hAnsi="宋体"/>
          <w:color w:val="FF0000"/>
          <w:sz w:val="24"/>
          <w:u w:val="single"/>
          <w:lang w:val="en-US" w:eastAsia="zh-CN"/>
        </w:rPr>
        <w:t>7</w:t>
      </w:r>
      <w:r>
        <w:rPr>
          <w:rFonts w:hint="eastAsia" w:ascii="宋体" w:hAnsi="宋体" w:eastAsia="宋体"/>
          <w:color w:val="FF0000"/>
          <w:sz w:val="24"/>
          <w:lang w:val="en-US" w:eastAsia="zh-CN"/>
        </w:rPr>
        <w:t>日</w:t>
      </w:r>
      <w:r>
        <w:rPr>
          <w:rFonts w:hint="eastAsia" w:ascii="宋体" w:hAnsi="宋体" w:eastAsia="宋体"/>
          <w:color w:val="auto"/>
          <w:sz w:val="24"/>
        </w:rPr>
        <w:t>，向甲方提供以自己名义开具的</w:t>
      </w:r>
      <w:r>
        <w:rPr>
          <w:rFonts w:hint="eastAsia" w:ascii="宋体" w:hAnsi="宋体" w:eastAsia="宋体"/>
          <w:color w:val="000000" w:themeColor="text1"/>
          <w:sz w:val="24"/>
          <w:lang w:val="en-US" w:eastAsia="zh-CN"/>
          <w14:textFill>
            <w14:solidFill>
              <w14:schemeClr w14:val="tx1"/>
            </w14:solidFill>
          </w14:textFill>
        </w:rPr>
        <w:t>价税合计金额</w:t>
      </w:r>
      <w:r>
        <w:rPr>
          <w:rFonts w:hint="eastAsia" w:ascii="宋体" w:hAnsi="宋体" w:eastAsia="宋体"/>
          <w:color w:val="000000" w:themeColor="text1"/>
          <w:sz w:val="24"/>
          <w14:textFill>
            <w14:solidFill>
              <w14:schemeClr w14:val="tx1"/>
            </w14:solidFill>
          </w14:textFill>
        </w:rPr>
        <w:t>与付款金额</w:t>
      </w:r>
      <w:r>
        <w:rPr>
          <w:rFonts w:hint="eastAsia" w:ascii="宋体" w:hAnsi="宋体" w:eastAsia="宋体"/>
          <w:color w:val="000000" w:themeColor="text1"/>
          <w:sz w:val="24"/>
          <w:lang w:val="en-US" w:eastAsia="zh-CN"/>
          <w14:textFill>
            <w14:solidFill>
              <w14:schemeClr w14:val="tx1"/>
            </w14:solidFill>
          </w14:textFill>
        </w:rPr>
        <w:t>等</w:t>
      </w:r>
      <w:r>
        <w:rPr>
          <w:rFonts w:hint="eastAsia" w:ascii="宋体" w:hAnsi="宋体" w:eastAsia="宋体"/>
          <w:color w:val="000000" w:themeColor="text1"/>
          <w:sz w:val="24"/>
          <w14:textFill>
            <w14:solidFill>
              <w14:schemeClr w14:val="tx1"/>
            </w14:solidFill>
          </w14:textFill>
        </w:rPr>
        <w:t>额的</w:t>
      </w:r>
      <w:r>
        <w:rPr>
          <w:rFonts w:hint="eastAsia" w:ascii="宋体" w:hAnsi="宋体" w:eastAsia="宋体"/>
          <w:color w:val="auto"/>
          <w:sz w:val="24"/>
        </w:rPr>
        <w:t>增值税普通发票。如乙方未</w:t>
      </w:r>
      <w:r>
        <w:rPr>
          <w:rFonts w:hint="eastAsia" w:ascii="宋体" w:hAnsi="宋体" w:eastAsia="宋体"/>
          <w:color w:val="FF0000"/>
          <w:sz w:val="24"/>
          <w:lang w:val="en-US" w:eastAsia="zh-CN"/>
        </w:rPr>
        <w:t>按前述约定</w:t>
      </w:r>
      <w:r>
        <w:rPr>
          <w:rFonts w:hint="eastAsia" w:ascii="宋体" w:hAnsi="宋体" w:eastAsia="宋体"/>
          <w:color w:val="auto"/>
          <w:sz w:val="24"/>
        </w:rPr>
        <w:t>提供发票，甲方有权顺延付款期限</w:t>
      </w:r>
      <w:r>
        <w:rPr>
          <w:rFonts w:hint="eastAsia" w:ascii="宋体" w:hAnsi="宋体" w:eastAsia="宋体"/>
          <w:color w:val="FF0000"/>
          <w:sz w:val="24"/>
          <w:lang w:val="en-US" w:eastAsia="zh-CN"/>
        </w:rPr>
        <w:t>且不视为逾期付款，由此产生的不利后果由乙方自行承担</w:t>
      </w:r>
      <w:r>
        <w:rPr>
          <w:rFonts w:hint="eastAsia" w:ascii="宋体" w:hAnsi="宋体" w:eastAsia="宋体"/>
          <w:color w:val="auto"/>
          <w:sz w:val="24"/>
        </w:rPr>
        <w:t>。</w:t>
      </w:r>
    </w:p>
    <w:p w14:paraId="0AC7D00C">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ascii="宋体" w:hAnsi="宋体" w:eastAsia="宋体"/>
          <w:b/>
          <w:color w:val="auto"/>
          <w:sz w:val="24"/>
        </w:rPr>
      </w:pPr>
      <w:r>
        <w:rPr>
          <w:rFonts w:hint="eastAsia" w:ascii="宋体" w:hAnsi="宋体" w:eastAsia="宋体"/>
          <w:b/>
          <w:color w:val="auto"/>
          <w:sz w:val="24"/>
        </w:rPr>
        <w:t>第七条  双方权利义务</w:t>
      </w:r>
    </w:p>
    <w:p w14:paraId="034D2275">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7.1 合同双方同意按本合同的约定做好配合和协调工作。</w:t>
      </w:r>
    </w:p>
    <w:p w14:paraId="1022950E">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ascii="宋体" w:hAnsi="宋体" w:eastAsia="宋体"/>
          <w:b/>
          <w:bCs/>
          <w:color w:val="auto"/>
          <w:sz w:val="24"/>
        </w:rPr>
      </w:pPr>
      <w:r>
        <w:rPr>
          <w:rFonts w:hint="eastAsia" w:ascii="宋体" w:hAnsi="宋体" w:eastAsia="宋体"/>
          <w:b/>
          <w:bCs/>
          <w:color w:val="auto"/>
          <w:sz w:val="24"/>
        </w:rPr>
        <w:t>7.2 乙方的一般义务</w:t>
      </w:r>
    </w:p>
    <w:p w14:paraId="5C5CF381">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7.2.1</w:t>
      </w:r>
      <w:r>
        <w:rPr>
          <w:rFonts w:ascii="宋体" w:hAnsi="宋体" w:eastAsia="宋体"/>
          <w:color w:val="auto"/>
          <w:sz w:val="24"/>
        </w:rPr>
        <w:t xml:space="preserve"> </w:t>
      </w:r>
      <w:r>
        <w:rPr>
          <w:rFonts w:hint="eastAsia" w:ascii="宋体" w:hAnsi="宋体" w:eastAsia="宋体"/>
          <w:color w:val="auto"/>
          <w:sz w:val="24"/>
        </w:rPr>
        <w:t>乙方应完全实施本合同所约定的服务条款，乙方根据甲方要求完成</w:t>
      </w:r>
      <w:r>
        <w:rPr>
          <w:rFonts w:ascii="宋体" w:hAnsi="宋体" w:eastAsia="宋体"/>
          <w:color w:val="auto"/>
          <w:sz w:val="24"/>
        </w:rPr>
        <w:t>系统产品交付</w:t>
      </w:r>
      <w:r>
        <w:rPr>
          <w:rFonts w:hint="eastAsia" w:ascii="宋体" w:hAnsi="宋体" w:eastAsia="宋体"/>
          <w:color w:val="auto"/>
          <w:sz w:val="24"/>
        </w:rPr>
        <w:t>及提供售后服务，并接受甲方验收。</w:t>
      </w:r>
    </w:p>
    <w:p w14:paraId="422A1E83">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7.2.2</w:t>
      </w:r>
      <w:r>
        <w:rPr>
          <w:rFonts w:ascii="宋体" w:hAnsi="宋体" w:eastAsia="宋体"/>
          <w:color w:val="auto"/>
          <w:sz w:val="24"/>
        </w:rPr>
        <w:t xml:space="preserve"> </w:t>
      </w:r>
      <w:r>
        <w:rPr>
          <w:rFonts w:hint="eastAsia" w:ascii="宋体" w:hAnsi="宋体" w:eastAsia="宋体"/>
          <w:color w:val="auto"/>
          <w:sz w:val="24"/>
        </w:rPr>
        <w:t>乙方负责指派健康、有经验、有能力的专业技术人员提供服务，保证其服务人员数量充裕，有足够的能力履行合同规定的技术服务。</w:t>
      </w:r>
    </w:p>
    <w:p w14:paraId="0D6EF6D4">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7.2.3 乙方应指定专人负责就服务实施同甲方进行联络。</w:t>
      </w:r>
    </w:p>
    <w:p w14:paraId="75DCA3DE">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7.2.4</w:t>
      </w:r>
      <w:r>
        <w:rPr>
          <w:rFonts w:ascii="宋体" w:hAnsi="宋体" w:eastAsia="宋体"/>
          <w:color w:val="auto"/>
          <w:sz w:val="24"/>
        </w:rPr>
        <w:t xml:space="preserve"> </w:t>
      </w:r>
      <w:r>
        <w:rPr>
          <w:rFonts w:hint="eastAsia" w:ascii="宋体" w:hAnsi="宋体" w:eastAsia="宋体"/>
          <w:color w:val="auto"/>
          <w:sz w:val="24"/>
        </w:rPr>
        <w:t>乙方</w:t>
      </w:r>
      <w:r>
        <w:rPr>
          <w:rFonts w:ascii="宋体" w:hAnsi="宋体" w:eastAsia="宋体"/>
          <w:color w:val="auto"/>
          <w:sz w:val="24"/>
        </w:rPr>
        <w:t>应</w:t>
      </w:r>
      <w:r>
        <w:rPr>
          <w:rFonts w:hint="eastAsia" w:ascii="宋体" w:hAnsi="宋体" w:eastAsia="宋体"/>
          <w:color w:val="auto"/>
          <w:sz w:val="24"/>
        </w:rPr>
        <w:t>基于现有技术，实现合作应用、软件功能优化、数据处理、数据分析的目标。</w:t>
      </w:r>
    </w:p>
    <w:p w14:paraId="5C87F638">
      <w:pPr>
        <w:pStyle w:val="6"/>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Ansi="宋体" w:eastAsia="宋体"/>
          <w:color w:val="auto"/>
        </w:rPr>
      </w:pPr>
      <w:r>
        <w:rPr>
          <w:rFonts w:hint="eastAsia" w:hAnsi="宋体" w:eastAsia="宋体"/>
          <w:color w:val="auto"/>
        </w:rPr>
        <w:t>7</w:t>
      </w:r>
      <w:r>
        <w:rPr>
          <w:rFonts w:hAnsi="宋体" w:eastAsia="宋体"/>
          <w:color w:val="auto"/>
        </w:rPr>
        <w:t xml:space="preserve">.2.5 </w:t>
      </w:r>
      <w:r>
        <w:rPr>
          <w:rFonts w:hint="eastAsia" w:hAnsi="宋体" w:eastAsia="宋体"/>
          <w:color w:val="auto"/>
        </w:rPr>
        <w:t>项目设计中的技术问题，按照安全和优化的原则，乙方提出建议。如果由于拟提出的建议会提高项目造价，或延长工期，应当事先取得甲方的书面同意。</w:t>
      </w:r>
    </w:p>
    <w:p w14:paraId="788D70C7">
      <w:pPr>
        <w:pStyle w:val="6"/>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Ansi="宋体" w:eastAsia="宋体"/>
          <w:color w:val="auto"/>
        </w:rPr>
      </w:pPr>
      <w:r>
        <w:rPr>
          <w:rFonts w:hint="eastAsia" w:hAnsi="宋体" w:eastAsia="宋体"/>
          <w:color w:val="auto"/>
        </w:rPr>
        <w:t>7.</w:t>
      </w:r>
      <w:r>
        <w:rPr>
          <w:rFonts w:hAnsi="宋体" w:eastAsia="宋体"/>
          <w:color w:val="auto"/>
        </w:rPr>
        <w:t>2.6 项目实施过程中所产生的文档资料，</w:t>
      </w:r>
      <w:r>
        <w:rPr>
          <w:rFonts w:hint="eastAsia" w:hAnsi="宋体" w:eastAsia="宋体"/>
          <w:color w:val="auto"/>
        </w:rPr>
        <w:t>乙方</w:t>
      </w:r>
      <w:r>
        <w:rPr>
          <w:rFonts w:hAnsi="宋体" w:eastAsia="宋体"/>
          <w:color w:val="auto"/>
        </w:rPr>
        <w:t>将采取保密措施，并在项目实施完成后将涉及的资料移交给</w:t>
      </w:r>
      <w:r>
        <w:rPr>
          <w:rFonts w:hint="eastAsia" w:hAnsi="宋体" w:eastAsia="宋体"/>
          <w:color w:val="auto"/>
        </w:rPr>
        <w:t>甲方</w:t>
      </w:r>
      <w:r>
        <w:rPr>
          <w:rFonts w:hAnsi="宋体" w:eastAsia="宋体"/>
          <w:color w:val="auto"/>
        </w:rPr>
        <w:t>，除为实现本合同目的外，未经</w:t>
      </w:r>
      <w:r>
        <w:rPr>
          <w:rFonts w:hint="eastAsia" w:hAnsi="宋体" w:eastAsia="宋体"/>
          <w:color w:val="auto"/>
        </w:rPr>
        <w:t>乙方</w:t>
      </w:r>
      <w:r>
        <w:rPr>
          <w:rFonts w:hAnsi="宋体" w:eastAsia="宋体"/>
          <w:color w:val="auto"/>
        </w:rPr>
        <w:t>书面同意，</w:t>
      </w:r>
      <w:r>
        <w:rPr>
          <w:rFonts w:hint="eastAsia" w:hAnsi="宋体" w:eastAsia="宋体"/>
          <w:color w:val="auto"/>
        </w:rPr>
        <w:t>甲方</w:t>
      </w:r>
      <w:r>
        <w:rPr>
          <w:rFonts w:hAnsi="宋体" w:eastAsia="宋体"/>
          <w:color w:val="auto"/>
        </w:rPr>
        <w:t>应注意保密，不得对外泄露。</w:t>
      </w:r>
    </w:p>
    <w:p w14:paraId="583D6E89">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rPr>
      </w:pPr>
      <w:r>
        <w:rPr>
          <w:rFonts w:hint="eastAsia" w:ascii="宋体" w:hAnsi="宋体" w:eastAsia="宋体" w:cs="宋体"/>
          <w:color w:val="auto"/>
          <w:kern w:val="2"/>
          <w:sz w:val="24"/>
          <w:lang w:val="en-US" w:eastAsia="zh-CN" w:bidi="ar-SA"/>
        </w:rPr>
        <w:t>7</w:t>
      </w:r>
      <w:r>
        <w:rPr>
          <w:rFonts w:ascii="宋体" w:hAnsi="宋体" w:eastAsia="宋体" w:cs="宋体"/>
          <w:color w:val="auto"/>
          <w:kern w:val="2"/>
          <w:sz w:val="24"/>
          <w:lang w:val="en-US" w:eastAsia="zh-CN" w:bidi="ar-SA"/>
        </w:rPr>
        <w:t xml:space="preserve">.2.7 </w:t>
      </w:r>
      <w:r>
        <w:rPr>
          <w:rFonts w:hint="eastAsia" w:ascii="宋体" w:hAnsi="宋体" w:eastAsia="宋体" w:cs="宋体"/>
          <w:color w:val="auto"/>
          <w:kern w:val="2"/>
          <w:sz w:val="24"/>
          <w:lang w:val="en-US" w:eastAsia="zh-CN" w:bidi="ar-SA"/>
        </w:rPr>
        <w:t>乙</w:t>
      </w:r>
      <w:r>
        <w:rPr>
          <w:rFonts w:hint="eastAsia" w:ascii="宋体" w:hAnsi="宋体" w:eastAsia="宋体"/>
          <w:color w:val="auto"/>
          <w:sz w:val="24"/>
        </w:rPr>
        <w:t>方应确保其向甲方提供的所有应用、软件、数据信息享有知识产权或取得相关权利人的合法授权，且符合相关法律法规规定和技术规范要求，不存在侵犯任何第三方合法权益（包括但不限于知识产权、肖像权、名誉权、隐私权等）的情况；如乙方违反上述保证而引起任何争议，由乙方负责解决并承担相关费用。</w:t>
      </w:r>
    </w:p>
    <w:p w14:paraId="04F2FCC9">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7.2.</w:t>
      </w:r>
      <w:r>
        <w:rPr>
          <w:rFonts w:hint="eastAsia" w:ascii="宋体" w:hAnsi="宋体" w:eastAsia="宋体"/>
          <w:color w:val="000000" w:themeColor="text1"/>
          <w:sz w:val="24"/>
          <w:lang w:val="en-US" w:eastAsia="zh-CN"/>
          <w14:textFill>
            <w14:solidFill>
              <w14:schemeClr w14:val="tx1"/>
            </w14:solidFill>
          </w14:textFill>
        </w:rPr>
        <w:t>8</w:t>
      </w:r>
      <w:r>
        <w:rPr>
          <w:rFonts w:hint="eastAsia" w:ascii="宋体" w:hAnsi="宋体" w:eastAsia="宋体"/>
          <w:color w:val="000000" w:themeColor="text1"/>
          <w:sz w:val="24"/>
          <w14:textFill>
            <w14:solidFill>
              <w14:schemeClr w14:val="tx1"/>
            </w14:solidFill>
          </w14:textFill>
        </w:rPr>
        <w:t xml:space="preserve"> 乙方有权就累计已完成的履约部分收取款项</w:t>
      </w:r>
      <w:r>
        <w:rPr>
          <w:rFonts w:hint="eastAsia" w:ascii="宋体" w:hAnsi="宋体" w:eastAsia="宋体"/>
          <w:color w:val="000000" w:themeColor="text1"/>
          <w:sz w:val="24"/>
          <w:lang w:eastAsia="zh-CN"/>
          <w14:textFill>
            <w14:solidFill>
              <w14:schemeClr w14:val="tx1"/>
            </w14:solidFill>
          </w14:textFill>
        </w:rPr>
        <w:t>，</w:t>
      </w:r>
      <w:r>
        <w:rPr>
          <w:rFonts w:hint="eastAsia" w:ascii="宋体" w:hAnsi="宋体" w:eastAsia="宋体"/>
          <w:color w:val="0000FF"/>
          <w:sz w:val="24"/>
          <w:lang w:val="en-US" w:eastAsia="zh-CN"/>
        </w:rPr>
        <w:t>具体金额由甲、乙双方协商确定</w:t>
      </w:r>
      <w:r>
        <w:rPr>
          <w:rFonts w:hint="eastAsia" w:ascii="宋体" w:hAnsi="宋体" w:eastAsia="宋体"/>
          <w:color w:val="000000" w:themeColor="text1"/>
          <w:sz w:val="24"/>
          <w14:textFill>
            <w14:solidFill>
              <w14:schemeClr w14:val="tx1"/>
            </w14:solidFill>
          </w14:textFill>
        </w:rPr>
        <w:t>。</w:t>
      </w:r>
    </w:p>
    <w:p w14:paraId="2F1B2282">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eastAsia="宋体"/>
          <w:color w:val="0000FF"/>
          <w:sz w:val="24"/>
          <w:lang w:val="en-US" w:eastAsia="zh-CN"/>
        </w:rPr>
        <w:t>7.2.9 由于乙方提供的软件存在漏洞所造成的安全问题，由乙方承担全部法律责任和经济损失赔偿责任。</w:t>
      </w:r>
    </w:p>
    <w:p w14:paraId="1FED5C3D">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ascii="宋体" w:hAnsi="宋体" w:eastAsia="宋体"/>
          <w:b/>
          <w:bCs/>
          <w:color w:val="auto"/>
          <w:sz w:val="24"/>
        </w:rPr>
      </w:pPr>
      <w:r>
        <w:rPr>
          <w:rFonts w:hint="eastAsia" w:ascii="宋体" w:hAnsi="宋体" w:eastAsia="宋体"/>
          <w:b/>
          <w:bCs/>
          <w:color w:val="auto"/>
          <w:sz w:val="24"/>
        </w:rPr>
        <w:t>7.3</w:t>
      </w:r>
      <w:r>
        <w:rPr>
          <w:rFonts w:ascii="宋体" w:hAnsi="宋体" w:eastAsia="宋体"/>
          <w:b/>
          <w:bCs/>
          <w:color w:val="auto"/>
          <w:sz w:val="24"/>
        </w:rPr>
        <w:t xml:space="preserve"> </w:t>
      </w:r>
      <w:r>
        <w:rPr>
          <w:rFonts w:hint="eastAsia" w:ascii="宋体" w:hAnsi="宋体" w:eastAsia="宋体"/>
          <w:b/>
          <w:bCs/>
          <w:color w:val="auto"/>
          <w:sz w:val="24"/>
        </w:rPr>
        <w:t>甲方的一般义务</w:t>
      </w:r>
    </w:p>
    <w:p w14:paraId="62575E22">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7.3.1</w:t>
      </w:r>
      <w:r>
        <w:rPr>
          <w:rFonts w:ascii="宋体" w:hAnsi="宋体" w:eastAsia="宋体"/>
          <w:color w:val="auto"/>
          <w:sz w:val="24"/>
        </w:rPr>
        <w:t xml:space="preserve"> </w:t>
      </w:r>
      <w:r>
        <w:rPr>
          <w:rFonts w:hint="eastAsia" w:ascii="宋体" w:hAnsi="宋体" w:eastAsia="宋体"/>
          <w:color w:val="auto"/>
          <w:sz w:val="24"/>
        </w:rPr>
        <w:t>甲方应指定专人负责就服务实施同乙方进行联络，为乙方工作提供良好的外部条件。</w:t>
      </w:r>
    </w:p>
    <w:p w14:paraId="02B0F872">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7.3.2</w:t>
      </w:r>
      <w:r>
        <w:rPr>
          <w:rFonts w:ascii="宋体" w:hAnsi="宋体" w:eastAsia="宋体"/>
          <w:color w:val="auto"/>
          <w:sz w:val="24"/>
        </w:rPr>
        <w:t xml:space="preserve"> </w:t>
      </w:r>
      <w:r>
        <w:rPr>
          <w:rFonts w:hint="eastAsia" w:ascii="宋体" w:hAnsi="宋体" w:eastAsia="宋体"/>
          <w:color w:val="auto"/>
          <w:sz w:val="24"/>
        </w:rPr>
        <w:t>甲方负责向乙方提供项目实施过程中必要的人员支持、相关器材和设备，配合乙方顺利完成系统实施工作。</w:t>
      </w:r>
    </w:p>
    <w:p w14:paraId="7A95B14B">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7.3.3</w:t>
      </w:r>
      <w:r>
        <w:rPr>
          <w:rFonts w:ascii="宋体" w:hAnsi="宋体" w:eastAsia="宋体"/>
          <w:color w:val="auto"/>
          <w:sz w:val="24"/>
        </w:rPr>
        <w:t xml:space="preserve"> </w:t>
      </w:r>
      <w:r>
        <w:rPr>
          <w:rFonts w:hint="eastAsia" w:ascii="宋体" w:hAnsi="宋体" w:eastAsia="宋体"/>
          <w:color w:val="auto"/>
          <w:sz w:val="24"/>
        </w:rPr>
        <w:t>甲方应按照合同约定或项目计划中约定的内容和时间，向乙方提供与项目建设有关的项目等资料。</w:t>
      </w:r>
    </w:p>
    <w:p w14:paraId="0892B0C8">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7.3.4</w:t>
      </w:r>
      <w:r>
        <w:rPr>
          <w:rFonts w:ascii="宋体" w:hAnsi="宋体" w:eastAsia="宋体"/>
          <w:color w:val="auto"/>
          <w:sz w:val="24"/>
        </w:rPr>
        <w:t xml:space="preserve">  对于服务器的安全防护（如访问控制、病毒查杀、入侵防护、补丁升级等）工作由</w:t>
      </w:r>
      <w:r>
        <w:rPr>
          <w:rFonts w:hint="eastAsia" w:ascii="宋体" w:hAnsi="宋体" w:eastAsia="宋体"/>
          <w:color w:val="auto"/>
          <w:sz w:val="24"/>
        </w:rPr>
        <w:t>甲方</w:t>
      </w:r>
      <w:r>
        <w:rPr>
          <w:rFonts w:ascii="宋体" w:hAnsi="宋体" w:eastAsia="宋体"/>
          <w:color w:val="auto"/>
          <w:sz w:val="24"/>
        </w:rPr>
        <w:t>自行负责，</w:t>
      </w:r>
      <w:r>
        <w:rPr>
          <w:rFonts w:hint="eastAsia" w:ascii="宋体" w:hAnsi="宋体" w:eastAsia="宋体"/>
          <w:color w:val="auto"/>
          <w:sz w:val="24"/>
        </w:rPr>
        <w:t>乙方</w:t>
      </w:r>
      <w:r>
        <w:rPr>
          <w:rFonts w:ascii="宋体" w:hAnsi="宋体" w:eastAsia="宋体"/>
          <w:color w:val="auto"/>
          <w:sz w:val="24"/>
        </w:rPr>
        <w:t>可以适当提供实施建议和技术支持，但后续因</w:t>
      </w:r>
      <w:r>
        <w:rPr>
          <w:rFonts w:hint="eastAsia" w:ascii="宋体" w:hAnsi="宋体" w:eastAsia="宋体"/>
          <w:color w:val="0000FF"/>
          <w:sz w:val="24"/>
          <w:lang w:val="en-US" w:eastAsia="zh-CN"/>
        </w:rPr>
        <w:t>甲方</w:t>
      </w:r>
      <w:r>
        <w:rPr>
          <w:rFonts w:ascii="宋体" w:hAnsi="宋体" w:eastAsia="宋体"/>
          <w:color w:val="auto"/>
          <w:sz w:val="24"/>
        </w:rPr>
        <w:t>防护措施不到位引起的安全问题，</w:t>
      </w:r>
      <w:r>
        <w:rPr>
          <w:rFonts w:hint="eastAsia" w:ascii="宋体" w:hAnsi="宋体" w:eastAsia="宋体"/>
          <w:color w:val="auto"/>
          <w:sz w:val="24"/>
        </w:rPr>
        <w:t>乙方</w:t>
      </w:r>
      <w:r>
        <w:rPr>
          <w:rFonts w:ascii="宋体" w:hAnsi="宋体" w:eastAsia="宋体"/>
          <w:color w:val="auto"/>
          <w:sz w:val="24"/>
        </w:rPr>
        <w:t>概不负责，由</w:t>
      </w:r>
      <w:r>
        <w:rPr>
          <w:rFonts w:hint="eastAsia" w:ascii="宋体" w:hAnsi="宋体" w:eastAsia="宋体"/>
          <w:color w:val="auto"/>
          <w:sz w:val="24"/>
        </w:rPr>
        <w:t>甲方</w:t>
      </w:r>
      <w:r>
        <w:rPr>
          <w:rFonts w:ascii="宋体" w:hAnsi="宋体" w:eastAsia="宋体"/>
          <w:color w:val="auto"/>
          <w:sz w:val="24"/>
        </w:rPr>
        <w:t>承担全部责任和损失，</w:t>
      </w:r>
      <w:r>
        <w:rPr>
          <w:rFonts w:hint="eastAsia" w:ascii="宋体" w:hAnsi="宋体" w:eastAsia="宋体"/>
          <w:color w:val="auto"/>
          <w:sz w:val="24"/>
        </w:rPr>
        <w:t>乙方</w:t>
      </w:r>
      <w:r>
        <w:rPr>
          <w:rFonts w:ascii="宋体" w:hAnsi="宋体" w:eastAsia="宋体"/>
          <w:color w:val="auto"/>
          <w:sz w:val="24"/>
        </w:rPr>
        <w:t>可以配合实施安全补救工作。</w:t>
      </w:r>
    </w:p>
    <w:p w14:paraId="6587654F">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7.3.5</w:t>
      </w:r>
      <w:r>
        <w:rPr>
          <w:rFonts w:ascii="宋体" w:hAnsi="宋体" w:eastAsia="宋体"/>
          <w:color w:val="auto"/>
          <w:sz w:val="24"/>
        </w:rPr>
        <w:t xml:space="preserve"> </w:t>
      </w:r>
      <w:r>
        <w:rPr>
          <w:rFonts w:hint="eastAsia" w:ascii="宋体" w:hAnsi="宋体" w:eastAsia="宋体"/>
          <w:color w:val="auto"/>
          <w:sz w:val="24"/>
        </w:rPr>
        <w:t>未经乙方书面许可，甲方不得对乙方提供技术服务的应用、软件进行反向工程（</w:t>
      </w:r>
      <w:r>
        <w:rPr>
          <w:rFonts w:ascii="宋体" w:hAnsi="宋体" w:eastAsia="宋体"/>
          <w:color w:val="auto"/>
          <w:sz w:val="24"/>
        </w:rPr>
        <w:t>reverse engineer</w:t>
      </w:r>
      <w:r>
        <w:rPr>
          <w:rFonts w:hint="eastAsia" w:ascii="宋体" w:hAnsi="宋体" w:eastAsia="宋体"/>
          <w:color w:val="auto"/>
          <w:sz w:val="24"/>
        </w:rPr>
        <w:t>）、反向编译（</w:t>
      </w:r>
      <w:r>
        <w:rPr>
          <w:rFonts w:ascii="宋体" w:hAnsi="宋体" w:eastAsia="宋体"/>
          <w:color w:val="auto"/>
          <w:sz w:val="24"/>
        </w:rPr>
        <w:t>decompile</w:t>
      </w:r>
      <w:r>
        <w:rPr>
          <w:rFonts w:hint="eastAsia" w:ascii="宋体" w:hAnsi="宋体" w:eastAsia="宋体"/>
          <w:color w:val="auto"/>
          <w:sz w:val="24"/>
        </w:rPr>
        <w:t>）或反汇编（</w:t>
      </w:r>
      <w:r>
        <w:rPr>
          <w:rFonts w:ascii="宋体" w:hAnsi="宋体" w:eastAsia="宋体"/>
          <w:color w:val="auto"/>
          <w:sz w:val="24"/>
        </w:rPr>
        <w:t>disassemble</w:t>
      </w:r>
      <w:r>
        <w:rPr>
          <w:rFonts w:hint="eastAsia" w:ascii="宋体" w:hAnsi="宋体" w:eastAsia="宋体"/>
          <w:color w:val="auto"/>
          <w:sz w:val="24"/>
        </w:rPr>
        <w:t>）</w:t>
      </w:r>
      <w:r>
        <w:rPr>
          <w:rFonts w:ascii="宋体" w:hAnsi="宋体" w:eastAsia="宋体"/>
          <w:color w:val="auto"/>
          <w:sz w:val="24"/>
        </w:rPr>
        <w:t>，不得对其解密扩散或复制转让</w:t>
      </w:r>
      <w:r>
        <w:rPr>
          <w:rFonts w:hint="eastAsia" w:ascii="宋体" w:hAnsi="宋体" w:eastAsia="宋体"/>
          <w:color w:val="auto"/>
          <w:sz w:val="24"/>
        </w:rPr>
        <w:t>。</w:t>
      </w:r>
    </w:p>
    <w:p w14:paraId="37996FF2">
      <w:pPr>
        <w:pStyle w:val="6"/>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Ansi="宋体" w:eastAsia="宋体"/>
          <w:color w:val="auto"/>
        </w:rPr>
      </w:pPr>
      <w:r>
        <w:rPr>
          <w:rFonts w:hint="eastAsia" w:hAnsi="宋体" w:eastAsia="宋体"/>
          <w:color w:val="auto"/>
        </w:rPr>
        <w:t>7</w:t>
      </w:r>
      <w:r>
        <w:rPr>
          <w:rFonts w:hAnsi="宋体" w:eastAsia="宋体"/>
          <w:color w:val="auto"/>
        </w:rPr>
        <w:t>.3.</w:t>
      </w:r>
      <w:r>
        <w:rPr>
          <w:rFonts w:hint="eastAsia" w:hAnsi="宋体" w:eastAsia="宋体"/>
          <w:color w:val="auto"/>
        </w:rPr>
        <w:t>6</w:t>
      </w:r>
      <w:r>
        <w:rPr>
          <w:rFonts w:hAnsi="宋体" w:eastAsia="宋体"/>
          <w:color w:val="auto"/>
        </w:rPr>
        <w:t xml:space="preserve"> </w:t>
      </w:r>
      <w:r>
        <w:rPr>
          <w:rFonts w:hint="eastAsia" w:hAnsi="宋体" w:eastAsia="宋体"/>
          <w:color w:val="auto"/>
        </w:rPr>
        <w:t>甲方应遵守国家《计算机软件保护条例》有关规定，未经乙方书面许可，不得以任何形式再次转让、租赁或供其他机构研究该软件。</w:t>
      </w:r>
    </w:p>
    <w:p w14:paraId="32CD6589">
      <w:pPr>
        <w:pStyle w:val="6"/>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Ansi="宋体" w:eastAsia="宋体"/>
          <w:color w:val="auto"/>
        </w:rPr>
      </w:pPr>
      <w:r>
        <w:rPr>
          <w:rFonts w:hint="eastAsia" w:hAnsi="宋体" w:eastAsia="宋体"/>
          <w:color w:val="auto"/>
        </w:rPr>
        <w:t>7</w:t>
      </w:r>
      <w:r>
        <w:rPr>
          <w:rFonts w:hAnsi="宋体" w:eastAsia="宋体"/>
          <w:color w:val="auto"/>
        </w:rPr>
        <w:t>.3.</w:t>
      </w:r>
      <w:r>
        <w:rPr>
          <w:rFonts w:hint="eastAsia" w:hAnsi="宋体" w:eastAsia="宋体"/>
          <w:color w:val="auto"/>
        </w:rPr>
        <w:t>7乙方</w:t>
      </w:r>
      <w:r>
        <w:rPr>
          <w:rFonts w:hAnsi="宋体" w:eastAsia="宋体"/>
          <w:color w:val="auto"/>
        </w:rPr>
        <w:t>提供的所有软件、技术的版权归</w:t>
      </w:r>
      <w:r>
        <w:rPr>
          <w:rFonts w:hint="eastAsia" w:hAnsi="宋体" w:eastAsia="宋体"/>
          <w:color w:val="auto"/>
        </w:rPr>
        <w:t>乙方</w:t>
      </w:r>
      <w:r>
        <w:rPr>
          <w:rFonts w:hAnsi="宋体" w:eastAsia="宋体"/>
          <w:color w:val="auto"/>
        </w:rPr>
        <w:t>所有，</w:t>
      </w:r>
      <w:r>
        <w:rPr>
          <w:rFonts w:hint="eastAsia" w:hAnsi="宋体" w:eastAsia="宋体"/>
          <w:color w:val="auto"/>
        </w:rPr>
        <w:t>甲方</w:t>
      </w:r>
      <w:r>
        <w:rPr>
          <w:rFonts w:hAnsi="宋体" w:eastAsia="宋体"/>
          <w:color w:val="auto"/>
        </w:rPr>
        <w:t>不得复制、解密以及从事损害</w:t>
      </w:r>
      <w:r>
        <w:rPr>
          <w:rFonts w:hint="eastAsia" w:hAnsi="宋体" w:eastAsia="宋体"/>
          <w:color w:val="auto"/>
        </w:rPr>
        <w:t>乙方</w:t>
      </w:r>
      <w:r>
        <w:rPr>
          <w:rFonts w:hAnsi="宋体" w:eastAsia="宋体"/>
          <w:color w:val="auto"/>
        </w:rPr>
        <w:t>合法权益的其他活动，否则</w:t>
      </w:r>
      <w:r>
        <w:rPr>
          <w:rFonts w:hint="eastAsia" w:hAnsi="宋体" w:eastAsia="宋体"/>
          <w:color w:val="auto"/>
        </w:rPr>
        <w:t>甲方</w:t>
      </w:r>
      <w:r>
        <w:rPr>
          <w:rFonts w:hAnsi="宋体" w:eastAsia="宋体"/>
          <w:color w:val="auto"/>
        </w:rPr>
        <w:t>应承担相应的法律责任并赔偿由此给</w:t>
      </w:r>
      <w:r>
        <w:rPr>
          <w:rFonts w:hint="eastAsia" w:hAnsi="宋体" w:eastAsia="宋体"/>
          <w:color w:val="auto"/>
        </w:rPr>
        <w:t>乙方</w:t>
      </w:r>
      <w:r>
        <w:rPr>
          <w:rFonts w:hAnsi="宋体" w:eastAsia="宋体"/>
          <w:color w:val="auto"/>
        </w:rPr>
        <w:t>造成的全部损失。</w:t>
      </w:r>
    </w:p>
    <w:p w14:paraId="79B65D86">
      <w:pPr>
        <w:pStyle w:val="6"/>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Ansi="宋体" w:eastAsia="宋体"/>
          <w:color w:val="auto"/>
        </w:rPr>
      </w:pPr>
      <w:r>
        <w:rPr>
          <w:rFonts w:hint="eastAsia" w:hAnsi="宋体" w:eastAsia="宋体"/>
          <w:color w:val="auto"/>
        </w:rPr>
        <w:t>7.3.8</w:t>
      </w:r>
      <w:r>
        <w:rPr>
          <w:rFonts w:hAnsi="宋体" w:eastAsia="宋体"/>
          <w:color w:val="auto"/>
        </w:rPr>
        <w:t xml:space="preserve"> </w:t>
      </w:r>
      <w:r>
        <w:rPr>
          <w:rFonts w:hint="eastAsia" w:hAnsi="宋体" w:eastAsia="宋体"/>
          <w:color w:val="auto"/>
        </w:rPr>
        <w:t>甲方保证其提供给乙方的信息均合法获取且取得应有的授权，甲方对其提供的信息具备合法的处置与使用权利。</w:t>
      </w:r>
    </w:p>
    <w:p w14:paraId="34BAF2A3">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7.4</w:t>
      </w:r>
      <w:r>
        <w:rPr>
          <w:rFonts w:ascii="宋体" w:hAnsi="宋体" w:eastAsia="宋体"/>
          <w:color w:val="auto"/>
          <w:sz w:val="24"/>
        </w:rPr>
        <w:t xml:space="preserve"> </w:t>
      </w:r>
      <w:r>
        <w:rPr>
          <w:rFonts w:hint="eastAsia" w:ascii="宋体" w:hAnsi="宋体" w:eastAsia="宋体"/>
          <w:color w:val="auto"/>
          <w:sz w:val="24"/>
        </w:rPr>
        <w:t>乙方</w:t>
      </w:r>
      <w:r>
        <w:rPr>
          <w:rFonts w:ascii="宋体" w:hAnsi="宋体" w:eastAsia="宋体"/>
          <w:color w:val="auto"/>
          <w:sz w:val="24"/>
        </w:rPr>
        <w:t>利用</w:t>
      </w:r>
      <w:r>
        <w:rPr>
          <w:rFonts w:hint="eastAsia" w:ascii="宋体" w:hAnsi="宋体" w:eastAsia="宋体"/>
          <w:color w:val="auto"/>
          <w:sz w:val="24"/>
        </w:rPr>
        <w:t>甲方提供的技术服务完成的技术成果，其知识产权归甲方所有。乙方自行开发的或由乙方与第三方签署协议产生的知识产权仍应归乙方或第三方拥有。</w:t>
      </w:r>
    </w:p>
    <w:p w14:paraId="2B69EAE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ascii="宋体" w:hAnsi="宋体" w:eastAsia="宋体"/>
          <w:b/>
          <w:color w:val="auto"/>
          <w:sz w:val="24"/>
        </w:rPr>
      </w:pPr>
      <w:r>
        <w:rPr>
          <w:rFonts w:hint="eastAsia" w:ascii="宋体" w:hAnsi="宋体" w:eastAsia="宋体"/>
          <w:b/>
          <w:color w:val="auto"/>
          <w:sz w:val="24"/>
        </w:rPr>
        <w:t>第八条  保密责任</w:t>
      </w:r>
    </w:p>
    <w:p w14:paraId="5911B6F9">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8.1双方在磋商、签订、履行本合同过程中知晓的任何形式的信息、资料、数据（以下合称“保密信息”），双方约定如下：</w:t>
      </w:r>
    </w:p>
    <w:p w14:paraId="3F155A78">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8.1.1未经任意一方书面同意，不得将保密信息用于任何非本合同之目的用途。</w:t>
      </w:r>
    </w:p>
    <w:p w14:paraId="6CF165D7">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8.1.2未经任意一方书面同意，不得将保密信息透露给任何第三方。不得允许（出借、赠予、出租、转让等处理保密信息的行为皆属于“允许”）或协助未经授权的第三方使用保密信息。</w:t>
      </w:r>
    </w:p>
    <w:p w14:paraId="5F1FB526">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8.1.3乙方保证对甲方提供的保密信息予以妥善保存，并至少采取适用于对自己的保密信息同样的保护措施和审慎程度进行保密。</w:t>
      </w:r>
    </w:p>
    <w:p w14:paraId="4D02D11E">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8.1.4乙方不得刺探与本身业务无关的甲方保密信息。</w:t>
      </w:r>
    </w:p>
    <w:p w14:paraId="72088674">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8.1.5乙方向甲方提供从甲方获取的保密信息的保密密级及知悉保密信息的范围，在乙方上述人员知悉该保密信息前，应向其提示保密信息的保密性和应承担的义务，并保证上述人员以书面形式同意接受保密条款的约束，确保上述人员承担保密责任的程度不低于本合同规定的程度。</w:t>
      </w:r>
    </w:p>
    <w:p w14:paraId="322164DA">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8.1.6项目终止后，乙方应立即将甲方的保密信息全部载体归还甲方，或根据甲方的要求予以销毁，不得以任何形式保留原件或备份。</w:t>
      </w:r>
    </w:p>
    <w:p w14:paraId="010175E5">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8.1.7若乙方与第三方合并、被第三方兼并或被第三方直接或间接控制，不得向该第三方披露任何甲方的保密信息。乙方应立即将甲方的保密信息全部载体归还甲方，或根据甲方的要求予以销毁，不得以任何形式保留原件或备份。但如事先获得甲方的书面同意，乙方可继续使用该保密信息。</w:t>
      </w:r>
    </w:p>
    <w:p w14:paraId="7C1234F5">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8.1.8如果乙方被要求向政府部门、法院或其他有权部门提供保密信息，乙方在可能的情况下，应立即向甲方予以通报。</w:t>
      </w:r>
    </w:p>
    <w:p w14:paraId="04D9A5FE">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8.1.9任何保密信息的获取并不意味着授予乙方任何有关甲方所有的专利权或版权，也不意味着授予乙方有关甲方保密信息的任何权利，除了乙方有权为履行其在合同项目下的义务合理使用甲方提供的保密信息。</w:t>
      </w:r>
    </w:p>
    <w:p w14:paraId="1BDE7C5D">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8.1.10保密义务同样适用于有关未经注册或未被授予专利权的发明的文件和信息。因对本协议所指保密信息的使用而直接或间接产生的知识产权方面的权利由双方当事人协商决定其归属。</w:t>
      </w:r>
    </w:p>
    <w:p w14:paraId="0E324790">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8.2本合同中所说“保密信息”指如下信息：</w:t>
      </w:r>
    </w:p>
    <w:p w14:paraId="3A9B9366">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8.2.1双方就合同订立、履行、变更等产生的研究、商讨、交流等信息。</w:t>
      </w:r>
    </w:p>
    <w:p w14:paraId="1B681138">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8.2.2与甲方有关为乙方知晓、保存或可能上传、交换的信息，包括但不限于如下：</w:t>
      </w:r>
    </w:p>
    <w:p w14:paraId="0B5FBACF">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8.2.2.1技术信息：包括涉及甲方信息化建设中的技术信息，包括软件技术、数据、管理文件等；</w:t>
      </w:r>
    </w:p>
    <w:p w14:paraId="115ED8D4">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8.2.2.2人事信息：包括涉及甲方的人事档案、薪酬、及考核等人力资源管理信息；</w:t>
      </w:r>
    </w:p>
    <w:p w14:paraId="755BED8B">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8.2.2.3医院运行信息：包括涉及甲方业务运行的各种信息，医院经营方向、经营决策、定价政策以及内部掌握的合同、协议、项目方案等；</w:t>
      </w:r>
    </w:p>
    <w:p w14:paraId="7435AF56">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8.2.2.4财务信息：包括涉及甲方的各项财务报表、成本及预算报告、员工工资等；</w:t>
      </w:r>
    </w:p>
    <w:p w14:paraId="3F00630E">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8.2.2.5患者信息：包括涉及甲方门诊、住院患者的相关诊疗信息，如患者基本信息、诊疗计划、病历信息、费用信息、处方等；</w:t>
      </w:r>
    </w:p>
    <w:p w14:paraId="6E6A83D4">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8.2.2.6应当予以保密的商业秘密、个人隐私等信息。</w:t>
      </w:r>
    </w:p>
    <w:p w14:paraId="3D4038FE">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8.3本合同约定的保密信息为永久绝对保密，保密条款在本合同终止后仍然有效。</w:t>
      </w:r>
    </w:p>
    <w:p w14:paraId="621C80C1">
      <w:pPr>
        <w:pStyle w:val="6"/>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hAnsi="宋体" w:eastAsia="宋体"/>
          <w:b/>
          <w:color w:val="auto"/>
          <w:lang w:val="en-US" w:eastAsia="zh-CN"/>
        </w:rPr>
      </w:pPr>
      <w:r>
        <w:rPr>
          <w:rFonts w:hint="eastAsia" w:hAnsi="宋体" w:eastAsia="宋体"/>
          <w:b/>
          <w:color w:val="auto"/>
          <w:lang w:val="en-US" w:eastAsia="zh-CN"/>
        </w:rPr>
        <w:t>第九条  廉洁条款</w:t>
      </w:r>
    </w:p>
    <w:p w14:paraId="123B8344">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kern w:val="2"/>
          <w:sz w:val="24"/>
          <w:lang w:val="en-US" w:eastAsia="zh-CN" w:bidi="ar-SA"/>
        </w:rPr>
      </w:pPr>
      <w:r>
        <w:rPr>
          <w:rFonts w:hint="eastAsia" w:ascii="宋体" w:hAnsi="宋体" w:eastAsia="宋体" w:cs="宋体"/>
          <w:color w:val="auto"/>
          <w:kern w:val="2"/>
          <w:sz w:val="24"/>
          <w:lang w:val="en-US" w:eastAsia="zh-CN" w:bidi="ar-SA"/>
        </w:rPr>
        <w:t>9.1乙方应严格遵守国家相关法律法规，涉及合同的有关业务活动必须坚持公开、公平、公正、诚信原则，不得为获取不正当利益，损害国家、集体和甲方利益。</w:t>
      </w:r>
    </w:p>
    <w:p w14:paraId="1786D236">
      <w:pPr>
        <w:pStyle w:val="6"/>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hint="eastAsia" w:ascii="宋体" w:hAnsi="宋体" w:eastAsia="宋体" w:cs="宋体"/>
          <w:color w:val="auto"/>
          <w:kern w:val="2"/>
          <w:sz w:val="24"/>
          <w:lang w:val="en-US" w:eastAsia="zh-CN" w:bidi="ar-SA"/>
        </w:rPr>
      </w:pPr>
      <w:r>
        <w:rPr>
          <w:rFonts w:hint="eastAsia" w:ascii="宋体" w:hAnsi="宋体" w:eastAsia="宋体" w:cs="宋体"/>
          <w:b/>
          <w:bCs/>
          <w:color w:val="auto"/>
          <w:kern w:val="2"/>
          <w:sz w:val="24"/>
          <w:u w:val="single"/>
          <w:lang w:val="en-US" w:eastAsia="zh-CN" w:bidi="ar-SA"/>
        </w:rPr>
        <w:t>9.2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1799D1E5">
      <w:pPr>
        <w:pStyle w:val="6"/>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hAnsi="宋体" w:eastAsia="宋体"/>
          <w:b/>
          <w:color w:val="auto"/>
        </w:rPr>
      </w:pPr>
      <w:r>
        <w:rPr>
          <w:rFonts w:hint="eastAsia" w:hAnsi="宋体" w:eastAsia="宋体"/>
          <w:b/>
          <w:color w:val="auto"/>
        </w:rPr>
        <w:t>第</w:t>
      </w:r>
      <w:r>
        <w:rPr>
          <w:rFonts w:hint="eastAsia" w:hAnsi="宋体" w:eastAsia="宋体"/>
          <w:b/>
          <w:color w:val="auto"/>
          <w:lang w:val="en-US" w:eastAsia="zh-CN"/>
        </w:rPr>
        <w:t>十</w:t>
      </w:r>
      <w:r>
        <w:rPr>
          <w:rFonts w:hint="eastAsia" w:hAnsi="宋体" w:eastAsia="宋体"/>
          <w:b/>
          <w:color w:val="auto"/>
        </w:rPr>
        <w:t>条</w:t>
      </w:r>
      <w:r>
        <w:rPr>
          <w:rFonts w:hAnsi="宋体" w:eastAsia="宋体"/>
          <w:b/>
          <w:color w:val="auto"/>
        </w:rPr>
        <w:t xml:space="preserve">  </w:t>
      </w:r>
      <w:r>
        <w:rPr>
          <w:rFonts w:hint="eastAsia" w:hAnsi="宋体" w:eastAsia="宋体"/>
          <w:b/>
          <w:color w:val="auto"/>
        </w:rPr>
        <w:t>通知与送达</w:t>
      </w:r>
    </w:p>
    <w:p w14:paraId="04BA7548">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lang w:val="en-US" w:eastAsia="zh-CN"/>
        </w:rPr>
        <w:t>10</w:t>
      </w:r>
      <w:r>
        <w:rPr>
          <w:rFonts w:ascii="宋体" w:hAnsi="宋体" w:eastAsia="宋体"/>
          <w:color w:val="auto"/>
          <w:sz w:val="24"/>
        </w:rPr>
        <w:t>.1</w:t>
      </w:r>
      <w:r>
        <w:rPr>
          <w:rFonts w:hint="eastAsia" w:ascii="宋体" w:hAnsi="宋体" w:eastAsia="宋体"/>
          <w:color w:val="auto"/>
          <w:sz w:val="24"/>
        </w:rPr>
        <w:t>甲乙双方同意，与本合同有关的任何文书，应以书面方式送达本合同约定的联系方式。书面形式包括手机短信、微信、书面函件、电子邮件等形式。</w:t>
      </w:r>
    </w:p>
    <w:p w14:paraId="19A11ADA">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lang w:val="en-US" w:eastAsia="zh-CN"/>
        </w:rPr>
        <w:t>10</w:t>
      </w:r>
      <w:r>
        <w:rPr>
          <w:rFonts w:hint="eastAsia" w:ascii="宋体" w:hAnsi="宋体" w:eastAsia="宋体"/>
          <w:color w:val="auto"/>
          <w:sz w:val="24"/>
        </w:rPr>
        <w:t>.2双方确认的文书（包括未来可能发生的诉讼或仲裁活动中法院或仲裁机构的送达法律文书）送达地址：</w:t>
      </w:r>
    </w:p>
    <w:p w14:paraId="5122B977">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10</w:t>
      </w:r>
      <w:r>
        <w:rPr>
          <w:rFonts w:hint="eastAsia" w:ascii="宋体" w:hAnsi="宋体" w:eastAsia="宋体"/>
          <w:color w:val="auto"/>
          <w:sz w:val="24"/>
          <w:highlight w:val="none"/>
        </w:rPr>
        <w:t>.2.1</w:t>
      </w:r>
      <w:r>
        <w:rPr>
          <w:rFonts w:hint="eastAsia" w:ascii="宋体" w:hAnsi="宋体" w:eastAsia="宋体" w:cs="Times New Roman"/>
          <w:bCs/>
          <w:color w:val="000000" w:themeColor="text1"/>
          <w:sz w:val="24"/>
          <w14:textFill>
            <w14:solidFill>
              <w14:schemeClr w14:val="tx1"/>
            </w14:solidFill>
          </w14:textFill>
        </w:rPr>
        <w:t>甲方的文书送达地址</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u w:val="single"/>
          <w14:textFill>
            <w14:solidFill>
              <w14:schemeClr w14:val="tx1"/>
            </w14:solidFill>
          </w14:textFill>
        </w:rPr>
        <w:t xml:space="preserve"> 湖南省娄底市娄星区长青街51号</w:t>
      </w:r>
      <w:r>
        <w:rPr>
          <w:rFonts w:hint="eastAsia" w:ascii="宋体" w:hAnsi="宋体" w:eastAsia="宋体" w:cs="Times New Roman"/>
          <w:bCs/>
          <w:color w:val="000000" w:themeColor="text1"/>
          <w:sz w:val="24"/>
          <w:u w:val="single"/>
          <w:lang w:val="en-US" w:eastAsia="zh-CN"/>
          <w14:textFill>
            <w14:solidFill>
              <w14:schemeClr w14:val="tx1"/>
            </w14:solidFill>
          </w14:textFill>
        </w:rPr>
        <w:t xml:space="preserve"> </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14:textFill>
            <w14:solidFill>
              <w14:schemeClr w14:val="tx1"/>
            </w14:solidFill>
          </w14:textFill>
        </w:rPr>
        <w:t>收件人</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u w:val="single"/>
          <w14:textFill>
            <w14:solidFill>
              <w14:schemeClr w14:val="tx1"/>
            </w14:solidFill>
          </w14:textFill>
        </w:rPr>
        <w:t xml:space="preserve"> </w:t>
      </w:r>
      <w:r>
        <w:rPr>
          <w:rFonts w:hint="eastAsia" w:ascii="宋体" w:hAnsi="宋体" w:eastAsia="宋体" w:cs="Times New Roman"/>
          <w:bCs/>
          <w:color w:val="000000" w:themeColor="text1"/>
          <w:sz w:val="24"/>
          <w:u w:val="single"/>
          <w:lang w:val="en-US" w:eastAsia="zh-CN"/>
          <w14:textFill>
            <w14:solidFill>
              <w14:schemeClr w14:val="tx1"/>
            </w14:solidFill>
          </w14:textFill>
        </w:rPr>
        <w:t>董昉</w:t>
      </w:r>
      <w:r>
        <w:rPr>
          <w:rFonts w:hint="eastAsia" w:ascii="宋体" w:hAnsi="宋体" w:eastAsia="宋体" w:cs="Times New Roman"/>
          <w:bCs/>
          <w:color w:val="000000" w:themeColor="text1"/>
          <w:sz w:val="24"/>
          <w:u w:val="single"/>
          <w14:textFill>
            <w14:solidFill>
              <w14:schemeClr w14:val="tx1"/>
            </w14:solidFill>
          </w14:textFill>
        </w:rPr>
        <w:t xml:space="preserve"> </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14:textFill>
            <w14:solidFill>
              <w14:schemeClr w14:val="tx1"/>
            </w14:solidFill>
          </w14:textFill>
        </w:rPr>
        <w:t>联系电话</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u w:val="single"/>
          <w14:textFill>
            <w14:solidFill>
              <w14:schemeClr w14:val="tx1"/>
            </w14:solidFill>
          </w14:textFill>
        </w:rPr>
        <w:t xml:space="preserve"> 15973879275 </w:t>
      </w:r>
      <w:r>
        <w:rPr>
          <w:rFonts w:hint="eastAsia" w:ascii="宋体" w:hAnsi="宋体" w:eastAsia="宋体" w:cs="Times New Roman"/>
          <w:bCs/>
          <w:color w:val="000000" w:themeColor="text1"/>
          <w:sz w:val="24"/>
          <w14:textFill>
            <w14:solidFill>
              <w14:schemeClr w14:val="tx1"/>
            </w14:solidFill>
          </w14:textFill>
        </w:rPr>
        <w:t>，</w:t>
      </w:r>
      <w:r>
        <w:rPr>
          <w:rFonts w:hint="eastAsia" w:ascii="宋体" w:hAnsi="宋体" w:eastAsia="宋体" w:cs="Times New Roman"/>
          <w:bCs/>
          <w:color w:val="000000" w:themeColor="text1"/>
          <w:sz w:val="24"/>
          <w:lang w:val="en-US" w:eastAsia="zh-CN"/>
          <w14:textFill>
            <w14:solidFill>
              <w14:schemeClr w14:val="tx1"/>
            </w14:solidFill>
          </w14:textFill>
        </w:rPr>
        <w:t>微信号：</w:t>
      </w:r>
      <w:r>
        <w:rPr>
          <w:rFonts w:hint="eastAsia" w:ascii="宋体" w:hAnsi="宋体" w:eastAsia="宋体" w:cs="Times New Roman"/>
          <w:bCs/>
          <w:color w:val="000000" w:themeColor="text1"/>
          <w:sz w:val="24"/>
          <w:u w:val="single"/>
          <w:lang w:val="en-US" w:eastAsia="zh-CN"/>
          <w14:textFill>
            <w14:solidFill>
              <w14:schemeClr w14:val="tx1"/>
            </w14:solidFill>
          </w14:textFill>
        </w:rPr>
        <w:t xml:space="preserve"> df22028581 </w:t>
      </w:r>
      <w:r>
        <w:rPr>
          <w:rFonts w:hint="eastAsia" w:ascii="宋体" w:hAnsi="宋体" w:eastAsia="宋体" w:cs="Times New Roman"/>
          <w:bCs/>
          <w:color w:val="000000" w:themeColor="text1"/>
          <w:sz w:val="24"/>
          <w:lang w:val="en-US" w:eastAsia="zh-CN"/>
          <w14:textFill>
            <w14:solidFill>
              <w14:schemeClr w14:val="tx1"/>
            </w14:solidFill>
          </w14:textFill>
        </w:rPr>
        <w:t>，电子邮箱：</w:t>
      </w:r>
      <w:r>
        <w:rPr>
          <w:rFonts w:hint="eastAsia" w:ascii="宋体" w:hAnsi="宋体" w:eastAsia="宋体" w:cs="Times New Roman"/>
          <w:bCs/>
          <w:color w:val="000000" w:themeColor="text1"/>
          <w:sz w:val="24"/>
          <w:u w:val="single"/>
          <w:lang w:val="en-US" w:eastAsia="zh-CN"/>
          <w14:textFill>
            <w14:solidFill>
              <w14:schemeClr w14:val="tx1"/>
            </w14:solidFill>
          </w14:textFill>
        </w:rPr>
        <w:t xml:space="preserve"> </w:t>
      </w:r>
      <w:r>
        <w:rPr>
          <w:rFonts w:hint="eastAsia" w:ascii="宋体" w:hAnsi="宋体" w:eastAsia="宋体" w:cs="Times New Roman"/>
          <w:bCs/>
          <w:color w:val="000000" w:themeColor="text1"/>
          <w:sz w:val="24"/>
          <w:u w:val="single"/>
          <w:lang w:val="en-US" w:eastAsia="zh-CN"/>
          <w14:textFill>
            <w14:solidFill>
              <w14:schemeClr w14:val="tx1"/>
            </w14:solidFill>
          </w14:textFill>
        </w:rPr>
        <w:fldChar w:fldCharType="begin"/>
      </w:r>
      <w:r>
        <w:rPr>
          <w:rFonts w:hint="eastAsia" w:ascii="宋体" w:hAnsi="宋体" w:eastAsia="宋体" w:cs="Times New Roman"/>
          <w:bCs/>
          <w:color w:val="000000" w:themeColor="text1"/>
          <w:sz w:val="24"/>
          <w:u w:val="single"/>
          <w:lang w:val="en-US" w:eastAsia="zh-CN"/>
          <w14:textFill>
            <w14:solidFill>
              <w14:schemeClr w14:val="tx1"/>
            </w14:solidFill>
          </w14:textFill>
        </w:rPr>
        <w:instrText xml:space="preserve"> HYPERLINK "mailto:22028581@qq.com" </w:instrText>
      </w:r>
      <w:r>
        <w:rPr>
          <w:rFonts w:hint="eastAsia" w:ascii="宋体" w:hAnsi="宋体" w:eastAsia="宋体" w:cs="Times New Roman"/>
          <w:bCs/>
          <w:color w:val="000000" w:themeColor="text1"/>
          <w:sz w:val="24"/>
          <w:u w:val="single"/>
          <w:lang w:val="en-US" w:eastAsia="zh-CN"/>
          <w14:textFill>
            <w14:solidFill>
              <w14:schemeClr w14:val="tx1"/>
            </w14:solidFill>
          </w14:textFill>
        </w:rPr>
        <w:fldChar w:fldCharType="separate"/>
      </w:r>
      <w:r>
        <w:rPr>
          <w:rFonts w:hint="eastAsia" w:ascii="宋体" w:hAnsi="宋体" w:eastAsia="宋体" w:cs="Times New Roman"/>
          <w:bCs/>
          <w:color w:val="000000" w:themeColor="text1"/>
          <w:sz w:val="24"/>
          <w:u w:val="single"/>
          <w:lang w:val="en-US" w:eastAsia="zh-CN"/>
          <w14:textFill>
            <w14:solidFill>
              <w14:schemeClr w14:val="tx1"/>
            </w14:solidFill>
          </w14:textFill>
        </w:rPr>
        <w:t>22028581@qq.com</w:t>
      </w:r>
      <w:r>
        <w:rPr>
          <w:rFonts w:hint="eastAsia" w:ascii="宋体" w:hAnsi="宋体" w:eastAsia="宋体" w:cs="Times New Roman"/>
          <w:bCs/>
          <w:color w:val="000000" w:themeColor="text1"/>
          <w:sz w:val="24"/>
          <w:u w:val="single"/>
          <w:lang w:val="en-US" w:eastAsia="zh-CN"/>
          <w14:textFill>
            <w14:solidFill>
              <w14:schemeClr w14:val="tx1"/>
            </w14:solidFill>
          </w14:textFill>
        </w:rPr>
        <w:fldChar w:fldCharType="end"/>
      </w:r>
      <w:r>
        <w:rPr>
          <w:rFonts w:hint="eastAsia" w:ascii="宋体" w:hAnsi="宋体" w:eastAsia="宋体" w:cs="Times New Roman"/>
          <w:bCs/>
          <w:color w:val="000000" w:themeColor="text1"/>
          <w:sz w:val="24"/>
          <w:u w:val="single"/>
          <w:lang w:val="en-US" w:eastAsia="zh-CN"/>
          <w14:textFill>
            <w14:solidFill>
              <w14:schemeClr w14:val="tx1"/>
            </w14:solidFill>
          </w14:textFill>
        </w:rPr>
        <w:t xml:space="preserve"> </w:t>
      </w:r>
      <w:r>
        <w:rPr>
          <w:rFonts w:hint="eastAsia" w:ascii="宋体" w:hAnsi="宋体" w:eastAsia="宋体" w:cs="Times New Roman"/>
          <w:bCs/>
          <w:color w:val="000000" w:themeColor="text1"/>
          <w:sz w:val="24"/>
          <w:lang w:eastAsia="zh-CN"/>
          <w14:textFill>
            <w14:solidFill>
              <w14:schemeClr w14:val="tx1"/>
            </w14:solidFill>
          </w14:textFill>
        </w:rPr>
        <w:t>。</w:t>
      </w:r>
    </w:p>
    <w:p w14:paraId="6B6B78F0">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lang w:val="en-US" w:eastAsia="zh-CN"/>
        </w:rPr>
        <w:t>10</w:t>
      </w:r>
      <w:r>
        <w:rPr>
          <w:rFonts w:hint="eastAsia" w:ascii="宋体" w:hAnsi="宋体" w:eastAsia="宋体"/>
          <w:color w:val="auto"/>
          <w:sz w:val="24"/>
        </w:rPr>
        <w:t>.2.2乙方的文书送达地址：</w:t>
      </w:r>
      <w:r>
        <w:rPr>
          <w:rFonts w:hint="eastAsia" w:ascii="宋体" w:hAnsi="宋体" w:eastAsia="宋体"/>
          <w:color w:val="auto"/>
          <w:sz w:val="24"/>
          <w:u w:val="single"/>
        </w:rPr>
        <w:t xml:space="preserve"> </w:t>
      </w:r>
      <w:r>
        <w:rPr>
          <w:rFonts w:hint="eastAsia" w:ascii="宋体" w:hAnsi="宋体" w:eastAsia="宋体" w:cs="Times New Roman"/>
          <w:bCs/>
          <w:color w:val="000000" w:themeColor="text1"/>
          <w:sz w:val="24"/>
          <w:szCs w:val="20"/>
          <w:u w:val="single"/>
          <w14:textFill>
            <w14:solidFill>
              <w14:schemeClr w14:val="tx1"/>
            </w14:solidFill>
          </w14:textFill>
        </w:rPr>
        <w:t>上海市静安区寿阳路99弄9号楼10楼（快享医疗</w:t>
      </w:r>
      <w:r>
        <w:rPr>
          <w:rFonts w:hint="eastAsia" w:ascii="宋体" w:hAnsi="宋体" w:eastAsia="宋体" w:cs="Times New Roman"/>
          <w:bCs/>
          <w:color w:val="000000" w:themeColor="text1"/>
          <w:sz w:val="24"/>
          <w:szCs w:val="20"/>
          <w:u w:val="single"/>
          <w:lang w:eastAsia="zh-CN"/>
          <w14:textFill>
            <w14:solidFill>
              <w14:schemeClr w14:val="tx1"/>
            </w14:solidFill>
          </w14:textFill>
        </w:rPr>
        <w:t>）</w:t>
      </w:r>
      <w:r>
        <w:rPr>
          <w:rFonts w:hint="eastAsia" w:ascii="宋体" w:hAnsi="宋体" w:eastAsia="宋体"/>
          <w:color w:val="auto"/>
          <w:sz w:val="24"/>
          <w:u w:val="single"/>
        </w:rPr>
        <w:t xml:space="preserve"> </w:t>
      </w:r>
      <w:r>
        <w:rPr>
          <w:rFonts w:hint="eastAsia" w:ascii="宋体" w:hAnsi="宋体" w:eastAsia="宋体"/>
          <w:color w:val="auto"/>
          <w:sz w:val="24"/>
        </w:rPr>
        <w:t>，收件人：</w:t>
      </w:r>
      <w:r>
        <w:rPr>
          <w:rFonts w:hint="eastAsia" w:ascii="宋体" w:hAnsi="宋体" w:eastAsia="宋体"/>
          <w:color w:val="auto"/>
          <w:sz w:val="24"/>
          <w:u w:val="single"/>
        </w:rPr>
        <w:t xml:space="preserve"> </w:t>
      </w:r>
      <w:r>
        <w:rPr>
          <w:rFonts w:hint="eastAsia" w:ascii="宋体" w:hAnsi="宋体" w:eastAsia="宋体" w:cs="Times New Roman"/>
          <w:bCs/>
          <w:color w:val="000000" w:themeColor="text1"/>
          <w:sz w:val="24"/>
          <w:szCs w:val="20"/>
          <w:u w:val="single"/>
          <w:lang w:val="en-US" w:eastAsia="zh-CN"/>
          <w14:textFill>
            <w14:solidFill>
              <w14:schemeClr w14:val="tx1"/>
            </w14:solidFill>
          </w14:textFill>
        </w:rPr>
        <w:t>史敏</w:t>
      </w:r>
      <w:r>
        <w:rPr>
          <w:rFonts w:hint="eastAsia" w:ascii="宋体" w:hAnsi="宋体" w:eastAsia="宋体"/>
          <w:color w:val="auto"/>
          <w:sz w:val="24"/>
          <w:u w:val="single"/>
        </w:rPr>
        <w:t xml:space="preserve"> </w:t>
      </w:r>
      <w:r>
        <w:rPr>
          <w:rFonts w:hint="eastAsia" w:ascii="宋体" w:hAnsi="宋体" w:eastAsia="宋体"/>
          <w:color w:val="auto"/>
          <w:sz w:val="24"/>
        </w:rPr>
        <w:t>，联系电话</w:t>
      </w:r>
      <w:r>
        <w:rPr>
          <w:rFonts w:hint="eastAsia" w:ascii="宋体" w:hAnsi="宋体" w:eastAsia="宋体"/>
          <w:color w:val="auto"/>
          <w:sz w:val="24"/>
          <w:u w:val="single"/>
        </w:rPr>
        <w:t xml:space="preserve">： </w:t>
      </w:r>
      <w:r>
        <w:rPr>
          <w:rFonts w:hint="eastAsia" w:ascii="宋体" w:hAnsi="宋体" w:eastAsia="宋体" w:cs="Times New Roman"/>
          <w:bCs/>
          <w:color w:val="000000" w:themeColor="text1"/>
          <w:sz w:val="24"/>
          <w:szCs w:val="20"/>
          <w:u w:val="single"/>
          <w14:textFill>
            <w14:solidFill>
              <w14:schemeClr w14:val="tx1"/>
            </w14:solidFill>
          </w14:textFill>
        </w:rPr>
        <w:t>13916960230</w:t>
      </w:r>
      <w:r>
        <w:rPr>
          <w:rFonts w:hint="eastAsia" w:ascii="宋体" w:hAnsi="宋体" w:eastAsia="宋体"/>
          <w:color w:val="auto"/>
          <w:sz w:val="24"/>
          <w:u w:val="single"/>
        </w:rPr>
        <w:t xml:space="preserve"> </w:t>
      </w:r>
      <w:r>
        <w:rPr>
          <w:rFonts w:hint="eastAsia" w:ascii="宋体" w:hAnsi="宋体" w:eastAsia="宋体"/>
          <w:color w:val="auto"/>
          <w:sz w:val="24"/>
        </w:rPr>
        <w:t>，电子邮箱：</w:t>
      </w:r>
      <w:r>
        <w:rPr>
          <w:rFonts w:hint="eastAsia" w:ascii="宋体" w:hAnsi="宋体" w:eastAsia="宋体"/>
          <w:color w:val="auto"/>
          <w:sz w:val="24"/>
          <w:u w:val="single"/>
        </w:rPr>
        <w:t xml:space="preserve"> </w:t>
      </w:r>
      <w:r>
        <w:rPr>
          <w:rFonts w:hint="eastAsia" w:ascii="宋体" w:hAnsi="宋体" w:eastAsia="宋体" w:cs="Times New Roman"/>
          <w:bCs/>
          <w:color w:val="000000" w:themeColor="text1"/>
          <w:sz w:val="24"/>
          <w:szCs w:val="20"/>
          <w:u w:val="single"/>
          <w14:textFill>
            <w14:solidFill>
              <w14:schemeClr w14:val="tx1"/>
            </w14:solidFill>
          </w14:textFill>
        </w:rPr>
        <w:t>shilian@winning.com.cn</w:t>
      </w:r>
      <w:r>
        <w:rPr>
          <w:rFonts w:hint="eastAsia" w:ascii="宋体" w:hAnsi="宋体" w:eastAsia="宋体"/>
          <w:color w:val="auto"/>
          <w:sz w:val="24"/>
          <w:u w:val="single"/>
        </w:rPr>
        <w:t xml:space="preserve"> </w:t>
      </w:r>
      <w:r>
        <w:rPr>
          <w:rFonts w:hint="eastAsia" w:ascii="宋体" w:hAnsi="宋体" w:eastAsia="宋体"/>
          <w:color w:val="auto"/>
          <w:sz w:val="24"/>
        </w:rPr>
        <w:t>。</w:t>
      </w:r>
    </w:p>
    <w:p w14:paraId="08AAF69F">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lang w:val="en-US" w:eastAsia="zh-CN"/>
        </w:rPr>
        <w:t>10</w:t>
      </w:r>
      <w:r>
        <w:rPr>
          <w:rFonts w:hint="eastAsia" w:ascii="宋体" w:hAnsi="宋体" w:eastAsia="宋体"/>
          <w:color w:val="auto"/>
          <w:sz w:val="24"/>
        </w:rPr>
        <w:t>.3上述通知应被视为在下列时间送达：以快递或专人发送的，在收件人签收之日或拒收之日；以挂号邮件发出的，在发出之日起7个工作日；以电子邮件发出的，在电子邮件进入收件方电子邮箱服务器之日。</w:t>
      </w:r>
    </w:p>
    <w:p w14:paraId="428B80E4">
      <w:pPr>
        <w:pStyle w:val="6"/>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olor w:val="auto"/>
          <w:sz w:val="24"/>
        </w:rPr>
      </w:pPr>
      <w:r>
        <w:rPr>
          <w:rFonts w:hint="eastAsia" w:hAnsi="宋体" w:eastAsia="宋体"/>
          <w:color w:val="auto"/>
          <w:sz w:val="24"/>
          <w:lang w:val="en-US" w:eastAsia="zh-CN"/>
        </w:rPr>
        <w:t>10</w:t>
      </w:r>
      <w:r>
        <w:rPr>
          <w:rFonts w:hint="eastAsia" w:ascii="宋体" w:hAnsi="宋体" w:eastAsia="宋体"/>
          <w:color w:val="auto"/>
          <w:sz w:val="24"/>
        </w:rPr>
        <w:t>.4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0AFCDD0E">
      <w:pPr>
        <w:pStyle w:val="6"/>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default" w:hAnsi="宋体" w:eastAsia="宋体"/>
          <w:b/>
          <w:color w:val="auto"/>
          <w:lang w:val="en-US" w:eastAsia="zh-CN"/>
        </w:rPr>
      </w:pPr>
      <w:r>
        <w:rPr>
          <w:rFonts w:hint="eastAsia" w:hAnsi="宋体" w:eastAsia="宋体"/>
          <w:b/>
          <w:color w:val="auto"/>
          <w:lang w:val="en-US" w:eastAsia="zh-CN"/>
        </w:rPr>
        <w:t>第十一条 合同的变更和解除</w:t>
      </w:r>
    </w:p>
    <w:p w14:paraId="6E7AE594">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11.1如本合同约定事宜发生重大变更，经双方协商一致后另行签订补充协议。</w:t>
      </w:r>
    </w:p>
    <w:p w14:paraId="24346211">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11.2出现以下情形之一的，甲方有权单方面解除合同：</w:t>
      </w:r>
    </w:p>
    <w:p w14:paraId="7CA9E93D">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11.2.1乙方经甲方通知未按本合同约定完成维护服务累计达</w:t>
      </w:r>
      <w:r>
        <w:rPr>
          <w:rFonts w:hint="eastAsia" w:hAnsi="宋体" w:eastAsia="宋体"/>
          <w:b w:val="0"/>
          <w:bCs/>
          <w:color w:val="auto"/>
          <w:u w:val="single"/>
          <w:lang w:val="en-US" w:eastAsia="zh-CN"/>
        </w:rPr>
        <w:t xml:space="preserve"> 5 </w:t>
      </w:r>
      <w:r>
        <w:rPr>
          <w:rFonts w:hint="eastAsia" w:hAnsi="宋体" w:eastAsia="宋体"/>
          <w:b w:val="0"/>
          <w:bCs/>
          <w:color w:val="auto"/>
          <w:lang w:val="en-US" w:eastAsia="zh-CN"/>
        </w:rPr>
        <w:t>次的；</w:t>
      </w:r>
    </w:p>
    <w:p w14:paraId="72F1C21F">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hAnsi="宋体" w:eastAsia="宋体"/>
          <w:b w:val="0"/>
          <w:bCs/>
          <w:color w:val="0000FF"/>
          <w:u w:val="single"/>
          <w:lang w:val="en-US" w:eastAsia="zh-CN"/>
        </w:rPr>
      </w:pPr>
      <w:r>
        <w:rPr>
          <w:rFonts w:hint="eastAsia" w:hAnsi="宋体" w:eastAsia="宋体"/>
          <w:b w:val="0"/>
          <w:bCs/>
          <w:color w:val="0000FF"/>
          <w:lang w:val="en-US" w:eastAsia="zh-CN"/>
        </w:rPr>
        <w:t>11.2.2 乙方逾期</w:t>
      </w:r>
      <w:r>
        <w:rPr>
          <w:rFonts w:hint="eastAsia" w:hAnsi="宋体" w:eastAsia="宋体"/>
          <w:b w:val="0"/>
          <w:bCs/>
          <w:color w:val="0000FF"/>
          <w:u w:val="single"/>
          <w:lang w:val="en-US" w:eastAsia="zh-CN"/>
        </w:rPr>
        <w:t>30</w:t>
      </w:r>
      <w:r>
        <w:rPr>
          <w:rFonts w:hint="eastAsia" w:hAnsi="宋体" w:eastAsia="宋体"/>
          <w:b w:val="0"/>
          <w:bCs/>
          <w:color w:val="0000FF"/>
          <w:u w:val="none"/>
          <w:lang w:val="en-US" w:eastAsia="zh-CN"/>
        </w:rPr>
        <w:t>日未通过消毒供应系统验收的；</w:t>
      </w:r>
    </w:p>
    <w:p w14:paraId="6B841EBA">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11.2.3 乙方将项下服务工作转包或分包给第三方的；</w:t>
      </w:r>
    </w:p>
    <w:p w14:paraId="7BB1A92C">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lang w:val="en-US" w:eastAsia="zh-CN"/>
        </w:rPr>
      </w:pPr>
      <w:r>
        <w:rPr>
          <w:rFonts w:hint="eastAsia" w:hAnsi="宋体" w:eastAsia="宋体"/>
          <w:b w:val="0"/>
          <w:bCs/>
          <w:color w:val="auto"/>
          <w:lang w:val="en-US" w:eastAsia="zh-CN"/>
        </w:rPr>
        <w:t>11.2.4 乙方违反保密条款或侵犯第三人的著作权及其他合法权利，给甲方造成损失或不良影响的；</w:t>
      </w:r>
    </w:p>
    <w:p w14:paraId="1D36FACA">
      <w:pPr>
        <w:pStyle w:val="6"/>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hAnsi="宋体" w:eastAsia="宋体"/>
          <w:b w:val="0"/>
          <w:bCs/>
          <w:color w:val="auto"/>
        </w:rPr>
      </w:pPr>
      <w:r>
        <w:rPr>
          <w:rFonts w:hint="eastAsia" w:hAnsi="宋体" w:eastAsia="宋体"/>
          <w:b w:val="0"/>
          <w:bCs/>
          <w:color w:val="auto"/>
          <w:lang w:val="en-US" w:eastAsia="zh-CN"/>
        </w:rPr>
        <w:t>11.2.5 其他根本违约的情形。</w:t>
      </w:r>
    </w:p>
    <w:p w14:paraId="5A1D6D3B">
      <w:pPr>
        <w:pStyle w:val="6"/>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hAnsi="宋体" w:eastAsia="宋体"/>
          <w:b/>
          <w:color w:val="auto"/>
        </w:rPr>
      </w:pPr>
      <w:r>
        <w:rPr>
          <w:rFonts w:hint="eastAsia" w:hAnsi="宋体" w:eastAsia="宋体"/>
          <w:b/>
          <w:color w:val="auto"/>
        </w:rPr>
        <w:t>第</w:t>
      </w:r>
      <w:r>
        <w:rPr>
          <w:rFonts w:hint="eastAsia" w:hAnsi="宋体" w:eastAsia="宋体"/>
          <w:b/>
          <w:color w:val="auto"/>
          <w:lang w:val="en-US" w:eastAsia="zh-CN"/>
        </w:rPr>
        <w:t>十二</w:t>
      </w:r>
      <w:r>
        <w:rPr>
          <w:rFonts w:hint="eastAsia" w:hAnsi="宋体" w:eastAsia="宋体"/>
          <w:b/>
          <w:color w:val="auto"/>
        </w:rPr>
        <w:t>条  违约责任</w:t>
      </w:r>
    </w:p>
    <w:p w14:paraId="3F932EF2">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lang w:val="en-US" w:eastAsia="zh-CN"/>
        </w:rPr>
        <w:t>12</w:t>
      </w:r>
      <w:r>
        <w:rPr>
          <w:rFonts w:hint="eastAsia" w:ascii="宋体" w:hAnsi="宋体" w:eastAsia="宋体"/>
          <w:color w:val="auto"/>
          <w:sz w:val="24"/>
        </w:rPr>
        <w:t>.1乙方未</w:t>
      </w:r>
      <w:r>
        <w:rPr>
          <w:rFonts w:hint="eastAsia" w:ascii="宋体" w:hAnsi="宋体" w:eastAsia="宋体"/>
          <w:color w:val="auto"/>
          <w:sz w:val="24"/>
          <w:lang w:val="en-US" w:eastAsia="zh-CN"/>
        </w:rPr>
        <w:t>按</w:t>
      </w:r>
      <w:r>
        <w:rPr>
          <w:rFonts w:hint="eastAsia" w:ascii="宋体" w:hAnsi="宋体" w:eastAsia="宋体"/>
          <w:color w:val="auto"/>
          <w:sz w:val="24"/>
        </w:rPr>
        <w:t>本合同约定时限和甲方要求完成服务</w:t>
      </w:r>
      <w:r>
        <w:rPr>
          <w:rFonts w:hint="eastAsia" w:ascii="宋体" w:hAnsi="宋体" w:eastAsia="宋体"/>
          <w:color w:val="auto"/>
          <w:sz w:val="24"/>
          <w:lang w:val="en-US" w:eastAsia="zh-CN"/>
        </w:rPr>
        <w:t>或</w:t>
      </w:r>
      <w:r>
        <w:rPr>
          <w:rFonts w:hint="eastAsia" w:ascii="宋体" w:hAnsi="宋体" w:eastAsia="宋体"/>
          <w:color w:val="0000FF"/>
          <w:sz w:val="24"/>
          <w:lang w:val="en-US" w:eastAsia="zh-CN"/>
        </w:rPr>
        <w:t>未通过消毒供应系统验收</w:t>
      </w:r>
      <w:r>
        <w:rPr>
          <w:rFonts w:hint="eastAsia" w:ascii="宋体" w:hAnsi="宋体" w:eastAsia="宋体"/>
          <w:color w:val="auto"/>
          <w:sz w:val="24"/>
        </w:rPr>
        <w:t>，每逾期一日，按合同总金额万分之三的标准支付甲方违约金，甲方有权在应支付给乙方的价款中直接予以扣除。</w:t>
      </w:r>
    </w:p>
    <w:p w14:paraId="05874FC2">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Ansi="宋体" w:eastAsia="宋体"/>
          <w:color w:val="auto"/>
        </w:rPr>
      </w:pPr>
      <w:r>
        <w:rPr>
          <w:rFonts w:hint="eastAsia" w:ascii="宋体" w:hAnsi="宋体" w:eastAsia="宋体"/>
          <w:color w:val="auto"/>
          <w:sz w:val="24"/>
          <w:lang w:val="en-US" w:eastAsia="zh-CN"/>
        </w:rPr>
        <w:t>12</w:t>
      </w:r>
      <w:r>
        <w:rPr>
          <w:rFonts w:hint="eastAsia" w:ascii="宋体" w:hAnsi="宋体" w:eastAsia="宋体"/>
          <w:color w:val="auto"/>
          <w:sz w:val="24"/>
        </w:rPr>
        <w:t>.2如乙方单方解除合同或甲方因</w:t>
      </w:r>
      <w:r>
        <w:rPr>
          <w:rFonts w:hint="eastAsia" w:ascii="宋体" w:hAnsi="宋体" w:eastAsia="宋体"/>
          <w:color w:val="auto"/>
          <w:sz w:val="24"/>
          <w:lang w:val="en-US" w:eastAsia="zh-CN"/>
        </w:rPr>
        <w:t>11.2情形</w:t>
      </w:r>
      <w:r>
        <w:rPr>
          <w:rFonts w:hint="eastAsia" w:ascii="宋体" w:hAnsi="宋体" w:eastAsia="宋体"/>
          <w:color w:val="auto"/>
          <w:sz w:val="24"/>
        </w:rPr>
        <w:t>解除合同，</w:t>
      </w:r>
      <w:r>
        <w:rPr>
          <w:rFonts w:hint="eastAsia" w:ascii="宋体" w:hAnsi="宋体" w:eastAsia="宋体" w:cs="宋体"/>
          <w:color w:val="000000" w:themeColor="text1"/>
          <w:sz w:val="24"/>
          <w:highlight w:val="none"/>
          <w14:textFill>
            <w14:solidFill>
              <w14:schemeClr w14:val="tx1"/>
            </w14:solidFill>
          </w14:textFill>
        </w:rPr>
        <w:t>乙方应赔偿给甲方造成的</w:t>
      </w:r>
      <w:r>
        <w:rPr>
          <w:rFonts w:hint="eastAsia" w:ascii="宋体" w:hAnsi="宋体" w:eastAsia="宋体" w:cs="宋体"/>
          <w:color w:val="0000FF"/>
          <w:sz w:val="24"/>
          <w:highlight w:val="none"/>
        </w:rPr>
        <w:t>全部</w:t>
      </w:r>
      <w:r>
        <w:rPr>
          <w:rFonts w:hint="eastAsia" w:ascii="宋体" w:hAnsi="宋体" w:eastAsia="宋体" w:cs="宋体"/>
          <w:color w:val="000000" w:themeColor="text1"/>
          <w:sz w:val="24"/>
          <w:highlight w:val="none"/>
          <w14:textFill>
            <w14:solidFill>
              <w14:schemeClr w14:val="tx1"/>
            </w14:solidFill>
          </w14:textFill>
        </w:rPr>
        <w:t>经济损失</w:t>
      </w:r>
      <w:r>
        <w:rPr>
          <w:rFonts w:hint="eastAsia" w:ascii="宋体" w:hAnsi="宋体" w:eastAsia="宋体" w:cs="宋体"/>
          <w:color w:val="000000" w:themeColor="text1"/>
          <w:sz w:val="24"/>
          <w:highlight w:val="none"/>
          <w:lang w:val="en-US" w:eastAsia="zh-CN"/>
          <w14:textFill>
            <w14:solidFill>
              <w14:schemeClr w14:val="tx1"/>
            </w14:solidFill>
          </w14:textFill>
        </w:rPr>
        <w:t>外</w:t>
      </w:r>
      <w:r>
        <w:rPr>
          <w:rFonts w:hint="eastAsia" w:ascii="宋体" w:hAnsi="宋体" w:eastAsia="宋体"/>
          <w:color w:val="auto"/>
          <w:sz w:val="24"/>
        </w:rPr>
        <w:t>，还须按合同金额百分之十的标准支付甲方违约金，甲方有权在应支付乙方的价款中直接予以扣除。</w:t>
      </w:r>
    </w:p>
    <w:p w14:paraId="4D11BE45">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hint="default" w:ascii="宋体" w:hAnsi="宋体" w:eastAsia="宋体"/>
          <w:color w:val="0000FF"/>
          <w:sz w:val="24"/>
          <w:lang w:val="en-US" w:eastAsia="zh-CN"/>
        </w:rPr>
      </w:pPr>
      <w:r>
        <w:rPr>
          <w:rFonts w:hint="eastAsia" w:ascii="宋体" w:hAnsi="宋体" w:eastAsia="宋体"/>
          <w:b/>
          <w:bCs/>
          <w:color w:val="0000FF"/>
          <w:sz w:val="24"/>
          <w:lang w:val="en-US" w:eastAsia="zh-CN"/>
        </w:rPr>
        <w:t>12.3</w:t>
      </w:r>
      <w:r>
        <w:rPr>
          <w:rFonts w:hint="eastAsia" w:ascii="宋体" w:hAnsi="宋体" w:eastAsia="宋体"/>
          <w:b/>
          <w:bCs/>
          <w:color w:val="0000FF"/>
          <w:sz w:val="24"/>
          <w:u w:val="single"/>
          <w:lang w:val="en-US" w:eastAsia="zh-CN"/>
        </w:rPr>
        <w:t>无论甲方在任意时候（不限于本合同履行期间）发现存在违反本合同廉洁条款的行为，乙方均须向甲方支付一次性惩罚性违约金9600元。如乙方除需承担违反廉洁条款的违约责任外，同时存在其他违约行为，乙方仍须就其他违约行为承担相应违约责任。</w:t>
      </w:r>
    </w:p>
    <w:p w14:paraId="4F41AE4C">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lang w:val="en-US" w:eastAsia="zh-CN"/>
        </w:rPr>
        <w:t>12.4</w:t>
      </w:r>
      <w:r>
        <w:rPr>
          <w:rFonts w:hint="eastAsia" w:ascii="宋体" w:hAnsi="宋体" w:eastAsia="宋体"/>
          <w:color w:val="auto"/>
          <w:sz w:val="24"/>
        </w:rPr>
        <w:t>一方违约导致另一方通过诉讼方式主张权利，守约方由此产生的诉讼费、律师费、财产保全费、评估鉴定费、执行费、拍卖费、差旅费等均由违约方承担。</w:t>
      </w:r>
    </w:p>
    <w:p w14:paraId="4D5A4B3B">
      <w:pPr>
        <w:pStyle w:val="6"/>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hAnsi="宋体" w:eastAsia="宋体"/>
          <w:b/>
          <w:color w:val="auto"/>
        </w:rPr>
      </w:pPr>
      <w:r>
        <w:rPr>
          <w:rFonts w:hint="eastAsia" w:hAnsi="宋体" w:eastAsia="宋体"/>
          <w:b/>
          <w:color w:val="auto"/>
        </w:rPr>
        <w:t>第十</w:t>
      </w:r>
      <w:r>
        <w:rPr>
          <w:rFonts w:hint="eastAsia" w:hAnsi="宋体" w:eastAsia="宋体"/>
          <w:b/>
          <w:color w:val="auto"/>
          <w:lang w:val="en-US" w:eastAsia="zh-CN"/>
        </w:rPr>
        <w:t>三</w:t>
      </w:r>
      <w:r>
        <w:rPr>
          <w:rFonts w:hint="eastAsia" w:hAnsi="宋体" w:eastAsia="宋体"/>
          <w:b/>
          <w:color w:val="auto"/>
        </w:rPr>
        <w:t>条  不可抗力</w:t>
      </w:r>
    </w:p>
    <w:p w14:paraId="68C6F9FB">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w:t>
      </w:r>
      <w:r>
        <w:rPr>
          <w:rFonts w:hint="eastAsia" w:ascii="宋体" w:hAnsi="宋体" w:eastAsia="宋体"/>
          <w:color w:val="auto"/>
          <w:sz w:val="24"/>
          <w:lang w:val="en-US" w:eastAsia="zh-CN"/>
        </w:rPr>
        <w:t>3</w:t>
      </w:r>
      <w:r>
        <w:rPr>
          <w:rFonts w:hint="eastAsia" w:ascii="宋体" w:hAnsi="宋体" w:eastAsia="宋体"/>
          <w:color w:val="auto"/>
          <w:sz w:val="24"/>
        </w:rPr>
        <w:t>.1 本合同所指不可抗力，是指不能预见、不能避免并不能克服的客观情况。</w:t>
      </w:r>
    </w:p>
    <w:p w14:paraId="0795FBDA">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w:t>
      </w:r>
      <w:r>
        <w:rPr>
          <w:rFonts w:hint="eastAsia" w:ascii="宋体" w:hAnsi="宋体" w:eastAsia="宋体"/>
          <w:color w:val="auto"/>
          <w:sz w:val="24"/>
          <w:lang w:val="en-US" w:eastAsia="zh-CN"/>
        </w:rPr>
        <w:t>3</w:t>
      </w:r>
      <w:r>
        <w:rPr>
          <w:rFonts w:hint="eastAsia" w:ascii="宋体" w:hAnsi="宋体" w:eastAsia="宋体"/>
          <w:color w:val="auto"/>
          <w:sz w:val="24"/>
        </w:rPr>
        <w:t xml:space="preserve">.2 由于不可抗力事件，致使一方在履行其在本合同项下的义务过程中遇到障碍或延误，不能按约定的条款全部或部分履行其义务的，遇到不可抗力事件的一方（“受阻方”），只要满足下列所有条件，不应视为违反本合同： </w:t>
      </w:r>
    </w:p>
    <w:p w14:paraId="56F218C4">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w:t>
      </w:r>
      <w:r>
        <w:rPr>
          <w:rFonts w:hint="eastAsia" w:ascii="宋体" w:hAnsi="宋体" w:eastAsia="宋体"/>
          <w:color w:val="auto"/>
          <w:sz w:val="24"/>
          <w:lang w:val="en-US" w:eastAsia="zh-CN"/>
        </w:rPr>
        <w:t>3</w:t>
      </w:r>
      <w:r>
        <w:rPr>
          <w:rFonts w:hint="eastAsia" w:ascii="宋体" w:hAnsi="宋体" w:eastAsia="宋体"/>
          <w:color w:val="auto"/>
          <w:sz w:val="24"/>
        </w:rPr>
        <w:t>.2.1 受阻方不能全部或部分履行其义务，是由于不可抗力事件直接造成的，且在不可抗力发生前受阻方不存在迟延履行相关义务的情形；</w:t>
      </w:r>
    </w:p>
    <w:p w14:paraId="1B914293">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w:t>
      </w:r>
      <w:r>
        <w:rPr>
          <w:rFonts w:hint="eastAsia" w:ascii="宋体" w:hAnsi="宋体" w:eastAsia="宋体"/>
          <w:color w:val="auto"/>
          <w:sz w:val="24"/>
          <w:lang w:val="en-US" w:eastAsia="zh-CN"/>
        </w:rPr>
        <w:t>3</w:t>
      </w:r>
      <w:r>
        <w:rPr>
          <w:rFonts w:hint="eastAsia" w:ascii="宋体" w:hAnsi="宋体" w:eastAsia="宋体"/>
          <w:color w:val="auto"/>
          <w:sz w:val="24"/>
        </w:rPr>
        <w:t>.2.2 受阻方已尽最大努力履行其义务并减少由于不可抗力事件给另一方造成的损失；</w:t>
      </w:r>
    </w:p>
    <w:p w14:paraId="0C0C9DC0">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w:t>
      </w:r>
      <w:r>
        <w:rPr>
          <w:rFonts w:hint="eastAsia" w:ascii="宋体" w:hAnsi="宋体" w:eastAsia="宋体"/>
          <w:color w:val="auto"/>
          <w:sz w:val="24"/>
          <w:lang w:val="en-US" w:eastAsia="zh-CN"/>
        </w:rPr>
        <w:t>3</w:t>
      </w:r>
      <w:r>
        <w:rPr>
          <w:rFonts w:hint="eastAsia" w:ascii="宋体" w:hAnsi="宋体" w:eastAsia="宋体"/>
          <w:color w:val="auto"/>
          <w:sz w:val="24"/>
        </w:rPr>
        <w:t>.2.3 不可抗力事件发生后，受阻方已及时通知了对方，并在不可抗力事件发生后的15日内提供有关该事件的证明和书面说明，书面说明中应包括对延迟履行或部分履行本合同的原因说明。</w:t>
      </w:r>
    </w:p>
    <w:p w14:paraId="6A3D2032">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w:t>
      </w:r>
      <w:r>
        <w:rPr>
          <w:rFonts w:hint="eastAsia" w:ascii="宋体" w:hAnsi="宋体" w:eastAsia="宋体"/>
          <w:color w:val="auto"/>
          <w:sz w:val="24"/>
          <w:lang w:val="en-US" w:eastAsia="zh-CN"/>
        </w:rPr>
        <w:t>3</w:t>
      </w:r>
      <w:r>
        <w:rPr>
          <w:rFonts w:hint="eastAsia" w:ascii="宋体" w:hAnsi="宋体" w:eastAsia="宋体"/>
          <w:color w:val="auto"/>
          <w:sz w:val="24"/>
        </w:rPr>
        <w:t>.3 不可抗力事件终止或被排除后，受阻方应继续履行本合同，并应尽快通知另一方。受阻方应可延长履行义务的时间，延长期应相当于不可抗力事件实际造成延误的时间。</w:t>
      </w:r>
    </w:p>
    <w:p w14:paraId="419E5C5E">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w:t>
      </w:r>
      <w:r>
        <w:rPr>
          <w:rFonts w:hint="eastAsia" w:ascii="宋体" w:hAnsi="宋体" w:eastAsia="宋体"/>
          <w:color w:val="auto"/>
          <w:sz w:val="24"/>
          <w:lang w:val="en-US" w:eastAsia="zh-CN"/>
        </w:rPr>
        <w:t>3</w:t>
      </w:r>
      <w:r>
        <w:rPr>
          <w:rFonts w:hint="eastAsia" w:ascii="宋体" w:hAnsi="宋体" w:eastAsia="宋体"/>
          <w:color w:val="auto"/>
          <w:sz w:val="24"/>
        </w:rPr>
        <w:t>.4 如果不可抗力事件的影响持续达30日或以上时，双方应根据该事件对本合同履行的影响程度协商对本合同的修改或终止。如在一方收到另一方发出的协商书面通知之日起10日内双方无法就此达成一致，任何一方均有权解除本合同而无需承担违约责任。</w:t>
      </w:r>
    </w:p>
    <w:p w14:paraId="10878778">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ascii="宋体" w:hAnsi="宋体" w:eastAsia="宋体"/>
          <w:b/>
          <w:color w:val="auto"/>
          <w:sz w:val="24"/>
        </w:rPr>
      </w:pPr>
      <w:r>
        <w:rPr>
          <w:rFonts w:hint="eastAsia" w:ascii="宋体" w:hAnsi="宋体" w:eastAsia="宋体"/>
          <w:b/>
          <w:color w:val="auto"/>
          <w:sz w:val="24"/>
        </w:rPr>
        <w:t>第十</w:t>
      </w:r>
      <w:r>
        <w:rPr>
          <w:rFonts w:hint="eastAsia" w:ascii="宋体" w:hAnsi="宋体" w:eastAsia="宋体"/>
          <w:b/>
          <w:color w:val="auto"/>
          <w:sz w:val="24"/>
          <w:lang w:val="en-US" w:eastAsia="zh-CN"/>
        </w:rPr>
        <w:t>四</w:t>
      </w:r>
      <w:r>
        <w:rPr>
          <w:rFonts w:hint="eastAsia" w:ascii="宋体" w:hAnsi="宋体" w:eastAsia="宋体"/>
          <w:b/>
          <w:color w:val="auto"/>
          <w:sz w:val="24"/>
        </w:rPr>
        <w:t>条  法律适用和争议解决</w:t>
      </w:r>
    </w:p>
    <w:p w14:paraId="211189F4">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w:t>
      </w:r>
      <w:r>
        <w:rPr>
          <w:rFonts w:hint="eastAsia" w:ascii="宋体" w:hAnsi="宋体" w:eastAsia="宋体"/>
          <w:color w:val="auto"/>
          <w:sz w:val="24"/>
          <w:lang w:val="en-US" w:eastAsia="zh-CN"/>
        </w:rPr>
        <w:t>4</w:t>
      </w:r>
      <w:r>
        <w:rPr>
          <w:rFonts w:hint="eastAsia" w:ascii="宋体" w:hAnsi="宋体" w:eastAsia="宋体"/>
          <w:color w:val="auto"/>
          <w:sz w:val="24"/>
        </w:rPr>
        <w:t>.1 本合同的成立、有效性、解释、履行、签署、修订和终止以及争议的解决均应适用中华人民共和国法律。</w:t>
      </w:r>
    </w:p>
    <w:p w14:paraId="09B3B210">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w:t>
      </w:r>
      <w:r>
        <w:rPr>
          <w:rFonts w:hint="eastAsia" w:ascii="宋体" w:hAnsi="宋体" w:eastAsia="宋体"/>
          <w:color w:val="auto"/>
          <w:sz w:val="24"/>
          <w:lang w:val="en-US" w:eastAsia="zh-CN"/>
        </w:rPr>
        <w:t>4</w:t>
      </w:r>
      <w:r>
        <w:rPr>
          <w:rFonts w:hint="eastAsia" w:ascii="宋体" w:hAnsi="宋体" w:eastAsia="宋体"/>
          <w:color w:val="auto"/>
          <w:sz w:val="24"/>
        </w:rPr>
        <w:t>.2</w:t>
      </w:r>
      <w:r>
        <w:rPr>
          <w:rFonts w:ascii="宋体" w:hAnsi="宋体" w:eastAsia="宋体"/>
          <w:color w:val="auto"/>
          <w:sz w:val="24"/>
        </w:rPr>
        <w:t xml:space="preserve"> </w:t>
      </w:r>
      <w:r>
        <w:rPr>
          <w:rFonts w:hint="eastAsia" w:ascii="宋体" w:hAnsi="宋体" w:eastAsia="宋体"/>
          <w:color w:val="auto"/>
          <w:sz w:val="24"/>
        </w:rPr>
        <w:t>如双方在履行本合同过程中发生争议，双方通过协商不能解决争议，任何一方可向甲方所在地有管辖权的人民法院提起诉讼解决。</w:t>
      </w:r>
    </w:p>
    <w:p w14:paraId="58CEC8C1">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ascii="宋体" w:hAnsi="宋体" w:eastAsia="宋体"/>
          <w:b/>
          <w:color w:val="auto"/>
          <w:sz w:val="24"/>
        </w:rPr>
      </w:pPr>
      <w:r>
        <w:rPr>
          <w:rFonts w:hint="eastAsia" w:ascii="宋体" w:hAnsi="宋体" w:eastAsia="宋体"/>
          <w:b/>
          <w:color w:val="auto"/>
          <w:sz w:val="24"/>
        </w:rPr>
        <w:t>第十</w:t>
      </w:r>
      <w:r>
        <w:rPr>
          <w:rFonts w:hint="eastAsia" w:ascii="宋体" w:hAnsi="宋体" w:eastAsia="宋体"/>
          <w:b/>
          <w:color w:val="auto"/>
          <w:sz w:val="24"/>
          <w:lang w:val="en-US" w:eastAsia="zh-CN"/>
        </w:rPr>
        <w:t>五</w:t>
      </w:r>
      <w:r>
        <w:rPr>
          <w:rFonts w:hint="eastAsia" w:ascii="宋体" w:hAnsi="宋体" w:eastAsia="宋体"/>
          <w:b/>
          <w:color w:val="auto"/>
          <w:sz w:val="24"/>
        </w:rPr>
        <w:t>条  附则</w:t>
      </w:r>
    </w:p>
    <w:p w14:paraId="58E843DC">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w:t>
      </w:r>
      <w:r>
        <w:rPr>
          <w:rFonts w:hint="eastAsia" w:ascii="宋体" w:hAnsi="宋体" w:eastAsia="宋体"/>
          <w:color w:val="auto"/>
          <w:sz w:val="24"/>
          <w:lang w:val="en-US" w:eastAsia="zh-CN"/>
        </w:rPr>
        <w:t>5</w:t>
      </w:r>
      <w:r>
        <w:rPr>
          <w:rFonts w:hint="eastAsia" w:ascii="宋体" w:hAnsi="宋体" w:eastAsia="宋体"/>
          <w:color w:val="auto"/>
          <w:sz w:val="24"/>
        </w:rPr>
        <w:t>.1 本合同未尽事宜，双方另行协商签订补充协议。</w:t>
      </w:r>
    </w:p>
    <w:p w14:paraId="37F883D2">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color w:val="auto"/>
          <w:sz w:val="24"/>
        </w:rPr>
      </w:pPr>
      <w:r>
        <w:rPr>
          <w:rFonts w:hint="eastAsia" w:ascii="宋体" w:hAnsi="宋体" w:eastAsia="宋体"/>
          <w:color w:val="auto"/>
          <w:sz w:val="24"/>
        </w:rPr>
        <w:t>1</w:t>
      </w:r>
      <w:r>
        <w:rPr>
          <w:rFonts w:hint="eastAsia" w:ascii="宋体" w:hAnsi="宋体" w:eastAsia="宋体"/>
          <w:color w:val="auto"/>
          <w:sz w:val="24"/>
          <w:lang w:val="en-US" w:eastAsia="zh-CN"/>
        </w:rPr>
        <w:t>5</w:t>
      </w:r>
      <w:r>
        <w:rPr>
          <w:rFonts w:hint="eastAsia" w:ascii="宋体" w:hAnsi="宋体" w:eastAsia="宋体"/>
          <w:color w:val="auto"/>
          <w:sz w:val="24"/>
        </w:rPr>
        <w:t>.2本合同组成文件及解释顺序如下：乙方在履行本合同中的承诺；本合同补充协议；本合同及附件；成交公告、采购文件、响应文件；与本合同相关的其他文件资料。</w:t>
      </w:r>
    </w:p>
    <w:p w14:paraId="63F39282">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ascii="宋体" w:hAnsi="宋体" w:eastAsia="宋体"/>
          <w:b/>
          <w:bCs/>
          <w:color w:val="auto"/>
          <w:sz w:val="24"/>
          <w:szCs w:val="24"/>
        </w:rPr>
      </w:pPr>
      <w:r>
        <w:rPr>
          <w:rFonts w:hint="eastAsia" w:ascii="宋体" w:hAnsi="宋体" w:eastAsia="宋体"/>
          <w:color w:val="auto"/>
          <w:sz w:val="24"/>
        </w:rPr>
        <w:t>1</w:t>
      </w:r>
      <w:r>
        <w:rPr>
          <w:rFonts w:hint="eastAsia" w:ascii="宋体" w:hAnsi="宋体" w:eastAsia="宋体"/>
          <w:color w:val="auto"/>
          <w:sz w:val="24"/>
          <w:lang w:val="en-US" w:eastAsia="zh-CN"/>
        </w:rPr>
        <w:t>5</w:t>
      </w:r>
      <w:r>
        <w:rPr>
          <w:rFonts w:hint="eastAsia" w:ascii="宋体" w:hAnsi="宋体" w:eastAsia="宋体"/>
          <w:color w:val="auto"/>
          <w:sz w:val="24"/>
        </w:rPr>
        <w:t>.3</w:t>
      </w:r>
      <w:r>
        <w:rPr>
          <w:rFonts w:hint="eastAsia" w:ascii="宋体" w:hAnsi="宋体" w:eastAsia="宋体"/>
          <w:color w:val="auto"/>
          <w:sz w:val="24"/>
          <w:szCs w:val="24"/>
        </w:rPr>
        <w:t>本合同壹式</w:t>
      </w:r>
      <w:r>
        <w:rPr>
          <w:rFonts w:hint="eastAsia" w:ascii="宋体" w:hAnsi="宋体" w:eastAsia="宋体"/>
          <w:color w:val="auto"/>
          <w:sz w:val="24"/>
          <w:szCs w:val="24"/>
          <w:lang w:val="en-US" w:eastAsia="zh-CN"/>
        </w:rPr>
        <w:t>伍</w:t>
      </w:r>
      <w:r>
        <w:rPr>
          <w:rFonts w:hint="eastAsia" w:ascii="宋体" w:hAnsi="宋体" w:eastAsia="宋体"/>
          <w:color w:val="auto"/>
          <w:sz w:val="24"/>
          <w:szCs w:val="24"/>
        </w:rPr>
        <w:t>份，甲方执</w:t>
      </w:r>
      <w:r>
        <w:rPr>
          <w:rFonts w:hint="eastAsia" w:ascii="宋体" w:hAnsi="宋体" w:eastAsia="宋体"/>
          <w:color w:val="auto"/>
          <w:sz w:val="24"/>
          <w:szCs w:val="24"/>
          <w:lang w:val="en-US" w:eastAsia="zh-CN"/>
        </w:rPr>
        <w:t>肆</w:t>
      </w:r>
      <w:r>
        <w:rPr>
          <w:rFonts w:hint="eastAsia" w:ascii="宋体" w:hAnsi="宋体" w:eastAsia="宋体"/>
          <w:color w:val="auto"/>
          <w:sz w:val="24"/>
          <w:szCs w:val="24"/>
        </w:rPr>
        <w:t>份，乙方执壹份，自双方签字并盖章之日起生效。</w:t>
      </w:r>
    </w:p>
    <w:p w14:paraId="04C6F830">
      <w:pPr>
        <w:spacing w:line="360" w:lineRule="exact"/>
        <w:rPr>
          <w:rFonts w:ascii="宋体" w:hAnsi="宋体" w:eastAsia="宋体"/>
          <w:color w:val="auto"/>
          <w:sz w:val="24"/>
        </w:rPr>
      </w:pPr>
    </w:p>
    <w:p w14:paraId="0AF11D7D">
      <w:pPr>
        <w:spacing w:line="360" w:lineRule="exact"/>
        <w:rPr>
          <w:rFonts w:ascii="宋体" w:hAnsi="宋体" w:eastAsia="宋体"/>
          <w:color w:val="auto"/>
          <w:sz w:val="24"/>
        </w:rPr>
      </w:pPr>
      <w:r>
        <w:rPr>
          <w:rFonts w:hint="eastAsia" w:ascii="宋体" w:hAnsi="宋体" w:eastAsia="宋体"/>
          <w:color w:val="auto"/>
          <w:sz w:val="24"/>
        </w:rPr>
        <w:t xml:space="preserve"> </w:t>
      </w:r>
      <w:r>
        <w:rPr>
          <w:rFonts w:ascii="宋体" w:hAnsi="宋体" w:eastAsia="宋体"/>
          <w:color w:val="auto"/>
          <w:sz w:val="24"/>
        </w:rPr>
        <w:t xml:space="preserve">                </w:t>
      </w:r>
    </w:p>
    <w:tbl>
      <w:tblPr>
        <w:tblStyle w:val="18"/>
        <w:tblW w:w="9390" w:type="dxa"/>
        <w:tblInd w:w="-318"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108" w:type="dxa"/>
          <w:bottom w:w="0" w:type="dxa"/>
          <w:right w:w="108" w:type="dxa"/>
        </w:tblCellMar>
      </w:tblPr>
      <w:tblGrid>
        <w:gridCol w:w="4821"/>
        <w:gridCol w:w="4569"/>
      </w:tblGrid>
      <w:tr w14:paraId="5A48C393">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108" w:type="dxa"/>
            <w:bottom w:w="0" w:type="dxa"/>
            <w:right w:w="108" w:type="dxa"/>
          </w:tblCellMar>
        </w:tblPrEx>
        <w:trPr>
          <w:trHeight w:val="607" w:hRule="atLeast"/>
        </w:trPr>
        <w:tc>
          <w:tcPr>
            <w:tcW w:w="4821" w:type="dxa"/>
            <w:vAlign w:val="center"/>
          </w:tcPr>
          <w:p w14:paraId="15A8DBBC">
            <w:pPr>
              <w:pStyle w:val="6"/>
              <w:jc w:val="both"/>
              <w:rPr>
                <w:rFonts w:hAnsi="宋体" w:eastAsia="宋体"/>
                <w:color w:val="auto"/>
              </w:rPr>
            </w:pPr>
            <w:r>
              <w:rPr>
                <w:rFonts w:hint="eastAsia" w:hAnsi="宋体" w:eastAsia="宋体"/>
                <w:color w:val="auto"/>
              </w:rPr>
              <w:t>甲方（盖章）：娄底市中心医院</w:t>
            </w:r>
          </w:p>
          <w:p w14:paraId="6EEC62E7">
            <w:pPr>
              <w:pStyle w:val="6"/>
              <w:jc w:val="both"/>
              <w:rPr>
                <w:rFonts w:hAnsi="宋体" w:eastAsia="宋体"/>
                <w:color w:val="auto"/>
              </w:rPr>
            </w:pPr>
          </w:p>
          <w:p w14:paraId="7EF737C3">
            <w:pPr>
              <w:pStyle w:val="6"/>
              <w:jc w:val="both"/>
              <w:rPr>
                <w:rFonts w:hAnsi="宋体" w:eastAsia="宋体"/>
                <w:color w:val="auto"/>
              </w:rPr>
            </w:pPr>
          </w:p>
          <w:p w14:paraId="183C1DF7">
            <w:pPr>
              <w:pStyle w:val="6"/>
              <w:jc w:val="both"/>
              <w:rPr>
                <w:rFonts w:hAnsi="宋体" w:eastAsia="宋体"/>
                <w:color w:val="auto"/>
              </w:rPr>
            </w:pPr>
          </w:p>
        </w:tc>
        <w:tc>
          <w:tcPr>
            <w:tcW w:w="4569" w:type="dxa"/>
            <w:vAlign w:val="center"/>
          </w:tcPr>
          <w:p w14:paraId="6421D410">
            <w:pPr>
              <w:spacing w:line="360" w:lineRule="exact"/>
              <w:rPr>
                <w:rFonts w:hint="eastAsia" w:ascii="宋体" w:hAnsi="宋体" w:eastAsia="宋体"/>
                <w:color w:val="auto"/>
                <w:sz w:val="24"/>
                <w:lang w:eastAsia="zh-CN"/>
              </w:rPr>
            </w:pPr>
            <w:r>
              <w:rPr>
                <w:rFonts w:hint="eastAsia" w:ascii="宋体" w:hAnsi="宋体" w:eastAsia="宋体"/>
                <w:color w:val="auto"/>
                <w:sz w:val="24"/>
              </w:rPr>
              <w:t>乙方（盖章）：</w:t>
            </w:r>
            <w:r>
              <w:rPr>
                <w:rFonts w:hint="eastAsia" w:ascii="宋体" w:hAnsi="宋体" w:eastAsia="宋体"/>
                <w:color w:val="auto"/>
                <w:sz w:val="24"/>
                <w:lang w:eastAsia="zh-CN"/>
              </w:rPr>
              <w:t>快享医疗科技（上海）有限公司</w:t>
            </w:r>
          </w:p>
          <w:p w14:paraId="5AD4DC25">
            <w:pPr>
              <w:spacing w:line="360" w:lineRule="exact"/>
              <w:rPr>
                <w:rFonts w:ascii="宋体" w:hAnsi="宋体" w:eastAsia="宋体"/>
                <w:color w:val="auto"/>
                <w:sz w:val="24"/>
              </w:rPr>
            </w:pPr>
          </w:p>
          <w:p w14:paraId="32F425AB">
            <w:pPr>
              <w:spacing w:line="360" w:lineRule="exact"/>
              <w:rPr>
                <w:rFonts w:ascii="宋体" w:hAnsi="宋体" w:eastAsia="宋体"/>
                <w:color w:val="auto"/>
                <w:sz w:val="24"/>
              </w:rPr>
            </w:pPr>
          </w:p>
          <w:p w14:paraId="743EDA6B">
            <w:pPr>
              <w:spacing w:line="360" w:lineRule="exact"/>
              <w:rPr>
                <w:rFonts w:ascii="宋体" w:hAnsi="宋体" w:eastAsia="宋体"/>
                <w:color w:val="auto"/>
                <w:sz w:val="24"/>
              </w:rPr>
            </w:pPr>
          </w:p>
        </w:tc>
      </w:tr>
      <w:tr w14:paraId="2B51CFDA">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108" w:type="dxa"/>
            <w:bottom w:w="0" w:type="dxa"/>
            <w:right w:w="108" w:type="dxa"/>
          </w:tblCellMar>
        </w:tblPrEx>
        <w:trPr>
          <w:trHeight w:val="607" w:hRule="atLeast"/>
        </w:trPr>
        <w:tc>
          <w:tcPr>
            <w:tcW w:w="4821" w:type="dxa"/>
            <w:vAlign w:val="center"/>
          </w:tcPr>
          <w:p w14:paraId="458CF882">
            <w:pPr>
              <w:pStyle w:val="6"/>
              <w:jc w:val="both"/>
              <w:rPr>
                <w:rFonts w:hAnsi="宋体" w:eastAsia="宋体"/>
                <w:color w:val="auto"/>
              </w:rPr>
            </w:pPr>
            <w:r>
              <w:rPr>
                <w:rFonts w:hint="eastAsia" w:hAnsi="宋体" w:eastAsia="宋体"/>
                <w:color w:val="auto"/>
              </w:rPr>
              <w:t>法定代表人（签字）：</w:t>
            </w:r>
          </w:p>
          <w:p w14:paraId="5FCB9EE9">
            <w:pPr>
              <w:pStyle w:val="6"/>
              <w:jc w:val="both"/>
              <w:rPr>
                <w:rFonts w:hAnsi="宋体" w:eastAsia="宋体"/>
                <w:color w:val="auto"/>
              </w:rPr>
            </w:pPr>
          </w:p>
          <w:p w14:paraId="39518CA1">
            <w:pPr>
              <w:pStyle w:val="6"/>
              <w:jc w:val="both"/>
              <w:rPr>
                <w:rFonts w:hAnsi="宋体" w:eastAsia="宋体"/>
                <w:color w:val="auto"/>
              </w:rPr>
            </w:pPr>
          </w:p>
          <w:p w14:paraId="545455AE">
            <w:pPr>
              <w:pStyle w:val="6"/>
              <w:jc w:val="both"/>
              <w:rPr>
                <w:rFonts w:hAnsi="宋体" w:eastAsia="宋体"/>
                <w:color w:val="auto"/>
              </w:rPr>
            </w:pPr>
          </w:p>
          <w:p w14:paraId="46A80A29">
            <w:pPr>
              <w:pStyle w:val="6"/>
              <w:jc w:val="both"/>
              <w:rPr>
                <w:rFonts w:hAnsi="宋体" w:eastAsia="宋体"/>
                <w:color w:val="auto"/>
              </w:rPr>
            </w:pPr>
            <w:r>
              <w:rPr>
                <w:rFonts w:hint="eastAsia" w:hAnsi="宋体" w:eastAsia="宋体"/>
                <w:color w:val="auto"/>
              </w:rPr>
              <w:t xml:space="preserve">或委托代理人（签字）：    </w:t>
            </w:r>
          </w:p>
          <w:p w14:paraId="2AFCC8A1">
            <w:pPr>
              <w:pStyle w:val="6"/>
              <w:jc w:val="both"/>
              <w:rPr>
                <w:rFonts w:hAnsi="宋体" w:eastAsia="宋体"/>
                <w:color w:val="auto"/>
              </w:rPr>
            </w:pPr>
          </w:p>
          <w:p w14:paraId="60578C92">
            <w:pPr>
              <w:pStyle w:val="6"/>
              <w:jc w:val="both"/>
              <w:rPr>
                <w:rFonts w:hAnsi="宋体" w:eastAsia="宋体"/>
                <w:color w:val="auto"/>
              </w:rPr>
            </w:pPr>
          </w:p>
          <w:p w14:paraId="5F92D5AE">
            <w:pPr>
              <w:pStyle w:val="6"/>
              <w:jc w:val="both"/>
              <w:rPr>
                <w:rFonts w:hAnsi="宋体" w:eastAsia="宋体"/>
                <w:color w:val="auto"/>
              </w:rPr>
            </w:pPr>
          </w:p>
        </w:tc>
        <w:tc>
          <w:tcPr>
            <w:tcW w:w="4569" w:type="dxa"/>
            <w:vAlign w:val="center"/>
          </w:tcPr>
          <w:p w14:paraId="3C047EF4">
            <w:pPr>
              <w:pStyle w:val="6"/>
              <w:jc w:val="both"/>
              <w:rPr>
                <w:rFonts w:hAnsi="宋体" w:eastAsia="宋体"/>
                <w:color w:val="auto"/>
              </w:rPr>
            </w:pPr>
            <w:r>
              <w:rPr>
                <w:rFonts w:hint="eastAsia" w:hAnsi="宋体" w:eastAsia="宋体"/>
                <w:color w:val="auto"/>
              </w:rPr>
              <w:t>法定代表人（签字）：</w:t>
            </w:r>
          </w:p>
          <w:p w14:paraId="20793F90">
            <w:pPr>
              <w:pStyle w:val="6"/>
              <w:jc w:val="both"/>
              <w:rPr>
                <w:rFonts w:hAnsi="宋体" w:eastAsia="宋体"/>
                <w:color w:val="auto"/>
              </w:rPr>
            </w:pPr>
          </w:p>
          <w:p w14:paraId="66A1BEDD">
            <w:pPr>
              <w:pStyle w:val="6"/>
              <w:jc w:val="both"/>
              <w:rPr>
                <w:rFonts w:hAnsi="宋体" w:eastAsia="宋体"/>
                <w:color w:val="auto"/>
              </w:rPr>
            </w:pPr>
          </w:p>
          <w:p w14:paraId="0DA51820">
            <w:pPr>
              <w:pStyle w:val="6"/>
              <w:jc w:val="both"/>
              <w:rPr>
                <w:rFonts w:hAnsi="宋体" w:eastAsia="宋体"/>
                <w:color w:val="auto"/>
              </w:rPr>
            </w:pPr>
          </w:p>
          <w:p w14:paraId="48390710">
            <w:pPr>
              <w:pStyle w:val="6"/>
              <w:jc w:val="both"/>
              <w:rPr>
                <w:rFonts w:hAnsi="宋体" w:eastAsia="宋体"/>
                <w:color w:val="auto"/>
              </w:rPr>
            </w:pPr>
            <w:r>
              <w:rPr>
                <w:rFonts w:hint="eastAsia" w:hAnsi="宋体" w:eastAsia="宋体"/>
                <w:color w:val="auto"/>
              </w:rPr>
              <w:t xml:space="preserve">或委托代理人（签字）：    </w:t>
            </w:r>
          </w:p>
          <w:p w14:paraId="551E548D">
            <w:pPr>
              <w:pStyle w:val="6"/>
              <w:jc w:val="both"/>
              <w:rPr>
                <w:rFonts w:hAnsi="宋体" w:eastAsia="宋体"/>
                <w:color w:val="auto"/>
              </w:rPr>
            </w:pPr>
          </w:p>
          <w:p w14:paraId="39084753">
            <w:pPr>
              <w:pStyle w:val="6"/>
              <w:jc w:val="both"/>
              <w:rPr>
                <w:rFonts w:hAnsi="宋体" w:eastAsia="宋体"/>
                <w:color w:val="auto"/>
              </w:rPr>
            </w:pPr>
          </w:p>
          <w:p w14:paraId="2FC2EF51">
            <w:pPr>
              <w:pStyle w:val="6"/>
              <w:jc w:val="both"/>
              <w:rPr>
                <w:rFonts w:hAnsi="宋体" w:eastAsia="宋体"/>
                <w:color w:val="auto"/>
              </w:rPr>
            </w:pPr>
          </w:p>
        </w:tc>
      </w:tr>
      <w:tr w14:paraId="0F7653BB">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108" w:type="dxa"/>
            <w:bottom w:w="0" w:type="dxa"/>
            <w:right w:w="108" w:type="dxa"/>
          </w:tblCellMar>
        </w:tblPrEx>
        <w:trPr>
          <w:trHeight w:val="607" w:hRule="atLeast"/>
        </w:trPr>
        <w:tc>
          <w:tcPr>
            <w:tcW w:w="4821" w:type="dxa"/>
            <w:vAlign w:val="center"/>
          </w:tcPr>
          <w:p w14:paraId="50386087">
            <w:pPr>
              <w:pStyle w:val="6"/>
              <w:jc w:val="both"/>
              <w:rPr>
                <w:rFonts w:hAnsi="宋体" w:eastAsia="宋体"/>
                <w:color w:val="auto"/>
              </w:rPr>
            </w:pPr>
            <w:r>
              <w:rPr>
                <w:rFonts w:hint="eastAsia" w:hAnsi="宋体" w:eastAsia="宋体"/>
                <w:color w:val="auto"/>
              </w:rPr>
              <w:t>签署地点：娄底市娄星区</w:t>
            </w:r>
          </w:p>
        </w:tc>
        <w:tc>
          <w:tcPr>
            <w:tcW w:w="4569" w:type="dxa"/>
            <w:vAlign w:val="center"/>
          </w:tcPr>
          <w:p w14:paraId="7FAC210D">
            <w:pPr>
              <w:pStyle w:val="6"/>
              <w:jc w:val="both"/>
              <w:rPr>
                <w:rFonts w:hAnsi="宋体" w:eastAsia="宋体"/>
                <w:color w:val="auto"/>
              </w:rPr>
            </w:pPr>
            <w:r>
              <w:rPr>
                <w:rFonts w:hint="eastAsia" w:hAnsi="宋体" w:eastAsia="宋体"/>
                <w:color w:val="auto"/>
              </w:rPr>
              <w:t>签署日期：    年  月  日</w:t>
            </w:r>
          </w:p>
        </w:tc>
      </w:tr>
    </w:tbl>
    <w:p w14:paraId="41DA7E54">
      <w:pPr>
        <w:widowControl/>
        <w:rPr>
          <w:rFonts w:ascii="宋体" w:hAnsi="宋体" w:eastAsia="宋体"/>
          <w:color w:val="auto"/>
          <w:sz w:val="24"/>
        </w:rPr>
      </w:pPr>
    </w:p>
    <w:p w14:paraId="0625ADBC">
      <w:pPr>
        <w:widowControl/>
        <w:rPr>
          <w:rFonts w:ascii="宋体" w:hAnsi="宋体" w:eastAsia="宋体"/>
          <w:color w:val="auto"/>
          <w:sz w:val="24"/>
        </w:rPr>
      </w:pPr>
    </w:p>
    <w:p w14:paraId="4F6FFF75">
      <w:pPr>
        <w:spacing w:line="360" w:lineRule="exact"/>
        <w:rPr>
          <w:rFonts w:ascii="宋体" w:hAnsi="宋体" w:eastAsia="宋体"/>
          <w:b/>
          <w:color w:val="auto"/>
          <w:sz w:val="24"/>
        </w:rPr>
      </w:pPr>
    </w:p>
    <w:p w14:paraId="7495918E">
      <w:pPr>
        <w:spacing w:line="360" w:lineRule="exact"/>
        <w:rPr>
          <w:rFonts w:ascii="宋体" w:hAnsi="宋体" w:eastAsia="宋体"/>
          <w:b/>
          <w:color w:val="auto"/>
          <w:sz w:val="24"/>
        </w:rPr>
      </w:pPr>
    </w:p>
    <w:p w14:paraId="5CB87CD8">
      <w:pPr>
        <w:spacing w:line="360" w:lineRule="exact"/>
        <w:rPr>
          <w:rFonts w:ascii="宋体" w:hAnsi="宋体" w:eastAsia="宋体"/>
          <w:b/>
          <w:color w:val="auto"/>
          <w:sz w:val="24"/>
        </w:rPr>
      </w:pPr>
    </w:p>
    <w:p w14:paraId="0E885510">
      <w:pPr>
        <w:rPr>
          <w:rFonts w:ascii="宋体" w:hAnsi="宋体" w:eastAsia="宋体"/>
          <w:b/>
          <w:color w:val="auto"/>
          <w:sz w:val="24"/>
        </w:rPr>
      </w:pPr>
      <w:r>
        <w:rPr>
          <w:rFonts w:ascii="宋体" w:hAnsi="宋体" w:eastAsia="宋体"/>
          <w:b/>
          <w:color w:val="auto"/>
          <w:sz w:val="24"/>
        </w:rPr>
        <w:br w:type="page"/>
      </w:r>
    </w:p>
    <w:p w14:paraId="28B860BC">
      <w:pPr>
        <w:spacing w:line="360" w:lineRule="exact"/>
        <w:rPr>
          <w:rFonts w:hint="eastAsia" w:ascii="宋体" w:hAnsi="宋体" w:eastAsia="宋体"/>
          <w:b/>
          <w:color w:val="auto"/>
          <w:sz w:val="24"/>
          <w:lang w:val="en-US" w:eastAsia="zh-CN"/>
        </w:rPr>
      </w:pPr>
      <w:r>
        <w:rPr>
          <w:rFonts w:hint="eastAsia" w:ascii="宋体" w:hAnsi="宋体" w:eastAsia="宋体"/>
          <w:b/>
          <w:color w:val="auto"/>
          <w:sz w:val="24"/>
          <w:lang w:val="en-US" w:eastAsia="zh-CN"/>
        </w:rPr>
        <w:t>附件一：</w:t>
      </w:r>
    </w:p>
    <w:tbl>
      <w:tblPr>
        <w:tblStyle w:val="17"/>
        <w:tblW w:w="94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6"/>
        <w:gridCol w:w="1044"/>
        <w:gridCol w:w="2016"/>
        <w:gridCol w:w="5379"/>
      </w:tblGrid>
      <w:tr w14:paraId="4D135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9466" w:type="dxa"/>
            <w:gridSpan w:val="4"/>
            <w:tcBorders>
              <w:top w:val="single" w:color="000000" w:sz="8" w:space="0"/>
              <w:left w:val="single" w:color="000000" w:sz="8" w:space="0"/>
              <w:bottom w:val="single" w:color="000000" w:sz="4" w:space="0"/>
              <w:right w:val="single" w:color="000000" w:sz="4" w:space="0"/>
            </w:tcBorders>
            <w:shd w:val="clear" w:color="auto" w:fill="FFFFFF" w:themeFill="background1"/>
            <w:vAlign w:val="center"/>
          </w:tcPr>
          <w:p w14:paraId="29799A24">
            <w:pPr>
              <w:shd w:val="clear" w:color="auto" w:fill="auto"/>
              <w:spacing w:before="0" w:after="0" w:line="300" w:lineRule="auto"/>
              <w:ind w:firstLine="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服务范围清单</w:t>
            </w:r>
          </w:p>
        </w:tc>
      </w:tr>
      <w:tr w14:paraId="24ECE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tcBorders>
              <w:top w:val="single" w:color="000000" w:sz="4" w:space="0"/>
              <w:left w:val="single" w:color="000000" w:sz="8" w:space="0"/>
              <w:bottom w:val="single" w:color="000000" w:sz="4" w:space="0"/>
              <w:right w:val="single" w:color="000000" w:sz="4" w:space="0"/>
            </w:tcBorders>
            <w:shd w:val="clear" w:color="auto" w:fill="FFFFFF" w:themeFill="background1"/>
            <w:vAlign w:val="center"/>
          </w:tcPr>
          <w:p w14:paraId="0073D33D">
            <w:pPr>
              <w:shd w:val="clear" w:color="auto" w:fill="auto"/>
              <w:spacing w:before="0" w:after="0" w:line="300" w:lineRule="auto"/>
              <w:ind w:firstLine="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序号</w:t>
            </w:r>
          </w:p>
        </w:tc>
        <w:tc>
          <w:tcPr>
            <w:tcW w:w="1090" w:type="dxa"/>
            <w:tcBorders>
              <w:top w:val="single" w:color="000000" w:sz="4" w:space="0"/>
              <w:left w:val="single" w:color="000000" w:sz="4" w:space="0"/>
              <w:bottom w:val="nil"/>
              <w:right w:val="single" w:color="000000" w:sz="4" w:space="0"/>
            </w:tcBorders>
            <w:shd w:val="clear" w:color="auto" w:fill="FFFFFF" w:themeFill="background1"/>
            <w:vAlign w:val="center"/>
          </w:tcPr>
          <w:p w14:paraId="44E8B9A7">
            <w:pPr>
              <w:shd w:val="clear" w:color="auto" w:fill="auto"/>
              <w:spacing w:before="0" w:after="0" w:line="300" w:lineRule="auto"/>
              <w:ind w:firstLine="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大类</w:t>
            </w:r>
          </w:p>
        </w:tc>
        <w:tc>
          <w:tcPr>
            <w:tcW w:w="1334" w:type="dxa"/>
            <w:tcBorders>
              <w:top w:val="single" w:color="000000" w:sz="4" w:space="0"/>
              <w:left w:val="single" w:color="000000" w:sz="4" w:space="0"/>
              <w:bottom w:val="nil"/>
              <w:right w:val="single" w:color="000000" w:sz="4" w:space="0"/>
            </w:tcBorders>
            <w:shd w:val="clear" w:color="auto" w:fill="FFFFFF" w:themeFill="background1"/>
            <w:vAlign w:val="center"/>
          </w:tcPr>
          <w:p w14:paraId="562E5AA1">
            <w:pPr>
              <w:shd w:val="clear" w:color="auto" w:fill="auto"/>
              <w:spacing w:before="0" w:after="0" w:line="300" w:lineRule="auto"/>
              <w:ind w:firstLine="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分系统</w:t>
            </w:r>
          </w:p>
        </w:tc>
        <w:tc>
          <w:tcPr>
            <w:tcW w:w="5952" w:type="dxa"/>
            <w:tcBorders>
              <w:top w:val="single" w:color="000000" w:sz="4" w:space="0"/>
              <w:left w:val="single" w:color="000000" w:sz="4" w:space="0"/>
              <w:bottom w:val="nil"/>
              <w:right w:val="single" w:color="000000" w:sz="4" w:space="0"/>
            </w:tcBorders>
            <w:shd w:val="clear" w:color="auto" w:fill="FFFFFF" w:themeFill="background1"/>
            <w:vAlign w:val="center"/>
          </w:tcPr>
          <w:p w14:paraId="742F23AD">
            <w:pPr>
              <w:shd w:val="clear" w:color="auto" w:fill="auto"/>
              <w:spacing w:before="0" w:after="0" w:line="300" w:lineRule="auto"/>
              <w:ind w:firstLine="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功能模块</w:t>
            </w:r>
          </w:p>
        </w:tc>
      </w:tr>
      <w:tr w14:paraId="069D3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B03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9D4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耗材管理系统 V5.0</w:t>
            </w: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8841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耗材基础管理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58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耗材数据维护</w:t>
            </w:r>
          </w:p>
        </w:tc>
      </w:tr>
      <w:tr w14:paraId="1E3BD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45401">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BDC2A">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549C3">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784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订单管理</w:t>
            </w:r>
          </w:p>
        </w:tc>
      </w:tr>
      <w:tr w14:paraId="6ED59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EC192">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383E8">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F8E50">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C4C9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计划管理</w:t>
            </w:r>
          </w:p>
        </w:tc>
      </w:tr>
      <w:tr w14:paraId="164EA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C27A7">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D93CD">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7A032">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99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库存管理</w:t>
            </w:r>
          </w:p>
        </w:tc>
      </w:tr>
      <w:tr w14:paraId="3DE9F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D2F48">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CC0C1">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6CC8B">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B1E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账务管理</w:t>
            </w:r>
          </w:p>
        </w:tc>
      </w:tr>
      <w:tr w14:paraId="1F14A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69C95">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18DA4">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626E6">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38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资质管理</w:t>
            </w:r>
          </w:p>
        </w:tc>
      </w:tr>
      <w:tr w14:paraId="28190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63C44">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337D2">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AFE39">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B0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报表管理</w:t>
            </w:r>
          </w:p>
        </w:tc>
      </w:tr>
      <w:tr w14:paraId="3E93A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04B2E">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F6746">
            <w:pPr>
              <w:jc w:val="center"/>
              <w:rPr>
                <w:rFonts w:hint="eastAsia" w:ascii="微软雅黑" w:hAnsi="微软雅黑" w:eastAsia="微软雅黑" w:cs="微软雅黑"/>
                <w:i w:val="0"/>
                <w:iCs w:val="0"/>
                <w:color w:val="000000"/>
                <w:sz w:val="20"/>
                <w:szCs w:val="20"/>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A98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全院请领平台</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903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请领限额管理</w:t>
            </w:r>
          </w:p>
        </w:tc>
      </w:tr>
      <w:tr w14:paraId="2B36F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2FCD4">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F2D66">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B3F86">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DB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请领目录管理</w:t>
            </w:r>
          </w:p>
        </w:tc>
      </w:tr>
      <w:tr w14:paraId="3C2F1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098CA">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32DD3">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7A9FD">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E8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请领单管理</w:t>
            </w:r>
          </w:p>
        </w:tc>
      </w:tr>
      <w:tr w14:paraId="76116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72336">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D8597">
            <w:pPr>
              <w:jc w:val="center"/>
              <w:rPr>
                <w:rFonts w:hint="eastAsia" w:ascii="微软雅黑" w:hAnsi="微软雅黑" w:eastAsia="微软雅黑" w:cs="微软雅黑"/>
                <w:i w:val="0"/>
                <w:iCs w:val="0"/>
                <w:color w:val="000000"/>
                <w:sz w:val="20"/>
                <w:szCs w:val="20"/>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B49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高值耗材管理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6F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供应商寄售业务管理</w:t>
            </w:r>
          </w:p>
        </w:tc>
      </w:tr>
      <w:tr w14:paraId="4CFA0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9C04F">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FFB71">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72DF9">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10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高值跟台手术耗材管理</w:t>
            </w:r>
          </w:p>
        </w:tc>
      </w:tr>
      <w:tr w14:paraId="26717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B58ED">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C18C8">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9B22A">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5F6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高值条码规则管理</w:t>
            </w:r>
          </w:p>
        </w:tc>
      </w:tr>
      <w:tr w14:paraId="37EA0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3F512">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5CF90">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CAC6B">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51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高值耗材追溯管理</w:t>
            </w:r>
          </w:p>
        </w:tc>
      </w:tr>
      <w:tr w14:paraId="640E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B42F0">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96403">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6BD28">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92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高值耗材消耗临床核销</w:t>
            </w:r>
          </w:p>
        </w:tc>
      </w:tr>
      <w:tr w14:paraId="72696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624BA">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F40B2">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6B40A">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C2FF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手术室、介入室高值二级库</w:t>
            </w:r>
          </w:p>
        </w:tc>
      </w:tr>
      <w:tr w14:paraId="7F18B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1E33C">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CC9CF">
            <w:pPr>
              <w:jc w:val="center"/>
              <w:rPr>
                <w:rFonts w:hint="eastAsia" w:ascii="微软雅黑" w:hAnsi="微软雅黑" w:eastAsia="微软雅黑" w:cs="微软雅黑"/>
                <w:i w:val="0"/>
                <w:iCs w:val="0"/>
                <w:color w:val="000000"/>
                <w:sz w:val="20"/>
                <w:szCs w:val="20"/>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439E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二级库管理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8B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进销存管理（请领、移入库、移出库、盘点、月结）</w:t>
            </w:r>
          </w:p>
        </w:tc>
      </w:tr>
      <w:tr w14:paraId="042C6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FAF3B">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9BF10">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CC42B">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D8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低值耗材定数管理</w:t>
            </w:r>
          </w:p>
        </w:tc>
      </w:tr>
      <w:tr w14:paraId="692EE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72E32">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19BBE">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C9062">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35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试剂定数管理</w:t>
            </w:r>
          </w:p>
        </w:tc>
      </w:tr>
      <w:tr w14:paraId="5082F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9A6D9">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B7AA6">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74DF1">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CCD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病区临床核销</w:t>
            </w:r>
          </w:p>
        </w:tc>
      </w:tr>
      <w:tr w14:paraId="23E35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E9A6C">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73A46">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E6440">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5F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额外的住院二级库核销</w:t>
            </w:r>
          </w:p>
        </w:tc>
      </w:tr>
      <w:tr w14:paraId="314F6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tcBorders>
              <w:top w:val="nil"/>
              <w:left w:val="single" w:color="000000" w:sz="4" w:space="0"/>
              <w:bottom w:val="nil"/>
              <w:right w:val="single" w:color="000000" w:sz="4" w:space="0"/>
            </w:tcBorders>
            <w:shd w:val="clear" w:color="auto" w:fill="auto"/>
            <w:vAlign w:val="center"/>
          </w:tcPr>
          <w:p w14:paraId="7EACB7A0">
            <w:pPr>
              <w:jc w:val="center"/>
              <w:rPr>
                <w:rFonts w:hint="eastAsia" w:ascii="微软雅黑" w:hAnsi="微软雅黑" w:eastAsia="微软雅黑" w:cs="微软雅黑"/>
                <w:i w:val="0"/>
                <w:iCs w:val="0"/>
                <w:color w:val="000000"/>
                <w:sz w:val="20"/>
                <w:szCs w:val="20"/>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CAD4">
            <w:pPr>
              <w:jc w:val="center"/>
              <w:rPr>
                <w:rFonts w:hint="eastAsia" w:ascii="微软雅黑" w:hAnsi="微软雅黑" w:eastAsia="微软雅黑" w:cs="微软雅黑"/>
                <w:i w:val="0"/>
                <w:iCs w:val="0"/>
                <w:color w:val="000000"/>
                <w:sz w:val="20"/>
                <w:szCs w:val="20"/>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E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统计中心</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A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医保飞检报表</w:t>
            </w:r>
          </w:p>
        </w:tc>
      </w:tr>
      <w:tr w14:paraId="15B9B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151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11B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物资云·耗材</w:t>
            </w: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C293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基础信息</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6B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供应商资质管理</w:t>
            </w:r>
          </w:p>
        </w:tc>
      </w:tr>
      <w:tr w14:paraId="0881E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E48CF">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CC714">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F352CF">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B91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生产商资质管理</w:t>
            </w:r>
          </w:p>
        </w:tc>
      </w:tr>
      <w:tr w14:paraId="2409F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DEE75">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85DD2">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19BAF8">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DA7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耗材品名管理</w:t>
            </w:r>
          </w:p>
        </w:tc>
      </w:tr>
      <w:tr w14:paraId="45E3A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6173B">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18A9C">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506E7D">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C0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耗材规格管理</w:t>
            </w:r>
          </w:p>
        </w:tc>
      </w:tr>
      <w:tr w14:paraId="341F0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90FEA">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28E34">
            <w:pPr>
              <w:jc w:val="center"/>
              <w:rPr>
                <w:rFonts w:hint="eastAsia" w:ascii="微软雅黑" w:hAnsi="微软雅黑" w:eastAsia="微软雅黑" w:cs="微软雅黑"/>
                <w:i w:val="0"/>
                <w:iCs w:val="0"/>
                <w:color w:val="000000"/>
                <w:sz w:val="20"/>
                <w:szCs w:val="20"/>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DF499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目录管理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6D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供应商产品管理</w:t>
            </w:r>
          </w:p>
        </w:tc>
      </w:tr>
      <w:tr w14:paraId="096A8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36B18">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474D0">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1DF375">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51E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供应商产品审核</w:t>
            </w:r>
          </w:p>
        </w:tc>
      </w:tr>
      <w:tr w14:paraId="6E013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1AE35">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DD027">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73D7CE">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4A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供货关系建立与审核</w:t>
            </w:r>
          </w:p>
        </w:tc>
      </w:tr>
      <w:tr w14:paraId="2C036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B8BD1">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B3EEE">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7BE037">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64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采购目录审核</w:t>
            </w:r>
          </w:p>
        </w:tc>
      </w:tr>
      <w:tr w14:paraId="3CBFD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D8414">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89D77">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EDF472">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55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采购目录管理</w:t>
            </w:r>
          </w:p>
        </w:tc>
      </w:tr>
      <w:tr w14:paraId="5E9AB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3FC28">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56008">
            <w:pPr>
              <w:jc w:val="center"/>
              <w:rPr>
                <w:rFonts w:hint="eastAsia" w:ascii="微软雅黑" w:hAnsi="微软雅黑" w:eastAsia="微软雅黑" w:cs="微软雅黑"/>
                <w:i w:val="0"/>
                <w:iCs w:val="0"/>
                <w:color w:val="000000"/>
                <w:sz w:val="20"/>
                <w:szCs w:val="20"/>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22BA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采购管理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F7D0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采购订单申请</w:t>
            </w:r>
          </w:p>
        </w:tc>
      </w:tr>
      <w:tr w14:paraId="38267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DAB69">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BF887">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54557D">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93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采购订单初审</w:t>
            </w:r>
          </w:p>
        </w:tc>
      </w:tr>
      <w:tr w14:paraId="5F5FD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6F6AC">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2C682">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A39500">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68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采购订单复审</w:t>
            </w:r>
          </w:p>
        </w:tc>
      </w:tr>
      <w:tr w14:paraId="0B762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5411A">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98D6E">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86C79A">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98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采购订单配送</w:t>
            </w:r>
          </w:p>
        </w:tc>
      </w:tr>
      <w:tr w14:paraId="77584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075FF">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55FC0">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98106B">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847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采购订单退货</w:t>
            </w:r>
          </w:p>
        </w:tc>
      </w:tr>
      <w:tr w14:paraId="773F5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359FE">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8636F">
            <w:pPr>
              <w:jc w:val="center"/>
              <w:rPr>
                <w:rFonts w:hint="eastAsia" w:ascii="微软雅黑" w:hAnsi="微软雅黑" w:eastAsia="微软雅黑" w:cs="微软雅黑"/>
                <w:i w:val="0"/>
                <w:iCs w:val="0"/>
                <w:color w:val="000000"/>
                <w:sz w:val="20"/>
                <w:szCs w:val="20"/>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5237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发票管理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382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发票初审</w:t>
            </w:r>
          </w:p>
        </w:tc>
      </w:tr>
      <w:tr w14:paraId="532D2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332E9">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6C1E8">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9CFB5D">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35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发票复审</w:t>
            </w:r>
          </w:p>
        </w:tc>
      </w:tr>
      <w:tr w14:paraId="2F48E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14114">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6B6F8">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10A20D">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5E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发票管理</w:t>
            </w:r>
          </w:p>
        </w:tc>
      </w:tr>
      <w:tr w14:paraId="5F95E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978C0">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CE79B">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708359">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49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应收管理</w:t>
            </w:r>
          </w:p>
        </w:tc>
      </w:tr>
      <w:tr w14:paraId="68984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9B381">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C80E9">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5A9BDD">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53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应付管理</w:t>
            </w:r>
          </w:p>
        </w:tc>
      </w:tr>
      <w:tr w14:paraId="04799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C4D0F">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C00EA">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AED6AA">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58B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发票结算</w:t>
            </w:r>
          </w:p>
        </w:tc>
      </w:tr>
      <w:tr w14:paraId="4F44B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46BFC">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0A315">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D70D7">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45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开票凭证</w:t>
            </w:r>
          </w:p>
        </w:tc>
      </w:tr>
      <w:tr w14:paraId="7158D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6AD0F">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0D7A0">
            <w:pPr>
              <w:jc w:val="center"/>
              <w:rPr>
                <w:rFonts w:hint="eastAsia" w:ascii="微软雅黑" w:hAnsi="微软雅黑" w:eastAsia="微软雅黑" w:cs="微软雅黑"/>
                <w:i w:val="0"/>
                <w:iCs w:val="0"/>
                <w:color w:val="000000"/>
                <w:sz w:val="20"/>
                <w:szCs w:val="20"/>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9B48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统计查询</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C8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订单总数查询</w:t>
            </w:r>
          </w:p>
        </w:tc>
      </w:tr>
      <w:tr w14:paraId="63ED7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AB4E1">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57DDE">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982BC5">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B0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订单类型查询</w:t>
            </w:r>
          </w:p>
        </w:tc>
      </w:tr>
      <w:tr w14:paraId="190A9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0B58B">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D3CF9">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B12271">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F9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耗材品规查询</w:t>
            </w:r>
          </w:p>
        </w:tc>
      </w:tr>
      <w:tr w14:paraId="41C9F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74FEC">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8CBAA">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A95594">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5AA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发票数量查询</w:t>
            </w:r>
          </w:p>
        </w:tc>
      </w:tr>
      <w:tr w14:paraId="7C0D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7ADE3">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FB1F4">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9E9A7B">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5C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配送数量查询</w:t>
            </w:r>
          </w:p>
        </w:tc>
      </w:tr>
      <w:tr w14:paraId="74FD6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D38B2">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100B8">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84D5AB">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38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高值耗材使用记录查询</w:t>
            </w:r>
          </w:p>
        </w:tc>
      </w:tr>
      <w:tr w14:paraId="7BC0F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951C2">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40DB5">
            <w:pPr>
              <w:jc w:val="center"/>
              <w:rPr>
                <w:rFonts w:hint="eastAsia" w:ascii="微软雅黑" w:hAnsi="微软雅黑" w:eastAsia="微软雅黑" w:cs="微软雅黑"/>
                <w:i w:val="0"/>
                <w:iCs w:val="0"/>
                <w:color w:val="000000"/>
                <w:sz w:val="20"/>
                <w:szCs w:val="20"/>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FDFC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系统设置</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41BE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数据导入维护</w:t>
            </w:r>
          </w:p>
        </w:tc>
      </w:tr>
      <w:tr w14:paraId="602F7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F7F59">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78C59">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4131C2">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E3E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公告管理</w:t>
            </w:r>
          </w:p>
        </w:tc>
      </w:tr>
      <w:tr w14:paraId="41B05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23172">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9A5C1">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02E645">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6EE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机构管理</w:t>
            </w:r>
          </w:p>
        </w:tc>
      </w:tr>
      <w:tr w14:paraId="49090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6715A">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8248A">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263BB9">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1E6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用户管理</w:t>
            </w:r>
          </w:p>
        </w:tc>
      </w:tr>
      <w:tr w14:paraId="31734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64DDF">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2208C">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F606A1">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93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角色管理</w:t>
            </w:r>
          </w:p>
        </w:tc>
      </w:tr>
      <w:tr w14:paraId="3EF24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E647A">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1C894">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E83F44">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8C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系统配置</w:t>
            </w:r>
          </w:p>
        </w:tc>
      </w:tr>
      <w:tr w14:paraId="3F075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52203">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72C20">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6AE211">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97C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字典管理</w:t>
            </w:r>
          </w:p>
        </w:tc>
      </w:tr>
      <w:tr w14:paraId="257B7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C705C">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B51BC">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F14607">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87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物资分类管理</w:t>
            </w:r>
          </w:p>
        </w:tc>
      </w:tr>
      <w:tr w14:paraId="65BF5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A6719">
            <w:pPr>
              <w:jc w:val="center"/>
              <w:rPr>
                <w:rFonts w:hint="eastAsia" w:ascii="微软雅黑" w:hAnsi="微软雅黑" w:eastAsia="微软雅黑" w:cs="微软雅黑"/>
                <w:i w:val="0"/>
                <w:iCs w:val="0"/>
                <w:color w:val="000000"/>
                <w:sz w:val="20"/>
                <w:szCs w:val="20"/>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37E5C">
            <w:pPr>
              <w:jc w:val="center"/>
              <w:rPr>
                <w:rFonts w:hint="eastAsia" w:ascii="微软雅黑" w:hAnsi="微软雅黑" w:eastAsia="微软雅黑" w:cs="微软雅黑"/>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EB5D37">
            <w:pPr>
              <w:jc w:val="center"/>
              <w:rPr>
                <w:rFonts w:hint="eastAsia" w:ascii="微软雅黑" w:hAnsi="微软雅黑" w:eastAsia="微软雅黑" w:cs="微软雅黑"/>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17E3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菜单管理</w:t>
            </w:r>
          </w:p>
        </w:tc>
      </w:tr>
      <w:tr w14:paraId="07F62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F5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AEE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医疗设备管理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V5.0</w:t>
            </w: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82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5E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申购管理</w:t>
            </w:r>
          </w:p>
        </w:tc>
      </w:tr>
      <w:tr w14:paraId="1851C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42A6C">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A6936">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F791E">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CA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采购计划</w:t>
            </w:r>
          </w:p>
        </w:tc>
      </w:tr>
      <w:tr w14:paraId="0EAC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A6217">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8FC87">
            <w:pPr>
              <w:jc w:val="center"/>
              <w:rPr>
                <w:rFonts w:hint="eastAsia" w:ascii="宋体" w:hAnsi="宋体" w:eastAsia="宋体" w:cs="宋体"/>
                <w:i w:val="0"/>
                <w:iCs w:val="0"/>
                <w:color w:val="000000"/>
                <w:sz w:val="20"/>
                <w:szCs w:val="20"/>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47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B8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设备入库管理</w:t>
            </w:r>
          </w:p>
        </w:tc>
      </w:tr>
      <w:tr w14:paraId="09B49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27B41">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5566D">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A0AEB">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CD1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设备领用管理</w:t>
            </w:r>
          </w:p>
        </w:tc>
      </w:tr>
      <w:tr w14:paraId="00304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D8D12">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1CA40">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2A9D7">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C7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退货退库管理</w:t>
            </w:r>
          </w:p>
        </w:tc>
      </w:tr>
      <w:tr w14:paraId="6D82C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4772F">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52A3C">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23CEB">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6C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设备盘点管理</w:t>
            </w:r>
          </w:p>
        </w:tc>
      </w:tr>
      <w:tr w14:paraId="1CE54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1D883">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A0F93">
            <w:pPr>
              <w:jc w:val="center"/>
              <w:rPr>
                <w:rFonts w:hint="eastAsia" w:ascii="宋体" w:hAnsi="宋体" w:eastAsia="宋体" w:cs="宋体"/>
                <w:i w:val="0"/>
                <w:iCs w:val="0"/>
                <w:color w:val="000000"/>
                <w:sz w:val="20"/>
                <w:szCs w:val="20"/>
                <w:u w:val="none"/>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F8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DA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设备卡片管理</w:t>
            </w:r>
          </w:p>
        </w:tc>
      </w:tr>
      <w:tr w14:paraId="5AEAD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8F927">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02DAB">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209A4">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71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设备维修管理</w:t>
            </w:r>
          </w:p>
        </w:tc>
      </w:tr>
      <w:tr w14:paraId="56C16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B8F15">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FD193">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EB129">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CA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设备巡检管理</w:t>
            </w:r>
          </w:p>
        </w:tc>
      </w:tr>
      <w:tr w14:paraId="2FF06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763F5">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2BB79">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45B8F">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1F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设备保养管理</w:t>
            </w:r>
          </w:p>
        </w:tc>
      </w:tr>
      <w:tr w14:paraId="3A7B6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B9BB1">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C2BCC">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6DD40">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73A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设备合同管理</w:t>
            </w:r>
          </w:p>
        </w:tc>
      </w:tr>
      <w:tr w14:paraId="1C597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1DCA8">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8C1B8">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FB7ED">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59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设备档案管理</w:t>
            </w:r>
          </w:p>
        </w:tc>
      </w:tr>
      <w:tr w14:paraId="43E7A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74ABA">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3F761">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0A71D">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90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设备台账管理</w:t>
            </w:r>
          </w:p>
        </w:tc>
      </w:tr>
      <w:tr w14:paraId="245A0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9887E">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A3B77">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560A6">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90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计量设备管理</w:t>
            </w:r>
          </w:p>
        </w:tc>
      </w:tr>
      <w:tr w14:paraId="56142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13315">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02D5B">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6482A">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6E8E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设备报废管理</w:t>
            </w:r>
          </w:p>
        </w:tc>
      </w:tr>
      <w:tr w14:paraId="3CEA8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D614D">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0A3F6">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B9A4C">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CD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设备折旧管理</w:t>
            </w:r>
          </w:p>
        </w:tc>
      </w:tr>
      <w:tr w14:paraId="2873B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EEA55">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1FF75">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EAF2D">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13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设备账务管理</w:t>
            </w:r>
          </w:p>
        </w:tc>
      </w:tr>
      <w:tr w14:paraId="5799A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BC1D1">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94AA2">
            <w:pPr>
              <w:jc w:val="center"/>
              <w:rPr>
                <w:rFonts w:hint="eastAsia" w:ascii="宋体" w:hAnsi="宋体" w:eastAsia="宋体" w:cs="宋体"/>
                <w:i w:val="0"/>
                <w:iCs w:val="0"/>
                <w:color w:val="000000"/>
                <w:sz w:val="20"/>
                <w:szCs w:val="20"/>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B30F9">
            <w:pPr>
              <w:jc w:val="center"/>
              <w:rPr>
                <w:rFonts w:hint="eastAsia" w:ascii="宋体" w:hAnsi="宋体" w:eastAsia="宋体" w:cs="宋体"/>
                <w:i w:val="0"/>
                <w:iCs w:val="0"/>
                <w:color w:val="000000"/>
                <w:sz w:val="20"/>
                <w:szCs w:val="20"/>
                <w:u w:val="none"/>
              </w:rPr>
            </w:pP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9A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设备项目管理（安装、验收）</w:t>
            </w:r>
          </w:p>
        </w:tc>
      </w:tr>
      <w:tr w14:paraId="78DB1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72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40E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消毒追溯管理系统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9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基础信息管理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3C5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基础信息管理</w:t>
            </w:r>
          </w:p>
        </w:tc>
      </w:tr>
      <w:tr w14:paraId="0DD1F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30378">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95526">
            <w:pPr>
              <w:jc w:val="center"/>
              <w:rPr>
                <w:rFonts w:hint="eastAsia" w:ascii="宋体" w:hAnsi="宋体" w:eastAsia="宋体" w:cs="宋体"/>
                <w:i w:val="0"/>
                <w:iCs w:val="0"/>
                <w:color w:val="000000"/>
                <w:sz w:val="22"/>
                <w:szCs w:val="22"/>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7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消毒包过程管理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B4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消毒包过程管理</w:t>
            </w:r>
          </w:p>
        </w:tc>
      </w:tr>
      <w:tr w14:paraId="6E8B1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85208">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6DC1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C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消毒包临床使用登记</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50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消毒包临床使用登记</w:t>
            </w:r>
          </w:p>
        </w:tc>
      </w:tr>
      <w:tr w14:paraId="38FE8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1AD32">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419E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6BB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消毒请领管理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E7E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消毒请领管理</w:t>
            </w:r>
          </w:p>
        </w:tc>
      </w:tr>
      <w:tr w14:paraId="01781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A11ED">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0BE95">
            <w:pPr>
              <w:jc w:val="center"/>
              <w:rPr>
                <w:rFonts w:hint="eastAsia" w:ascii="宋体" w:hAnsi="宋体" w:eastAsia="宋体" w:cs="宋体"/>
                <w:i w:val="0"/>
                <w:iCs w:val="0"/>
                <w:color w:val="000000"/>
                <w:sz w:val="22"/>
                <w:szCs w:val="22"/>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15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消毒包质控管理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ED40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消毒包质控管理</w:t>
            </w:r>
          </w:p>
        </w:tc>
      </w:tr>
      <w:tr w14:paraId="7EBF4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7A54A">
            <w:pPr>
              <w:jc w:val="center"/>
              <w:rPr>
                <w:rFonts w:hint="eastAsia" w:ascii="宋体" w:hAnsi="宋体" w:eastAsia="宋体" w:cs="宋体"/>
                <w:i w:val="0"/>
                <w:iCs w:val="0"/>
                <w:color w:val="000000"/>
                <w:sz w:val="22"/>
                <w:szCs w:val="22"/>
                <w:u w:val="none"/>
              </w:rPr>
            </w:pPr>
          </w:p>
        </w:tc>
        <w:tc>
          <w:tcPr>
            <w:tcW w:w="1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18C79">
            <w:pPr>
              <w:jc w:val="center"/>
              <w:rPr>
                <w:rFonts w:hint="eastAsia" w:ascii="宋体" w:hAnsi="宋体" w:eastAsia="宋体" w:cs="宋体"/>
                <w:i w:val="0"/>
                <w:iCs w:val="0"/>
                <w:color w:val="000000"/>
                <w:sz w:val="22"/>
                <w:szCs w:val="22"/>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24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护士长管理</w:t>
            </w:r>
          </w:p>
        </w:tc>
        <w:tc>
          <w:tcPr>
            <w:tcW w:w="5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E7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护士长管理</w:t>
            </w:r>
          </w:p>
        </w:tc>
      </w:tr>
    </w:tbl>
    <w:p w14:paraId="486D21F8">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仿宋_GB2312" w:eastAsia="仿宋_GB2312" w:cs="仿宋_GB2312"/>
          <w:bCs/>
          <w:color w:val="auto"/>
          <w:kern w:val="0"/>
          <w:sz w:val="28"/>
          <w:szCs w:val="28"/>
          <w:lang w:val="en-US" w:eastAsia="zh-CN" w:bidi="ar-SA"/>
        </w:rPr>
      </w:pPr>
    </w:p>
    <w:p w14:paraId="74BAB820">
      <w:pPr>
        <w:pStyle w:val="6"/>
        <w:keepNext w:val="0"/>
        <w:keepLines w:val="0"/>
        <w:pageBreakBefore w:val="0"/>
        <w:widowControl w:val="0"/>
        <w:kinsoku/>
        <w:wordWrap/>
        <w:overflowPunct/>
        <w:topLinePunct w:val="0"/>
        <w:bidi w:val="0"/>
        <w:snapToGrid/>
        <w:spacing w:line="480" w:lineRule="exact"/>
        <w:ind w:firstLine="480" w:firstLineChars="200"/>
        <w:jc w:val="both"/>
        <w:textAlignment w:val="auto"/>
        <w:rPr>
          <w:rFonts w:hint="eastAsia" w:ascii="仿宋" w:hAnsi="仿宋" w:eastAsia="仿宋" w:cs="仿宋"/>
          <w:sz w:val="24"/>
        </w:rPr>
      </w:pPr>
    </w:p>
    <w:p w14:paraId="310156A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第三章</w:t>
      </w:r>
      <w:r>
        <w:rPr>
          <w:rFonts w:hint="eastAsia" w:ascii="宋体" w:hAnsi="宋体" w:cs="宋体"/>
          <w:color w:val="auto"/>
          <w:sz w:val="30"/>
          <w:szCs w:val="30"/>
        </w:rPr>
        <w:t>投标文件的格式</w:t>
      </w:r>
    </w:p>
    <w:p w14:paraId="44CF23D2">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5C34550A">
      <w:pPr>
        <w:rPr>
          <w:rFonts w:hint="eastAsia" w:ascii="宋体" w:hAnsi="宋体" w:cs="宋体"/>
          <w:color w:val="auto"/>
        </w:rPr>
      </w:pPr>
    </w:p>
    <w:bookmarkEnd w:id="1"/>
    <w:p w14:paraId="3EFEBBAB">
      <w:pPr>
        <w:rPr>
          <w:rFonts w:hint="eastAsia"/>
          <w:color w:val="auto"/>
        </w:rPr>
      </w:pPr>
    </w:p>
    <w:p w14:paraId="3067E5C8">
      <w:pPr>
        <w:jc w:val="center"/>
        <w:rPr>
          <w:b/>
          <w:color w:val="auto"/>
          <w:sz w:val="24"/>
        </w:rPr>
      </w:pPr>
      <w:r>
        <w:rPr>
          <w:b/>
          <w:color w:val="auto"/>
          <w:sz w:val="28"/>
          <w:szCs w:val="28"/>
        </w:rPr>
        <w:t>第一部分、开标一览表</w:t>
      </w:r>
    </w:p>
    <w:p w14:paraId="0F45E72B">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14:paraId="30A2EA32">
      <w:pPr>
        <w:pStyle w:val="22"/>
        <w:rPr>
          <w:color w:val="auto"/>
        </w:rPr>
      </w:pPr>
    </w:p>
    <w:p w14:paraId="38A7B552">
      <w:pPr>
        <w:adjustRightInd w:val="0"/>
        <w:snapToGrid w:val="0"/>
        <w:spacing w:line="360" w:lineRule="auto"/>
        <w:jc w:val="center"/>
        <w:rPr>
          <w:rFonts w:hint="eastAsia" w:ascii="宋体" w:hAnsi="宋体" w:cs="宋体"/>
          <w:b/>
          <w:color w:val="auto"/>
          <w:sz w:val="28"/>
          <w:szCs w:val="28"/>
        </w:rPr>
      </w:pPr>
    </w:p>
    <w:p w14:paraId="331DD0B8">
      <w:pPr>
        <w:adjustRightInd w:val="0"/>
        <w:snapToGrid w:val="0"/>
        <w:spacing w:line="360" w:lineRule="auto"/>
        <w:jc w:val="center"/>
        <w:rPr>
          <w:rFonts w:hint="eastAsia" w:ascii="宋体" w:hAnsi="宋体" w:cs="宋体"/>
          <w:b/>
          <w:color w:val="auto"/>
          <w:sz w:val="28"/>
          <w:szCs w:val="28"/>
        </w:rPr>
      </w:pPr>
    </w:p>
    <w:p w14:paraId="3A9A539E">
      <w:pPr>
        <w:adjustRightInd w:val="0"/>
        <w:snapToGrid w:val="0"/>
        <w:spacing w:line="360" w:lineRule="auto"/>
        <w:jc w:val="center"/>
        <w:rPr>
          <w:rFonts w:hint="eastAsia" w:ascii="宋体" w:hAnsi="宋体" w:cs="宋体"/>
          <w:b/>
          <w:color w:val="auto"/>
          <w:sz w:val="28"/>
          <w:szCs w:val="28"/>
        </w:rPr>
      </w:pPr>
    </w:p>
    <w:p w14:paraId="5B595E2B">
      <w:pPr>
        <w:adjustRightInd w:val="0"/>
        <w:snapToGrid w:val="0"/>
        <w:spacing w:line="360" w:lineRule="auto"/>
        <w:jc w:val="center"/>
        <w:rPr>
          <w:rFonts w:hint="eastAsia" w:ascii="宋体" w:hAnsi="宋体" w:cs="宋体"/>
          <w:b/>
          <w:color w:val="auto"/>
          <w:sz w:val="28"/>
          <w:szCs w:val="28"/>
        </w:rPr>
      </w:pPr>
    </w:p>
    <w:p w14:paraId="76E01CA1">
      <w:pPr>
        <w:adjustRightInd w:val="0"/>
        <w:snapToGrid w:val="0"/>
        <w:spacing w:line="360" w:lineRule="auto"/>
        <w:jc w:val="center"/>
        <w:rPr>
          <w:rFonts w:hint="eastAsia" w:ascii="宋体" w:hAnsi="宋体" w:cs="宋体"/>
          <w:b/>
          <w:color w:val="auto"/>
          <w:sz w:val="28"/>
          <w:szCs w:val="28"/>
        </w:rPr>
      </w:pPr>
    </w:p>
    <w:p w14:paraId="396A0E96">
      <w:pPr>
        <w:adjustRightInd w:val="0"/>
        <w:snapToGrid w:val="0"/>
        <w:spacing w:line="360" w:lineRule="auto"/>
        <w:jc w:val="center"/>
        <w:rPr>
          <w:rFonts w:hint="eastAsia" w:ascii="宋体" w:hAnsi="宋体" w:cs="宋体"/>
          <w:b/>
          <w:color w:val="auto"/>
          <w:sz w:val="28"/>
          <w:szCs w:val="28"/>
        </w:rPr>
      </w:pPr>
    </w:p>
    <w:p w14:paraId="6AE46E3D">
      <w:pPr>
        <w:adjustRightInd w:val="0"/>
        <w:snapToGrid w:val="0"/>
        <w:spacing w:line="360" w:lineRule="auto"/>
        <w:jc w:val="center"/>
        <w:rPr>
          <w:rFonts w:hint="eastAsia" w:ascii="宋体" w:hAnsi="宋体" w:cs="宋体"/>
          <w:b/>
          <w:color w:val="auto"/>
          <w:sz w:val="28"/>
          <w:szCs w:val="28"/>
        </w:rPr>
      </w:pPr>
    </w:p>
    <w:p w14:paraId="1F4D20FF">
      <w:pPr>
        <w:adjustRightInd w:val="0"/>
        <w:snapToGrid w:val="0"/>
        <w:spacing w:line="360" w:lineRule="auto"/>
        <w:jc w:val="center"/>
        <w:rPr>
          <w:rFonts w:hint="eastAsia" w:ascii="宋体" w:hAnsi="宋体" w:cs="宋体"/>
          <w:b/>
          <w:color w:val="auto"/>
          <w:sz w:val="28"/>
          <w:szCs w:val="28"/>
        </w:rPr>
      </w:pPr>
    </w:p>
    <w:p w14:paraId="0A3BEDB1">
      <w:pPr>
        <w:adjustRightInd w:val="0"/>
        <w:snapToGrid w:val="0"/>
        <w:spacing w:line="360" w:lineRule="auto"/>
        <w:jc w:val="center"/>
        <w:rPr>
          <w:rFonts w:hint="eastAsia" w:ascii="宋体" w:hAnsi="宋体" w:cs="宋体"/>
          <w:b/>
          <w:color w:val="auto"/>
          <w:sz w:val="28"/>
          <w:szCs w:val="28"/>
        </w:rPr>
      </w:pPr>
    </w:p>
    <w:p w14:paraId="5A6BE973">
      <w:pPr>
        <w:adjustRightInd w:val="0"/>
        <w:snapToGrid w:val="0"/>
        <w:spacing w:line="360" w:lineRule="auto"/>
        <w:jc w:val="center"/>
        <w:rPr>
          <w:rFonts w:hint="eastAsia" w:ascii="宋体" w:hAnsi="宋体" w:cs="宋体"/>
          <w:b/>
          <w:color w:val="auto"/>
          <w:sz w:val="28"/>
          <w:szCs w:val="28"/>
        </w:rPr>
      </w:pPr>
    </w:p>
    <w:p w14:paraId="077D27DF">
      <w:pPr>
        <w:adjustRightInd w:val="0"/>
        <w:snapToGrid w:val="0"/>
        <w:spacing w:line="360" w:lineRule="auto"/>
        <w:jc w:val="center"/>
        <w:rPr>
          <w:rFonts w:hint="eastAsia" w:ascii="宋体" w:hAnsi="宋体" w:cs="宋体"/>
          <w:b/>
          <w:color w:val="auto"/>
          <w:sz w:val="28"/>
          <w:szCs w:val="28"/>
        </w:rPr>
      </w:pPr>
    </w:p>
    <w:p w14:paraId="664750C7">
      <w:pPr>
        <w:adjustRightInd w:val="0"/>
        <w:snapToGrid w:val="0"/>
        <w:spacing w:line="360" w:lineRule="auto"/>
        <w:jc w:val="center"/>
        <w:rPr>
          <w:rFonts w:hint="eastAsia" w:ascii="宋体" w:hAnsi="宋体" w:cs="宋体"/>
          <w:b/>
          <w:color w:val="auto"/>
          <w:sz w:val="28"/>
          <w:szCs w:val="28"/>
        </w:rPr>
      </w:pPr>
    </w:p>
    <w:p w14:paraId="1619E6AC">
      <w:pPr>
        <w:adjustRightInd w:val="0"/>
        <w:snapToGrid w:val="0"/>
        <w:spacing w:line="360" w:lineRule="auto"/>
        <w:jc w:val="center"/>
        <w:rPr>
          <w:rFonts w:hint="eastAsia" w:ascii="宋体" w:hAnsi="宋体" w:cs="宋体"/>
          <w:b/>
          <w:color w:val="auto"/>
          <w:sz w:val="28"/>
          <w:szCs w:val="28"/>
        </w:rPr>
      </w:pPr>
    </w:p>
    <w:p w14:paraId="5E79E8C4">
      <w:pPr>
        <w:adjustRightInd w:val="0"/>
        <w:snapToGrid w:val="0"/>
        <w:spacing w:line="360" w:lineRule="auto"/>
        <w:jc w:val="center"/>
        <w:rPr>
          <w:rFonts w:hint="eastAsia" w:ascii="宋体" w:hAnsi="宋体" w:cs="宋体"/>
          <w:b/>
          <w:color w:val="auto"/>
          <w:sz w:val="28"/>
          <w:szCs w:val="28"/>
        </w:rPr>
      </w:pPr>
    </w:p>
    <w:p w14:paraId="254507CD">
      <w:pPr>
        <w:adjustRightInd w:val="0"/>
        <w:snapToGrid w:val="0"/>
        <w:spacing w:line="360" w:lineRule="auto"/>
        <w:jc w:val="center"/>
        <w:rPr>
          <w:rFonts w:hint="eastAsia" w:ascii="宋体" w:hAnsi="宋体" w:cs="宋体"/>
          <w:b/>
          <w:color w:val="auto"/>
          <w:sz w:val="28"/>
          <w:szCs w:val="28"/>
        </w:rPr>
      </w:pPr>
    </w:p>
    <w:p w14:paraId="4C3E7405">
      <w:pPr>
        <w:adjustRightInd w:val="0"/>
        <w:snapToGrid w:val="0"/>
        <w:spacing w:line="360" w:lineRule="auto"/>
        <w:jc w:val="center"/>
        <w:rPr>
          <w:rFonts w:hint="eastAsia" w:ascii="宋体" w:hAnsi="宋体" w:cs="宋体"/>
          <w:b/>
          <w:color w:val="auto"/>
          <w:sz w:val="28"/>
          <w:szCs w:val="28"/>
        </w:rPr>
      </w:pPr>
    </w:p>
    <w:p w14:paraId="6E861038">
      <w:pPr>
        <w:adjustRightInd w:val="0"/>
        <w:snapToGrid w:val="0"/>
        <w:spacing w:line="360" w:lineRule="auto"/>
        <w:jc w:val="center"/>
        <w:rPr>
          <w:rFonts w:hint="eastAsia" w:ascii="宋体" w:hAnsi="宋体" w:cs="宋体"/>
          <w:b/>
          <w:color w:val="auto"/>
          <w:sz w:val="28"/>
          <w:szCs w:val="28"/>
        </w:rPr>
      </w:pPr>
    </w:p>
    <w:p w14:paraId="016E7C72">
      <w:pPr>
        <w:adjustRightInd w:val="0"/>
        <w:snapToGrid w:val="0"/>
        <w:spacing w:line="360" w:lineRule="auto"/>
        <w:jc w:val="center"/>
        <w:rPr>
          <w:rFonts w:hint="eastAsia" w:ascii="宋体" w:hAnsi="宋体" w:cs="宋体"/>
          <w:b/>
          <w:color w:val="auto"/>
          <w:sz w:val="28"/>
          <w:szCs w:val="28"/>
        </w:rPr>
      </w:pPr>
    </w:p>
    <w:p w14:paraId="6B663503">
      <w:pPr>
        <w:adjustRightInd w:val="0"/>
        <w:snapToGrid w:val="0"/>
        <w:spacing w:line="360" w:lineRule="auto"/>
        <w:jc w:val="center"/>
        <w:rPr>
          <w:rFonts w:hint="eastAsia" w:ascii="宋体" w:hAnsi="宋体" w:cs="宋体"/>
          <w:b/>
          <w:color w:val="auto"/>
          <w:sz w:val="28"/>
          <w:szCs w:val="28"/>
        </w:rPr>
      </w:pPr>
    </w:p>
    <w:p w14:paraId="675508EA">
      <w:pPr>
        <w:adjustRightInd w:val="0"/>
        <w:snapToGrid w:val="0"/>
        <w:spacing w:line="360" w:lineRule="auto"/>
        <w:jc w:val="center"/>
        <w:rPr>
          <w:rFonts w:hint="eastAsia" w:ascii="宋体" w:hAnsi="宋体" w:cs="宋体"/>
          <w:b/>
          <w:color w:val="auto"/>
          <w:sz w:val="28"/>
          <w:szCs w:val="28"/>
        </w:rPr>
      </w:pPr>
    </w:p>
    <w:p w14:paraId="49D012BE">
      <w:pPr>
        <w:adjustRightInd w:val="0"/>
        <w:snapToGrid w:val="0"/>
        <w:spacing w:line="360" w:lineRule="auto"/>
        <w:jc w:val="center"/>
        <w:rPr>
          <w:rFonts w:hint="eastAsia" w:ascii="宋体" w:hAnsi="宋体" w:cs="宋体"/>
          <w:b/>
          <w:color w:val="auto"/>
          <w:sz w:val="28"/>
          <w:szCs w:val="28"/>
        </w:rPr>
      </w:pPr>
    </w:p>
    <w:p w14:paraId="5639F5B8">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CBFAFF8">
      <w:pPr>
        <w:pStyle w:val="21"/>
        <w:rPr>
          <w:rFonts w:hint="eastAsia"/>
          <w:lang w:eastAsia="zh-CN"/>
        </w:rPr>
      </w:pPr>
    </w:p>
    <w:p w14:paraId="2B96E86C">
      <w:pPr>
        <w:adjustRightInd w:val="0"/>
        <w:snapToGrid w:val="0"/>
        <w:spacing w:line="360" w:lineRule="auto"/>
        <w:jc w:val="center"/>
        <w:rPr>
          <w:rFonts w:hint="eastAsia" w:ascii="宋体" w:hAnsi="宋体" w:cs="宋体"/>
          <w:b/>
          <w:color w:val="auto"/>
          <w:sz w:val="24"/>
          <w:szCs w:val="20"/>
        </w:rPr>
      </w:pPr>
    </w:p>
    <w:p w14:paraId="5861645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108B5B2">
      <w:pPr>
        <w:adjustRightInd w:val="0"/>
        <w:snapToGrid w:val="0"/>
        <w:spacing w:line="360" w:lineRule="auto"/>
        <w:rPr>
          <w:rFonts w:hint="eastAsia" w:ascii="宋体" w:hAnsi="宋体" w:cs="宋体"/>
          <w:b/>
          <w:color w:val="auto"/>
          <w:sz w:val="28"/>
          <w:szCs w:val="28"/>
        </w:rPr>
      </w:pPr>
    </w:p>
    <w:p w14:paraId="70C98E2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（采购编号：）投标文件、签订合同和处理有关事宜，其法律后果由我方承担。</w:t>
      </w:r>
    </w:p>
    <w:p w14:paraId="33E6BAE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p>
    <w:p w14:paraId="342DAF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4E804A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本授权书于日期：年月日签字生效，特此声明。</w:t>
      </w:r>
    </w:p>
    <w:p w14:paraId="45F8D755">
      <w:pPr>
        <w:adjustRightInd w:val="0"/>
        <w:snapToGrid w:val="0"/>
        <w:spacing w:line="360" w:lineRule="auto"/>
        <w:ind w:firstLine="480" w:firstLineChars="200"/>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280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BF534D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7B13F04E">
      <w:pPr>
        <w:adjustRightInd w:val="0"/>
        <w:snapToGrid w:val="0"/>
        <w:spacing w:line="360" w:lineRule="auto"/>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B6B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231B0B5">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7A714E3">
      <w:pPr>
        <w:adjustRightInd w:val="0"/>
        <w:snapToGrid w:val="0"/>
        <w:spacing w:line="360" w:lineRule="auto"/>
        <w:rPr>
          <w:rFonts w:hint="eastAsia" w:ascii="宋体" w:hAnsi="宋体" w:cs="宋体"/>
          <w:color w:val="auto"/>
          <w:sz w:val="24"/>
        </w:rPr>
      </w:pPr>
    </w:p>
    <w:p w14:paraId="52848829">
      <w:pPr>
        <w:adjustRightInd w:val="0"/>
        <w:snapToGrid w:val="0"/>
        <w:spacing w:line="360" w:lineRule="auto"/>
        <w:rPr>
          <w:rFonts w:hint="eastAsia" w:ascii="宋体" w:hAnsi="宋体" w:cs="宋体"/>
          <w:color w:val="auto"/>
          <w:sz w:val="24"/>
        </w:rPr>
      </w:pPr>
    </w:p>
    <w:p w14:paraId="0EE0215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9589E9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7FD7CFA">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F1E3E30">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日期：年月日</w:t>
      </w:r>
    </w:p>
    <w:p w14:paraId="7AF40CD1">
      <w:pPr>
        <w:adjustRightInd w:val="0"/>
        <w:snapToGrid w:val="0"/>
        <w:spacing w:line="360" w:lineRule="auto"/>
        <w:rPr>
          <w:rFonts w:hint="eastAsia" w:ascii="宋体" w:hAnsi="宋体" w:cs="宋体"/>
          <w:b/>
          <w:color w:val="auto"/>
          <w:sz w:val="28"/>
          <w:szCs w:val="28"/>
        </w:rPr>
      </w:pPr>
    </w:p>
    <w:p w14:paraId="25E55F2B">
      <w:pPr>
        <w:adjustRightInd w:val="0"/>
        <w:snapToGrid w:val="0"/>
        <w:spacing w:line="360" w:lineRule="auto"/>
        <w:rPr>
          <w:rFonts w:hint="eastAsia" w:ascii="宋体" w:hAnsi="宋体" w:cs="宋体"/>
          <w:b/>
          <w:color w:val="auto"/>
          <w:sz w:val="28"/>
          <w:szCs w:val="28"/>
        </w:rPr>
      </w:pPr>
    </w:p>
    <w:p w14:paraId="469DBE46">
      <w:pPr>
        <w:adjustRightInd w:val="0"/>
        <w:snapToGrid w:val="0"/>
        <w:spacing w:line="360" w:lineRule="auto"/>
        <w:rPr>
          <w:rFonts w:hint="eastAsia" w:ascii="宋体" w:hAnsi="宋体" w:cs="宋体"/>
          <w:b/>
          <w:color w:val="auto"/>
          <w:sz w:val="28"/>
          <w:szCs w:val="28"/>
        </w:rPr>
      </w:pPr>
    </w:p>
    <w:p w14:paraId="52675198">
      <w:pPr>
        <w:adjustRightInd w:val="0"/>
        <w:snapToGrid w:val="0"/>
        <w:spacing w:line="360" w:lineRule="auto"/>
        <w:rPr>
          <w:rFonts w:hint="eastAsia" w:ascii="宋体" w:hAnsi="宋体" w:cs="宋体"/>
          <w:b/>
          <w:color w:val="auto"/>
          <w:sz w:val="28"/>
          <w:szCs w:val="28"/>
        </w:rPr>
      </w:pPr>
    </w:p>
    <w:p w14:paraId="3501AF05">
      <w:pPr>
        <w:adjustRightInd w:val="0"/>
        <w:snapToGrid w:val="0"/>
        <w:spacing w:line="360" w:lineRule="auto"/>
        <w:rPr>
          <w:rFonts w:hint="eastAsia" w:ascii="宋体" w:hAnsi="宋体" w:cs="宋体"/>
          <w:b/>
          <w:color w:val="auto"/>
          <w:sz w:val="28"/>
          <w:szCs w:val="28"/>
        </w:rPr>
      </w:pPr>
    </w:p>
    <w:p w14:paraId="71EA75F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6CA7A92">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p>
    <w:p w14:paraId="3864BF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7F7EE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一、我单位是按照中华人民共和国法律规定登记注册的，注册地点为，全称为，统一社会信用代码为，法定代表人为，具有独立承担民事责任的能力。</w:t>
      </w:r>
    </w:p>
    <w:p w14:paraId="3F02175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D1F8B2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0D6A6C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DF8B28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7306868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13BB831">
      <w:pPr>
        <w:adjustRightInd w:val="0"/>
        <w:snapToGrid w:val="0"/>
        <w:spacing w:before="120" w:beforeLines="50" w:line="360" w:lineRule="auto"/>
        <w:ind w:firstLine="480" w:firstLineChars="200"/>
        <w:rPr>
          <w:rFonts w:hint="eastAsia" w:ascii="宋体" w:hAnsi="宋体" w:eastAsia="宋体" w:cs="宋体"/>
          <w:color w:val="auto"/>
          <w:sz w:val="24"/>
          <w:u w:val="single"/>
          <w:lang w:eastAsia="zh-CN"/>
        </w:rPr>
      </w:pPr>
      <w:r>
        <w:rPr>
          <w:rFonts w:hint="eastAsia" w:ascii="宋体" w:hAnsi="宋体" w:cs="宋体"/>
          <w:color w:val="auto"/>
          <w:sz w:val="24"/>
        </w:rPr>
        <w:t>1、与我单位的法定代表人（单位负责人）为同一人的其他法人单位如下：</w:t>
      </w:r>
    </w:p>
    <w:p w14:paraId="17DEFD9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2、我单位直接控股的其他法人单位如下：</w:t>
      </w:r>
    </w:p>
    <w:p w14:paraId="46DF24E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3、与我单位存在管理关系的其他法人单位如下：</w:t>
      </w:r>
    </w:p>
    <w:p w14:paraId="76EFE26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79646D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726BA26">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7B78A2A">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1DA57B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日期：年月日</w:t>
      </w:r>
    </w:p>
    <w:p w14:paraId="1BD8A015">
      <w:pPr>
        <w:adjustRightInd w:val="0"/>
        <w:snapToGrid w:val="0"/>
        <w:spacing w:line="360" w:lineRule="auto"/>
        <w:jc w:val="center"/>
        <w:rPr>
          <w:rFonts w:hint="eastAsia" w:ascii="宋体" w:hAnsi="宋体" w:cs="宋体"/>
          <w:b/>
          <w:color w:val="auto"/>
          <w:sz w:val="24"/>
          <w:szCs w:val="20"/>
        </w:rPr>
      </w:pPr>
    </w:p>
    <w:p w14:paraId="5D3D97FD">
      <w:pPr>
        <w:adjustRightInd w:val="0"/>
        <w:snapToGrid w:val="0"/>
        <w:spacing w:line="360" w:lineRule="auto"/>
        <w:rPr>
          <w:rFonts w:hint="eastAsia" w:ascii="宋体" w:hAnsi="宋体" w:cs="宋体"/>
          <w:b/>
          <w:color w:val="auto"/>
          <w:sz w:val="24"/>
          <w:szCs w:val="20"/>
        </w:rPr>
      </w:pPr>
    </w:p>
    <w:p w14:paraId="7B70B43D">
      <w:pPr>
        <w:adjustRightInd w:val="0"/>
        <w:snapToGrid w:val="0"/>
        <w:spacing w:line="360" w:lineRule="auto"/>
        <w:rPr>
          <w:rFonts w:hint="eastAsia" w:ascii="宋体" w:hAnsi="宋体" w:cs="宋体"/>
          <w:b/>
          <w:color w:val="auto"/>
          <w:sz w:val="24"/>
          <w:szCs w:val="20"/>
        </w:rPr>
      </w:pPr>
    </w:p>
    <w:p w14:paraId="73994F6A">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0C0E3EE">
      <w:pPr>
        <w:adjustRightInd w:val="0"/>
        <w:snapToGrid w:val="0"/>
        <w:spacing w:line="360" w:lineRule="auto"/>
        <w:jc w:val="center"/>
        <w:rPr>
          <w:rFonts w:hint="eastAsia" w:ascii="宋体" w:hAnsi="宋体" w:cs="宋体"/>
          <w:b/>
          <w:color w:val="auto"/>
          <w:sz w:val="24"/>
          <w:szCs w:val="20"/>
        </w:rPr>
      </w:pPr>
    </w:p>
    <w:p w14:paraId="0B857110">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附件湖南省政府采购供应商资格承诺函</w:t>
      </w:r>
    </w:p>
    <w:p w14:paraId="47ED4A32">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FBFC65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6312A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本公司企业规模为：（大型、中型、小型、微型）</w:t>
      </w:r>
    </w:p>
    <w:p w14:paraId="7559559E">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统一社会信用代码：、注册登记机构：、注册日期：、有效期：、注册资本：、地址：、经济行业：、经济性质：</w:t>
      </w:r>
    </w:p>
    <w:p w14:paraId="03735B1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法定代表人姓名(签字)：、身份证号：、</w:t>
      </w:r>
    </w:p>
    <w:p w14:paraId="3016530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7B37C976">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授权代表人姓名(签字)：、身份证号：</w:t>
      </w:r>
    </w:p>
    <w:p w14:paraId="0A30681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6D1363E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E4D72D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供应商名称（盖公章）：</w:t>
      </w:r>
    </w:p>
    <w:p w14:paraId="464CE3C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2022年月日</w:t>
      </w:r>
    </w:p>
    <w:p w14:paraId="56646B6B">
      <w:pPr>
        <w:jc w:val="left"/>
        <w:rPr>
          <w:rFonts w:hint="eastAsia" w:ascii="宋体" w:hAnsi="宋体" w:eastAsia="宋体" w:cs="Times New Roman"/>
          <w:b w:val="0"/>
          <w:bCs w:val="0"/>
          <w:color w:val="auto"/>
          <w:kern w:val="2"/>
          <w:sz w:val="24"/>
          <w:szCs w:val="24"/>
          <w:lang w:val="en-US" w:eastAsia="zh-CN" w:bidi="ar-SA"/>
        </w:rPr>
      </w:pPr>
    </w:p>
    <w:p w14:paraId="40EAB82C">
      <w:pPr>
        <w:jc w:val="left"/>
        <w:rPr>
          <w:rFonts w:hint="eastAsia" w:ascii="宋体" w:hAnsi="宋体" w:eastAsia="宋体" w:cs="Times New Roman"/>
          <w:b w:val="0"/>
          <w:bCs w:val="0"/>
          <w:color w:val="auto"/>
          <w:kern w:val="2"/>
          <w:sz w:val="24"/>
          <w:szCs w:val="24"/>
          <w:lang w:val="en-US" w:eastAsia="zh-CN" w:bidi="ar-SA"/>
        </w:rPr>
      </w:pPr>
    </w:p>
    <w:p w14:paraId="35CF07E3">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7FDE3A2">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4D3CEC9A">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303C4822">
      <w:pPr>
        <w:pStyle w:val="21"/>
        <w:rPr>
          <w:rFonts w:hint="eastAsia"/>
          <w:lang w:eastAsia="zh-CN"/>
        </w:rPr>
      </w:pPr>
    </w:p>
    <w:p w14:paraId="14043263">
      <w:pPr>
        <w:spacing w:before="120" w:beforeLines="50" w:after="120" w:afterLines="50" w:line="276" w:lineRule="auto"/>
        <w:jc w:val="center"/>
        <w:rPr>
          <w:b/>
          <w:color w:val="auto"/>
          <w:sz w:val="24"/>
        </w:rPr>
      </w:pPr>
      <w:r>
        <w:rPr>
          <w:b/>
          <w:color w:val="auto"/>
          <w:sz w:val="24"/>
        </w:rPr>
        <w:t>采购需求响应</w:t>
      </w:r>
    </w:p>
    <w:p w14:paraId="1DBCB5B9">
      <w:pPr>
        <w:adjustRightInd w:val="0"/>
        <w:snapToGrid w:val="0"/>
        <w:spacing w:line="360" w:lineRule="auto"/>
        <w:rPr>
          <w:color w:val="auto"/>
          <w:szCs w:val="21"/>
        </w:rPr>
      </w:pPr>
      <w:r>
        <w:rPr>
          <w:rFonts w:hint="eastAsia"/>
          <w:color w:val="auto"/>
          <w:sz w:val="24"/>
        </w:rPr>
        <w:t>项目</w:t>
      </w:r>
      <w:r>
        <w:rPr>
          <w:color w:val="auto"/>
          <w:sz w:val="24"/>
        </w:rPr>
        <w:t>编号：项目名称：包号：</w:t>
      </w:r>
    </w:p>
    <w:tbl>
      <w:tblPr>
        <w:tblStyle w:val="17"/>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23E5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0EEE3A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1CF3AA3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667A888">
            <w:pPr>
              <w:adjustRightInd w:val="0"/>
              <w:snapToGrid w:val="0"/>
              <w:spacing w:before="50" w:line="360" w:lineRule="auto"/>
              <w:jc w:val="center"/>
              <w:rPr>
                <w:color w:val="auto"/>
              </w:rPr>
            </w:pPr>
            <w:r>
              <w:rPr>
                <w:color w:val="auto"/>
              </w:rPr>
              <w:t>招标文件要求</w:t>
            </w:r>
          </w:p>
        </w:tc>
        <w:tc>
          <w:tcPr>
            <w:tcW w:w="962" w:type="pct"/>
            <w:noWrap w:val="0"/>
            <w:vAlign w:val="top"/>
          </w:tcPr>
          <w:p w14:paraId="364B4C0F">
            <w:pPr>
              <w:adjustRightInd w:val="0"/>
              <w:snapToGrid w:val="0"/>
              <w:spacing w:before="50" w:line="360" w:lineRule="auto"/>
              <w:jc w:val="center"/>
              <w:rPr>
                <w:color w:val="auto"/>
              </w:rPr>
            </w:pPr>
            <w:r>
              <w:rPr>
                <w:color w:val="auto"/>
              </w:rPr>
              <w:t>投标文件应答</w:t>
            </w:r>
          </w:p>
        </w:tc>
        <w:tc>
          <w:tcPr>
            <w:tcW w:w="905" w:type="pct"/>
            <w:noWrap w:val="0"/>
            <w:vAlign w:val="center"/>
          </w:tcPr>
          <w:p w14:paraId="418A0985">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FC9E366">
            <w:pPr>
              <w:adjustRightInd w:val="0"/>
              <w:snapToGrid w:val="0"/>
              <w:spacing w:before="50" w:line="360" w:lineRule="auto"/>
              <w:ind w:left="-88" w:leftChars="-42"/>
              <w:jc w:val="center"/>
              <w:rPr>
                <w:color w:val="auto"/>
                <w:szCs w:val="21"/>
              </w:rPr>
            </w:pPr>
            <w:r>
              <w:rPr>
                <w:color w:val="auto"/>
                <w:szCs w:val="21"/>
              </w:rPr>
              <w:t>偏离说明</w:t>
            </w:r>
          </w:p>
        </w:tc>
      </w:tr>
      <w:tr w14:paraId="67921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46A8BF8">
            <w:pPr>
              <w:adjustRightInd w:val="0"/>
              <w:snapToGrid w:val="0"/>
              <w:spacing w:before="50" w:line="360" w:lineRule="auto"/>
              <w:ind w:left="-88" w:leftChars="-42"/>
              <w:jc w:val="center"/>
              <w:rPr>
                <w:color w:val="auto"/>
                <w:szCs w:val="21"/>
              </w:rPr>
            </w:pPr>
          </w:p>
        </w:tc>
        <w:tc>
          <w:tcPr>
            <w:tcW w:w="1123" w:type="pct"/>
            <w:noWrap w:val="0"/>
            <w:vAlign w:val="center"/>
          </w:tcPr>
          <w:p w14:paraId="227D20CB">
            <w:pPr>
              <w:adjustRightInd w:val="0"/>
              <w:snapToGrid w:val="0"/>
              <w:spacing w:before="50" w:line="360" w:lineRule="auto"/>
              <w:ind w:left="-88" w:leftChars="-42"/>
              <w:jc w:val="center"/>
              <w:rPr>
                <w:color w:val="auto"/>
                <w:szCs w:val="21"/>
              </w:rPr>
            </w:pPr>
          </w:p>
        </w:tc>
        <w:tc>
          <w:tcPr>
            <w:tcW w:w="1000" w:type="pct"/>
            <w:noWrap w:val="0"/>
            <w:vAlign w:val="center"/>
          </w:tcPr>
          <w:p w14:paraId="73AC5259">
            <w:pPr>
              <w:adjustRightInd w:val="0"/>
              <w:snapToGrid w:val="0"/>
              <w:spacing w:before="50" w:line="360" w:lineRule="auto"/>
              <w:ind w:left="-88" w:leftChars="-42"/>
              <w:jc w:val="center"/>
              <w:rPr>
                <w:color w:val="auto"/>
                <w:szCs w:val="21"/>
              </w:rPr>
            </w:pPr>
          </w:p>
        </w:tc>
        <w:tc>
          <w:tcPr>
            <w:tcW w:w="962" w:type="pct"/>
            <w:noWrap w:val="0"/>
            <w:vAlign w:val="center"/>
          </w:tcPr>
          <w:p w14:paraId="0650FC38">
            <w:pPr>
              <w:adjustRightInd w:val="0"/>
              <w:snapToGrid w:val="0"/>
              <w:spacing w:before="50" w:line="360" w:lineRule="auto"/>
              <w:ind w:left="-88" w:leftChars="-42"/>
              <w:jc w:val="center"/>
              <w:rPr>
                <w:color w:val="auto"/>
                <w:szCs w:val="21"/>
              </w:rPr>
            </w:pPr>
          </w:p>
        </w:tc>
        <w:tc>
          <w:tcPr>
            <w:tcW w:w="905" w:type="pct"/>
            <w:noWrap w:val="0"/>
            <w:vAlign w:val="center"/>
          </w:tcPr>
          <w:p w14:paraId="5D51330B">
            <w:pPr>
              <w:adjustRightInd w:val="0"/>
              <w:snapToGrid w:val="0"/>
              <w:spacing w:before="50" w:line="360" w:lineRule="auto"/>
              <w:ind w:left="-88" w:leftChars="-42"/>
              <w:jc w:val="center"/>
              <w:rPr>
                <w:color w:val="auto"/>
                <w:szCs w:val="21"/>
              </w:rPr>
            </w:pPr>
          </w:p>
        </w:tc>
        <w:tc>
          <w:tcPr>
            <w:tcW w:w="634" w:type="pct"/>
            <w:noWrap w:val="0"/>
            <w:vAlign w:val="center"/>
          </w:tcPr>
          <w:p w14:paraId="16FB1433">
            <w:pPr>
              <w:adjustRightInd w:val="0"/>
              <w:snapToGrid w:val="0"/>
              <w:spacing w:before="50" w:line="360" w:lineRule="auto"/>
              <w:ind w:left="-88" w:leftChars="-42"/>
              <w:jc w:val="center"/>
              <w:rPr>
                <w:color w:val="auto"/>
                <w:szCs w:val="21"/>
              </w:rPr>
            </w:pPr>
          </w:p>
        </w:tc>
      </w:tr>
      <w:tr w14:paraId="0920F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0143490">
            <w:pPr>
              <w:adjustRightInd w:val="0"/>
              <w:snapToGrid w:val="0"/>
              <w:spacing w:before="50" w:line="360" w:lineRule="auto"/>
              <w:ind w:left="-88" w:leftChars="-42"/>
              <w:jc w:val="center"/>
              <w:rPr>
                <w:color w:val="auto"/>
                <w:szCs w:val="21"/>
              </w:rPr>
            </w:pPr>
          </w:p>
        </w:tc>
        <w:tc>
          <w:tcPr>
            <w:tcW w:w="1123" w:type="pct"/>
            <w:noWrap w:val="0"/>
            <w:vAlign w:val="center"/>
          </w:tcPr>
          <w:p w14:paraId="78698528">
            <w:pPr>
              <w:adjustRightInd w:val="0"/>
              <w:snapToGrid w:val="0"/>
              <w:spacing w:before="50" w:line="360" w:lineRule="auto"/>
              <w:ind w:left="-88" w:leftChars="-42"/>
              <w:jc w:val="center"/>
              <w:rPr>
                <w:color w:val="auto"/>
                <w:szCs w:val="21"/>
              </w:rPr>
            </w:pPr>
          </w:p>
        </w:tc>
        <w:tc>
          <w:tcPr>
            <w:tcW w:w="1000" w:type="pct"/>
            <w:noWrap w:val="0"/>
            <w:vAlign w:val="center"/>
          </w:tcPr>
          <w:p w14:paraId="17AEB32C">
            <w:pPr>
              <w:adjustRightInd w:val="0"/>
              <w:snapToGrid w:val="0"/>
              <w:spacing w:before="50" w:line="360" w:lineRule="auto"/>
              <w:ind w:left="-88" w:leftChars="-42"/>
              <w:jc w:val="center"/>
              <w:rPr>
                <w:color w:val="auto"/>
                <w:szCs w:val="21"/>
              </w:rPr>
            </w:pPr>
          </w:p>
        </w:tc>
        <w:tc>
          <w:tcPr>
            <w:tcW w:w="962" w:type="pct"/>
            <w:noWrap w:val="0"/>
            <w:vAlign w:val="center"/>
          </w:tcPr>
          <w:p w14:paraId="4A51B935">
            <w:pPr>
              <w:adjustRightInd w:val="0"/>
              <w:snapToGrid w:val="0"/>
              <w:spacing w:before="50" w:line="360" w:lineRule="auto"/>
              <w:ind w:left="-88" w:leftChars="-42"/>
              <w:jc w:val="center"/>
              <w:rPr>
                <w:color w:val="auto"/>
                <w:szCs w:val="21"/>
              </w:rPr>
            </w:pPr>
          </w:p>
        </w:tc>
        <w:tc>
          <w:tcPr>
            <w:tcW w:w="905" w:type="pct"/>
            <w:noWrap w:val="0"/>
            <w:vAlign w:val="center"/>
          </w:tcPr>
          <w:p w14:paraId="7A1990AC">
            <w:pPr>
              <w:adjustRightInd w:val="0"/>
              <w:snapToGrid w:val="0"/>
              <w:spacing w:before="50" w:line="360" w:lineRule="auto"/>
              <w:ind w:left="-88" w:leftChars="-42"/>
              <w:jc w:val="center"/>
              <w:rPr>
                <w:color w:val="auto"/>
                <w:szCs w:val="21"/>
              </w:rPr>
            </w:pPr>
          </w:p>
        </w:tc>
        <w:tc>
          <w:tcPr>
            <w:tcW w:w="634" w:type="pct"/>
            <w:noWrap w:val="0"/>
            <w:vAlign w:val="center"/>
          </w:tcPr>
          <w:p w14:paraId="6F081B65">
            <w:pPr>
              <w:adjustRightInd w:val="0"/>
              <w:snapToGrid w:val="0"/>
              <w:spacing w:before="50" w:line="360" w:lineRule="auto"/>
              <w:ind w:left="-88" w:leftChars="-42"/>
              <w:jc w:val="center"/>
              <w:rPr>
                <w:color w:val="auto"/>
                <w:szCs w:val="21"/>
              </w:rPr>
            </w:pPr>
          </w:p>
        </w:tc>
      </w:tr>
      <w:tr w14:paraId="09DD9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2913E2F">
            <w:pPr>
              <w:adjustRightInd w:val="0"/>
              <w:snapToGrid w:val="0"/>
              <w:spacing w:before="50" w:line="360" w:lineRule="auto"/>
              <w:ind w:left="-88" w:leftChars="-42"/>
              <w:jc w:val="center"/>
              <w:rPr>
                <w:color w:val="auto"/>
                <w:szCs w:val="21"/>
              </w:rPr>
            </w:pPr>
          </w:p>
        </w:tc>
        <w:tc>
          <w:tcPr>
            <w:tcW w:w="1123" w:type="pct"/>
            <w:noWrap w:val="0"/>
            <w:vAlign w:val="center"/>
          </w:tcPr>
          <w:p w14:paraId="76A8A0FF">
            <w:pPr>
              <w:adjustRightInd w:val="0"/>
              <w:snapToGrid w:val="0"/>
              <w:spacing w:before="50" w:line="360" w:lineRule="auto"/>
              <w:ind w:left="-88" w:leftChars="-42"/>
              <w:jc w:val="center"/>
              <w:rPr>
                <w:color w:val="auto"/>
                <w:szCs w:val="21"/>
              </w:rPr>
            </w:pPr>
          </w:p>
        </w:tc>
        <w:tc>
          <w:tcPr>
            <w:tcW w:w="1000" w:type="pct"/>
            <w:noWrap w:val="0"/>
            <w:vAlign w:val="center"/>
          </w:tcPr>
          <w:p w14:paraId="0B5F37AD">
            <w:pPr>
              <w:adjustRightInd w:val="0"/>
              <w:snapToGrid w:val="0"/>
              <w:spacing w:before="50" w:line="360" w:lineRule="auto"/>
              <w:ind w:left="-88" w:leftChars="-42"/>
              <w:jc w:val="center"/>
              <w:rPr>
                <w:color w:val="auto"/>
                <w:szCs w:val="21"/>
              </w:rPr>
            </w:pPr>
          </w:p>
        </w:tc>
        <w:tc>
          <w:tcPr>
            <w:tcW w:w="962" w:type="pct"/>
            <w:noWrap w:val="0"/>
            <w:vAlign w:val="center"/>
          </w:tcPr>
          <w:p w14:paraId="17172F30">
            <w:pPr>
              <w:adjustRightInd w:val="0"/>
              <w:snapToGrid w:val="0"/>
              <w:spacing w:before="50" w:line="360" w:lineRule="auto"/>
              <w:ind w:left="-88" w:leftChars="-42"/>
              <w:jc w:val="center"/>
              <w:rPr>
                <w:color w:val="auto"/>
                <w:szCs w:val="21"/>
              </w:rPr>
            </w:pPr>
          </w:p>
        </w:tc>
        <w:tc>
          <w:tcPr>
            <w:tcW w:w="905" w:type="pct"/>
            <w:noWrap w:val="0"/>
            <w:vAlign w:val="center"/>
          </w:tcPr>
          <w:p w14:paraId="18AD1B21">
            <w:pPr>
              <w:adjustRightInd w:val="0"/>
              <w:snapToGrid w:val="0"/>
              <w:spacing w:before="50" w:line="360" w:lineRule="auto"/>
              <w:ind w:left="-88" w:leftChars="-42"/>
              <w:jc w:val="center"/>
              <w:rPr>
                <w:color w:val="auto"/>
                <w:szCs w:val="21"/>
              </w:rPr>
            </w:pPr>
          </w:p>
        </w:tc>
        <w:tc>
          <w:tcPr>
            <w:tcW w:w="634" w:type="pct"/>
            <w:noWrap w:val="0"/>
            <w:vAlign w:val="center"/>
          </w:tcPr>
          <w:p w14:paraId="74120935">
            <w:pPr>
              <w:adjustRightInd w:val="0"/>
              <w:snapToGrid w:val="0"/>
              <w:spacing w:before="50" w:line="360" w:lineRule="auto"/>
              <w:ind w:left="-88" w:leftChars="-42"/>
              <w:jc w:val="center"/>
              <w:rPr>
                <w:color w:val="auto"/>
                <w:szCs w:val="21"/>
              </w:rPr>
            </w:pPr>
          </w:p>
        </w:tc>
      </w:tr>
      <w:tr w14:paraId="7B7D0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3F971A6A">
            <w:pPr>
              <w:rPr>
                <w:b/>
                <w:color w:val="auto"/>
              </w:rPr>
            </w:pPr>
            <w:r>
              <w:rPr>
                <w:b/>
                <w:color w:val="auto"/>
              </w:rPr>
              <w:t>投标人保证：我单位对招标文件的其他采购需求条款完全响应，无偏离。</w:t>
            </w:r>
          </w:p>
        </w:tc>
      </w:tr>
    </w:tbl>
    <w:p w14:paraId="2FFB20C5">
      <w:pPr>
        <w:adjustRightInd w:val="0"/>
        <w:snapToGrid w:val="0"/>
        <w:spacing w:before="50" w:line="360" w:lineRule="auto"/>
        <w:ind w:left="-88" w:leftChars="-42"/>
        <w:rPr>
          <w:color w:val="auto"/>
          <w:sz w:val="24"/>
        </w:rPr>
      </w:pPr>
      <w:r>
        <w:rPr>
          <w:b/>
          <w:color w:val="auto"/>
          <w:sz w:val="24"/>
        </w:rPr>
        <w:t>备注</w:t>
      </w:r>
      <w:r>
        <w:rPr>
          <w:color w:val="auto"/>
          <w:sz w:val="24"/>
        </w:rPr>
        <w:t>：</w:t>
      </w:r>
    </w:p>
    <w:p w14:paraId="71B0E4AD">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02E921BA">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14:paraId="038CFADE">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bookmarkEnd w:id="2"/>
      <w:bookmarkEnd w:id="3"/>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CD92F">
    <w:pPr>
      <w:pStyle w:val="11"/>
      <w:rPr>
        <w:rFonts w:hint="eastAsia" w:ascii="仿宋_GB2312" w:eastAsia="仿宋_GB2312"/>
        <w:bCs/>
        <w:u w:val="single"/>
        <w:lang w:eastAsia="zh-CN"/>
      </w:rPr>
    </w:pPr>
  </w:p>
  <w:p w14:paraId="343FFF2A">
    <w:pPr>
      <w:adjustRightInd w:val="0"/>
      <w:snapToGrid w:val="0"/>
      <w:spacing w:line="260" w:lineRule="atLeast"/>
      <w:ind w:left="482" w:hanging="482"/>
      <w:rPr>
        <w:rFonts w:hint="eastAsia" w:ascii="宋体" w:hAnsi="宋体"/>
        <w:kern w:val="0"/>
        <w:sz w:val="18"/>
        <w:szCs w:val="21"/>
      </w:rPr>
    </w:pPr>
  </w:p>
  <w:p w14:paraId="48F090E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5463">
    <w:pPr>
      <w:pStyle w:val="11"/>
      <w:rPr>
        <w:rFonts w:hint="eastAsia" w:ascii="仿宋_GB2312" w:eastAsia="仿宋_GB2312"/>
        <w:bCs/>
        <w:u w:val="single"/>
        <w:lang w:eastAsia="zh-CN"/>
      </w:rPr>
    </w:pPr>
  </w:p>
  <w:p w14:paraId="6420CF35">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DFD8">
    <w:pPr>
      <w:pStyle w:val="11"/>
      <w:rPr>
        <w:rFonts w:hint="eastAsia" w:ascii="仿宋_GB2312" w:eastAsia="仿宋_GB2312"/>
        <w:bCs/>
        <w:u w:val="single"/>
        <w:lang w:eastAsia="zh-CN"/>
      </w:rPr>
    </w:pPr>
  </w:p>
  <w:p w14:paraId="60F8584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ACCE4">
    <w:pPr>
      <w:pStyle w:val="13"/>
      <w:ind w:left="8280" w:hanging="8280" w:hangingChars="4600"/>
      <w:jc w:val="both"/>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6477AE"/>
    <w:rsid w:val="00C92644"/>
    <w:rsid w:val="031F1550"/>
    <w:rsid w:val="05C158E1"/>
    <w:rsid w:val="080A233D"/>
    <w:rsid w:val="08397AED"/>
    <w:rsid w:val="08567150"/>
    <w:rsid w:val="0CD76D15"/>
    <w:rsid w:val="0DE6784F"/>
    <w:rsid w:val="11D54941"/>
    <w:rsid w:val="14F005AD"/>
    <w:rsid w:val="1A994656"/>
    <w:rsid w:val="1AF44B94"/>
    <w:rsid w:val="1DED7D4A"/>
    <w:rsid w:val="1E42670E"/>
    <w:rsid w:val="1E6569FA"/>
    <w:rsid w:val="244F0832"/>
    <w:rsid w:val="24690CB4"/>
    <w:rsid w:val="24EC6239"/>
    <w:rsid w:val="29197D6C"/>
    <w:rsid w:val="2E4C6453"/>
    <w:rsid w:val="2F277287"/>
    <w:rsid w:val="30335E85"/>
    <w:rsid w:val="306D2D50"/>
    <w:rsid w:val="30D86127"/>
    <w:rsid w:val="310A0554"/>
    <w:rsid w:val="31E2162D"/>
    <w:rsid w:val="31ED215A"/>
    <w:rsid w:val="362565DA"/>
    <w:rsid w:val="39A56847"/>
    <w:rsid w:val="41E0182A"/>
    <w:rsid w:val="49EE5740"/>
    <w:rsid w:val="4BF81337"/>
    <w:rsid w:val="4C4362B9"/>
    <w:rsid w:val="4F497B3F"/>
    <w:rsid w:val="52DF797D"/>
    <w:rsid w:val="531815DA"/>
    <w:rsid w:val="579266BB"/>
    <w:rsid w:val="5B06514F"/>
    <w:rsid w:val="5C6D699E"/>
    <w:rsid w:val="5E95175A"/>
    <w:rsid w:val="5FB1336B"/>
    <w:rsid w:val="664909F8"/>
    <w:rsid w:val="6946276E"/>
    <w:rsid w:val="6A1039F0"/>
    <w:rsid w:val="70E07E96"/>
    <w:rsid w:val="748B1A17"/>
    <w:rsid w:val="74B775E4"/>
    <w:rsid w:val="7666529B"/>
    <w:rsid w:val="76FA0E2C"/>
    <w:rsid w:val="7A086A6F"/>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9">
    <w:name w:val="Body Text Indent"/>
    <w:basedOn w:val="1"/>
    <w:next w:val="1"/>
    <w:qFormat/>
    <w:uiPriority w:val="0"/>
    <w:pPr>
      <w:spacing w:after="120" w:line="400" w:lineRule="exact"/>
      <w:ind w:left="420" w:leftChars="200"/>
    </w:pPr>
    <w:rPr>
      <w:rFonts w:ascii="Calibri" w:hAnsi="Calibri"/>
    </w:rPr>
  </w:style>
  <w:style w:type="paragraph" w:styleId="10">
    <w:name w:val="Plain Text"/>
    <w:basedOn w:val="1"/>
    <w:qFormat/>
    <w:uiPriority w:val="0"/>
    <w:rPr>
      <w:rFonts w:ascii="宋体" w:hAnsi="Courier New" w:cs="Courier New"/>
      <w:szCs w:val="21"/>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qFormat/>
    <w:uiPriority w:val="0"/>
    <w:pPr>
      <w:spacing w:after="120" w:line="480" w:lineRule="auto"/>
    </w:pPr>
  </w:style>
  <w:style w:type="paragraph" w:styleId="15">
    <w:name w:val="Normal (Web)"/>
    <w:basedOn w:val="1"/>
    <w:qFormat/>
    <w:uiPriority w:val="0"/>
    <w:rPr>
      <w:sz w:val="24"/>
    </w:rPr>
  </w:style>
  <w:style w:type="paragraph" w:styleId="16">
    <w:name w:val="Body Text First Indent 2"/>
    <w:basedOn w:val="9"/>
    <w:next w:val="5"/>
    <w:qFormat/>
    <w:uiPriority w:val="0"/>
    <w:pPr>
      <w:autoSpaceDE w:val="0"/>
      <w:autoSpaceDN w:val="0"/>
      <w:adjustRightInd w:val="0"/>
      <w:ind w:firstLine="420"/>
      <w:jc w:val="left"/>
    </w:pPr>
    <w:rPr>
      <w:kern w:val="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1">
    <w:name w:val="列出段落1"/>
    <w:basedOn w:val="1"/>
    <w:qFormat/>
    <w:uiPriority w:val="99"/>
    <w:pPr>
      <w:ind w:firstLine="420" w:firstLineChars="200"/>
    </w:p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列表段落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1630</Words>
  <Characters>1693</Characters>
  <Lines>0</Lines>
  <Paragraphs>0</Paragraphs>
  <TotalTime>1</TotalTime>
  <ScaleCrop>false</ScaleCrop>
  <LinksUpToDate>false</LinksUpToDate>
  <CharactersWithSpaces>1695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2022-10-27T01:30:00Z</cp:lastPrinted>
  <dcterms:modified xsi:type="dcterms:W3CDTF">2026-08-18T02:16:34Z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E8314CC8493647418141C51DDD01C6B6</vt:lpwstr>
  </property>
  <property fmtid="{D5CDD505-2E9C-101B-9397-08002B2CF9AE}" pid="4" name="KSOTemplateDocerSaveRecord">
    <vt:lpwstr>eyJoZGlkIjoiOWU3YmMxNGQ0NDE0NTRiYjQ3MWFkZjk1MWM2MTc2NWEiLCJ1c2VySWQiOiI0NDIzNjcyODQifQ==</vt:lpwstr>
  </property>
</Properties>
</file>