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6"/>
        <w:snapToGrid w:val="0"/>
        <w:jc w:val="center"/>
        <w:rPr>
          <w:rFonts w:hint="eastAsia" w:ascii="Arial" w:hAnsi="Arial" w:eastAsia="方正小标宋简体" w:cs="Arial"/>
          <w:color w:val="auto"/>
          <w:sz w:val="72"/>
          <w:szCs w:val="72"/>
          <w:lang w:eastAsia="zh-CN"/>
        </w:rPr>
      </w:pPr>
      <w:bookmarkStart w:id="0" w:name="_Toc16523570"/>
    </w:p>
    <w:p w14:paraId="624C34B6">
      <w:pPr>
        <w:pStyle w:val="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6"/>
        <w:snapToGrid w:val="0"/>
        <w:jc w:val="center"/>
        <w:rPr>
          <w:rFonts w:hint="eastAsia" w:ascii="Arial" w:hAnsi="Arial" w:eastAsia="方正小标宋简体" w:cs="Arial"/>
          <w:sz w:val="72"/>
          <w:szCs w:val="72"/>
        </w:rPr>
      </w:pPr>
    </w:p>
    <w:p w14:paraId="16E58BC0">
      <w:pPr>
        <w:pStyle w:val="6"/>
        <w:snapToGrid w:val="0"/>
        <w:jc w:val="center"/>
        <w:rPr>
          <w:rFonts w:hint="eastAsia" w:ascii="Arial" w:hAnsi="Arial" w:eastAsia="方正小标宋简体" w:cs="Arial"/>
          <w:sz w:val="72"/>
          <w:szCs w:val="72"/>
        </w:rPr>
      </w:pPr>
    </w:p>
    <w:p w14:paraId="7D3C3256">
      <w:pPr>
        <w:pStyle w:val="6"/>
        <w:snapToGrid w:val="0"/>
        <w:jc w:val="center"/>
        <w:rPr>
          <w:rFonts w:hint="eastAsia" w:ascii="Arial" w:hAnsi="Arial" w:eastAsia="方正小标宋简体" w:cs="Arial"/>
          <w:sz w:val="72"/>
          <w:szCs w:val="72"/>
        </w:rPr>
      </w:pPr>
    </w:p>
    <w:p w14:paraId="11608FC0">
      <w:pPr>
        <w:pStyle w:val="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6"/>
        <w:snapToGrid w:val="0"/>
        <w:jc w:val="center"/>
        <w:rPr>
          <w:rFonts w:ascii="Arial" w:hAnsi="Arial" w:cs="Arial"/>
          <w:sz w:val="32"/>
          <w:szCs w:val="32"/>
        </w:rPr>
      </w:pPr>
    </w:p>
    <w:p w14:paraId="46311545">
      <w:pPr>
        <w:pStyle w:val="16"/>
        <w:rPr>
          <w:rFonts w:ascii="Arial" w:hAnsi="Arial" w:cs="Arial"/>
          <w:sz w:val="32"/>
          <w:szCs w:val="32"/>
        </w:rPr>
      </w:pPr>
    </w:p>
    <w:p w14:paraId="5F00027D">
      <w:pPr>
        <w:pStyle w:val="12"/>
        <w:rPr>
          <w:rFonts w:ascii="Arial" w:hAnsi="Arial" w:cs="Arial"/>
          <w:sz w:val="32"/>
          <w:szCs w:val="32"/>
        </w:rPr>
      </w:pPr>
    </w:p>
    <w:p w14:paraId="790E99FE">
      <w:pPr>
        <w:pStyle w:val="12"/>
        <w:rPr>
          <w:rFonts w:ascii="Arial" w:hAnsi="Arial" w:cs="Arial"/>
          <w:sz w:val="32"/>
          <w:szCs w:val="32"/>
        </w:rPr>
      </w:pPr>
    </w:p>
    <w:p w14:paraId="6D6CF557">
      <w:pPr>
        <w:pStyle w:val="12"/>
        <w:rPr>
          <w:rFonts w:ascii="Arial" w:hAnsi="Arial" w:cs="Arial"/>
          <w:sz w:val="32"/>
          <w:szCs w:val="32"/>
        </w:rPr>
      </w:pPr>
    </w:p>
    <w:p w14:paraId="77BABE1C">
      <w:pPr>
        <w:pStyle w:val="12"/>
        <w:rPr>
          <w:rFonts w:ascii="Arial" w:hAnsi="Arial" w:cs="Arial"/>
          <w:sz w:val="32"/>
          <w:szCs w:val="32"/>
        </w:rPr>
      </w:pPr>
    </w:p>
    <w:p w14:paraId="1C0FB295">
      <w:pPr>
        <w:pStyle w:val="12"/>
        <w:rPr>
          <w:rFonts w:ascii="Arial" w:hAnsi="Arial" w:cs="Arial"/>
          <w:sz w:val="32"/>
          <w:szCs w:val="32"/>
        </w:rPr>
      </w:pPr>
    </w:p>
    <w:p w14:paraId="4C96CB97">
      <w:pPr>
        <w:pStyle w:val="12"/>
        <w:rPr>
          <w:rFonts w:ascii="Arial" w:hAnsi="Arial" w:cs="Arial"/>
          <w:sz w:val="32"/>
          <w:szCs w:val="32"/>
        </w:rPr>
      </w:pPr>
    </w:p>
    <w:p w14:paraId="1825AAC5">
      <w:pPr>
        <w:pStyle w:val="12"/>
        <w:rPr>
          <w:rFonts w:ascii="Arial" w:hAnsi="Arial" w:cs="Arial"/>
          <w:sz w:val="32"/>
          <w:szCs w:val="32"/>
        </w:rPr>
      </w:pPr>
    </w:p>
    <w:p w14:paraId="1B92FFA5">
      <w:pPr>
        <w:pStyle w:val="6"/>
        <w:snapToGrid w:val="0"/>
        <w:jc w:val="center"/>
        <w:rPr>
          <w:rFonts w:ascii="Arial" w:hAnsi="Arial" w:cs="Arial"/>
          <w:sz w:val="32"/>
          <w:szCs w:val="32"/>
        </w:rPr>
      </w:pPr>
    </w:p>
    <w:p w14:paraId="3EB4A47A">
      <w:pPr>
        <w:pStyle w:val="6"/>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（电动液压手术床+电动手术床医院公开挂网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六</w:t>
      </w:r>
      <w:r>
        <w:rPr>
          <w:rFonts w:hint="eastAsia" w:ascii="宋体" w:hAnsi="宋体" w:cs="宋体"/>
          <w:bCs/>
          <w:sz w:val="32"/>
          <w:szCs w:val="32"/>
        </w:rPr>
        <w:t>年</w:t>
      </w:r>
      <w:r>
        <w:rPr>
          <w:rFonts w:hint="eastAsia" w:ascii="宋体" w:hAnsi="宋体" w:cs="宋体"/>
          <w:bCs/>
          <w:sz w:val="32"/>
          <w:szCs w:val="32"/>
          <w:lang w:eastAsia="zh-CN"/>
        </w:rPr>
        <w:t>八</w:t>
      </w:r>
      <w:r>
        <w:rPr>
          <w:rFonts w:hint="eastAsia" w:ascii="宋体" w:hAnsi="宋体" w:cs="宋体"/>
          <w:bCs/>
          <w:sz w:val="32"/>
          <w:szCs w:val="32"/>
        </w:rPr>
        <w:t>月</w:t>
      </w:r>
    </w:p>
    <w:p w14:paraId="4F5472A4">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电动液压手术床+电动手术床</w:t>
      </w:r>
      <w:r>
        <w:rPr>
          <w:rFonts w:hint="eastAsia" w:asciiTheme="minorEastAsia" w:hAnsiTheme="minorEastAsia" w:eastAsiaTheme="minorEastAsia" w:cstheme="minorEastAsia"/>
          <w:bCs/>
          <w:color w:val="auto"/>
          <w:sz w:val="24"/>
          <w:szCs w:val="24"/>
          <w:u w:val="none"/>
          <w:lang w:val="en-US" w:eastAsia="zh-CN"/>
        </w:rPr>
        <w:t>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435321EC">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 w:val="0"/>
          <w:bCs/>
          <w:color w:val="auto"/>
          <w:sz w:val="24"/>
          <w:szCs w:val="24"/>
          <w:u w:val="single"/>
          <w:lang w:val="en-US" w:eastAsia="zh-CN"/>
        </w:rPr>
        <w:t>电动液压手术床+电动手术床</w:t>
      </w:r>
      <w:r>
        <w:rPr>
          <w:rFonts w:hint="eastAsia" w:asciiTheme="minorEastAsia" w:hAnsiTheme="minorEastAsia" w:eastAsiaTheme="minorEastAsia" w:cstheme="minorEastAsia"/>
          <w:b w:val="0"/>
          <w:bCs/>
          <w:color w:val="auto"/>
          <w:sz w:val="24"/>
          <w:szCs w:val="24"/>
          <w:lang w:val="en-US" w:eastAsia="zh-CN"/>
        </w:rPr>
        <w:t>项目</w:t>
      </w:r>
    </w:p>
    <w:p w14:paraId="0AC8FEC7">
      <w:pPr>
        <w:pStyle w:val="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bookmarkEnd w:id="0"/>
    <w:p w14:paraId="76DBA799">
      <w:pPr>
        <w:pStyle w:val="6"/>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03E8934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E28611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1、投标报名、截止时间、开标时间：见医院官网公开挂网表</w:t>
      </w:r>
    </w:p>
    <w:p w14:paraId="0808AD5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AB872F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26A7334E">
      <w:pPr>
        <w:pStyle w:val="16"/>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FF0000"/>
          <w:sz w:val="24"/>
          <w:szCs w:val="24"/>
          <w:lang w:val="en-US" w:eastAsia="zh-CN" w:bidi="ar-SA"/>
        </w:rPr>
      </w:pPr>
      <w:r>
        <w:rPr>
          <w:rFonts w:hint="eastAsia" w:asciiTheme="minorEastAsia" w:hAnsiTheme="minorEastAsia" w:eastAsiaTheme="minorEastAsia" w:cstheme="minorEastAsia"/>
          <w:b w:val="0"/>
          <w:bCs/>
          <w:color w:val="FF0000"/>
          <w:sz w:val="24"/>
          <w:szCs w:val="24"/>
          <w:lang w:val="en-US" w:eastAsia="zh-CN" w:bidi="ar-SA"/>
        </w:rPr>
        <w:t>1.7、技术参数负偏离大于5条的。</w:t>
      </w:r>
    </w:p>
    <w:p w14:paraId="731CB78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6"/>
        <w:rPr>
          <w:rFonts w:hint="eastAsia"/>
          <w:lang w:val="en-US" w:eastAsia="zh-CN"/>
        </w:rPr>
      </w:pPr>
    </w:p>
    <w:p w14:paraId="687E9235">
      <w:pPr>
        <w:pStyle w:val="16"/>
        <w:jc w:val="both"/>
        <w:rPr>
          <w:rFonts w:hint="default"/>
          <w:lang w:val="en-US" w:eastAsia="zh-CN"/>
        </w:rPr>
      </w:pPr>
    </w:p>
    <w:p w14:paraId="7AECD5DA">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FE0AE3F">
      <w:pPr>
        <w:pStyle w:val="12"/>
        <w:ind w:left="0" w:leftChars="0" w:firstLine="0" w:firstLineChars="0"/>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85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21"/>
        <w:gridCol w:w="1369"/>
        <w:gridCol w:w="2090"/>
        <w:gridCol w:w="1820"/>
      </w:tblGrid>
      <w:tr w14:paraId="16559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6" w:hRule="atLeast"/>
          <w:jc w:val="center"/>
        </w:trPr>
        <w:tc>
          <w:tcPr>
            <w:tcW w:w="3221" w:type="dxa"/>
            <w:tcBorders>
              <w:top w:val="single" w:color="auto" w:sz="4" w:space="0"/>
              <w:left w:val="single" w:color="auto" w:sz="4" w:space="0"/>
              <w:bottom w:val="single" w:color="auto" w:sz="4" w:space="0"/>
              <w:right w:val="single" w:color="auto" w:sz="4" w:space="0"/>
            </w:tcBorders>
            <w:shd w:val="clear" w:color="auto" w:fill="auto"/>
            <w:vAlign w:val="center"/>
          </w:tcPr>
          <w:p w14:paraId="3A7DBEB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rPr>
            </w:pPr>
            <w:r>
              <w:rPr>
                <w:rFonts w:hint="eastAsia"/>
                <w:lang w:val="en-US" w:eastAsia="zh-CN"/>
              </w:rPr>
              <w:t>项目名称</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02B3633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rPr>
            </w:pPr>
            <w:r>
              <w:rPr>
                <w:rFonts w:hint="eastAsia"/>
                <w:lang w:val="en-US" w:eastAsia="zh-CN"/>
              </w:rPr>
              <w:t>数量</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41F4ED7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lang w:val="en-US" w:eastAsia="zh-CN"/>
              </w:rPr>
            </w:pPr>
            <w:r>
              <w:rPr>
                <w:rFonts w:hint="eastAsia"/>
                <w:lang w:val="en-US" w:eastAsia="zh-CN"/>
              </w:rPr>
              <w:t>预算</w:t>
            </w:r>
          </w:p>
          <w:p w14:paraId="60C7CD5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rPr>
            </w:pPr>
            <w:r>
              <w:rPr>
                <w:rFonts w:hint="eastAsia"/>
                <w:lang w:val="en-US" w:eastAsia="zh-CN"/>
              </w:rPr>
              <w:t>（万元）</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4826CED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eastAsia="zh-CN"/>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4E306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jc w:val="center"/>
        </w:trPr>
        <w:tc>
          <w:tcPr>
            <w:tcW w:w="3221" w:type="dxa"/>
            <w:tcBorders>
              <w:top w:val="single" w:color="auto" w:sz="4" w:space="0"/>
              <w:left w:val="single" w:color="auto" w:sz="4" w:space="0"/>
              <w:bottom w:val="single" w:color="auto" w:sz="4" w:space="0"/>
              <w:right w:val="single" w:color="auto" w:sz="4" w:space="0"/>
            </w:tcBorders>
            <w:shd w:val="clear" w:color="auto" w:fill="auto"/>
            <w:vAlign w:val="center"/>
          </w:tcPr>
          <w:p w14:paraId="1109B97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eastAsia="宋体"/>
                <w:lang w:val="en-US" w:eastAsia="zh-CN"/>
              </w:rPr>
            </w:pPr>
            <w:r>
              <w:rPr>
                <w:rFonts w:hint="eastAsia" w:eastAsia="宋体"/>
                <w:lang w:val="en-US" w:eastAsia="zh-CN"/>
              </w:rPr>
              <w:t>电动液压手术床</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5CAB334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Theme="minorEastAsia" w:cstheme="minorBidi"/>
                <w:color w:val="000000"/>
                <w:kern w:val="2"/>
                <w:sz w:val="24"/>
                <w:szCs w:val="24"/>
                <w:lang w:val="en-US" w:eastAsia="zh-CN" w:bidi="ar-SA"/>
              </w:rPr>
            </w:pPr>
            <w:r>
              <w:rPr>
                <w:rFonts w:hint="eastAsia" w:ascii="宋体" w:hAnsi="宋体" w:eastAsia="宋体"/>
                <w:color w:val="000000"/>
                <w:sz w:val="24"/>
                <w:szCs w:val="24"/>
                <w:lang w:val="en-US" w:eastAsia="zh-CN"/>
              </w:rPr>
              <w:t>3台</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33425C6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lang w:val="en-US" w:eastAsia="zh-CN"/>
              </w:rPr>
              <w:t>37.2</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171CACA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color w:val="000000"/>
                <w:sz w:val="24"/>
                <w:szCs w:val="24"/>
              </w:rPr>
            </w:pPr>
            <w:r>
              <w:rPr>
                <w:rFonts w:hint="eastAsia" w:asciiTheme="minorEastAsia" w:hAnsiTheme="minorEastAsia" w:eastAsiaTheme="minorEastAsia" w:cstheme="minorEastAsia"/>
                <w:color w:val="auto"/>
                <w:kern w:val="2"/>
                <w:sz w:val="24"/>
                <w:szCs w:val="24"/>
                <w:lang w:val="en-US" w:eastAsia="zh-CN" w:bidi="ar-SA"/>
              </w:rPr>
              <w:t>否</w:t>
            </w:r>
          </w:p>
        </w:tc>
      </w:tr>
      <w:tr w14:paraId="4715A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jc w:val="center"/>
        </w:trPr>
        <w:tc>
          <w:tcPr>
            <w:tcW w:w="3221" w:type="dxa"/>
            <w:tcBorders>
              <w:top w:val="single" w:color="auto" w:sz="4" w:space="0"/>
              <w:left w:val="single" w:color="auto" w:sz="4" w:space="0"/>
              <w:bottom w:val="single" w:color="auto" w:sz="4" w:space="0"/>
              <w:right w:val="single" w:color="auto" w:sz="4" w:space="0"/>
            </w:tcBorders>
            <w:shd w:val="clear" w:color="auto" w:fill="auto"/>
            <w:vAlign w:val="center"/>
          </w:tcPr>
          <w:p w14:paraId="3E3DA74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eastAsia="宋体"/>
                <w:lang w:val="en-US" w:eastAsia="zh-CN"/>
              </w:rPr>
            </w:pPr>
            <w:r>
              <w:rPr>
                <w:rFonts w:hint="eastAsia" w:eastAsia="宋体"/>
                <w:lang w:val="en-US" w:eastAsia="zh-CN"/>
              </w:rPr>
              <w:t>电动手术床</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4ED46A5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color w:val="000000"/>
                <w:sz w:val="24"/>
                <w:szCs w:val="24"/>
                <w:lang w:val="en-US" w:eastAsia="zh-CN"/>
              </w:rPr>
            </w:pPr>
            <w:r>
              <w:rPr>
                <w:rFonts w:hint="eastAsia" w:ascii="宋体" w:hAnsi="宋体"/>
                <w:color w:val="000000"/>
                <w:sz w:val="24"/>
                <w:szCs w:val="24"/>
                <w:lang w:val="en-US" w:eastAsia="zh-CN"/>
              </w:rPr>
              <w:t>1台</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218920E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color w:val="000000"/>
                <w:sz w:val="24"/>
                <w:szCs w:val="24"/>
                <w:lang w:val="en-US" w:eastAsia="zh-CN"/>
              </w:rPr>
            </w:pPr>
            <w:r>
              <w:rPr>
                <w:rFonts w:hint="eastAsia" w:ascii="宋体" w:hAnsi="宋体"/>
                <w:color w:val="000000"/>
                <w:sz w:val="24"/>
                <w:szCs w:val="24"/>
                <w:lang w:val="en-US" w:eastAsia="zh-CN"/>
              </w:rPr>
              <w:t>11.6</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0678E3D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否</w:t>
            </w:r>
          </w:p>
        </w:tc>
      </w:tr>
      <w:tr w14:paraId="0F52A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jc w:val="center"/>
        </w:trPr>
        <w:tc>
          <w:tcPr>
            <w:tcW w:w="3221" w:type="dxa"/>
            <w:tcBorders>
              <w:top w:val="single" w:color="auto" w:sz="4" w:space="0"/>
              <w:left w:val="single" w:color="auto" w:sz="4" w:space="0"/>
              <w:bottom w:val="single" w:color="auto" w:sz="4" w:space="0"/>
              <w:right w:val="single" w:color="auto" w:sz="4" w:space="0"/>
            </w:tcBorders>
            <w:shd w:val="clear" w:color="auto" w:fill="auto"/>
            <w:vAlign w:val="center"/>
          </w:tcPr>
          <w:p w14:paraId="0FCD53E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lang w:val="en-US" w:eastAsia="zh-CN"/>
              </w:rPr>
            </w:pP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681F3FC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color w:val="000000"/>
                <w:sz w:val="24"/>
                <w:szCs w:val="24"/>
                <w:lang w:val="en-US" w:eastAsia="zh-CN"/>
              </w:rPr>
            </w:pPr>
            <w:r>
              <w:rPr>
                <w:rFonts w:hint="eastAsia" w:ascii="宋体" w:hAnsi="宋体"/>
                <w:color w:val="000000"/>
                <w:sz w:val="24"/>
                <w:szCs w:val="24"/>
                <w:lang w:val="en-US" w:eastAsia="zh-CN"/>
              </w:rPr>
              <w:t>合计</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6CDFF28E">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color w:val="000000"/>
                <w:sz w:val="24"/>
                <w:szCs w:val="24"/>
                <w:lang w:val="en-US" w:eastAsia="zh-CN"/>
              </w:rPr>
            </w:pPr>
            <w:r>
              <w:rPr>
                <w:rFonts w:hint="eastAsia" w:ascii="宋体" w:hAnsi="宋体"/>
                <w:color w:val="000000"/>
                <w:sz w:val="24"/>
                <w:szCs w:val="24"/>
                <w:lang w:val="en-US" w:eastAsia="zh-CN"/>
              </w:rPr>
              <w:t>48.8</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16605CD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auto"/>
                <w:kern w:val="2"/>
                <w:sz w:val="24"/>
                <w:szCs w:val="24"/>
                <w:lang w:val="en-US" w:eastAsia="zh-CN" w:bidi="ar-SA"/>
              </w:rPr>
            </w:pPr>
          </w:p>
        </w:tc>
      </w:tr>
    </w:tbl>
    <w:p w14:paraId="3474C8E9">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336CF4A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w:t>
      </w:r>
    </w:p>
    <w:p w14:paraId="4279E8FE">
      <w:pPr>
        <w:keepNext w:val="0"/>
        <w:keepLines w:val="0"/>
        <w:pageBreakBefore w:val="0"/>
        <w:numPr>
          <w:numId w:val="0"/>
        </w:numPr>
        <w:kinsoku/>
        <w:wordWrap/>
        <w:overflowPunct/>
        <w:topLinePunct w:val="0"/>
        <w:autoSpaceDE/>
        <w:autoSpaceDN/>
        <w:bidi w:val="0"/>
        <w:spacing w:line="440" w:lineRule="exact"/>
        <w:ind w:firstLine="240" w:firstLineChars="100"/>
        <w:jc w:val="both"/>
        <w:rPr>
          <w:rFonts w:hint="eastAsia" w:ascii="宋体" w:hAnsi="宋体" w:eastAsia="宋体" w:cs="宋体"/>
          <w:sz w:val="24"/>
          <w:szCs w:val="24"/>
          <w:lang w:val="en-US" w:eastAsia="zh-CN"/>
        </w:rPr>
      </w:pPr>
      <w:r>
        <w:rPr>
          <w:rFonts w:hint="eastAsia" w:ascii="宋体" w:hAnsi="宋体" w:eastAsia="宋体" w:cs="宋体"/>
          <w:sz w:val="24"/>
          <w:szCs w:val="24"/>
          <w:lang w:eastAsia="zh-CN"/>
        </w:rPr>
        <w:t>（一）</w:t>
      </w:r>
      <w:r>
        <w:rPr>
          <w:rFonts w:hint="eastAsia" w:ascii="宋体" w:hAnsi="宋体" w:eastAsia="宋体" w:cs="宋体"/>
          <w:sz w:val="24"/>
          <w:szCs w:val="24"/>
        </w:rPr>
        <w:t>电动液压手术床</w:t>
      </w:r>
      <w:r>
        <w:rPr>
          <w:rFonts w:hint="eastAsia" w:ascii="宋体" w:hAnsi="宋体" w:eastAsia="宋体" w:cs="宋体"/>
          <w:sz w:val="24"/>
          <w:szCs w:val="24"/>
          <w:lang w:val="en-US" w:eastAsia="zh-CN"/>
        </w:rPr>
        <w:t>技术参数</w:t>
      </w:r>
    </w:p>
    <w:p w14:paraId="7F447E54">
      <w:pPr>
        <w:pStyle w:val="23"/>
        <w:keepNext w:val="0"/>
        <w:keepLines w:val="0"/>
        <w:pageBreakBefore w:val="0"/>
        <w:numPr>
          <w:ilvl w:val="0"/>
          <w:numId w:val="3"/>
        </w:numPr>
        <w:kinsoku/>
        <w:wordWrap/>
        <w:overflowPunct/>
        <w:topLinePunct w:val="0"/>
        <w:autoSpaceDE/>
        <w:autoSpaceDN/>
        <w:bidi w:val="0"/>
        <w:spacing w:line="440" w:lineRule="exact"/>
        <w:ind w:left="0" w:leftChars="0" w:firstLine="400" w:firstLineChars="0"/>
        <w:rPr>
          <w:rFonts w:asciiTheme="minorEastAsia" w:hAnsiTheme="minorEastAsia" w:eastAsia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手术床采用电动液压动力系统，可电动调节实现台面升降、头脚倾、左右倾、背板上下折、解锁锁定，平移。</w:t>
      </w:r>
    </w:p>
    <w:p w14:paraId="0B0AC932">
      <w:pPr>
        <w:pStyle w:val="23"/>
        <w:keepNext w:val="0"/>
        <w:keepLines w:val="0"/>
        <w:pageBreakBefore w:val="0"/>
        <w:numPr>
          <w:ilvl w:val="0"/>
          <w:numId w:val="3"/>
        </w:numPr>
        <w:kinsoku/>
        <w:wordWrap/>
        <w:overflowPunct/>
        <w:topLinePunct w:val="0"/>
        <w:autoSpaceDE/>
        <w:autoSpaceDN/>
        <w:bidi w:val="0"/>
        <w:spacing w:line="440" w:lineRule="exact"/>
        <w:ind w:left="0" w:leftChars="0" w:firstLine="400" w:firstLineChars="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手术床具备多种电动控制方式，包括线控器、无线遥控器、备用面板、脚踏开关</w:t>
      </w:r>
      <w:r>
        <w:rPr>
          <w:rFonts w:hint="eastAsia" w:asciiTheme="minorEastAsia" w:hAnsiTheme="minorEastAsia" w:eastAsiaTheme="minorEastAsia"/>
          <w:color w:val="000000" w:themeColor="text1"/>
          <w:sz w:val="24"/>
          <w:szCs w:val="24"/>
          <w:lang w:eastAsia="zh-CN"/>
          <w14:textFill>
            <w14:solidFill>
              <w14:schemeClr w14:val="tx1"/>
            </w14:solidFill>
          </w14:textFill>
        </w:rPr>
        <w:t>。</w:t>
      </w:r>
    </w:p>
    <w:p w14:paraId="534443F0">
      <w:pPr>
        <w:pStyle w:val="20"/>
        <w:keepNext w:val="0"/>
        <w:keepLines w:val="0"/>
        <w:pageBreakBefore w:val="0"/>
        <w:numPr>
          <w:ilvl w:val="0"/>
          <w:numId w:val="3"/>
        </w:numPr>
        <w:kinsoku/>
        <w:wordWrap/>
        <w:overflowPunct/>
        <w:topLinePunct w:val="0"/>
        <w:autoSpaceDE/>
        <w:autoSpaceDN/>
        <w:bidi w:val="0"/>
        <w:spacing w:line="440" w:lineRule="exact"/>
        <w:ind w:left="0" w:leftChars="0" w:firstLine="400" w:firstLineChars="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手术床内置蓝牙模块，无线遥控器可通过蓝牙连接，同时手术床具备无线充电器</w:t>
      </w:r>
      <w:r>
        <w:rPr>
          <w:rFonts w:hint="eastAsia" w:asciiTheme="minorEastAsia" w:hAnsiTheme="minorEastAsia" w:eastAsiaTheme="minorEastAsia"/>
          <w:color w:val="000000" w:themeColor="text1"/>
          <w:sz w:val="24"/>
          <w:szCs w:val="24"/>
          <w:lang w:eastAsia="zh-CN"/>
          <w14:textFill>
            <w14:solidFill>
              <w14:schemeClr w14:val="tx1"/>
            </w14:solidFill>
          </w14:textFill>
        </w:rPr>
        <w:t>，</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可对</w:t>
      </w:r>
      <w:r>
        <w:rPr>
          <w:rFonts w:hint="eastAsia" w:asciiTheme="minorEastAsia" w:hAnsiTheme="minorEastAsia" w:eastAsiaTheme="minorEastAsia"/>
          <w:color w:val="000000" w:themeColor="text1"/>
          <w:sz w:val="24"/>
          <w:szCs w:val="24"/>
          <w14:textFill>
            <w14:solidFill>
              <w14:schemeClr w14:val="tx1"/>
            </w14:solidFill>
          </w14:textFill>
        </w:rPr>
        <w:t>无线遥控器</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进行</w:t>
      </w:r>
      <w:r>
        <w:rPr>
          <w:rFonts w:hint="eastAsia" w:asciiTheme="minorEastAsia" w:hAnsiTheme="minorEastAsia" w:eastAsiaTheme="minorEastAsia"/>
          <w:color w:val="000000" w:themeColor="text1"/>
          <w:sz w:val="24"/>
          <w:szCs w:val="24"/>
          <w14:textFill>
            <w14:solidFill>
              <w14:schemeClr w14:val="tx1"/>
            </w14:solidFill>
          </w14:textFill>
        </w:rPr>
        <w:t>无线充电。</w:t>
      </w:r>
    </w:p>
    <w:p w14:paraId="6A11EEC5">
      <w:pPr>
        <w:pStyle w:val="23"/>
        <w:keepNext w:val="0"/>
        <w:keepLines w:val="0"/>
        <w:pageBreakBefore w:val="0"/>
        <w:numPr>
          <w:ilvl w:val="0"/>
          <w:numId w:val="3"/>
        </w:numPr>
        <w:kinsoku/>
        <w:wordWrap/>
        <w:overflowPunct/>
        <w:topLinePunct w:val="0"/>
        <w:autoSpaceDE/>
        <w:autoSpaceDN/>
        <w:bidi w:val="0"/>
        <w:spacing w:line="440" w:lineRule="exact"/>
        <w:ind w:left="0" w:leftChars="0" w:firstLine="400" w:firstLineChars="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手术床立柱护罩顶端采用硬顶式设计，非软质皮老虎设计，便于清洁消毒，降低感控风险。（提供实物图片证明）</w:t>
      </w:r>
    </w:p>
    <w:p w14:paraId="1BC130B1">
      <w:pPr>
        <w:pStyle w:val="20"/>
        <w:keepNext w:val="0"/>
        <w:keepLines w:val="0"/>
        <w:pageBreakBefore w:val="0"/>
        <w:numPr>
          <w:ilvl w:val="0"/>
          <w:numId w:val="3"/>
        </w:numPr>
        <w:kinsoku/>
        <w:wordWrap/>
        <w:overflowPunct/>
        <w:topLinePunct w:val="0"/>
        <w:autoSpaceDE/>
        <w:autoSpaceDN/>
        <w:bidi w:val="0"/>
        <w:spacing w:line="440" w:lineRule="exact"/>
        <w:ind w:left="0" w:leftChars="0" w:firstLine="400" w:firstLineChars="0"/>
        <w:rPr>
          <w:rFonts w:asciiTheme="minorEastAsia" w:hAnsiTheme="minorEastAsia" w:eastAsiaTheme="minorEastAsia"/>
          <w:sz w:val="24"/>
          <w:szCs w:val="24"/>
        </w:rPr>
      </w:pPr>
      <w:bookmarkStart w:id="1" w:name="_Hlk190337661"/>
      <w:r>
        <w:rPr>
          <w:rFonts w:hint="eastAsia" w:asciiTheme="minorEastAsia" w:hAnsiTheme="minorEastAsia" w:eastAsiaTheme="minorEastAsia"/>
          <w:color w:val="000000" w:themeColor="text1"/>
          <w:sz w:val="24"/>
          <w:szCs w:val="24"/>
          <w14:textFill>
            <w14:solidFill>
              <w14:schemeClr w14:val="tx1"/>
            </w14:solidFill>
          </w14:textFill>
        </w:rPr>
        <w:t>手术床床垫采用多层复合技术，由质地柔软的记忆海绵材料制成，</w:t>
      </w:r>
      <w:bookmarkStart w:id="2" w:name="_Hlk190337619"/>
      <w:r>
        <w:rPr>
          <w:rFonts w:hint="eastAsia" w:asciiTheme="minorEastAsia" w:hAnsiTheme="minorEastAsia" w:eastAsiaTheme="minorEastAsia"/>
          <w:sz w:val="24"/>
          <w:szCs w:val="24"/>
        </w:rPr>
        <w:t>手术床床垫厚度</w:t>
      </w:r>
      <w:r>
        <w:rPr>
          <w:rFonts w:hint="default" w:ascii="Arial" w:hAnsi="Arial" w:cs="Arial" w:eastAsiaTheme="minorEastAsia"/>
          <w:sz w:val="24"/>
          <w:szCs w:val="24"/>
        </w:rPr>
        <w:t>≥</w:t>
      </w:r>
      <w:r>
        <w:rPr>
          <w:rFonts w:hint="eastAsia" w:asciiTheme="minorEastAsia" w:hAnsiTheme="minorEastAsia" w:eastAsiaTheme="minorEastAsia"/>
          <w:sz w:val="24"/>
          <w:szCs w:val="24"/>
        </w:rPr>
        <w:t>8</w:t>
      </w:r>
      <w:r>
        <w:rPr>
          <w:rFonts w:asciiTheme="minorEastAsia" w:hAnsiTheme="minorEastAsia" w:eastAsiaTheme="minorEastAsia"/>
          <w:sz w:val="24"/>
          <w:szCs w:val="24"/>
        </w:rPr>
        <w:t>0</w:t>
      </w:r>
      <w:r>
        <w:rPr>
          <w:rFonts w:hint="eastAsia" w:asciiTheme="minorEastAsia" w:hAnsiTheme="minorEastAsia" w:eastAsiaTheme="minorEastAsia"/>
          <w:sz w:val="24"/>
          <w:szCs w:val="24"/>
        </w:rPr>
        <w:t>mm</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减少压疮发生风险</w:t>
      </w:r>
      <w:r>
        <w:rPr>
          <w:rFonts w:hint="eastAsia" w:asciiTheme="minorEastAsia" w:hAnsiTheme="minorEastAsia" w:eastAsiaTheme="minorEastAsia"/>
          <w:sz w:val="24"/>
          <w:szCs w:val="24"/>
          <w:lang w:eastAsia="zh-CN"/>
        </w:rPr>
        <w:t>。</w:t>
      </w:r>
    </w:p>
    <w:p w14:paraId="345E3DF0">
      <w:pPr>
        <w:pStyle w:val="20"/>
        <w:keepNext w:val="0"/>
        <w:keepLines w:val="0"/>
        <w:pageBreakBefore w:val="0"/>
        <w:numPr>
          <w:ilvl w:val="0"/>
          <w:numId w:val="3"/>
        </w:numPr>
        <w:kinsoku/>
        <w:wordWrap/>
        <w:overflowPunct/>
        <w:topLinePunct w:val="0"/>
        <w:autoSpaceDE/>
        <w:autoSpaceDN/>
        <w:bidi w:val="0"/>
        <w:spacing w:line="440" w:lineRule="exact"/>
        <w:ind w:left="0" w:leftChars="0" w:firstLine="400" w:firstLineChars="0"/>
        <w:rPr>
          <w:rFonts w:asciiTheme="minorEastAsia" w:hAnsiTheme="minorEastAsia" w:eastAsiaTheme="minorEastAsia"/>
          <w:sz w:val="24"/>
          <w:szCs w:val="24"/>
        </w:rPr>
      </w:pPr>
      <w:r>
        <w:rPr>
          <w:rFonts w:hint="eastAsia" w:asciiTheme="minorEastAsia" w:hAnsiTheme="minorEastAsia" w:eastAsiaTheme="minorEastAsia"/>
          <w:color w:val="000000" w:themeColor="text1"/>
          <w:sz w:val="24"/>
          <w:szCs w:val="24"/>
          <w14:textFill>
            <w14:solidFill>
              <w14:schemeClr w14:val="tx1"/>
            </w14:solidFill>
          </w14:textFill>
        </w:rPr>
        <w:t>床垫接缝处采用超声波无缝烫接技术，透气孔采用双层防水透气膜结构设计。</w:t>
      </w:r>
    </w:p>
    <w:bookmarkEnd w:id="2"/>
    <w:p w14:paraId="529C5467">
      <w:pPr>
        <w:pStyle w:val="20"/>
        <w:keepNext w:val="0"/>
        <w:keepLines w:val="0"/>
        <w:pageBreakBefore w:val="0"/>
        <w:numPr>
          <w:ilvl w:val="0"/>
          <w:numId w:val="3"/>
        </w:numPr>
        <w:kinsoku/>
        <w:wordWrap/>
        <w:overflowPunct/>
        <w:topLinePunct w:val="0"/>
        <w:autoSpaceDE/>
        <w:autoSpaceDN/>
        <w:bidi w:val="0"/>
        <w:spacing w:line="440" w:lineRule="exact"/>
        <w:ind w:left="0" w:leftChars="0" w:firstLine="400" w:firstLineChars="0"/>
        <w:rPr>
          <w:rFonts w:asciiTheme="minorEastAsia" w:hAnsiTheme="minorEastAsia" w:eastAsiaTheme="minorEastAsia"/>
          <w:color w:val="000000" w:themeColor="text1"/>
          <w:sz w:val="24"/>
          <w:szCs w:val="24"/>
          <w14:textFill>
            <w14:solidFill>
              <w14:schemeClr w14:val="tx1"/>
            </w14:solidFill>
          </w14:textFill>
        </w:rPr>
      </w:pPr>
      <w:r>
        <w:rPr>
          <w:rFonts w:hint="eastAsia" w:ascii="宋体" w:hAnsi="宋体" w:eastAsia="宋体" w:cs="宋体"/>
          <w:sz w:val="24"/>
          <w:szCs w:val="24"/>
        </w:rPr>
        <w:t>▲</w:t>
      </w:r>
      <w:r>
        <w:rPr>
          <w:rFonts w:hint="eastAsia" w:asciiTheme="minorEastAsia" w:hAnsiTheme="minorEastAsia" w:eastAsiaTheme="minorEastAsia"/>
          <w:sz w:val="24"/>
          <w:szCs w:val="24"/>
        </w:rPr>
        <w:t>手术台床垫皮层</w:t>
      </w:r>
      <w:r>
        <w:rPr>
          <w:rFonts w:hint="eastAsia" w:asciiTheme="minorEastAsia" w:hAnsiTheme="minorEastAsia" w:eastAsiaTheme="minorEastAsia"/>
          <w:sz w:val="24"/>
          <w:szCs w:val="24"/>
          <w:lang w:val="en-US" w:eastAsia="zh-CN"/>
        </w:rPr>
        <w:t>具有防火功能，</w:t>
      </w:r>
      <w:r>
        <w:rPr>
          <w:rFonts w:hint="eastAsia" w:asciiTheme="minorEastAsia" w:hAnsiTheme="minorEastAsia" w:eastAsiaTheme="minorEastAsia"/>
          <w:sz w:val="24"/>
          <w:szCs w:val="24"/>
        </w:rPr>
        <w:t>通过TB117-2013防火等级测试</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rPr>
        <w:t>（提供</w:t>
      </w:r>
      <w:r>
        <w:rPr>
          <w:rFonts w:hint="eastAsia" w:asciiTheme="minorEastAsia" w:hAnsiTheme="minorEastAsia" w:eastAsiaTheme="minorEastAsia"/>
          <w:sz w:val="24"/>
          <w:szCs w:val="24"/>
          <w:lang w:val="en-US" w:eastAsia="zh-CN"/>
        </w:rPr>
        <w:t>第三方</w:t>
      </w:r>
      <w:r>
        <w:rPr>
          <w:rFonts w:hint="eastAsia" w:asciiTheme="minorEastAsia" w:hAnsiTheme="minorEastAsia" w:eastAsiaTheme="minorEastAsia"/>
          <w:sz w:val="24"/>
          <w:szCs w:val="24"/>
        </w:rPr>
        <w:t>检测报告）</w:t>
      </w:r>
    </w:p>
    <w:p w14:paraId="7B521E3C">
      <w:pPr>
        <w:pStyle w:val="23"/>
        <w:keepNext w:val="0"/>
        <w:keepLines w:val="0"/>
        <w:pageBreakBefore w:val="0"/>
        <w:numPr>
          <w:ilvl w:val="0"/>
          <w:numId w:val="3"/>
        </w:numPr>
        <w:kinsoku/>
        <w:wordWrap/>
        <w:overflowPunct/>
        <w:topLinePunct w:val="0"/>
        <w:autoSpaceDE/>
        <w:autoSpaceDN/>
        <w:bidi w:val="0"/>
        <w:spacing w:line="440" w:lineRule="exact"/>
        <w:ind w:left="0" w:leftChars="0" w:firstLine="400" w:firstLineChars="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手术床头腿板互换后的透视距离≥1700mm，为C臂运动提供充裕的空间。</w:t>
      </w:r>
    </w:p>
    <w:p w14:paraId="201E0544">
      <w:pPr>
        <w:pStyle w:val="23"/>
        <w:keepNext w:val="0"/>
        <w:keepLines w:val="0"/>
        <w:pageBreakBefore w:val="0"/>
        <w:numPr>
          <w:ilvl w:val="0"/>
          <w:numId w:val="3"/>
        </w:numPr>
        <w:kinsoku/>
        <w:wordWrap/>
        <w:overflowPunct/>
        <w:topLinePunct w:val="0"/>
        <w:autoSpaceDE/>
        <w:autoSpaceDN/>
        <w:bidi w:val="0"/>
        <w:spacing w:line="440" w:lineRule="exact"/>
        <w:ind w:left="0" w:leftChars="0" w:firstLine="400" w:firstLineChars="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手术床腿板采用一键快插式设计，不需要再进行二次旋钮解锁腿板，同时采用气弹簧腿板设计，便于操作。</w:t>
      </w:r>
    </w:p>
    <w:bookmarkEnd w:id="1"/>
    <w:p w14:paraId="204B2D9A">
      <w:pPr>
        <w:pStyle w:val="20"/>
        <w:keepNext w:val="0"/>
        <w:keepLines w:val="0"/>
        <w:pageBreakBefore w:val="0"/>
        <w:numPr>
          <w:ilvl w:val="0"/>
          <w:numId w:val="3"/>
        </w:numPr>
        <w:kinsoku/>
        <w:wordWrap/>
        <w:overflowPunct/>
        <w:topLinePunct w:val="0"/>
        <w:autoSpaceDE/>
        <w:autoSpaceDN/>
        <w:bidi w:val="0"/>
        <w:spacing w:line="440" w:lineRule="exact"/>
        <w:ind w:left="0" w:leftChars="0" w:firstLine="400" w:firstLineChars="0"/>
        <w:rPr>
          <w:rFonts w:asciiTheme="minorEastAsia" w:hAnsiTheme="minorEastAsia" w:eastAsiaTheme="minorEastAsia"/>
          <w:sz w:val="24"/>
          <w:szCs w:val="24"/>
        </w:rPr>
      </w:pPr>
      <w:bookmarkStart w:id="3" w:name="_Hlk190337699"/>
      <w:r>
        <w:rPr>
          <w:rFonts w:hint="eastAsia" w:asciiTheme="minorEastAsia" w:hAnsiTheme="minorEastAsia" w:eastAsiaTheme="minorEastAsia"/>
          <w:color w:val="000000" w:themeColor="text1"/>
          <w:sz w:val="24"/>
          <w:szCs w:val="24"/>
          <w14:textFill>
            <w14:solidFill>
              <w14:schemeClr w14:val="tx1"/>
            </w14:solidFill>
          </w14:textFill>
        </w:rPr>
        <w:t>手术床底罩表面平整无凹陷，底座厚度≤</w:t>
      </w:r>
      <w:r>
        <w:rPr>
          <w:rFonts w:asciiTheme="minorEastAsia" w:hAnsiTheme="minorEastAsia" w:eastAsiaTheme="minorEastAsia"/>
          <w:color w:val="000000" w:themeColor="text1"/>
          <w:sz w:val="24"/>
          <w:szCs w:val="24"/>
          <w14:textFill>
            <w14:solidFill>
              <w14:schemeClr w14:val="tx1"/>
            </w14:solidFill>
          </w14:textFill>
        </w:rPr>
        <w:t>150mm</w:t>
      </w:r>
      <w:r>
        <w:rPr>
          <w:rFonts w:hint="eastAsia" w:asciiTheme="minorEastAsia" w:hAnsiTheme="minorEastAsia" w:eastAsiaTheme="minorEastAsia"/>
          <w:color w:val="000000" w:themeColor="text1"/>
          <w:sz w:val="24"/>
          <w:szCs w:val="24"/>
          <w14:textFill>
            <w14:solidFill>
              <w14:schemeClr w14:val="tx1"/>
            </w14:solidFill>
          </w14:textFill>
        </w:rPr>
        <w:t>，同时底座在手术床腿端有U型凹槽设计，便于术中放置污物桶。（提供彩页证明）</w:t>
      </w:r>
    </w:p>
    <w:p w14:paraId="07C25C84">
      <w:pPr>
        <w:pStyle w:val="23"/>
        <w:keepNext w:val="0"/>
        <w:keepLines w:val="0"/>
        <w:pageBreakBefore w:val="0"/>
        <w:numPr>
          <w:ilvl w:val="0"/>
          <w:numId w:val="3"/>
        </w:numPr>
        <w:kinsoku/>
        <w:wordWrap/>
        <w:overflowPunct/>
        <w:topLinePunct w:val="0"/>
        <w:autoSpaceDE/>
        <w:autoSpaceDN/>
        <w:bidi w:val="0"/>
        <w:spacing w:line="440" w:lineRule="exact"/>
        <w:ind w:left="0" w:leftChars="0" w:firstLine="400" w:firstLineChars="0"/>
        <w:rPr>
          <w:rFonts w:asciiTheme="minorEastAsia" w:hAnsiTheme="minorEastAsia" w:eastAsiaTheme="minorEastAsia"/>
          <w:color w:val="000000" w:themeColor="text1"/>
          <w:sz w:val="24"/>
          <w:szCs w:val="24"/>
          <w14:textFill>
            <w14:solidFill>
              <w14:schemeClr w14:val="tx1"/>
            </w14:solidFill>
          </w14:textFill>
        </w:rPr>
      </w:pPr>
      <w:r>
        <w:rPr>
          <w:rFonts w:hint="eastAsia" w:ascii="宋体" w:hAnsi="宋体" w:eastAsia="宋体" w:cs="宋体"/>
          <w:sz w:val="24"/>
          <w:szCs w:val="24"/>
        </w:rPr>
        <w:t>▲</w:t>
      </w:r>
      <w:r>
        <w:rPr>
          <w:rFonts w:hint="eastAsia" w:asciiTheme="minorEastAsia" w:hAnsiTheme="minorEastAsia" w:eastAsiaTheme="minorEastAsia"/>
          <w:color w:val="000000" w:themeColor="text1"/>
          <w:sz w:val="24"/>
          <w:szCs w:val="24"/>
          <w14:textFill>
            <w14:solidFill>
              <w14:schemeClr w14:val="tx1"/>
            </w14:solidFill>
          </w14:textFill>
        </w:rPr>
        <w:t>手术床开关、等电位柱及电源接口均有防水盖设计，同时</w:t>
      </w:r>
      <w:r>
        <w:rPr>
          <w:rFonts w:hint="eastAsia" w:asciiTheme="minorEastAsia" w:hAnsiTheme="minorEastAsia" w:eastAsiaTheme="minorEastAsia"/>
          <w:sz w:val="24"/>
          <w:szCs w:val="24"/>
        </w:rPr>
        <w:t>手术床满足IPX</w:t>
      </w:r>
      <w:r>
        <w:rPr>
          <w:rFonts w:asciiTheme="minorEastAsia" w:hAnsiTheme="minorEastAsia" w:eastAsiaTheme="minorEastAsia"/>
          <w:sz w:val="24"/>
          <w:szCs w:val="24"/>
        </w:rPr>
        <w:t>5</w:t>
      </w:r>
      <w:r>
        <w:rPr>
          <w:rFonts w:hint="eastAsia" w:asciiTheme="minorEastAsia" w:hAnsiTheme="minorEastAsia" w:eastAsiaTheme="minorEastAsia"/>
          <w:sz w:val="24"/>
          <w:szCs w:val="24"/>
        </w:rPr>
        <w:t>防水等级测试。</w:t>
      </w:r>
      <w:bookmarkEnd w:id="3"/>
    </w:p>
    <w:p w14:paraId="43B7A289">
      <w:pPr>
        <w:pStyle w:val="23"/>
        <w:keepNext w:val="0"/>
        <w:keepLines w:val="0"/>
        <w:pageBreakBefore w:val="0"/>
        <w:numPr>
          <w:ilvl w:val="0"/>
          <w:numId w:val="3"/>
        </w:numPr>
        <w:kinsoku/>
        <w:wordWrap/>
        <w:overflowPunct/>
        <w:topLinePunct w:val="0"/>
        <w:autoSpaceDE/>
        <w:autoSpaceDN/>
        <w:bidi w:val="0"/>
        <w:spacing w:line="440" w:lineRule="exact"/>
        <w:ind w:left="0" w:leftChars="0" w:firstLine="400" w:firstLineChars="0"/>
        <w:rPr>
          <w:rFonts w:asciiTheme="minorEastAsia" w:hAnsiTheme="minorEastAsia" w:eastAsiaTheme="minorEastAsia"/>
          <w:color w:val="000000" w:themeColor="text1"/>
          <w:sz w:val="24"/>
          <w:szCs w:val="24"/>
          <w14:textFill>
            <w14:solidFill>
              <w14:schemeClr w14:val="tx1"/>
            </w14:solidFill>
          </w14:textFill>
        </w:rPr>
      </w:pPr>
      <w:r>
        <w:rPr>
          <w:rFonts w:hint="eastAsia" w:ascii="宋体" w:hAnsi="宋体" w:eastAsia="宋体" w:cs="宋体"/>
          <w:sz w:val="24"/>
          <w:szCs w:val="24"/>
        </w:rPr>
        <w:t>▲</w:t>
      </w:r>
      <w:r>
        <w:rPr>
          <w:rFonts w:hint="eastAsia" w:asciiTheme="minorEastAsia" w:hAnsiTheme="minorEastAsia" w:eastAsiaTheme="minorEastAsia"/>
          <w:color w:val="000000" w:themeColor="text1"/>
          <w:sz w:val="24"/>
          <w:szCs w:val="24"/>
          <w14:textFill>
            <w14:solidFill>
              <w14:schemeClr w14:val="tx1"/>
            </w14:solidFill>
          </w14:textFill>
        </w:rPr>
        <w:t>手术床具备四个万向脚轮，方便原地旋转和移动。</w:t>
      </w:r>
    </w:p>
    <w:p w14:paraId="3A985BAC">
      <w:pPr>
        <w:pStyle w:val="23"/>
        <w:keepNext w:val="0"/>
        <w:keepLines w:val="0"/>
        <w:pageBreakBefore w:val="0"/>
        <w:numPr>
          <w:ilvl w:val="0"/>
          <w:numId w:val="3"/>
        </w:numPr>
        <w:kinsoku/>
        <w:wordWrap/>
        <w:overflowPunct/>
        <w:topLinePunct w:val="0"/>
        <w:autoSpaceDE/>
        <w:autoSpaceDN/>
        <w:bidi w:val="0"/>
        <w:spacing w:line="440" w:lineRule="exact"/>
        <w:ind w:left="0" w:leftChars="0" w:firstLine="400" w:firstLineChars="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手术床能和科室现有的骨科牵引架配套使用，无缝对接。</w:t>
      </w:r>
    </w:p>
    <w:p w14:paraId="77C29EA0">
      <w:pPr>
        <w:pStyle w:val="23"/>
        <w:keepNext w:val="0"/>
        <w:keepLines w:val="0"/>
        <w:pageBreakBefore w:val="0"/>
        <w:numPr>
          <w:ilvl w:val="0"/>
          <w:numId w:val="3"/>
        </w:numPr>
        <w:kinsoku/>
        <w:wordWrap/>
        <w:overflowPunct/>
        <w:topLinePunct w:val="0"/>
        <w:autoSpaceDE/>
        <w:autoSpaceDN/>
        <w:bidi w:val="0"/>
        <w:spacing w:line="440" w:lineRule="exact"/>
        <w:ind w:left="0" w:leftChars="0" w:firstLine="400" w:firstLineChars="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 xml:space="preserve">手术床具有四个独立的电动支脚刹车，非轮式刹车设计，满足各类手术稳定性要求。 </w:t>
      </w:r>
      <w:bookmarkStart w:id="4" w:name="_Hlk190338241"/>
      <w:bookmarkStart w:id="5" w:name="_Hlk96517684"/>
    </w:p>
    <w:p w14:paraId="5BA988E5">
      <w:pPr>
        <w:pStyle w:val="23"/>
        <w:keepNext w:val="0"/>
        <w:keepLines w:val="0"/>
        <w:pageBreakBefore w:val="0"/>
        <w:numPr>
          <w:ilvl w:val="0"/>
          <w:numId w:val="3"/>
        </w:numPr>
        <w:kinsoku/>
        <w:wordWrap/>
        <w:overflowPunct/>
        <w:topLinePunct w:val="0"/>
        <w:autoSpaceDE/>
        <w:autoSpaceDN/>
        <w:bidi w:val="0"/>
        <w:spacing w:line="440" w:lineRule="exact"/>
        <w:ind w:left="0" w:leftChars="0" w:firstLine="400" w:firstLineChars="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手术床可一键预设正、反屈曲位，同时具备一键0位功能。</w:t>
      </w:r>
    </w:p>
    <w:p w14:paraId="0C57C268">
      <w:pPr>
        <w:pStyle w:val="23"/>
        <w:keepNext w:val="0"/>
        <w:keepLines w:val="0"/>
        <w:pageBreakBefore w:val="0"/>
        <w:numPr>
          <w:ilvl w:val="0"/>
          <w:numId w:val="3"/>
        </w:numPr>
        <w:kinsoku/>
        <w:wordWrap/>
        <w:overflowPunct/>
        <w:topLinePunct w:val="0"/>
        <w:autoSpaceDE/>
        <w:autoSpaceDN/>
        <w:bidi w:val="0"/>
        <w:spacing w:line="440" w:lineRule="exact"/>
        <w:ind w:left="0" w:leftChars="0" w:firstLine="400" w:firstLineChars="0"/>
        <w:rPr>
          <w:rFonts w:asciiTheme="minorEastAsia" w:hAnsiTheme="minorEastAsia" w:eastAsiaTheme="minorEastAsia"/>
          <w:color w:val="000000" w:themeColor="text1"/>
          <w:sz w:val="24"/>
          <w:szCs w:val="24"/>
          <w14:textFill>
            <w14:solidFill>
              <w14:schemeClr w14:val="tx1"/>
            </w14:solidFill>
          </w14:textFill>
        </w:rPr>
      </w:pPr>
      <w:r>
        <w:rPr>
          <w:rFonts w:asciiTheme="minorEastAsia" w:hAnsiTheme="minorEastAsia" w:eastAsiaTheme="minorEastAsia"/>
          <w:sz w:val="24"/>
          <w:szCs w:val="24"/>
        </w:rPr>
        <w:t>手术床配有高性能充电电池，可满足不</w:t>
      </w:r>
      <w:r>
        <w:rPr>
          <w:rFonts w:asciiTheme="minorEastAsia" w:hAnsiTheme="minorEastAsia" w:eastAsiaTheme="minorEastAsia"/>
          <w:color w:val="000000" w:themeColor="text1"/>
          <w:sz w:val="24"/>
          <w:szCs w:val="24"/>
          <w14:textFill>
            <w14:solidFill>
              <w14:schemeClr w14:val="tx1"/>
            </w14:solidFill>
          </w14:textFill>
        </w:rPr>
        <w:t>少于60 次</w:t>
      </w:r>
      <w:r>
        <w:rPr>
          <w:rFonts w:asciiTheme="minorEastAsia" w:hAnsiTheme="minorEastAsia" w:eastAsiaTheme="minorEastAsia"/>
          <w:sz w:val="24"/>
          <w:szCs w:val="24"/>
        </w:rPr>
        <w:t>手术需要，</w:t>
      </w:r>
      <w:r>
        <w:rPr>
          <w:rFonts w:hint="eastAsia" w:asciiTheme="minorEastAsia" w:hAnsiTheme="minorEastAsia" w:eastAsiaTheme="minorEastAsia"/>
          <w:sz w:val="24"/>
          <w:szCs w:val="24"/>
        </w:rPr>
        <w:t>同时</w:t>
      </w:r>
      <w:r>
        <w:rPr>
          <w:rFonts w:asciiTheme="minorEastAsia" w:hAnsiTheme="minorEastAsia" w:eastAsiaTheme="minorEastAsia"/>
          <w:sz w:val="24"/>
          <w:szCs w:val="24"/>
        </w:rPr>
        <w:t>手术床</w:t>
      </w:r>
      <w:r>
        <w:rPr>
          <w:rFonts w:hint="eastAsia" w:asciiTheme="minorEastAsia" w:hAnsiTheme="minorEastAsia" w:eastAsiaTheme="minorEastAsia"/>
          <w:sz w:val="24"/>
          <w:szCs w:val="24"/>
        </w:rPr>
        <w:t>遥控器配有</w:t>
      </w:r>
      <w:r>
        <w:rPr>
          <w:rFonts w:asciiTheme="minorEastAsia" w:hAnsiTheme="minorEastAsia" w:eastAsiaTheme="minorEastAsia"/>
          <w:sz w:val="24"/>
          <w:szCs w:val="24"/>
        </w:rPr>
        <w:t>高性能充电电池，满足不</w:t>
      </w:r>
      <w:r>
        <w:rPr>
          <w:rFonts w:asciiTheme="minorEastAsia" w:hAnsiTheme="minorEastAsia" w:eastAsiaTheme="minorEastAsia"/>
          <w:color w:val="000000" w:themeColor="text1"/>
          <w:sz w:val="24"/>
          <w:szCs w:val="24"/>
          <w14:textFill>
            <w14:solidFill>
              <w14:schemeClr w14:val="tx1"/>
            </w14:solidFill>
          </w14:textFill>
        </w:rPr>
        <w:t>少于120 次</w:t>
      </w:r>
      <w:r>
        <w:rPr>
          <w:rFonts w:asciiTheme="minorEastAsia" w:hAnsiTheme="minorEastAsia" w:eastAsiaTheme="minorEastAsia"/>
          <w:sz w:val="24"/>
          <w:szCs w:val="24"/>
        </w:rPr>
        <w:t>手术需要</w:t>
      </w:r>
      <w:r>
        <w:rPr>
          <w:rFonts w:hint="eastAsia" w:asciiTheme="minorEastAsia" w:hAnsiTheme="minorEastAsia" w:eastAsiaTheme="minorEastAsia"/>
          <w:sz w:val="24"/>
          <w:szCs w:val="24"/>
        </w:rPr>
        <w:t>。</w:t>
      </w:r>
    </w:p>
    <w:bookmarkEnd w:id="4"/>
    <w:p w14:paraId="0BD6F59D">
      <w:pPr>
        <w:pStyle w:val="23"/>
        <w:keepNext w:val="0"/>
        <w:keepLines w:val="0"/>
        <w:pageBreakBefore w:val="0"/>
        <w:numPr>
          <w:ilvl w:val="0"/>
          <w:numId w:val="3"/>
        </w:numPr>
        <w:kinsoku/>
        <w:wordWrap/>
        <w:overflowPunct/>
        <w:topLinePunct w:val="0"/>
        <w:autoSpaceDE/>
        <w:autoSpaceDN/>
        <w:bidi w:val="0"/>
        <w:spacing w:line="440" w:lineRule="exact"/>
        <w:ind w:left="0" w:leftChars="0" w:firstLine="400"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ascii="宋体" w:hAnsi="宋体" w:eastAsia="宋体" w:cs="宋体"/>
          <w:color w:val="auto"/>
          <w:sz w:val="24"/>
          <w:szCs w:val="24"/>
          <w:highlight w:val="none"/>
        </w:rPr>
        <w:t>★</w:t>
      </w:r>
      <w:r>
        <w:rPr>
          <w:rFonts w:hint="eastAsia" w:asciiTheme="minorEastAsia" w:hAnsiTheme="minorEastAsia" w:eastAsiaTheme="minorEastAsia"/>
          <w:color w:val="000000" w:themeColor="text1"/>
          <w:sz w:val="24"/>
          <w:szCs w:val="24"/>
          <w14:textFill>
            <w14:solidFill>
              <w14:schemeClr w14:val="tx1"/>
            </w14:solidFill>
          </w14:textFill>
        </w:rPr>
        <w:t>手术床承载重量：≥4</w:t>
      </w:r>
      <w:r>
        <w:rPr>
          <w:rFonts w:asciiTheme="minorEastAsia" w:hAnsiTheme="minorEastAsia" w:eastAsiaTheme="minorEastAsia"/>
          <w:color w:val="000000" w:themeColor="text1"/>
          <w:sz w:val="24"/>
          <w:szCs w:val="24"/>
          <w14:textFill>
            <w14:solidFill>
              <w14:schemeClr w14:val="tx1"/>
            </w14:solidFill>
          </w14:textFill>
        </w:rPr>
        <w:t>0</w:t>
      </w:r>
      <w:r>
        <w:rPr>
          <w:rFonts w:hint="eastAsia" w:asciiTheme="minorEastAsia" w:hAnsiTheme="minorEastAsia" w:eastAsiaTheme="minorEastAsia"/>
          <w:color w:val="000000" w:themeColor="text1"/>
          <w:sz w:val="24"/>
          <w:szCs w:val="24"/>
          <w14:textFill>
            <w14:solidFill>
              <w14:schemeClr w14:val="tx1"/>
            </w14:solidFill>
          </w14:textFill>
        </w:rPr>
        <w:t>0kg（提供</w:t>
      </w:r>
      <w:r>
        <w:rPr>
          <w:rFonts w:hint="eastAsia" w:asciiTheme="minorEastAsia" w:hAnsiTheme="minorEastAsia"/>
          <w:color w:val="000000" w:themeColor="text1"/>
          <w:sz w:val="24"/>
          <w:szCs w:val="24"/>
          <w:lang w:val="en-US" w:eastAsia="zh-CN"/>
          <w14:textFill>
            <w14:solidFill>
              <w14:schemeClr w14:val="tx1"/>
            </w14:solidFill>
          </w14:textFill>
        </w:rPr>
        <w:t>三方</w:t>
      </w:r>
      <w:r>
        <w:rPr>
          <w:rFonts w:hint="eastAsia" w:asciiTheme="minorEastAsia" w:hAnsiTheme="minorEastAsia" w:eastAsiaTheme="minorEastAsia"/>
          <w:color w:val="000000" w:themeColor="text1"/>
          <w:sz w:val="24"/>
          <w:szCs w:val="24"/>
          <w14:textFill>
            <w14:solidFill>
              <w14:schemeClr w14:val="tx1"/>
            </w14:solidFill>
          </w14:textFill>
        </w:rPr>
        <w:t>检测报告证明）</w:t>
      </w:r>
    </w:p>
    <w:p w14:paraId="4CE1AFE5">
      <w:pPr>
        <w:pStyle w:val="23"/>
        <w:keepNext w:val="0"/>
        <w:keepLines w:val="0"/>
        <w:pageBreakBefore w:val="0"/>
        <w:numPr>
          <w:ilvl w:val="0"/>
          <w:numId w:val="3"/>
        </w:numPr>
        <w:kinsoku/>
        <w:wordWrap/>
        <w:overflowPunct/>
        <w:topLinePunct w:val="0"/>
        <w:autoSpaceDE/>
        <w:autoSpaceDN/>
        <w:bidi w:val="0"/>
        <w:spacing w:line="440" w:lineRule="exact"/>
        <w:ind w:left="0" w:leftChars="0" w:firstLine="400" w:firstLineChars="0"/>
        <w:jc w:val="left"/>
        <w:rPr>
          <w:rFonts w:hint="eastAsia"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手术床具有防撞功能，避免术中调节时发生碰撞。</w:t>
      </w:r>
      <w:r>
        <w:rPr>
          <w:rFonts w:hint="eastAsia" w:asciiTheme="minorEastAsia" w:hAnsiTheme="minorEastAsia"/>
          <w:color w:val="000000" w:themeColor="text1"/>
          <w:sz w:val="24"/>
          <w:szCs w:val="24"/>
          <w:lang w:val="en-US" w:eastAsia="zh-CN"/>
          <w14:textFill>
            <w14:solidFill>
              <w14:schemeClr w14:val="tx1"/>
            </w14:solidFill>
          </w14:textFill>
        </w:rPr>
        <w:t>、</w:t>
      </w:r>
    </w:p>
    <w:p w14:paraId="2B2FF7B7">
      <w:pPr>
        <w:pStyle w:val="23"/>
        <w:keepNext w:val="0"/>
        <w:keepLines w:val="0"/>
        <w:pageBreakBefore w:val="0"/>
        <w:numPr>
          <w:ilvl w:val="0"/>
          <w:numId w:val="3"/>
        </w:numPr>
        <w:kinsoku/>
        <w:wordWrap/>
        <w:overflowPunct/>
        <w:topLinePunct w:val="0"/>
        <w:autoSpaceDE/>
        <w:autoSpaceDN/>
        <w:bidi w:val="0"/>
        <w:spacing w:line="440" w:lineRule="exact"/>
        <w:ind w:left="0" w:leftChars="0" w:firstLine="400" w:firstLineChars="0"/>
        <w:jc w:val="left"/>
        <w:rPr>
          <w:rFonts w:hint="eastAsia"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手术床采用模块化设计，可以根据临床需要添加台面延长模块，台面延长模块长度≥300mm</w:t>
      </w:r>
    </w:p>
    <w:bookmarkEnd w:id="5"/>
    <w:p w14:paraId="2BD8355D">
      <w:pPr>
        <w:pStyle w:val="23"/>
        <w:keepNext w:val="0"/>
        <w:keepLines w:val="0"/>
        <w:pageBreakBefore w:val="0"/>
        <w:numPr>
          <w:ilvl w:val="0"/>
          <w:numId w:val="3"/>
        </w:numPr>
        <w:kinsoku/>
        <w:wordWrap/>
        <w:overflowPunct/>
        <w:topLinePunct w:val="0"/>
        <w:autoSpaceDE/>
        <w:autoSpaceDN/>
        <w:bidi w:val="0"/>
        <w:spacing w:line="440" w:lineRule="exact"/>
        <w:ind w:left="0" w:leftChars="0" w:firstLine="400"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ascii="宋体" w:hAnsi="宋体" w:eastAsia="宋体" w:cs="宋体"/>
          <w:sz w:val="24"/>
          <w:szCs w:val="24"/>
        </w:rPr>
        <w:t>▲</w:t>
      </w:r>
      <w:r>
        <w:rPr>
          <w:rFonts w:hint="eastAsia" w:asciiTheme="minorEastAsia" w:hAnsiTheme="minorEastAsia" w:eastAsiaTheme="minorEastAsia"/>
          <w:color w:val="000000" w:themeColor="text1"/>
          <w:sz w:val="24"/>
          <w:szCs w:val="24"/>
          <w14:textFill>
            <w14:solidFill>
              <w14:schemeClr w14:val="tx1"/>
            </w14:solidFill>
          </w14:textFill>
        </w:rPr>
        <w:t>手术床宽度：≥520m</w:t>
      </w:r>
      <w:r>
        <w:rPr>
          <w:rFonts w:asciiTheme="minorEastAsia" w:hAnsiTheme="minorEastAsia" w:eastAsiaTheme="minorEastAsia"/>
          <w:color w:val="000000" w:themeColor="text1"/>
          <w:sz w:val="24"/>
          <w:szCs w:val="24"/>
          <w14:textFill>
            <w14:solidFill>
              <w14:schemeClr w14:val="tx1"/>
            </w14:solidFill>
          </w14:textFill>
        </w:rPr>
        <w:t>m</w:t>
      </w:r>
      <w:r>
        <w:rPr>
          <w:rFonts w:hint="eastAsia" w:asciiTheme="minorEastAsia" w:hAnsiTheme="minorEastAsia" w:eastAsiaTheme="minorEastAsia"/>
          <w:color w:val="000000" w:themeColor="text1"/>
          <w:sz w:val="24"/>
          <w:szCs w:val="24"/>
          <w14:textFill>
            <w14:solidFill>
              <w14:schemeClr w14:val="tx1"/>
            </w14:solidFill>
          </w14:textFill>
        </w:rPr>
        <w:t>，≥长度2</w:t>
      </w:r>
      <w:r>
        <w:rPr>
          <w:rFonts w:asciiTheme="minorEastAsia" w:hAnsiTheme="minorEastAsia" w:eastAsiaTheme="minorEastAsia"/>
          <w:color w:val="000000" w:themeColor="text1"/>
          <w:sz w:val="24"/>
          <w:szCs w:val="24"/>
          <w14:textFill>
            <w14:solidFill>
              <w14:schemeClr w14:val="tx1"/>
            </w14:solidFill>
          </w14:textFill>
        </w:rPr>
        <w:t>080</w:t>
      </w:r>
      <w:r>
        <w:rPr>
          <w:rFonts w:hint="eastAsia" w:asciiTheme="minorEastAsia" w:hAnsiTheme="minorEastAsia" w:eastAsiaTheme="minorEastAsia"/>
          <w:color w:val="000000" w:themeColor="text1"/>
          <w:sz w:val="24"/>
          <w:szCs w:val="24"/>
          <w14:textFill>
            <w14:solidFill>
              <w14:schemeClr w14:val="tx1"/>
            </w14:solidFill>
          </w14:textFill>
        </w:rPr>
        <w:t>mm</w:t>
      </w:r>
    </w:p>
    <w:p w14:paraId="0B68AE90">
      <w:pPr>
        <w:pStyle w:val="23"/>
        <w:keepNext w:val="0"/>
        <w:keepLines w:val="0"/>
        <w:pageBreakBefore w:val="0"/>
        <w:numPr>
          <w:ilvl w:val="0"/>
          <w:numId w:val="3"/>
        </w:numPr>
        <w:kinsoku/>
        <w:wordWrap/>
        <w:overflowPunct/>
        <w:topLinePunct w:val="0"/>
        <w:autoSpaceDE/>
        <w:autoSpaceDN/>
        <w:bidi w:val="0"/>
        <w:spacing w:line="440" w:lineRule="exact"/>
        <w:ind w:left="0" w:leftChars="0" w:firstLine="400"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纵向最大倾斜角度（头倾）：≥</w:t>
      </w:r>
      <w:r>
        <w:rPr>
          <w:rFonts w:asciiTheme="minorEastAsia" w:hAnsiTheme="minorEastAsia" w:eastAsiaTheme="minorEastAsia"/>
          <w:color w:val="000000" w:themeColor="text1"/>
          <w:sz w:val="24"/>
          <w:szCs w:val="24"/>
          <w14:textFill>
            <w14:solidFill>
              <w14:schemeClr w14:val="tx1"/>
            </w14:solidFill>
          </w14:textFill>
        </w:rPr>
        <w:t>36°</w:t>
      </w:r>
    </w:p>
    <w:p w14:paraId="670473B2">
      <w:pPr>
        <w:pStyle w:val="23"/>
        <w:keepNext w:val="0"/>
        <w:keepLines w:val="0"/>
        <w:pageBreakBefore w:val="0"/>
        <w:numPr>
          <w:ilvl w:val="0"/>
          <w:numId w:val="3"/>
        </w:numPr>
        <w:kinsoku/>
        <w:wordWrap/>
        <w:overflowPunct/>
        <w:topLinePunct w:val="0"/>
        <w:autoSpaceDE/>
        <w:autoSpaceDN/>
        <w:bidi w:val="0"/>
        <w:spacing w:line="440" w:lineRule="exact"/>
        <w:ind w:left="0" w:leftChars="0" w:firstLine="400"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纵向最大倾斜角度（脚倾）：≥</w:t>
      </w:r>
      <w:r>
        <w:rPr>
          <w:rFonts w:asciiTheme="minorEastAsia" w:hAnsiTheme="minorEastAsia" w:eastAsiaTheme="minorEastAsia"/>
          <w:color w:val="000000" w:themeColor="text1"/>
          <w:sz w:val="24"/>
          <w:szCs w:val="24"/>
          <w14:textFill>
            <w14:solidFill>
              <w14:schemeClr w14:val="tx1"/>
            </w14:solidFill>
          </w14:textFill>
        </w:rPr>
        <w:t>25°</w:t>
      </w:r>
    </w:p>
    <w:p w14:paraId="3C9B5861">
      <w:pPr>
        <w:pStyle w:val="23"/>
        <w:keepNext w:val="0"/>
        <w:keepLines w:val="0"/>
        <w:pageBreakBefore w:val="0"/>
        <w:numPr>
          <w:ilvl w:val="0"/>
          <w:numId w:val="3"/>
        </w:numPr>
        <w:kinsoku/>
        <w:wordWrap/>
        <w:overflowPunct/>
        <w:topLinePunct w:val="0"/>
        <w:autoSpaceDE/>
        <w:autoSpaceDN/>
        <w:bidi w:val="0"/>
        <w:spacing w:line="440" w:lineRule="exact"/>
        <w:ind w:left="0" w:leftChars="0" w:firstLine="400"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侧向最大倾斜角度（左倾/右倾）：≥</w:t>
      </w:r>
      <w:r>
        <w:rPr>
          <w:rFonts w:asciiTheme="minorEastAsia" w:hAnsiTheme="minorEastAsia" w:eastAsiaTheme="minorEastAsia"/>
          <w:color w:val="000000" w:themeColor="text1"/>
          <w:sz w:val="24"/>
          <w:szCs w:val="24"/>
          <w14:textFill>
            <w14:solidFill>
              <w14:schemeClr w14:val="tx1"/>
            </w14:solidFill>
          </w14:textFill>
        </w:rPr>
        <w:t>21°</w:t>
      </w:r>
    </w:p>
    <w:p w14:paraId="5FB68AF0">
      <w:pPr>
        <w:pStyle w:val="23"/>
        <w:keepNext w:val="0"/>
        <w:keepLines w:val="0"/>
        <w:pageBreakBefore w:val="0"/>
        <w:numPr>
          <w:ilvl w:val="0"/>
          <w:numId w:val="3"/>
        </w:numPr>
        <w:kinsoku/>
        <w:wordWrap/>
        <w:overflowPunct/>
        <w:topLinePunct w:val="0"/>
        <w:autoSpaceDE/>
        <w:autoSpaceDN/>
        <w:bidi w:val="0"/>
        <w:spacing w:line="440" w:lineRule="exact"/>
        <w:ind w:left="0" w:leftChars="0" w:firstLine="400"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头板最大倾斜角度：上折≥</w:t>
      </w:r>
      <w:r>
        <w:rPr>
          <w:rFonts w:asciiTheme="minorEastAsia" w:hAnsiTheme="minorEastAsia" w:eastAsiaTheme="minorEastAsia"/>
          <w:color w:val="000000" w:themeColor="text1"/>
          <w:sz w:val="24"/>
          <w:szCs w:val="24"/>
          <w14:textFill>
            <w14:solidFill>
              <w14:schemeClr w14:val="tx1"/>
            </w14:solidFill>
          </w14:textFill>
        </w:rPr>
        <w:t>60°</w:t>
      </w:r>
      <w:r>
        <w:rPr>
          <w:rFonts w:hint="eastAsia" w:asciiTheme="minorEastAsia" w:hAnsiTheme="minorEastAsia" w:eastAsiaTheme="minorEastAsia"/>
          <w:color w:val="000000" w:themeColor="text1"/>
          <w:sz w:val="24"/>
          <w:szCs w:val="24"/>
          <w14:textFill>
            <w14:solidFill>
              <w14:schemeClr w14:val="tx1"/>
            </w14:solidFill>
          </w14:textFill>
        </w:rPr>
        <w:t>，下折≥</w:t>
      </w:r>
      <w:r>
        <w:rPr>
          <w:rFonts w:asciiTheme="minorEastAsia" w:hAnsiTheme="minorEastAsia" w:eastAsiaTheme="minorEastAsia"/>
          <w:color w:val="000000" w:themeColor="text1"/>
          <w:sz w:val="24"/>
          <w:szCs w:val="24"/>
          <w14:textFill>
            <w14:solidFill>
              <w14:schemeClr w14:val="tx1"/>
            </w14:solidFill>
          </w14:textFill>
        </w:rPr>
        <w:t>90°</w:t>
      </w:r>
    </w:p>
    <w:p w14:paraId="3ABF8520">
      <w:pPr>
        <w:pStyle w:val="23"/>
        <w:keepNext w:val="0"/>
        <w:keepLines w:val="0"/>
        <w:pageBreakBefore w:val="0"/>
        <w:numPr>
          <w:ilvl w:val="0"/>
          <w:numId w:val="3"/>
        </w:numPr>
        <w:kinsoku/>
        <w:wordWrap/>
        <w:overflowPunct/>
        <w:topLinePunct w:val="0"/>
        <w:autoSpaceDE/>
        <w:autoSpaceDN/>
        <w:bidi w:val="0"/>
        <w:spacing w:line="440" w:lineRule="exact"/>
        <w:ind w:left="0" w:leftChars="0" w:firstLine="400"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背板最大倾斜角度：上折≥</w:t>
      </w:r>
      <w:r>
        <w:rPr>
          <w:rFonts w:asciiTheme="minorEastAsia" w:hAnsiTheme="minorEastAsia" w:eastAsiaTheme="minorEastAsia"/>
          <w:color w:val="000000" w:themeColor="text1"/>
          <w:sz w:val="24"/>
          <w:szCs w:val="24"/>
          <w14:textFill>
            <w14:solidFill>
              <w14:schemeClr w14:val="tx1"/>
            </w14:solidFill>
          </w14:textFill>
        </w:rPr>
        <w:t>75°</w:t>
      </w:r>
      <w:r>
        <w:rPr>
          <w:rFonts w:hint="eastAsia" w:asciiTheme="minorEastAsia" w:hAnsiTheme="minorEastAsia" w:eastAsiaTheme="minorEastAsia"/>
          <w:color w:val="000000" w:themeColor="text1"/>
          <w:sz w:val="24"/>
          <w:szCs w:val="24"/>
          <w14:textFill>
            <w14:solidFill>
              <w14:schemeClr w14:val="tx1"/>
            </w14:solidFill>
          </w14:textFill>
        </w:rPr>
        <w:t>，下折≥</w:t>
      </w:r>
      <w:r>
        <w:rPr>
          <w:rFonts w:asciiTheme="minorEastAsia" w:hAnsiTheme="minorEastAsia" w:eastAsiaTheme="minorEastAsia"/>
          <w:color w:val="000000" w:themeColor="text1"/>
          <w:sz w:val="24"/>
          <w:szCs w:val="24"/>
          <w14:textFill>
            <w14:solidFill>
              <w14:schemeClr w14:val="tx1"/>
            </w14:solidFill>
          </w14:textFill>
        </w:rPr>
        <w:t>50°</w:t>
      </w:r>
    </w:p>
    <w:p w14:paraId="23E52309">
      <w:pPr>
        <w:pStyle w:val="23"/>
        <w:keepNext w:val="0"/>
        <w:keepLines w:val="0"/>
        <w:pageBreakBefore w:val="0"/>
        <w:numPr>
          <w:ilvl w:val="0"/>
          <w:numId w:val="3"/>
        </w:numPr>
        <w:kinsoku/>
        <w:wordWrap/>
        <w:overflowPunct/>
        <w:topLinePunct w:val="0"/>
        <w:autoSpaceDE/>
        <w:autoSpaceDN/>
        <w:bidi w:val="0"/>
        <w:spacing w:line="440" w:lineRule="exact"/>
        <w:ind w:left="0" w:leftChars="0" w:firstLine="400"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腿板最大倾斜角度：上折≥</w:t>
      </w:r>
      <w:r>
        <w:rPr>
          <w:rFonts w:asciiTheme="minorEastAsia" w:hAnsiTheme="minorEastAsia" w:eastAsiaTheme="minorEastAsia"/>
          <w:color w:val="000000" w:themeColor="text1"/>
          <w:sz w:val="24"/>
          <w:szCs w:val="24"/>
          <w14:textFill>
            <w14:solidFill>
              <w14:schemeClr w14:val="tx1"/>
            </w14:solidFill>
          </w14:textFill>
        </w:rPr>
        <w:t>40°</w:t>
      </w:r>
      <w:r>
        <w:rPr>
          <w:rFonts w:hint="eastAsia" w:asciiTheme="minorEastAsia" w:hAnsiTheme="minorEastAsia" w:eastAsiaTheme="minorEastAsia"/>
          <w:color w:val="000000" w:themeColor="text1"/>
          <w:sz w:val="24"/>
          <w:szCs w:val="24"/>
          <w14:textFill>
            <w14:solidFill>
              <w14:schemeClr w14:val="tx1"/>
            </w14:solidFill>
          </w14:textFill>
        </w:rPr>
        <w:t>；下折≥</w:t>
      </w:r>
      <w:r>
        <w:rPr>
          <w:rFonts w:asciiTheme="minorEastAsia" w:hAnsiTheme="minorEastAsia" w:eastAsiaTheme="minorEastAsia"/>
          <w:color w:val="000000" w:themeColor="text1"/>
          <w:sz w:val="24"/>
          <w:szCs w:val="24"/>
          <w14:textFill>
            <w14:solidFill>
              <w14:schemeClr w14:val="tx1"/>
            </w14:solidFill>
          </w14:textFill>
        </w:rPr>
        <w:t>85°</w:t>
      </w:r>
    </w:p>
    <w:p w14:paraId="1743F8A3">
      <w:pPr>
        <w:pStyle w:val="23"/>
        <w:keepNext w:val="0"/>
        <w:keepLines w:val="0"/>
        <w:pageBreakBefore w:val="0"/>
        <w:numPr>
          <w:ilvl w:val="0"/>
          <w:numId w:val="3"/>
        </w:numPr>
        <w:kinsoku/>
        <w:wordWrap/>
        <w:overflowPunct/>
        <w:topLinePunct w:val="0"/>
        <w:autoSpaceDE/>
        <w:autoSpaceDN/>
        <w:bidi w:val="0"/>
        <w:spacing w:line="440" w:lineRule="exact"/>
        <w:ind w:left="0" w:leftChars="0" w:firstLine="400"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手术床最低台面：≤</w:t>
      </w:r>
      <w:r>
        <w:rPr>
          <w:rFonts w:asciiTheme="minorEastAsia" w:hAnsiTheme="minorEastAsia" w:eastAsiaTheme="minorEastAsia"/>
          <w:color w:val="000000" w:themeColor="text1"/>
          <w:sz w:val="24"/>
          <w:szCs w:val="24"/>
          <w14:textFill>
            <w14:solidFill>
              <w14:schemeClr w14:val="tx1"/>
            </w14:solidFill>
          </w14:textFill>
        </w:rPr>
        <w:t>595mm</w:t>
      </w:r>
    </w:p>
    <w:p w14:paraId="01592D97">
      <w:pPr>
        <w:pStyle w:val="23"/>
        <w:keepNext w:val="0"/>
        <w:keepLines w:val="0"/>
        <w:pageBreakBefore w:val="0"/>
        <w:numPr>
          <w:ilvl w:val="0"/>
          <w:numId w:val="3"/>
        </w:numPr>
        <w:kinsoku/>
        <w:wordWrap/>
        <w:overflowPunct/>
        <w:topLinePunct w:val="0"/>
        <w:autoSpaceDE/>
        <w:autoSpaceDN/>
        <w:bidi w:val="0"/>
        <w:spacing w:line="440" w:lineRule="exact"/>
        <w:ind w:left="0" w:leftChars="0" w:firstLine="400" w:firstLineChars="0"/>
        <w:jc w:val="left"/>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手术床最高台面：≥</w:t>
      </w:r>
      <w:r>
        <w:rPr>
          <w:rFonts w:asciiTheme="minorEastAsia" w:hAnsiTheme="minorEastAsia" w:eastAsiaTheme="minorEastAsia"/>
          <w:color w:val="000000" w:themeColor="text1"/>
          <w:sz w:val="24"/>
          <w:szCs w:val="24"/>
          <w14:textFill>
            <w14:solidFill>
              <w14:schemeClr w14:val="tx1"/>
            </w14:solidFill>
          </w14:textFill>
        </w:rPr>
        <w:t>950mm</w:t>
      </w:r>
    </w:p>
    <w:p w14:paraId="7C6ECBBD">
      <w:pPr>
        <w:pStyle w:val="23"/>
        <w:keepNext w:val="0"/>
        <w:keepLines w:val="0"/>
        <w:pageBreakBefore w:val="0"/>
        <w:numPr>
          <w:ilvl w:val="0"/>
          <w:numId w:val="3"/>
        </w:numPr>
        <w:kinsoku/>
        <w:wordWrap/>
        <w:overflowPunct/>
        <w:topLinePunct w:val="0"/>
        <w:autoSpaceDE/>
        <w:autoSpaceDN/>
        <w:bidi w:val="0"/>
        <w:spacing w:line="440" w:lineRule="exact"/>
        <w:ind w:left="0" w:leftChars="0" w:firstLine="400" w:firstLineChars="0"/>
        <w:jc w:val="left"/>
        <w:rPr>
          <w:rFonts w:hint="eastAsia" w:asciiTheme="minorEastAsia" w:hAnsiTheme="minorEastAsia" w:eastAsia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 xml:space="preserve">台面平移距离：≥320mm </w:t>
      </w:r>
    </w:p>
    <w:p w14:paraId="5BC4DF40">
      <w:pPr>
        <w:pStyle w:val="23"/>
        <w:keepNext w:val="0"/>
        <w:keepLines w:val="0"/>
        <w:pageBreakBefore w:val="0"/>
        <w:numPr>
          <w:ilvl w:val="0"/>
          <w:numId w:val="3"/>
        </w:numPr>
        <w:kinsoku/>
        <w:wordWrap/>
        <w:overflowPunct/>
        <w:topLinePunct w:val="0"/>
        <w:autoSpaceDE/>
        <w:autoSpaceDN/>
        <w:bidi w:val="0"/>
        <w:spacing w:line="440" w:lineRule="exact"/>
        <w:ind w:left="0" w:leftChars="0" w:firstLine="400" w:firstLineChars="0"/>
        <w:jc w:val="left"/>
        <w:rPr>
          <w:rFonts w:hint="default"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配置清单：</w:t>
      </w:r>
    </w:p>
    <w:tbl>
      <w:tblPr>
        <w:tblStyle w:val="13"/>
        <w:tblW w:w="842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99"/>
        <w:gridCol w:w="4622"/>
        <w:gridCol w:w="1899"/>
      </w:tblGrid>
      <w:tr w14:paraId="49B36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trPr>
        <w:tc>
          <w:tcPr>
            <w:tcW w:w="84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4BEE2">
            <w:pPr>
              <w:keepNext w:val="0"/>
              <w:keepLines w:val="0"/>
              <w:pageBreakBefore w:val="0"/>
              <w:widowControl/>
              <w:suppressLineNumbers w:val="0"/>
              <w:kinsoku/>
              <w:wordWrap/>
              <w:overflowPunct/>
              <w:topLinePunct w:val="0"/>
              <w:autoSpaceDE/>
              <w:autoSpaceDN/>
              <w:bidi w:val="0"/>
              <w:spacing w:line="440" w:lineRule="exact"/>
              <w:ind w:firstLine="482" w:firstLineChars="200"/>
              <w:jc w:val="center"/>
              <w:textAlignment w:val="center"/>
              <w:rPr>
                <w:rFonts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单台</w:t>
            </w:r>
            <w:bookmarkStart w:id="10" w:name="_GoBack"/>
            <w:bookmarkEnd w:id="10"/>
            <w:r>
              <w:rPr>
                <w:rFonts w:hint="eastAsia" w:ascii="微软雅黑" w:hAnsi="微软雅黑" w:eastAsia="微软雅黑" w:cs="微软雅黑"/>
                <w:b/>
                <w:bCs/>
                <w:i w:val="0"/>
                <w:iCs w:val="0"/>
                <w:color w:val="000000"/>
                <w:kern w:val="0"/>
                <w:sz w:val="24"/>
                <w:szCs w:val="24"/>
                <w:u w:val="none"/>
                <w:lang w:val="en-US" w:eastAsia="zh-CN" w:bidi="ar"/>
              </w:rPr>
              <w:t>手术床配置单</w:t>
            </w:r>
          </w:p>
        </w:tc>
      </w:tr>
      <w:tr w14:paraId="2152E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C81AA">
            <w:pPr>
              <w:keepNext w:val="0"/>
              <w:keepLines w:val="0"/>
              <w:pageBreakBefore w:val="0"/>
              <w:widowControl/>
              <w:suppressLineNumbers w:val="0"/>
              <w:kinsoku/>
              <w:wordWrap/>
              <w:overflowPunct/>
              <w:topLinePunct w:val="0"/>
              <w:autoSpaceDE/>
              <w:autoSpaceDN/>
              <w:bidi w:val="0"/>
              <w:spacing w:line="440" w:lineRule="exact"/>
              <w:ind w:firstLine="480" w:firstLineChars="20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C09F3">
            <w:pPr>
              <w:keepNext w:val="0"/>
              <w:keepLines w:val="0"/>
              <w:pageBreakBefore w:val="0"/>
              <w:widowControl/>
              <w:suppressLineNumbers w:val="0"/>
              <w:kinsoku/>
              <w:wordWrap/>
              <w:overflowPunct/>
              <w:topLinePunct w:val="0"/>
              <w:autoSpaceDE/>
              <w:autoSpaceDN/>
              <w:bidi w:val="0"/>
              <w:spacing w:line="440" w:lineRule="exact"/>
              <w:ind w:firstLine="480" w:firstLineChars="20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26977">
            <w:pPr>
              <w:keepNext w:val="0"/>
              <w:keepLines w:val="0"/>
              <w:pageBreakBefore w:val="0"/>
              <w:widowControl/>
              <w:suppressLineNumbers w:val="0"/>
              <w:kinsoku/>
              <w:wordWrap/>
              <w:overflowPunct/>
              <w:topLinePunct w:val="0"/>
              <w:autoSpaceDE/>
              <w:autoSpaceDN/>
              <w:bidi w:val="0"/>
              <w:spacing w:line="440" w:lineRule="exact"/>
              <w:ind w:firstLine="480" w:firstLineChars="20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数量</w:t>
            </w:r>
          </w:p>
        </w:tc>
      </w:tr>
      <w:tr w14:paraId="3D041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CDF6C">
            <w:pPr>
              <w:keepNext w:val="0"/>
              <w:keepLines w:val="0"/>
              <w:pageBreakBefore w:val="0"/>
              <w:widowControl/>
              <w:suppressLineNumbers w:val="0"/>
              <w:kinsoku/>
              <w:wordWrap/>
              <w:overflowPunct/>
              <w:topLinePunct w:val="0"/>
              <w:autoSpaceDE/>
              <w:autoSpaceDN/>
              <w:bidi w:val="0"/>
              <w:spacing w:line="440" w:lineRule="exact"/>
              <w:ind w:firstLine="480" w:firstLineChars="20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FC999">
            <w:pPr>
              <w:keepNext w:val="0"/>
              <w:keepLines w:val="0"/>
              <w:pageBreakBefore w:val="0"/>
              <w:widowControl/>
              <w:suppressLineNumbers w:val="0"/>
              <w:kinsoku/>
              <w:wordWrap/>
              <w:overflowPunct/>
              <w:topLinePunct w:val="0"/>
              <w:autoSpaceDE/>
              <w:autoSpaceDN/>
              <w:bidi w:val="0"/>
              <w:spacing w:line="440" w:lineRule="exact"/>
              <w:ind w:firstLine="480" w:firstLineChars="20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轻型麻醉屏架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8C1AA">
            <w:pPr>
              <w:keepNext w:val="0"/>
              <w:keepLines w:val="0"/>
              <w:pageBreakBefore w:val="0"/>
              <w:widowControl/>
              <w:suppressLineNumbers w:val="0"/>
              <w:kinsoku/>
              <w:wordWrap/>
              <w:overflowPunct/>
              <w:topLinePunct w:val="0"/>
              <w:autoSpaceDE/>
              <w:autoSpaceDN/>
              <w:bidi w:val="0"/>
              <w:spacing w:line="440" w:lineRule="exact"/>
              <w:ind w:firstLine="480" w:firstLineChars="20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w:t>
            </w:r>
          </w:p>
        </w:tc>
      </w:tr>
      <w:tr w14:paraId="44671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59A74">
            <w:pPr>
              <w:keepNext w:val="0"/>
              <w:keepLines w:val="0"/>
              <w:pageBreakBefore w:val="0"/>
              <w:widowControl/>
              <w:suppressLineNumbers w:val="0"/>
              <w:kinsoku/>
              <w:wordWrap/>
              <w:overflowPunct/>
              <w:topLinePunct w:val="0"/>
              <w:autoSpaceDE/>
              <w:autoSpaceDN/>
              <w:bidi w:val="0"/>
              <w:spacing w:line="440" w:lineRule="exact"/>
              <w:ind w:firstLine="480" w:firstLineChars="20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AA3FB">
            <w:pPr>
              <w:keepNext w:val="0"/>
              <w:keepLines w:val="0"/>
              <w:pageBreakBefore w:val="0"/>
              <w:widowControl/>
              <w:suppressLineNumbers w:val="0"/>
              <w:kinsoku/>
              <w:wordWrap/>
              <w:overflowPunct/>
              <w:topLinePunct w:val="0"/>
              <w:autoSpaceDE/>
              <w:autoSpaceDN/>
              <w:bidi w:val="0"/>
              <w:spacing w:line="440" w:lineRule="exact"/>
              <w:ind w:firstLine="480" w:firstLineChars="20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轻型托手架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E69E3">
            <w:pPr>
              <w:keepNext w:val="0"/>
              <w:keepLines w:val="0"/>
              <w:pageBreakBefore w:val="0"/>
              <w:widowControl/>
              <w:suppressLineNumbers w:val="0"/>
              <w:kinsoku/>
              <w:wordWrap/>
              <w:overflowPunct/>
              <w:topLinePunct w:val="0"/>
              <w:autoSpaceDE/>
              <w:autoSpaceDN/>
              <w:bidi w:val="0"/>
              <w:spacing w:line="440" w:lineRule="exact"/>
              <w:ind w:firstLine="480" w:firstLineChars="20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w:t>
            </w:r>
          </w:p>
        </w:tc>
      </w:tr>
      <w:tr w14:paraId="73F21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DA125">
            <w:pPr>
              <w:keepNext w:val="0"/>
              <w:keepLines w:val="0"/>
              <w:pageBreakBefore w:val="0"/>
              <w:widowControl/>
              <w:suppressLineNumbers w:val="0"/>
              <w:kinsoku/>
              <w:wordWrap/>
              <w:overflowPunct/>
              <w:topLinePunct w:val="0"/>
              <w:autoSpaceDE/>
              <w:autoSpaceDN/>
              <w:bidi w:val="0"/>
              <w:spacing w:line="440" w:lineRule="exact"/>
              <w:ind w:firstLine="480" w:firstLineChars="20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C7448">
            <w:pPr>
              <w:keepNext w:val="0"/>
              <w:keepLines w:val="0"/>
              <w:pageBreakBefore w:val="0"/>
              <w:widowControl/>
              <w:suppressLineNumbers w:val="0"/>
              <w:kinsoku/>
              <w:wordWrap/>
              <w:overflowPunct/>
              <w:topLinePunct w:val="0"/>
              <w:autoSpaceDE/>
              <w:autoSpaceDN/>
              <w:bidi w:val="0"/>
              <w:spacing w:line="440" w:lineRule="exact"/>
              <w:ind w:firstLine="480" w:firstLineChars="20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腿板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B14D5">
            <w:pPr>
              <w:keepNext w:val="0"/>
              <w:keepLines w:val="0"/>
              <w:pageBreakBefore w:val="0"/>
              <w:widowControl/>
              <w:suppressLineNumbers w:val="0"/>
              <w:kinsoku/>
              <w:wordWrap/>
              <w:overflowPunct/>
              <w:topLinePunct w:val="0"/>
              <w:autoSpaceDE/>
              <w:autoSpaceDN/>
              <w:bidi w:val="0"/>
              <w:spacing w:line="440" w:lineRule="exact"/>
              <w:ind w:firstLine="480" w:firstLineChars="20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w:t>
            </w:r>
          </w:p>
        </w:tc>
      </w:tr>
      <w:tr w14:paraId="2F38C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57113">
            <w:pPr>
              <w:keepNext w:val="0"/>
              <w:keepLines w:val="0"/>
              <w:pageBreakBefore w:val="0"/>
              <w:widowControl/>
              <w:suppressLineNumbers w:val="0"/>
              <w:kinsoku/>
              <w:wordWrap/>
              <w:overflowPunct/>
              <w:topLinePunct w:val="0"/>
              <w:autoSpaceDE/>
              <w:autoSpaceDN/>
              <w:bidi w:val="0"/>
              <w:spacing w:line="440" w:lineRule="exact"/>
              <w:ind w:firstLine="480" w:firstLineChars="20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A9869">
            <w:pPr>
              <w:keepNext w:val="0"/>
              <w:keepLines w:val="0"/>
              <w:pageBreakBefore w:val="0"/>
              <w:widowControl/>
              <w:suppressLineNumbers w:val="0"/>
              <w:kinsoku/>
              <w:wordWrap/>
              <w:overflowPunct/>
              <w:topLinePunct w:val="0"/>
              <w:autoSpaceDE/>
              <w:autoSpaceDN/>
              <w:bidi w:val="0"/>
              <w:spacing w:line="440" w:lineRule="exact"/>
              <w:ind w:firstLine="480" w:firstLineChars="20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头板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A1D90">
            <w:pPr>
              <w:keepNext w:val="0"/>
              <w:keepLines w:val="0"/>
              <w:pageBreakBefore w:val="0"/>
              <w:widowControl/>
              <w:suppressLineNumbers w:val="0"/>
              <w:kinsoku/>
              <w:wordWrap/>
              <w:overflowPunct/>
              <w:topLinePunct w:val="0"/>
              <w:autoSpaceDE/>
              <w:autoSpaceDN/>
              <w:bidi w:val="0"/>
              <w:spacing w:line="440" w:lineRule="exact"/>
              <w:ind w:firstLine="480" w:firstLineChars="20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w:t>
            </w:r>
          </w:p>
        </w:tc>
      </w:tr>
      <w:tr w14:paraId="4546B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716D3">
            <w:pPr>
              <w:keepNext w:val="0"/>
              <w:keepLines w:val="0"/>
              <w:pageBreakBefore w:val="0"/>
              <w:widowControl/>
              <w:suppressLineNumbers w:val="0"/>
              <w:kinsoku/>
              <w:wordWrap/>
              <w:overflowPunct/>
              <w:topLinePunct w:val="0"/>
              <w:autoSpaceDE/>
              <w:autoSpaceDN/>
              <w:bidi w:val="0"/>
              <w:spacing w:line="440" w:lineRule="exact"/>
              <w:ind w:firstLine="480" w:firstLineChars="20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37C38">
            <w:pPr>
              <w:keepNext w:val="0"/>
              <w:keepLines w:val="0"/>
              <w:pageBreakBefore w:val="0"/>
              <w:widowControl/>
              <w:suppressLineNumbers w:val="0"/>
              <w:kinsoku/>
              <w:wordWrap/>
              <w:overflowPunct/>
              <w:topLinePunct w:val="0"/>
              <w:autoSpaceDE/>
              <w:autoSpaceDN/>
              <w:bidi w:val="0"/>
              <w:spacing w:line="440" w:lineRule="exact"/>
              <w:ind w:firstLine="480" w:firstLineChars="20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主机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8F38A">
            <w:pPr>
              <w:keepNext w:val="0"/>
              <w:keepLines w:val="0"/>
              <w:pageBreakBefore w:val="0"/>
              <w:widowControl/>
              <w:suppressLineNumbers w:val="0"/>
              <w:kinsoku/>
              <w:wordWrap/>
              <w:overflowPunct/>
              <w:topLinePunct w:val="0"/>
              <w:autoSpaceDE/>
              <w:autoSpaceDN/>
              <w:bidi w:val="0"/>
              <w:spacing w:line="440" w:lineRule="exact"/>
              <w:ind w:firstLine="480" w:firstLineChars="20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w:t>
            </w:r>
          </w:p>
        </w:tc>
      </w:tr>
      <w:tr w14:paraId="11CFC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56D5A">
            <w:pPr>
              <w:keepNext w:val="0"/>
              <w:keepLines w:val="0"/>
              <w:pageBreakBefore w:val="0"/>
              <w:widowControl/>
              <w:suppressLineNumbers w:val="0"/>
              <w:kinsoku/>
              <w:wordWrap/>
              <w:overflowPunct/>
              <w:topLinePunct w:val="0"/>
              <w:autoSpaceDE/>
              <w:autoSpaceDN/>
              <w:bidi w:val="0"/>
              <w:spacing w:line="440" w:lineRule="exact"/>
              <w:ind w:firstLine="480" w:firstLineChars="20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295C7">
            <w:pPr>
              <w:keepNext w:val="0"/>
              <w:keepLines w:val="0"/>
              <w:pageBreakBefore w:val="0"/>
              <w:widowControl/>
              <w:suppressLineNumbers w:val="0"/>
              <w:kinsoku/>
              <w:wordWrap/>
              <w:overflowPunct/>
              <w:topLinePunct w:val="0"/>
              <w:autoSpaceDE/>
              <w:autoSpaceDN/>
              <w:bidi w:val="0"/>
              <w:spacing w:line="440" w:lineRule="exact"/>
              <w:ind w:firstLine="480" w:firstLineChars="20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无线遥控器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6304E">
            <w:pPr>
              <w:keepNext w:val="0"/>
              <w:keepLines w:val="0"/>
              <w:pageBreakBefore w:val="0"/>
              <w:widowControl/>
              <w:suppressLineNumbers w:val="0"/>
              <w:kinsoku/>
              <w:wordWrap/>
              <w:overflowPunct/>
              <w:topLinePunct w:val="0"/>
              <w:autoSpaceDE/>
              <w:autoSpaceDN/>
              <w:bidi w:val="0"/>
              <w:spacing w:line="440" w:lineRule="exact"/>
              <w:ind w:firstLine="480" w:firstLineChars="20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w:t>
            </w:r>
          </w:p>
        </w:tc>
      </w:tr>
      <w:tr w14:paraId="33750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01992">
            <w:pPr>
              <w:keepNext w:val="0"/>
              <w:keepLines w:val="0"/>
              <w:pageBreakBefore w:val="0"/>
              <w:widowControl/>
              <w:suppressLineNumbers w:val="0"/>
              <w:kinsoku/>
              <w:wordWrap/>
              <w:overflowPunct/>
              <w:topLinePunct w:val="0"/>
              <w:autoSpaceDE/>
              <w:autoSpaceDN/>
              <w:bidi w:val="0"/>
              <w:spacing w:line="440" w:lineRule="exact"/>
              <w:ind w:firstLine="480" w:firstLineChars="20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74BCE">
            <w:pPr>
              <w:keepNext w:val="0"/>
              <w:keepLines w:val="0"/>
              <w:pageBreakBefore w:val="0"/>
              <w:widowControl/>
              <w:suppressLineNumbers w:val="0"/>
              <w:kinsoku/>
              <w:wordWrap/>
              <w:overflowPunct/>
              <w:topLinePunct w:val="0"/>
              <w:autoSpaceDE/>
              <w:autoSpaceDN/>
              <w:bidi w:val="0"/>
              <w:spacing w:line="440" w:lineRule="exact"/>
              <w:ind w:firstLine="480" w:firstLineChars="20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国标电源线(5m)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53DA8">
            <w:pPr>
              <w:keepNext w:val="0"/>
              <w:keepLines w:val="0"/>
              <w:pageBreakBefore w:val="0"/>
              <w:widowControl/>
              <w:suppressLineNumbers w:val="0"/>
              <w:kinsoku/>
              <w:wordWrap/>
              <w:overflowPunct/>
              <w:topLinePunct w:val="0"/>
              <w:autoSpaceDE/>
              <w:autoSpaceDN/>
              <w:bidi w:val="0"/>
              <w:spacing w:line="440" w:lineRule="exact"/>
              <w:ind w:firstLine="480" w:firstLineChars="20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w:t>
            </w:r>
          </w:p>
        </w:tc>
      </w:tr>
      <w:tr w14:paraId="67632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56709">
            <w:pPr>
              <w:keepNext w:val="0"/>
              <w:keepLines w:val="0"/>
              <w:pageBreakBefore w:val="0"/>
              <w:widowControl/>
              <w:suppressLineNumbers w:val="0"/>
              <w:kinsoku/>
              <w:wordWrap/>
              <w:overflowPunct/>
              <w:topLinePunct w:val="0"/>
              <w:autoSpaceDE/>
              <w:autoSpaceDN/>
              <w:bidi w:val="0"/>
              <w:spacing w:line="440" w:lineRule="exact"/>
              <w:ind w:firstLine="480" w:firstLineChars="20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B546A">
            <w:pPr>
              <w:keepNext w:val="0"/>
              <w:keepLines w:val="0"/>
              <w:pageBreakBefore w:val="0"/>
              <w:widowControl/>
              <w:suppressLineNumbers w:val="0"/>
              <w:kinsoku/>
              <w:wordWrap/>
              <w:overflowPunct/>
              <w:topLinePunct w:val="0"/>
              <w:autoSpaceDE/>
              <w:autoSpaceDN/>
              <w:bidi w:val="0"/>
              <w:spacing w:line="440" w:lineRule="exact"/>
              <w:ind w:firstLine="480" w:firstLineChars="20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记忆海绵床垫(主机)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F6F84">
            <w:pPr>
              <w:keepNext w:val="0"/>
              <w:keepLines w:val="0"/>
              <w:pageBreakBefore w:val="0"/>
              <w:widowControl/>
              <w:suppressLineNumbers w:val="0"/>
              <w:kinsoku/>
              <w:wordWrap/>
              <w:overflowPunct/>
              <w:topLinePunct w:val="0"/>
              <w:autoSpaceDE/>
              <w:autoSpaceDN/>
              <w:bidi w:val="0"/>
              <w:spacing w:line="440" w:lineRule="exact"/>
              <w:ind w:firstLine="480" w:firstLineChars="200"/>
              <w:jc w:val="center"/>
              <w:textAlignment w:val="center"/>
              <w:rPr>
                <w:rFonts w:hint="eastAsia"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1</w:t>
            </w:r>
          </w:p>
        </w:tc>
      </w:tr>
    </w:tbl>
    <w:p w14:paraId="0E7BB3B3">
      <w:pPr>
        <w:keepNext w:val="0"/>
        <w:keepLines w:val="0"/>
        <w:pageBreakBefore w:val="0"/>
        <w:numPr>
          <w:ilvl w:val="0"/>
          <w:numId w:val="0"/>
        </w:numPr>
        <w:kinsoku/>
        <w:wordWrap/>
        <w:overflowPunct/>
        <w:topLinePunct w:val="0"/>
        <w:autoSpaceDE/>
        <w:autoSpaceDN/>
        <w:bidi w:val="0"/>
        <w:spacing w:line="440" w:lineRule="exact"/>
        <w:ind w:leftChars="0" w:firstLine="480" w:firstLineChars="200"/>
        <w:jc w:val="both"/>
        <w:rPr>
          <w:rFonts w:hint="eastAsia" w:ascii="宋体" w:hAnsi="宋体" w:eastAsia="宋体" w:cs="宋体"/>
          <w:sz w:val="24"/>
          <w:szCs w:val="24"/>
          <w:lang w:val="en-US" w:eastAsia="zh-CN"/>
        </w:rPr>
      </w:pPr>
    </w:p>
    <w:p w14:paraId="0E9BFCC7">
      <w:pPr>
        <w:keepNext w:val="0"/>
        <w:keepLines w:val="0"/>
        <w:pageBreakBefore w:val="0"/>
        <w:numPr>
          <w:numId w:val="0"/>
        </w:numPr>
        <w:kinsoku/>
        <w:wordWrap/>
        <w:overflowPunct/>
        <w:topLinePunct w:val="0"/>
        <w:autoSpaceDE/>
        <w:autoSpaceDN/>
        <w:bidi w:val="0"/>
        <w:spacing w:line="440" w:lineRule="exact"/>
        <w:ind w:left="630" w:leftChars="0"/>
        <w:jc w:val="both"/>
        <w:rPr>
          <w:rFonts w:hint="eastAsia" w:ascii="宋体" w:hAnsi="宋体" w:eastAsia="宋体" w:cs="宋体"/>
          <w:sz w:val="24"/>
          <w:szCs w:val="24"/>
          <w:lang w:val="en-US" w:eastAsia="zh-CN"/>
        </w:rPr>
      </w:pPr>
      <w:r>
        <w:rPr>
          <w:rFonts w:hint="eastAsia" w:ascii="宋体" w:hAnsi="宋体" w:eastAsia="宋体" w:cs="宋体"/>
          <w:sz w:val="24"/>
          <w:szCs w:val="24"/>
          <w:lang w:eastAsia="zh-CN"/>
        </w:rPr>
        <w:t>（二）</w:t>
      </w:r>
      <w:r>
        <w:rPr>
          <w:rFonts w:hint="eastAsia" w:ascii="宋体" w:hAnsi="宋体" w:eastAsia="宋体" w:cs="宋体"/>
          <w:sz w:val="24"/>
          <w:szCs w:val="24"/>
        </w:rPr>
        <w:t>电动手术床</w:t>
      </w:r>
      <w:r>
        <w:rPr>
          <w:rFonts w:hint="eastAsia" w:ascii="宋体" w:hAnsi="宋体" w:eastAsia="宋体" w:cs="宋体"/>
          <w:sz w:val="24"/>
          <w:szCs w:val="24"/>
          <w:lang w:val="en-US" w:eastAsia="zh-CN"/>
        </w:rPr>
        <w:t>技术参数</w:t>
      </w:r>
    </w:p>
    <w:p w14:paraId="5EDC062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1、采用电动推杆驱动，手术台具有台面升/降、前/后倾斜、左/右倾斜、纵向平移、横向平移功能。</w:t>
      </w:r>
    </w:p>
    <w:p w14:paraId="2F5686E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2、床垫：采用特殊泡沫海绵芯制成，可依照病人体温和体形重新自然塑形，避免病人点受力，有效防止长时间手术病人褥疮形成。接缝采用热合工艺，密封性能好。具有 X 光可透，导静电，不漏液体,模块式，可拆卸等特性。厚度≥40mm。</w:t>
      </w:r>
    </w:p>
    <w:p w14:paraId="581A2F2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3、台面板采用碳纤维材质制成，满足 3D 及骨科导航系统 360 º的 X 光拍射需求。</w:t>
      </w:r>
    </w:p>
    <w:p w14:paraId="03C257C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4、底座阶梯型设计，四周无凸出物，利于术者行动，让身体自然垂直手术，减少术者疲劳。底盘高度≤135mm，可以完全配合O型臂、C型臂、移动式CT机等使用。</w:t>
      </w:r>
    </w:p>
    <w:p w14:paraId="5E9D8BA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5、配备4个脚轮，2个万向外露大脚轮，2个隐藏在底座下方脚轮设计。脚轮具备整体锁定及万向锁定2种锁定方式，2个万向脚轮保证了极佳的移动性和转向性，采用中控机械脚轮刹车系统，脚轮直径≥100mm 。</w:t>
      </w:r>
    </w:p>
    <w:p w14:paraId="5CF8471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6、台面控制台可以操控手术台做上下升降、前后倾斜、左右倾斜、纵向平移、横向平移、开关机、。</w:t>
      </w:r>
    </w:p>
    <w:p w14:paraId="709318E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7、台面长度≥ 2450mm</w:t>
      </w:r>
    </w:p>
    <w:p w14:paraId="318C47C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8、台面宽度≥530mm                 </w:t>
      </w:r>
    </w:p>
    <w:p w14:paraId="7624B02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9、升降高度≥780mm-1080mm，升降行程≥300mm                       </w:t>
      </w:r>
    </w:p>
    <w:p w14:paraId="50C3D6D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10、前/后倾斜≥18°                              </w:t>
      </w:r>
    </w:p>
    <w:p w14:paraId="591978B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11、左/右倾斜≥18°                              </w:t>
      </w:r>
    </w:p>
    <w:p w14:paraId="14FC22A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12、台面纵向平移（向腿部）≥600mm，横向平移≥200mm </w:t>
      </w:r>
    </w:p>
    <w:p w14:paraId="58DFF2A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13、台面板平面透视长度 ≥1760mm</w:t>
      </w:r>
    </w:p>
    <w:p w14:paraId="7DDFCEA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14、台面板无金属环扫透视范围≥1150mm</w:t>
      </w:r>
    </w:p>
    <w:p w14:paraId="08A8152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15、手术台承重≥350kg。</w:t>
      </w:r>
    </w:p>
    <w:p w14:paraId="1DFBEF9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三、商务参数</w:t>
      </w:r>
    </w:p>
    <w:p w14:paraId="77CB8C0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★1、运输、装卸、培训、安装调试：由中标人负责承担，最终通过使用科室、设备科及相关部门确认验收交付使用</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国产设备交付，设备必须为6个月内生产的产品；进口设备交付，设备必须为一年内生产的产品</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cr/>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★2、交货时间：按</w:t>
      </w:r>
      <w:r>
        <w:rPr>
          <w:rFonts w:hint="eastAsia" w:ascii="宋体" w:hAnsi="宋体" w:cs="宋体"/>
          <w:color w:val="auto"/>
          <w:sz w:val="24"/>
          <w:szCs w:val="24"/>
          <w:highlight w:val="none"/>
          <w:lang w:val="en-US" w:eastAsia="zh-CN"/>
        </w:rPr>
        <w:t>合同约定的日期交货。</w:t>
      </w:r>
    </w:p>
    <w:p w14:paraId="78F03DE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、交货地点：娄底市中心医院</w:t>
      </w:r>
      <w:r>
        <w:rPr>
          <w:rFonts w:hint="eastAsia" w:ascii="宋体" w:hAnsi="宋体" w:cs="宋体"/>
          <w:color w:val="auto"/>
          <w:sz w:val="24"/>
          <w:szCs w:val="24"/>
          <w:highlight w:val="none"/>
          <w:lang w:val="en-US" w:eastAsia="zh-CN"/>
        </w:rPr>
        <w:t>指定地点</w:t>
      </w:r>
      <w:r>
        <w:rPr>
          <w:rFonts w:hint="eastAsia" w:ascii="宋体" w:hAnsi="宋体" w:eastAsia="宋体" w:cs="宋体"/>
          <w:color w:val="auto"/>
          <w:sz w:val="24"/>
          <w:szCs w:val="24"/>
          <w:highlight w:val="none"/>
        </w:rPr>
        <w:t>。</w:t>
      </w:r>
    </w:p>
    <w:p w14:paraId="44A2E805">
      <w:pPr>
        <w:keepNext w:val="0"/>
        <w:keepLines w:val="0"/>
        <w:pageBreakBefore w:val="0"/>
        <w:widowControl/>
        <w:numPr>
          <w:ilvl w:val="0"/>
          <w:numId w:val="0"/>
        </w:numPr>
        <w:kinsoku/>
        <w:wordWrap/>
        <w:overflowPunct/>
        <w:topLinePunct w:val="0"/>
        <w:autoSpaceDE/>
        <w:autoSpaceDN/>
        <w:bidi w:val="0"/>
        <w:adjustRightInd w:val="0"/>
        <w:snapToGrid w:val="0"/>
        <w:spacing w:after="0" w:line="440" w:lineRule="exact"/>
        <w:ind w:leftChars="0" w:firstLine="480" w:firstLineChars="200"/>
        <w:textAlignment w:val="auto"/>
        <w:rPr>
          <w:rFonts w:hint="eastAsia" w:ascii="思源黑体 CN Medium" w:hAnsi="思源黑体 CN Medium" w:eastAsia="思源黑体 CN Medium" w:cs="思源黑体 CN Medium"/>
          <w:sz w:val="24"/>
          <w:szCs w:val="24"/>
          <w:lang w:val="en-US"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、付款方式：设备验收合格后，供应商将发票交到娄底市中心医院后按程序支付货款90%（一般情况下4个月内支付、特殊情况下最多不超过6个月），甲方在设备验收合格</w:t>
      </w:r>
      <w:r>
        <w:rPr>
          <w:rFonts w:hint="eastAsia" w:ascii="宋体" w:hAnsi="宋体" w:eastAsia="宋体" w:cs="宋体"/>
          <w:color w:val="auto"/>
          <w:sz w:val="24"/>
          <w:szCs w:val="24"/>
          <w:highlight w:val="none"/>
          <w:lang w:val="en-US" w:eastAsia="zh-CN"/>
        </w:rPr>
        <w:t>满叁</w:t>
      </w:r>
      <w:r>
        <w:rPr>
          <w:rFonts w:hint="eastAsia" w:ascii="宋体" w:hAnsi="宋体" w:cs="宋体"/>
          <w:color w:val="auto"/>
          <w:sz w:val="24"/>
          <w:szCs w:val="24"/>
          <w:highlight w:val="none"/>
          <w:u w:val="none"/>
          <w:lang w:val="en-US" w:eastAsia="zh-CN"/>
        </w:rPr>
        <w:t>年</w:t>
      </w:r>
      <w:r>
        <w:rPr>
          <w:rFonts w:hint="eastAsia" w:ascii="宋体" w:hAnsi="宋体" w:eastAsia="宋体" w:cs="宋体"/>
          <w:color w:val="auto"/>
          <w:sz w:val="24"/>
          <w:szCs w:val="24"/>
          <w:highlight w:val="none"/>
        </w:rPr>
        <w:t>后支付10%余款给乙方。</w:t>
      </w:r>
      <w:r>
        <w:rPr>
          <w:rFonts w:hint="eastAsia" w:ascii="宋体" w:hAnsi="宋体" w:eastAsia="宋体" w:cs="宋体"/>
          <w:color w:val="auto"/>
          <w:sz w:val="24"/>
          <w:szCs w:val="24"/>
          <w:highlight w:val="none"/>
        </w:rPr>
        <w:cr/>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★5、质保与售后：整机保修</w:t>
      </w:r>
      <w:r>
        <w:rPr>
          <w:rFonts w:hint="eastAsia" w:ascii="宋体" w:hAnsi="宋体" w:cs="宋体"/>
          <w:color w:val="auto"/>
          <w:sz w:val="24"/>
          <w:szCs w:val="24"/>
          <w:highlight w:val="none"/>
          <w:lang w:val="en-US" w:eastAsia="zh-CN"/>
        </w:rPr>
        <w:t>三</w:t>
      </w:r>
      <w:r>
        <w:rPr>
          <w:rFonts w:hint="eastAsia" w:ascii="宋体" w:hAnsi="宋体" w:eastAsia="宋体" w:cs="宋体"/>
          <w:color w:val="auto"/>
          <w:sz w:val="24"/>
          <w:szCs w:val="24"/>
          <w:highlight w:val="none"/>
        </w:rPr>
        <w:t>年，终身维修。</w:t>
      </w:r>
      <w:r>
        <w:rPr>
          <w:rFonts w:hint="eastAsia" w:ascii="宋体" w:hAnsi="宋体" w:cs="宋体"/>
          <w:color w:val="auto"/>
          <w:sz w:val="24"/>
          <w:szCs w:val="24"/>
          <w:highlight w:val="none"/>
          <w:lang w:val="en-US" w:eastAsia="zh-CN"/>
        </w:rPr>
        <w:t>验收时</w:t>
      </w:r>
      <w:r>
        <w:rPr>
          <w:rFonts w:hint="eastAsia" w:ascii="宋体" w:hAnsi="宋体" w:eastAsia="宋体" w:cs="宋体"/>
          <w:color w:val="auto"/>
          <w:sz w:val="24"/>
          <w:szCs w:val="24"/>
          <w:highlight w:val="none"/>
        </w:rPr>
        <w:t>出具原厂售后质保承诺书，质保期内每年巡检</w:t>
      </w:r>
      <w:r>
        <w:rPr>
          <w:rFonts w:hint="eastAsia" w:ascii="宋体" w:hAnsi="宋体" w:cs="宋体"/>
          <w:color w:val="auto"/>
          <w:sz w:val="24"/>
          <w:szCs w:val="24"/>
          <w:highlight w:val="none"/>
          <w:lang w:val="en-US" w:eastAsia="zh-CN"/>
        </w:rPr>
        <w:t>一</w:t>
      </w:r>
      <w:r>
        <w:rPr>
          <w:rFonts w:hint="eastAsia" w:ascii="宋体" w:hAnsi="宋体" w:eastAsia="宋体" w:cs="宋体"/>
          <w:color w:val="auto"/>
          <w:sz w:val="24"/>
          <w:szCs w:val="24"/>
          <w:highlight w:val="none"/>
        </w:rPr>
        <w:t>次</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并提交巡检记录</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1小时响应，响应后24小时上门服务。</w:t>
      </w:r>
    </w:p>
    <w:p w14:paraId="72B8DB2F">
      <w:pPr>
        <w:keepNext w:val="0"/>
        <w:keepLines w:val="0"/>
        <w:pageBreakBefore w:val="0"/>
        <w:widowControl/>
        <w:numPr>
          <w:ilvl w:val="0"/>
          <w:numId w:val="0"/>
        </w:numPr>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★6、在投标文件中必须提供相关技术资料并加盖投标人公章（如技术参数、技术白皮书、说明书、彩页等），并在响应表中对</w:t>
      </w:r>
      <w:r>
        <w:rPr>
          <w:rFonts w:hint="eastAsia" w:ascii="宋体" w:hAnsi="宋体" w:eastAsia="宋体" w:cs="宋体"/>
          <w:color w:val="auto"/>
          <w:sz w:val="24"/>
          <w:szCs w:val="24"/>
          <w:highlight w:val="none"/>
          <w:lang w:eastAsia="zh-CN"/>
        </w:rPr>
        <w:t>技术参数中</w:t>
      </w:r>
      <w:r>
        <w:rPr>
          <w:rFonts w:hint="eastAsia" w:ascii="宋体" w:hAnsi="宋体" w:eastAsia="宋体" w:cs="宋体"/>
          <w:color w:val="auto"/>
          <w:sz w:val="24"/>
          <w:szCs w:val="24"/>
          <w:highlight w:val="none"/>
        </w:rPr>
        <w:t>“★”、“▲”以及要求提供佐证材料的条款备注该条参数响应或正偏离的佐证资料所在页码。</w:t>
      </w:r>
    </w:p>
    <w:p w14:paraId="3771431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000000" w:themeColor="text1"/>
          <w:spacing w:val="20"/>
          <w:kern w:val="2"/>
          <w:sz w:val="24"/>
          <w:szCs w:val="24"/>
          <w:lang w:val="en-US" w:eastAsia="zh-CN" w:bidi="ar-SA"/>
          <w14:textFill>
            <w14:solidFill>
              <w14:schemeClr w14:val="tx1"/>
            </w14:solidFill>
          </w14:textFill>
        </w:rPr>
      </w:pPr>
    </w:p>
    <w:p w14:paraId="46A704C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联系人：彭春涛</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联系电话：13027388172</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E02328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电动液压手术床+电动手术床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电动液压手术床+电动手术床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7AA34EC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2CDCB95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3"/>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265E3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25ABE3C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591E250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359CB7A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6FEDABF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593181E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2AE7971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66D90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1662548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电动液压手术床</w:t>
            </w:r>
          </w:p>
        </w:tc>
        <w:tc>
          <w:tcPr>
            <w:tcW w:w="1220" w:type="dxa"/>
            <w:vAlign w:val="center"/>
          </w:tcPr>
          <w:p w14:paraId="16187D0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597EC96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65EF09C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10FB192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3台</w:t>
            </w:r>
          </w:p>
        </w:tc>
        <w:tc>
          <w:tcPr>
            <w:tcW w:w="1654" w:type="dxa"/>
            <w:vAlign w:val="top"/>
          </w:tcPr>
          <w:p w14:paraId="1B5E28F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2665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517" w:type="dxa"/>
            <w:vAlign w:val="top"/>
          </w:tcPr>
          <w:p w14:paraId="7AA85F3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电动手术</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床</w:t>
            </w:r>
          </w:p>
        </w:tc>
        <w:tc>
          <w:tcPr>
            <w:tcW w:w="1220" w:type="dxa"/>
            <w:vAlign w:val="center"/>
          </w:tcPr>
          <w:p w14:paraId="7C93D1D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6C27C99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36A7C11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747EFE6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1台</w:t>
            </w:r>
          </w:p>
        </w:tc>
        <w:tc>
          <w:tcPr>
            <w:tcW w:w="1654" w:type="dxa"/>
            <w:vAlign w:val="top"/>
          </w:tcPr>
          <w:p w14:paraId="5D6E47F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1739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25F8C33A">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54B0BE2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26FA4CF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auto"/>
          <w:sz w:val="24"/>
          <w:szCs w:val="24"/>
          <w:highlight w:val="none"/>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w:t>
      </w:r>
      <w:r>
        <w:rPr>
          <w:rFonts w:hint="eastAsia" w:ascii="宋体" w:hAnsi="宋体" w:cs="宋体"/>
          <w:color w:val="auto"/>
          <w:sz w:val="24"/>
          <w:szCs w:val="24"/>
          <w:highlight w:val="none"/>
          <w:lang w:eastAsia="zh-CN"/>
        </w:rPr>
        <w:t>接，因</w:t>
      </w:r>
      <w:r>
        <w:rPr>
          <w:rFonts w:hint="eastAsia" w:ascii="宋体" w:hAnsi="宋体" w:cs="宋体"/>
          <w:color w:val="auto"/>
          <w:sz w:val="24"/>
          <w:szCs w:val="24"/>
          <w:highlight w:val="none"/>
        </w:rPr>
        <w:t>对接产生的接口开发等</w:t>
      </w:r>
      <w:r>
        <w:rPr>
          <w:rFonts w:hint="eastAsia" w:ascii="宋体" w:hAnsi="宋体" w:cs="宋体"/>
          <w:color w:val="auto"/>
          <w:sz w:val="24"/>
          <w:szCs w:val="24"/>
          <w:highlight w:val="none"/>
          <w:lang w:eastAsia="zh-CN"/>
        </w:rPr>
        <w:t>乙方及第三方需要收取的</w:t>
      </w:r>
      <w:r>
        <w:rPr>
          <w:rFonts w:hint="eastAsia" w:ascii="宋体" w:hAnsi="宋体" w:cs="宋体"/>
          <w:color w:val="auto"/>
          <w:sz w:val="24"/>
          <w:szCs w:val="24"/>
          <w:highlight w:val="none"/>
        </w:rPr>
        <w:t>全部费用均由乙方承担。</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SA"/>
        </w:rPr>
        <w:t xml:space="preserve">第二条  </w:t>
      </w:r>
      <w:r>
        <w:rPr>
          <w:rFonts w:hint="default" w:ascii="宋体" w:hAnsi="宋体" w:eastAsia="宋体" w:cs="宋体"/>
          <w:b/>
          <w:bCs/>
          <w:color w:val="auto"/>
          <w:sz w:val="24"/>
          <w:szCs w:val="24"/>
          <w:highlight w:val="none"/>
          <w:lang w:val="en-US" w:eastAsia="zh-CN"/>
        </w:rPr>
        <w:t>交货时间、地点、运输</w:t>
      </w:r>
      <w:r>
        <w:rPr>
          <w:rFonts w:hint="eastAsia" w:ascii="宋体" w:hAnsi="宋体" w:eastAsia="宋体" w:cs="宋体"/>
          <w:b/>
          <w:bCs/>
          <w:color w:val="auto"/>
          <w:sz w:val="24"/>
          <w:szCs w:val="24"/>
          <w:highlight w:val="none"/>
          <w:lang w:val="en-US" w:eastAsia="zh-CN"/>
        </w:rPr>
        <w:t>、</w:t>
      </w:r>
      <w:r>
        <w:rPr>
          <w:rFonts w:hint="default" w:ascii="宋体" w:hAnsi="宋体" w:eastAsia="宋体" w:cs="宋体"/>
          <w:b/>
          <w:bCs/>
          <w:color w:val="auto"/>
          <w:sz w:val="24"/>
          <w:szCs w:val="24"/>
          <w:highlight w:val="none"/>
          <w:lang w:val="en-US" w:eastAsia="zh-CN"/>
        </w:rPr>
        <w:t>装卸</w:t>
      </w:r>
      <w:r>
        <w:rPr>
          <w:rFonts w:hint="eastAsia" w:ascii="宋体" w:hAnsi="宋体" w:eastAsia="宋体" w:cs="宋体"/>
          <w:b/>
          <w:bCs/>
          <w:color w:val="auto"/>
          <w:sz w:val="24"/>
          <w:szCs w:val="24"/>
          <w:highlight w:val="none"/>
          <w:lang w:val="en-US" w:eastAsia="zh-CN"/>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2.1 </w:t>
      </w:r>
      <w:r>
        <w:rPr>
          <w:rFonts w:hint="default" w:ascii="宋体" w:hAnsi="宋体" w:eastAsia="宋体" w:cs="宋体"/>
          <w:color w:val="auto"/>
          <w:sz w:val="24"/>
          <w:szCs w:val="24"/>
          <w:highlight w:val="none"/>
          <w:lang w:val="en-US" w:eastAsia="zh-CN"/>
        </w:rPr>
        <w:t>交货时间：乙方应在</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none"/>
          <w:lang w:val="en-US" w:eastAsia="zh-CN"/>
        </w:rPr>
        <w:t>☑自接到甲方通知之日起</w:t>
      </w:r>
      <w:r>
        <w:rPr>
          <w:rFonts w:hint="eastAsia" w:ascii="宋体" w:hAnsi="宋体" w:eastAsia="宋体" w:cs="宋体"/>
          <w:color w:val="auto"/>
          <w:sz w:val="24"/>
          <w:szCs w:val="24"/>
          <w:highlight w:val="none"/>
          <w:u w:val="single"/>
          <w:lang w:val="en-US" w:eastAsia="zh-CN"/>
        </w:rPr>
        <w:t xml:space="preserve"> 7 </w:t>
      </w:r>
      <w:r>
        <w:rPr>
          <w:rFonts w:hint="eastAsia" w:ascii="宋体" w:hAnsi="宋体" w:eastAsia="宋体" w:cs="宋体"/>
          <w:color w:val="auto"/>
          <w:sz w:val="24"/>
          <w:szCs w:val="24"/>
          <w:highlight w:val="none"/>
          <w:u w:val="none"/>
          <w:lang w:val="en-US" w:eastAsia="zh-CN"/>
        </w:rPr>
        <w:t>日内□</w:t>
      </w:r>
      <w:r>
        <w:rPr>
          <w:rFonts w:hint="default"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年</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月</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日之前</w:t>
      </w:r>
      <w:r>
        <w:rPr>
          <w:rFonts w:hint="eastAsia" w:ascii="宋体" w:hAnsi="宋体" w:eastAsia="宋体" w:cs="宋体"/>
          <w:color w:val="auto"/>
          <w:sz w:val="24"/>
          <w:szCs w:val="24"/>
          <w:highlight w:val="none"/>
          <w:u w:val="none"/>
          <w:lang w:val="en-US" w:eastAsia="zh-CN"/>
        </w:rPr>
        <w:t>）</w:t>
      </w:r>
      <w:r>
        <w:rPr>
          <w:rFonts w:hint="default" w:ascii="宋体" w:hAnsi="宋体" w:eastAsia="宋体" w:cs="宋体"/>
          <w:color w:val="auto"/>
          <w:sz w:val="24"/>
          <w:szCs w:val="24"/>
          <w:highlight w:val="none"/>
          <w:lang w:val="en-US" w:eastAsia="zh-CN"/>
        </w:rPr>
        <w:t>将设备运至</w:t>
      </w:r>
      <w:r>
        <w:rPr>
          <w:rFonts w:hint="eastAsia" w:ascii="宋体" w:hAnsi="宋体" w:eastAsia="宋体" w:cs="宋体"/>
          <w:color w:val="auto"/>
          <w:sz w:val="24"/>
          <w:szCs w:val="24"/>
          <w:highlight w:val="none"/>
          <w:lang w:val="en-US" w:eastAsia="zh-CN"/>
        </w:rPr>
        <w:t>甲方指定交货</w:t>
      </w:r>
      <w:r>
        <w:rPr>
          <w:rFonts w:hint="default" w:ascii="宋体" w:hAnsi="宋体" w:eastAsia="宋体" w:cs="宋体"/>
          <w:color w:val="auto"/>
          <w:sz w:val="24"/>
          <w:szCs w:val="24"/>
          <w:highlight w:val="none"/>
          <w:lang w:val="en-US" w:eastAsia="zh-CN"/>
        </w:rPr>
        <w:t>地点，并</w:t>
      </w:r>
      <w:r>
        <w:rPr>
          <w:rFonts w:hint="eastAsia" w:ascii="宋体" w:hAnsi="宋体" w:eastAsia="宋体" w:cs="宋体"/>
          <w:color w:val="auto"/>
          <w:sz w:val="24"/>
          <w:szCs w:val="24"/>
          <w:highlight w:val="none"/>
          <w:lang w:val="en-US" w:eastAsia="zh-CN"/>
        </w:rPr>
        <w:t>在（</w:t>
      </w:r>
      <w:r>
        <w:rPr>
          <w:rFonts w:hint="eastAsia" w:ascii="宋体" w:hAnsi="宋体" w:eastAsia="宋体" w:cs="宋体"/>
          <w:color w:val="auto"/>
          <w:sz w:val="24"/>
          <w:szCs w:val="24"/>
          <w:highlight w:val="none"/>
          <w:u w:val="none"/>
          <w:lang w:val="en-US" w:eastAsia="zh-CN"/>
        </w:rPr>
        <w:t>☑到货后</w:t>
      </w:r>
      <w:r>
        <w:rPr>
          <w:rFonts w:hint="eastAsia" w:ascii="宋体" w:hAnsi="宋体" w:eastAsia="宋体" w:cs="宋体"/>
          <w:color w:val="auto"/>
          <w:sz w:val="24"/>
          <w:szCs w:val="24"/>
          <w:highlight w:val="none"/>
          <w:u w:val="single"/>
          <w:lang w:val="en-US" w:eastAsia="zh-CN"/>
        </w:rPr>
        <w:t xml:space="preserve"> 3 </w:t>
      </w:r>
      <w:r>
        <w:rPr>
          <w:rFonts w:hint="eastAsia" w:ascii="宋体" w:hAnsi="宋体" w:eastAsia="宋体" w:cs="宋体"/>
          <w:color w:val="auto"/>
          <w:sz w:val="24"/>
          <w:szCs w:val="24"/>
          <w:highlight w:val="none"/>
          <w:u w:val="none"/>
          <w:lang w:val="en-US" w:eastAsia="zh-CN"/>
        </w:rPr>
        <w:t>日内□</w:t>
      </w:r>
      <w:r>
        <w:rPr>
          <w:rFonts w:hint="default"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年</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月</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日之前</w:t>
      </w:r>
      <w:r>
        <w:rPr>
          <w:rFonts w:hint="eastAsia" w:ascii="宋体" w:hAnsi="宋体" w:eastAsia="宋体" w:cs="宋体"/>
          <w:color w:val="auto"/>
          <w:sz w:val="24"/>
          <w:szCs w:val="24"/>
          <w:highlight w:val="none"/>
          <w:u w:val="none"/>
          <w:lang w:val="en-US" w:eastAsia="zh-CN"/>
        </w:rPr>
        <w:t>）</w:t>
      </w:r>
      <w:r>
        <w:rPr>
          <w:rFonts w:hint="default" w:ascii="宋体" w:hAnsi="宋体" w:eastAsia="宋体" w:cs="宋体"/>
          <w:color w:val="auto"/>
          <w:sz w:val="24"/>
          <w:szCs w:val="24"/>
          <w:highlight w:val="none"/>
          <w:lang w:val="en-US" w:eastAsia="zh-CN"/>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.2 甲方指定</w:t>
      </w:r>
      <w:r>
        <w:rPr>
          <w:rFonts w:hint="default" w:ascii="宋体" w:hAnsi="宋体" w:eastAsia="宋体" w:cs="宋体"/>
          <w:color w:val="auto"/>
          <w:sz w:val="24"/>
          <w:szCs w:val="24"/>
          <w:highlight w:val="none"/>
          <w:lang w:val="en-US" w:eastAsia="zh-CN"/>
        </w:rPr>
        <w:t>交货地点：湖南省娄底市</w:t>
      </w:r>
      <w:r>
        <w:rPr>
          <w:rFonts w:hint="eastAsia" w:ascii="宋体" w:hAnsi="宋体" w:eastAsia="宋体" w:cs="宋体"/>
          <w:color w:val="auto"/>
          <w:sz w:val="24"/>
          <w:szCs w:val="24"/>
          <w:highlight w:val="none"/>
          <w:lang w:val="en-US" w:eastAsia="zh-CN"/>
        </w:rPr>
        <w:t>娄星区</w:t>
      </w:r>
      <w:r>
        <w:rPr>
          <w:rFonts w:hint="default" w:ascii="宋体" w:hAnsi="宋体" w:eastAsia="宋体" w:cs="宋体"/>
          <w:color w:val="auto"/>
          <w:sz w:val="24"/>
          <w:szCs w:val="24"/>
          <w:highlight w:val="none"/>
          <w:lang w:val="en-US" w:eastAsia="zh-CN"/>
        </w:rPr>
        <w:t>长青中街51号</w:t>
      </w:r>
      <w:r>
        <w:rPr>
          <w:rFonts w:hint="eastAsia" w:ascii="宋体" w:hAnsi="宋体" w:eastAsia="宋体" w:cs="宋体"/>
          <w:color w:val="auto"/>
          <w:sz w:val="24"/>
          <w:szCs w:val="24"/>
          <w:highlight w:val="none"/>
          <w:lang w:val="en-US" w:eastAsia="zh-CN"/>
        </w:rPr>
        <w:t xml:space="preserve"> </w:t>
      </w:r>
      <w:r>
        <w:rPr>
          <w:rFonts w:hint="default" w:ascii="宋体" w:hAnsi="宋体" w:eastAsia="宋体" w:cs="宋体"/>
          <w:color w:val="auto"/>
          <w:sz w:val="24"/>
          <w:szCs w:val="24"/>
          <w:highlight w:val="none"/>
          <w:lang w:val="en-US" w:eastAsia="zh-CN"/>
        </w:rPr>
        <w:t>娄底市中心医院</w:t>
      </w:r>
      <w:r>
        <w:rPr>
          <w:rFonts w:hint="eastAsia" w:ascii="宋体" w:hAnsi="宋体" w:eastAsia="宋体" w:cs="宋体"/>
          <w:color w:val="auto"/>
          <w:sz w:val="24"/>
          <w:szCs w:val="24"/>
          <w:highlight w:val="none"/>
          <w:lang w:val="en-US" w:eastAsia="zh-CN"/>
        </w:rPr>
        <w:t>设备科</w:t>
      </w:r>
      <w:r>
        <w:rPr>
          <w:rFonts w:hint="default" w:ascii="宋体" w:hAnsi="宋体" w:eastAsia="宋体" w:cs="宋体"/>
          <w:color w:val="auto"/>
          <w:sz w:val="24"/>
          <w:szCs w:val="24"/>
          <w:highlight w:val="none"/>
          <w:lang w:val="en-US" w:eastAsia="zh-CN"/>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default"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 xml:space="preserve"> </w:t>
      </w:r>
      <w:r>
        <w:rPr>
          <w:rFonts w:hint="default" w:ascii="宋体" w:hAnsi="宋体" w:eastAsia="宋体" w:cs="宋体"/>
          <w:color w:val="auto"/>
          <w:sz w:val="24"/>
          <w:szCs w:val="24"/>
          <w:highlight w:val="none"/>
          <w:lang w:val="en-US" w:eastAsia="zh-CN"/>
        </w:rPr>
        <w:t>运输</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装卸</w:t>
      </w:r>
      <w:r>
        <w:rPr>
          <w:rFonts w:hint="eastAsia" w:ascii="宋体" w:hAnsi="宋体" w:eastAsia="宋体" w:cs="宋体"/>
          <w:color w:val="auto"/>
          <w:sz w:val="24"/>
          <w:szCs w:val="24"/>
          <w:highlight w:val="none"/>
          <w:lang w:val="en-US" w:eastAsia="zh-CN"/>
        </w:rPr>
        <w:t>、搬运</w:t>
      </w:r>
      <w:r>
        <w:rPr>
          <w:rFonts w:hint="default" w:ascii="宋体" w:hAnsi="宋体" w:eastAsia="宋体" w:cs="宋体"/>
          <w:color w:val="auto"/>
          <w:sz w:val="24"/>
          <w:szCs w:val="24"/>
          <w:highlight w:val="none"/>
          <w:lang w:val="en-US" w:eastAsia="zh-CN"/>
        </w:rPr>
        <w:t>：由乙方自备交通运输工具将设备运至合同约定地点，并负责设备装卸</w:t>
      </w:r>
      <w:r>
        <w:rPr>
          <w:rFonts w:hint="eastAsia" w:ascii="宋体" w:hAnsi="宋体" w:eastAsia="宋体" w:cs="宋体"/>
          <w:color w:val="auto"/>
          <w:sz w:val="24"/>
          <w:szCs w:val="24"/>
          <w:highlight w:val="none"/>
          <w:lang w:val="en-US" w:eastAsia="zh-CN"/>
        </w:rPr>
        <w:t>、搬运的人工及费用</w:t>
      </w:r>
      <w:r>
        <w:rPr>
          <w:rFonts w:hint="default" w:ascii="宋体" w:hAnsi="宋体" w:eastAsia="宋体" w:cs="宋体"/>
          <w:color w:val="auto"/>
          <w:sz w:val="24"/>
          <w:szCs w:val="24"/>
          <w:highlight w:val="none"/>
          <w:lang w:val="en-US" w:eastAsia="zh-CN"/>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 质量标准：乙方提供设备的质量、安装应符合或优于国家标准；如投标文件/响应文件中的技术参数和质量标准高于国家标准，则设备的技术参数和质量标准以投标文件/响应文件为准；如乙方应交付的设备属于国产</w:t>
      </w:r>
      <w:r>
        <w:rPr>
          <w:rFonts w:hint="eastAsia" w:ascii="宋体" w:hAnsi="宋体" w:cs="宋体"/>
          <w:color w:val="auto"/>
          <w:sz w:val="24"/>
          <w:szCs w:val="24"/>
          <w:highlight w:val="none"/>
          <w:lang w:val="en-US" w:eastAsia="zh-CN"/>
        </w:rPr>
        <w:t>设备，则应保证该设备为交付时起近</w:t>
      </w:r>
      <w:r>
        <w:rPr>
          <w:rFonts w:hint="eastAsia" w:ascii="宋体" w:hAnsi="宋体" w:cs="宋体"/>
          <w:color w:val="auto"/>
          <w:sz w:val="24"/>
          <w:szCs w:val="24"/>
          <w:highlight w:val="none"/>
          <w:lang w:eastAsia="zh-CN"/>
        </w:rPr>
        <w:t>6个月内生产的产品；</w:t>
      </w:r>
      <w:r>
        <w:rPr>
          <w:rFonts w:hint="eastAsia" w:ascii="宋体" w:hAnsi="宋体" w:cs="宋体"/>
          <w:color w:val="auto"/>
          <w:sz w:val="24"/>
          <w:szCs w:val="24"/>
          <w:highlight w:val="none"/>
          <w:lang w:val="en-US" w:eastAsia="zh-CN"/>
        </w:rPr>
        <w:t>如乙方</w:t>
      </w:r>
      <w:r>
        <w:rPr>
          <w:rFonts w:hint="eastAsia" w:ascii="宋体" w:hAnsi="宋体" w:eastAsia="宋体" w:cs="宋体"/>
          <w:color w:val="auto"/>
          <w:sz w:val="24"/>
          <w:szCs w:val="24"/>
          <w:highlight w:val="none"/>
          <w:lang w:val="en-US" w:eastAsia="zh-CN"/>
        </w:rPr>
        <w:t>应</w:t>
      </w:r>
      <w:r>
        <w:rPr>
          <w:rFonts w:hint="eastAsia" w:ascii="宋体" w:hAnsi="宋体" w:cs="宋体"/>
          <w:color w:val="auto"/>
          <w:sz w:val="24"/>
          <w:szCs w:val="24"/>
          <w:highlight w:val="none"/>
          <w:lang w:val="en-US" w:eastAsia="zh-CN"/>
        </w:rPr>
        <w:t>交付的设备属于</w:t>
      </w:r>
      <w:r>
        <w:rPr>
          <w:rFonts w:hint="eastAsia" w:ascii="宋体" w:hAnsi="宋体" w:eastAsia="宋体" w:cs="宋体"/>
          <w:color w:val="auto"/>
          <w:sz w:val="24"/>
          <w:szCs w:val="24"/>
          <w:highlight w:val="none"/>
          <w:lang w:val="en-US" w:eastAsia="zh-CN"/>
        </w:rPr>
        <w:t>进口设备</w:t>
      </w:r>
      <w:r>
        <w:rPr>
          <w:rFonts w:hint="eastAsia" w:ascii="宋体" w:hAnsi="宋体" w:cs="宋体"/>
          <w:color w:val="auto"/>
          <w:sz w:val="24"/>
          <w:szCs w:val="24"/>
          <w:highlight w:val="none"/>
          <w:lang w:val="en-US" w:eastAsia="zh-CN"/>
        </w:rPr>
        <w:t>，则应保证该设备</w:t>
      </w:r>
      <w:r>
        <w:rPr>
          <w:rFonts w:hint="eastAsia" w:ascii="宋体" w:hAnsi="宋体" w:cs="宋体"/>
          <w:color w:val="auto"/>
          <w:sz w:val="24"/>
          <w:szCs w:val="24"/>
          <w:highlight w:val="none"/>
          <w:lang w:eastAsia="zh-CN"/>
        </w:rPr>
        <w:t>为</w:t>
      </w:r>
      <w:r>
        <w:rPr>
          <w:rFonts w:hint="eastAsia" w:ascii="宋体" w:hAnsi="宋体" w:cs="宋体"/>
          <w:color w:val="auto"/>
          <w:sz w:val="24"/>
          <w:szCs w:val="24"/>
          <w:highlight w:val="none"/>
          <w:lang w:val="en-US" w:eastAsia="zh-CN"/>
        </w:rPr>
        <w:t>交付时起近一年</w:t>
      </w:r>
      <w:r>
        <w:rPr>
          <w:rFonts w:hint="eastAsia" w:ascii="宋体" w:hAnsi="宋体" w:cs="宋体"/>
          <w:color w:val="auto"/>
          <w:sz w:val="24"/>
          <w:szCs w:val="24"/>
          <w:highlight w:val="none"/>
          <w:lang w:eastAsia="zh-CN"/>
        </w:rPr>
        <w:t>内生产的产品</w:t>
      </w:r>
      <w:r>
        <w:rPr>
          <w:rFonts w:hint="eastAsia" w:ascii="宋体" w:hAnsi="宋体" w:eastAsia="宋体" w:cs="宋体"/>
          <w:color w:val="auto"/>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auto"/>
          <w:sz w:val="24"/>
          <w:szCs w:val="24"/>
          <w:highlight w:val="none"/>
          <w:u w:val="single"/>
          <w:lang w:val="en-US" w:eastAsia="zh-CN"/>
        </w:rPr>
        <w:t xml:space="preserve"> 7</w:t>
      </w:r>
      <w:r>
        <w:rPr>
          <w:rFonts w:hint="eastAsia" w:ascii="宋体" w:hAnsi="宋体" w:eastAsia="宋体" w:cs="宋体"/>
          <w:color w:val="auto"/>
          <w:sz w:val="24"/>
          <w:szCs w:val="24"/>
          <w:highlight w:val="none"/>
          <w:lang w:val="en-US" w:eastAsia="zh-CN"/>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auto"/>
          <w:sz w:val="24"/>
          <w:szCs w:val="24"/>
          <w:highlight w:val="none"/>
          <w:u w:val="single"/>
          <w:lang w:val="en-US" w:eastAsia="zh-CN"/>
        </w:rPr>
        <w:t xml:space="preserve"> 7</w:t>
      </w:r>
      <w:r>
        <w:rPr>
          <w:rFonts w:hint="eastAsia" w:ascii="宋体" w:hAnsi="宋体" w:eastAsia="宋体" w:cs="宋体"/>
          <w:color w:val="auto"/>
          <w:sz w:val="24"/>
          <w:szCs w:val="24"/>
          <w:highlight w:val="none"/>
          <w:lang w:val="en-US" w:eastAsia="zh-CN"/>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3.2.2 总体验收：乙方将设备全部拆包、安装、调试、培训后应及时通知甲方，甲方自接到乙方通知之日起</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lang w:val="en-US" w:eastAsia="zh-CN"/>
        </w:rPr>
        <w:t>日内自行组织或委托第三方进行总体验收，验收合格后签署总体验收报告单。如经甲方或第三方验收不合格，乙方应在</w:t>
      </w:r>
      <w:r>
        <w:rPr>
          <w:rFonts w:hint="eastAsia" w:ascii="宋体" w:hAnsi="宋体" w:eastAsia="宋体" w:cs="宋体"/>
          <w:color w:val="auto"/>
          <w:sz w:val="24"/>
          <w:szCs w:val="24"/>
          <w:highlight w:val="none"/>
          <w:u w:val="single"/>
          <w:lang w:val="en-US" w:eastAsia="zh-CN"/>
        </w:rPr>
        <w:t xml:space="preserve"> 7</w:t>
      </w:r>
      <w:r>
        <w:rPr>
          <w:rFonts w:hint="eastAsia" w:ascii="宋体" w:hAnsi="宋体" w:eastAsia="宋体" w:cs="宋体"/>
          <w:color w:val="auto"/>
          <w:sz w:val="24"/>
          <w:szCs w:val="24"/>
          <w:highlight w:val="none"/>
          <w:lang w:val="en-US" w:eastAsia="zh-CN"/>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4.2 甲方委派</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u w:val="single"/>
        </w:rPr>
        <w:t>邓时敏</w:t>
      </w:r>
      <w:r>
        <w:rPr>
          <w:rFonts w:hint="eastAsia" w:ascii="宋体" w:hAnsi="宋体" w:eastAsia="宋体" w:cs="宋体"/>
          <w:color w:val="auto"/>
          <w:sz w:val="24"/>
          <w:u w:val="single"/>
          <w:lang w:val="en-US" w:eastAsia="zh-CN"/>
        </w:rPr>
        <w:t>13723814432</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5.1 本合同设备质保期为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年，自甲方在总体验收报告单上签字确认合格之日起开始计算。</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5.2 </w:t>
      </w:r>
      <w:r>
        <w:rPr>
          <w:rFonts w:hint="eastAsia" w:ascii="宋体" w:hAnsi="宋体" w:eastAsia="宋体" w:cs="宋体"/>
          <w:color w:val="auto"/>
          <w:sz w:val="24"/>
          <w:highlight w:val="none"/>
        </w:rPr>
        <w:t>乙方在质保期内免费提供维修、更换、保养、咨询等服务。</w:t>
      </w:r>
      <w:r>
        <w:rPr>
          <w:rFonts w:hint="eastAsia" w:ascii="宋体" w:hAnsi="宋体" w:eastAsia="宋体" w:cs="宋体"/>
          <w:color w:val="auto"/>
          <w:sz w:val="24"/>
          <w:szCs w:val="24"/>
          <w:highlight w:val="none"/>
          <w:lang w:val="en-US" w:eastAsia="zh-CN"/>
        </w:rPr>
        <w:t>如设备在</w:t>
      </w:r>
      <w:r>
        <w:rPr>
          <w:rFonts w:hint="eastAsia" w:ascii="宋体" w:hAnsi="宋体" w:eastAsia="宋体" w:cs="宋体"/>
          <w:color w:val="auto"/>
          <w:sz w:val="24"/>
          <w:highlight w:val="none"/>
        </w:rPr>
        <w:t>质</w:t>
      </w:r>
      <w:r>
        <w:rPr>
          <w:rFonts w:hint="eastAsia" w:ascii="宋体" w:hAnsi="宋体" w:eastAsia="宋体" w:cs="宋体"/>
          <w:color w:val="auto"/>
          <w:sz w:val="24"/>
          <w:szCs w:val="24"/>
          <w:highlight w:val="none"/>
          <w:lang w:val="en-US" w:eastAsia="zh-CN"/>
        </w:rPr>
        <w:t>保期内出现质量问题，乙方应在接到甲方通知（包括电话通知）后</w:t>
      </w:r>
      <w:r>
        <w:rPr>
          <w:rFonts w:hint="eastAsia" w:ascii="宋体" w:hAnsi="宋体" w:eastAsia="宋体" w:cs="宋体"/>
          <w:color w:val="auto"/>
          <w:sz w:val="24"/>
          <w:szCs w:val="24"/>
          <w:highlight w:val="none"/>
          <w:u w:val="single"/>
          <w:lang w:val="en-US" w:eastAsia="zh-CN"/>
        </w:rPr>
        <w:t>1</w:t>
      </w:r>
      <w:r>
        <w:rPr>
          <w:rFonts w:hint="eastAsia" w:ascii="宋体" w:hAnsi="宋体" w:eastAsia="宋体" w:cs="宋体"/>
          <w:color w:val="auto"/>
          <w:sz w:val="24"/>
          <w:szCs w:val="24"/>
          <w:highlight w:val="none"/>
          <w:lang w:val="en-US" w:eastAsia="zh-CN"/>
        </w:rPr>
        <w:t>小时内响应，响应后</w:t>
      </w:r>
      <w:r>
        <w:rPr>
          <w:rFonts w:hint="eastAsia" w:ascii="宋体" w:hAnsi="宋体" w:eastAsia="宋体" w:cs="宋体"/>
          <w:color w:val="auto"/>
          <w:sz w:val="24"/>
          <w:szCs w:val="24"/>
          <w:highlight w:val="none"/>
          <w:u w:val="single"/>
          <w:lang w:val="en-US" w:eastAsia="zh-CN"/>
        </w:rPr>
        <w:t>24</w:t>
      </w:r>
      <w:r>
        <w:rPr>
          <w:rFonts w:hint="eastAsia" w:ascii="宋体" w:hAnsi="宋体" w:eastAsia="宋体" w:cs="宋体"/>
          <w:color w:val="auto"/>
          <w:sz w:val="24"/>
          <w:szCs w:val="24"/>
          <w:highlight w:val="none"/>
          <w:lang w:val="en-US" w:eastAsia="zh-CN"/>
        </w:rPr>
        <w:t>小时内赶到甲方提供服务，相关费用由乙方承担。如乙方不及时提供服务，甲方有权委托第三方提供</w:t>
      </w:r>
      <w:r>
        <w:rPr>
          <w:rFonts w:hint="eastAsia" w:ascii="宋体" w:hAnsi="宋体" w:eastAsia="宋体" w:cs="宋体"/>
          <w:color w:val="auto"/>
          <w:sz w:val="24"/>
          <w:highlight w:val="none"/>
        </w:rPr>
        <w:t>维修、更换、保养、咨询等服务</w:t>
      </w:r>
      <w:r>
        <w:rPr>
          <w:rFonts w:hint="eastAsia" w:ascii="宋体" w:hAnsi="宋体" w:eastAsia="宋体" w:cs="宋体"/>
          <w:color w:val="auto"/>
          <w:sz w:val="24"/>
          <w:szCs w:val="24"/>
          <w:highlight w:val="none"/>
          <w:lang w:val="en-US" w:eastAsia="zh-CN"/>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5.4 质保期届满后，如设备出现问题，乙方应在接到甲方通知（包括电话通知）后</w:t>
      </w:r>
      <w:r>
        <w:rPr>
          <w:rFonts w:hint="eastAsia" w:ascii="宋体" w:hAnsi="宋体" w:eastAsia="宋体" w:cs="宋体"/>
          <w:color w:val="auto"/>
          <w:sz w:val="24"/>
          <w:szCs w:val="24"/>
          <w:highlight w:val="none"/>
          <w:u w:val="single"/>
          <w:lang w:val="en-US" w:eastAsia="zh-CN"/>
        </w:rPr>
        <w:t xml:space="preserve"> 1 </w:t>
      </w:r>
      <w:r>
        <w:rPr>
          <w:rFonts w:hint="eastAsia" w:ascii="宋体" w:hAnsi="宋体" w:eastAsia="宋体" w:cs="宋体"/>
          <w:color w:val="auto"/>
          <w:sz w:val="24"/>
          <w:szCs w:val="24"/>
          <w:highlight w:val="none"/>
          <w:lang w:val="en-US" w:eastAsia="zh-CN"/>
        </w:rPr>
        <w:t>小时内响应，响应后</w:t>
      </w:r>
      <w:r>
        <w:rPr>
          <w:rFonts w:hint="eastAsia" w:ascii="宋体" w:hAnsi="宋体" w:eastAsia="宋体" w:cs="宋体"/>
          <w:color w:val="auto"/>
          <w:sz w:val="24"/>
          <w:szCs w:val="24"/>
          <w:highlight w:val="none"/>
          <w:u w:val="single"/>
          <w:lang w:val="en-US" w:eastAsia="zh-CN"/>
        </w:rPr>
        <w:t>24</w:t>
      </w:r>
      <w:r>
        <w:rPr>
          <w:rFonts w:hint="eastAsia" w:ascii="宋体" w:hAnsi="宋体" w:eastAsia="宋体" w:cs="宋体"/>
          <w:color w:val="auto"/>
          <w:sz w:val="24"/>
          <w:szCs w:val="24"/>
          <w:highlight w:val="none"/>
          <w:lang w:val="en-US" w:eastAsia="zh-CN"/>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auto"/>
          <w:sz w:val="24"/>
          <w:szCs w:val="24"/>
          <w:highlight w:val="none"/>
          <w:lang w:val="en-US" w:eastAsia="zh-CN"/>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 xml:space="preserve">5 </w:t>
      </w:r>
      <w:r>
        <w:rPr>
          <w:rFonts w:hint="eastAsia" w:ascii="宋体" w:hAnsi="宋体" w:eastAsia="宋体" w:cs="宋体"/>
          <w:color w:val="auto"/>
          <w:sz w:val="24"/>
          <w:szCs w:val="24"/>
          <w:highlight w:val="none"/>
        </w:rPr>
        <w:t>乙方须指派</w:t>
      </w:r>
      <w:r>
        <w:rPr>
          <w:rFonts w:hint="eastAsia" w:ascii="宋体" w:hAnsi="宋体" w:eastAsia="宋体" w:cs="宋体"/>
          <w:color w:val="auto"/>
          <w:sz w:val="24"/>
          <w:szCs w:val="24"/>
          <w:highlight w:val="none"/>
          <w:u w:val="non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6.1 甲方通过银行转账方式向乙方指定银行账户支付款项；甲方在总体验收报告单上签字确认合格之日起4个月内，向乙方支付</w:t>
      </w:r>
      <w:r>
        <w:rPr>
          <w:rFonts w:hint="eastAsia" w:ascii="宋体" w:hAnsi="宋体" w:eastAsia="宋体" w:cs="宋体"/>
          <w:color w:val="auto"/>
          <w:sz w:val="24"/>
          <w:szCs w:val="24"/>
          <w:highlight w:val="none"/>
          <w:u w:val="none"/>
          <w:lang w:val="en-US" w:eastAsia="zh-CN"/>
        </w:rPr>
        <w:t>合同约定总价款</w:t>
      </w:r>
      <w:r>
        <w:rPr>
          <w:rFonts w:hint="eastAsia" w:ascii="宋体" w:hAnsi="宋体" w:eastAsia="宋体" w:cs="宋体"/>
          <w:color w:val="auto"/>
          <w:sz w:val="24"/>
          <w:szCs w:val="24"/>
          <w:highlight w:val="none"/>
          <w:lang w:val="en-US" w:eastAsia="zh-CN"/>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auto"/>
          <w:sz w:val="28"/>
          <w:szCs w:val="28"/>
          <w:highlight w:val="none"/>
          <w:u w:val="none"/>
          <w:lang w:val="en-US" w:eastAsia="zh-CN"/>
        </w:rPr>
      </w:pPr>
      <w:r>
        <w:rPr>
          <w:rFonts w:hint="eastAsia" w:ascii="宋体" w:hAnsi="宋体" w:eastAsia="宋体" w:cs="宋体"/>
          <w:color w:val="auto"/>
          <w:sz w:val="24"/>
          <w:szCs w:val="24"/>
          <w:highlight w:val="none"/>
          <w:lang w:val="en-US" w:eastAsia="zh-CN"/>
        </w:rPr>
        <w:t>6.2 乙方指定收款银行账户的开户名：</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lang w:val="en-US" w:eastAsia="zh-CN"/>
        </w:rPr>
        <w:t>开户银行：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账号：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r>
        <w:rPr>
          <w:rFonts w:hint="eastAsia" w:ascii="宋体" w:hAnsi="宋体"/>
          <w:color w:val="auto"/>
          <w:sz w:val="28"/>
          <w:szCs w:val="28"/>
          <w:highlight w:val="none"/>
          <w:u w:val="none"/>
          <w:lang w:val="en-US" w:eastAsia="zh-CN"/>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highlight w:val="none"/>
        </w:rPr>
      </w:pPr>
      <w:r>
        <w:rPr>
          <w:rFonts w:hint="default" w:ascii="宋体" w:hAnsi="宋体" w:eastAsia="宋体" w:cs="宋体"/>
          <w:b/>
          <w:bCs/>
          <w:color w:val="auto"/>
          <w:sz w:val="24"/>
          <w:szCs w:val="24"/>
          <w:highlight w:val="none"/>
          <w:lang w:val="en-US" w:eastAsia="zh-CN"/>
        </w:rPr>
        <w:t xml:space="preserve">8.2 </w:t>
      </w:r>
      <w:r>
        <w:rPr>
          <w:rFonts w:hint="default" w:ascii="宋体" w:hAnsi="宋体" w:eastAsia="宋体" w:cs="宋体"/>
          <w:b/>
          <w:bCs/>
          <w:color w:val="auto"/>
          <w:sz w:val="24"/>
          <w:szCs w:val="24"/>
          <w:highlight w:val="none"/>
          <w:u w:val="single"/>
          <w:lang w:val="en-US" w:eastAsia="zh-CN"/>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 xml:space="preserve">第十条 </w:t>
      </w:r>
      <w:r>
        <w:rPr>
          <w:rFonts w:hint="default" w:ascii="宋体" w:hAnsi="宋体" w:eastAsia="宋体" w:cs="宋体"/>
          <w:b/>
          <w:bCs/>
          <w:color w:val="auto"/>
          <w:sz w:val="24"/>
          <w:highlight w:val="none"/>
          <w:lang w:val="en-US" w:eastAsia="zh-CN"/>
        </w:rPr>
        <w:t>通知</w:t>
      </w:r>
      <w:r>
        <w:rPr>
          <w:rFonts w:hint="eastAsia" w:ascii="宋体" w:hAnsi="宋体" w:eastAsia="宋体" w:cs="宋体"/>
          <w:b/>
          <w:bCs/>
          <w:color w:val="auto"/>
          <w:sz w:val="24"/>
          <w:highlight w:val="none"/>
          <w:lang w:val="en-US" w:eastAsia="zh-CN"/>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 xml:space="preserve">10.2.1 </w:t>
      </w:r>
      <w:r>
        <w:rPr>
          <w:rFonts w:hint="default" w:ascii="宋体" w:hAnsi="宋体" w:eastAsia="宋体" w:cs="宋体"/>
          <w:b w:val="0"/>
          <w:bCs w:val="0"/>
          <w:color w:val="auto"/>
          <w:sz w:val="24"/>
          <w:highlight w:val="none"/>
          <w:lang w:val="en-US" w:eastAsia="zh-CN"/>
        </w:rPr>
        <w:t>甲方的联系地址：</w:t>
      </w:r>
      <w:r>
        <w:rPr>
          <w:rFonts w:hint="eastAsia" w:ascii="宋体" w:hAnsi="宋体" w:eastAsia="宋体" w:cs="宋体"/>
          <w:b w:val="0"/>
          <w:bCs w:val="0"/>
          <w:color w:val="auto"/>
          <w:sz w:val="24"/>
          <w:highlight w:val="none"/>
          <w:u w:val="single"/>
          <w:lang w:val="en-US" w:eastAsia="zh-CN"/>
        </w:rPr>
        <w:t>娄底市娄星区</w:t>
      </w:r>
      <w:r>
        <w:rPr>
          <w:rFonts w:hint="default" w:ascii="宋体" w:hAnsi="宋体" w:eastAsia="宋体" w:cs="宋体"/>
          <w:b w:val="0"/>
          <w:bCs w:val="0"/>
          <w:color w:val="auto"/>
          <w:sz w:val="24"/>
          <w:highlight w:val="none"/>
          <w:u w:val="single"/>
          <w:lang w:val="en-US" w:eastAsia="zh-CN"/>
        </w:rPr>
        <w:t>长青中街51号</w:t>
      </w:r>
      <w:r>
        <w:rPr>
          <w:rFonts w:hint="eastAsia" w:ascii="宋体" w:hAnsi="宋体" w:eastAsia="宋体" w:cs="宋体"/>
          <w:color w:val="auto"/>
          <w:sz w:val="24"/>
          <w:szCs w:val="24"/>
          <w:highlight w:val="none"/>
          <w:u w:val="single"/>
          <w:lang w:val="en-US" w:eastAsia="zh-CN"/>
        </w:rPr>
        <w:t>娄底市中心医院设备科</w:t>
      </w:r>
      <w:r>
        <w:rPr>
          <w:rFonts w:hint="default" w:ascii="宋体" w:hAnsi="宋体" w:eastAsia="宋体" w:cs="宋体"/>
          <w:b w:val="0"/>
          <w:bCs w:val="0"/>
          <w:color w:val="auto"/>
          <w:sz w:val="24"/>
          <w:highlight w:val="none"/>
          <w:lang w:val="en-US" w:eastAsia="zh-CN"/>
        </w:rPr>
        <w:t>，联系人：</w:t>
      </w:r>
      <w:r>
        <w:rPr>
          <w:rFonts w:hint="eastAsia" w:ascii="宋体" w:hAnsi="宋体" w:eastAsia="宋体" w:cs="宋体"/>
          <w:b w:val="0"/>
          <w:bCs w:val="0"/>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彭春涛</w:t>
      </w:r>
      <w:r>
        <w:rPr>
          <w:rFonts w:hint="default" w:ascii="宋体" w:hAnsi="宋体" w:eastAsia="宋体" w:cs="宋体"/>
          <w:b w:val="0"/>
          <w:bCs w:val="0"/>
          <w:color w:val="auto"/>
          <w:sz w:val="24"/>
          <w:highlight w:val="none"/>
          <w:lang w:val="en-US" w:eastAsia="zh-CN"/>
        </w:rPr>
        <w:t>，联系电话：</w:t>
      </w:r>
      <w:r>
        <w:rPr>
          <w:rFonts w:hint="eastAsia" w:ascii="宋体" w:hAnsi="宋体" w:eastAsia="宋体" w:cs="宋体"/>
          <w:b w:val="0"/>
          <w:bCs w:val="0"/>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13027388172</w:t>
      </w:r>
      <w:r>
        <w:rPr>
          <w:rFonts w:hint="eastAsia"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，邮箱地址</w:t>
      </w:r>
      <w:r>
        <w:rPr>
          <w:rFonts w:hint="eastAsia"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u w:val="single"/>
          <w:lang w:val="en-US" w:eastAsia="zh-CN"/>
        </w:rPr>
        <w:t>721294732@qq.com</w:t>
      </w:r>
      <w:r>
        <w:rPr>
          <w:rFonts w:hint="eastAsia" w:ascii="宋体" w:hAnsi="宋体" w:eastAsia="宋体" w:cs="宋体"/>
          <w:b w:val="0"/>
          <w:bCs w:val="0"/>
          <w:color w:val="auto"/>
          <w:sz w:val="24"/>
          <w:highlight w:val="none"/>
          <w:lang w:val="en-US" w:eastAsia="zh-CN"/>
        </w:rPr>
        <w:t>，</w:t>
      </w:r>
      <w:r>
        <w:rPr>
          <w:rFonts w:hint="default" w:ascii="宋体" w:hAnsi="宋体" w:eastAsia="宋体" w:cs="宋体"/>
          <w:b w:val="0"/>
          <w:bCs w:val="0"/>
          <w:color w:val="auto"/>
          <w:sz w:val="24"/>
          <w:highlight w:val="none"/>
          <w:lang w:val="en-US" w:eastAsia="zh-CN"/>
        </w:rPr>
        <w:t>或微信号</w:t>
      </w:r>
      <w:r>
        <w:rPr>
          <w:rFonts w:hint="eastAsia"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13027388172</w:t>
      </w:r>
      <w:r>
        <w:rPr>
          <w:rFonts w:hint="default" w:ascii="宋体" w:hAnsi="宋体" w:eastAsia="宋体" w:cs="宋体"/>
          <w:b w:val="0"/>
          <w:bCs w:val="0"/>
          <w:color w:val="auto"/>
          <w:sz w:val="24"/>
          <w:highlight w:val="none"/>
          <w:lang w:val="en-US" w:eastAsia="zh-CN"/>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 xml:space="preserve">10.2.2 </w:t>
      </w:r>
      <w:r>
        <w:rPr>
          <w:rFonts w:hint="default" w:ascii="宋体" w:hAnsi="宋体" w:eastAsia="宋体" w:cs="宋体"/>
          <w:b w:val="0"/>
          <w:bCs w:val="0"/>
          <w:color w:val="auto"/>
          <w:sz w:val="24"/>
          <w:highlight w:val="none"/>
          <w:lang w:val="en-US" w:eastAsia="zh-CN"/>
        </w:rPr>
        <w:t>乙方的联系地址：</w:t>
      </w:r>
      <w:r>
        <w:rPr>
          <w:rFonts w:hint="default"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 xml:space="preserve"> ，联系人：</w:t>
      </w:r>
      <w:r>
        <w:rPr>
          <w:rFonts w:hint="eastAsia"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 联系电话：</w:t>
      </w:r>
      <w:r>
        <w:rPr>
          <w:rFonts w:hint="eastAsia"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，邮箱地址</w:t>
      </w:r>
      <w:r>
        <w:rPr>
          <w:rFonts w:hint="eastAsia"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 xml:space="preserve"> </w:t>
      </w:r>
      <w:r>
        <w:rPr>
          <w:rFonts w:hint="eastAsia" w:ascii="宋体" w:hAnsi="宋体" w:eastAsia="宋体" w:cs="宋体"/>
          <w:b w:val="0"/>
          <w:bCs w:val="0"/>
          <w:color w:val="auto"/>
          <w:sz w:val="24"/>
          <w:highlight w:val="none"/>
          <w:lang w:val="en-US" w:eastAsia="zh-CN"/>
        </w:rPr>
        <w:t>，</w:t>
      </w:r>
      <w:r>
        <w:rPr>
          <w:rFonts w:hint="default" w:ascii="宋体" w:hAnsi="宋体" w:eastAsia="宋体" w:cs="宋体"/>
          <w:b w:val="0"/>
          <w:bCs w:val="0"/>
          <w:color w:val="auto"/>
          <w:sz w:val="24"/>
          <w:highlight w:val="none"/>
          <w:lang w:val="en-US" w:eastAsia="zh-CN"/>
        </w:rPr>
        <w:t>或微信号</w:t>
      </w:r>
      <w:r>
        <w:rPr>
          <w:rFonts w:hint="eastAsia" w:ascii="宋体" w:hAnsi="宋体" w:eastAsia="宋体" w:cs="宋体"/>
          <w:b w:val="0"/>
          <w:bCs w:val="0"/>
          <w:color w:val="auto"/>
          <w:sz w:val="24"/>
          <w:highlight w:val="none"/>
          <w:lang w:val="en-US" w:eastAsia="zh-CN"/>
        </w:rPr>
        <w:t>：</w:t>
      </w:r>
      <w:r>
        <w:rPr>
          <w:rFonts w:hint="eastAsia" w:ascii="宋体" w:hAnsi="宋体" w:eastAsia="宋体" w:cs="宋体"/>
          <w:b w:val="0"/>
          <w:bCs w:val="0"/>
          <w:color w:val="auto"/>
          <w:sz w:val="24"/>
          <w:highlight w:val="none"/>
          <w:u w:val="single"/>
          <w:lang w:val="en-US" w:eastAsia="zh-CN"/>
        </w:rPr>
        <w:t xml:space="preserve">          </w:t>
      </w:r>
      <w:r>
        <w:rPr>
          <w:rFonts w:hint="default" w:ascii="宋体" w:hAnsi="宋体" w:eastAsia="宋体" w:cs="宋体"/>
          <w:b w:val="0"/>
          <w:bCs w:val="0"/>
          <w:color w:val="auto"/>
          <w:sz w:val="24"/>
          <w:highlight w:val="none"/>
          <w:lang w:val="en-US" w:eastAsia="zh-CN"/>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eastAsia="zh-CN"/>
        </w:rPr>
        <w:t>第十</w:t>
      </w: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lang w:eastAsia="zh-CN"/>
        </w:rPr>
        <w:t>条</w:t>
      </w:r>
      <w:r>
        <w:rPr>
          <w:rFonts w:hint="eastAsia" w:ascii="宋体" w:hAnsi="宋体" w:eastAsia="宋体" w:cs="宋体"/>
          <w:b/>
          <w:bCs/>
          <w:color w:val="auto"/>
          <w:sz w:val="24"/>
          <w:highlight w:val="none"/>
          <w:lang w:val="en-US" w:eastAsia="zh-CN"/>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b/>
          <w:bCs/>
          <w:color w:val="auto"/>
          <w:sz w:val="24"/>
          <w:highlight w:val="none"/>
          <w:u w:val="single"/>
          <w:lang w:val="en-US" w:eastAsia="zh-CN"/>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11.3 </w:t>
      </w:r>
      <w:r>
        <w:rPr>
          <w:rFonts w:hint="eastAsia" w:ascii="宋体" w:hAnsi="宋体" w:eastAsia="宋体" w:cs="宋体"/>
          <w:color w:val="auto"/>
          <w:sz w:val="24"/>
          <w:highlight w:val="none"/>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cs="宋体"/>
          <w:color w:val="auto"/>
          <w:sz w:val="24"/>
          <w:highlight w:val="none"/>
          <w:lang w:val="en-US" w:eastAsia="zh-CN"/>
        </w:rPr>
        <w:t>11</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.1 乙方逾期</w:t>
      </w:r>
      <w:r>
        <w:rPr>
          <w:rFonts w:hint="eastAsia" w:ascii="宋体" w:hAnsi="宋体" w:eastAsia="宋体" w:cs="宋体"/>
          <w:color w:val="auto"/>
          <w:sz w:val="24"/>
          <w:highlight w:val="none"/>
          <w:u w:val="single"/>
        </w:rPr>
        <w:t>30</w:t>
      </w:r>
      <w:r>
        <w:rPr>
          <w:rFonts w:hint="eastAsia" w:ascii="宋体" w:hAnsi="宋体" w:eastAsia="宋体" w:cs="宋体"/>
          <w:color w:val="auto"/>
          <w:sz w:val="24"/>
          <w:highlight w:val="none"/>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cs="宋体"/>
          <w:color w:val="auto"/>
          <w:sz w:val="24"/>
          <w:highlight w:val="none"/>
          <w:lang w:val="en-US" w:eastAsia="zh-CN"/>
        </w:rPr>
        <w:t>11</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.2 乙方提供的设备质量不符合国家标准、本合同标准或</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cs="宋体"/>
          <w:color w:val="auto"/>
          <w:sz w:val="24"/>
          <w:highlight w:val="none"/>
          <w:lang w:val="en-US" w:eastAsia="zh-CN"/>
        </w:rPr>
        <w:t>11</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.3 乙方将</w:t>
      </w:r>
      <w:r>
        <w:rPr>
          <w:rFonts w:hint="eastAsia" w:ascii="宋体" w:hAnsi="宋体" w:eastAsia="宋体" w:cs="宋体"/>
          <w:color w:val="auto"/>
          <w:sz w:val="24"/>
          <w:highlight w:val="none"/>
          <w:lang w:val="en-US" w:eastAsia="zh-CN"/>
        </w:rPr>
        <w:t>本合同权利义务全部或部分转让给</w:t>
      </w:r>
      <w:r>
        <w:rPr>
          <w:rFonts w:hint="eastAsia" w:ascii="宋体" w:hAnsi="宋体" w:eastAsia="宋体" w:cs="宋体"/>
          <w:color w:val="auto"/>
          <w:sz w:val="24"/>
          <w:highlight w:val="none"/>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auto"/>
          <w:sz w:val="24"/>
          <w:highlight w:val="none"/>
        </w:rPr>
      </w:pPr>
      <w:r>
        <w:rPr>
          <w:rFonts w:hint="eastAsia" w:ascii="宋体" w:hAnsi="宋体" w:cs="宋体"/>
          <w:color w:val="auto"/>
          <w:sz w:val="24"/>
          <w:highlight w:val="none"/>
          <w:lang w:val="en-US" w:eastAsia="zh-CN"/>
        </w:rPr>
        <w:t>11</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第</w:t>
      </w:r>
      <w:r>
        <w:rPr>
          <w:rFonts w:hint="eastAsia" w:ascii="宋体" w:hAnsi="宋体" w:eastAsia="宋体" w:cs="宋体"/>
          <w:b/>
          <w:bCs/>
          <w:color w:val="auto"/>
          <w:sz w:val="24"/>
          <w:highlight w:val="none"/>
          <w:lang w:eastAsia="zh-CN"/>
        </w:rPr>
        <w:t>十</w:t>
      </w: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cs="宋体"/>
          <w:color w:val="auto"/>
          <w:sz w:val="24"/>
          <w:highlight w:val="none"/>
          <w:lang w:val="en-US" w:eastAsia="zh-CN"/>
        </w:rPr>
        <w:t>12</w:t>
      </w:r>
      <w:r>
        <w:rPr>
          <w:rFonts w:hint="eastAsia" w:ascii="宋体" w:hAnsi="宋体" w:eastAsia="宋体" w:cs="宋体"/>
          <w:color w:val="auto"/>
          <w:sz w:val="24"/>
          <w:highlight w:val="none"/>
        </w:rPr>
        <w:t xml:space="preserve">.1 </w:t>
      </w:r>
      <w:r>
        <w:rPr>
          <w:rFonts w:hint="eastAsia" w:ascii="宋体" w:hAnsi="宋体" w:eastAsia="宋体" w:cs="宋体"/>
          <w:color w:val="auto"/>
          <w:sz w:val="24"/>
          <w:highlight w:val="none"/>
          <w:lang w:eastAsia="zh-CN"/>
        </w:rPr>
        <w:t>甲方因</w:t>
      </w:r>
      <w:r>
        <w:rPr>
          <w:rFonts w:hint="eastAsia" w:ascii="宋体" w:hAnsi="宋体" w:eastAsia="宋体" w:cs="宋体"/>
          <w:color w:val="auto"/>
          <w:sz w:val="24"/>
          <w:highlight w:val="none"/>
          <w:lang w:val="en-US" w:eastAsia="zh-CN"/>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12</w:t>
      </w:r>
      <w:r>
        <w:rPr>
          <w:rFonts w:hint="eastAsia" w:ascii="宋体" w:hAnsi="宋体" w:eastAsia="宋体" w:cs="宋体"/>
          <w:color w:val="auto"/>
          <w:sz w:val="24"/>
          <w:highlight w:val="none"/>
        </w:rPr>
        <w:t>.2 如乙方未在本合同约定时间内将验收合格的</w:t>
      </w:r>
      <w:r>
        <w:rPr>
          <w:rFonts w:hint="eastAsia" w:ascii="宋体" w:hAnsi="宋体" w:eastAsia="宋体" w:cs="宋体"/>
          <w:color w:val="auto"/>
          <w:sz w:val="24"/>
          <w:highlight w:val="none"/>
          <w:lang w:val="en-US" w:eastAsia="zh-CN"/>
        </w:rPr>
        <w:t>设备</w:t>
      </w:r>
      <w:r>
        <w:rPr>
          <w:rFonts w:hint="eastAsia" w:ascii="宋体" w:hAnsi="宋体" w:eastAsia="宋体" w:cs="宋体"/>
          <w:color w:val="auto"/>
          <w:sz w:val="24"/>
          <w:highlight w:val="none"/>
        </w:rPr>
        <w:t>交付给甲方使用，除应赔偿甲方因此造成的损失外，每逾期一日，按</w:t>
      </w:r>
      <w:r>
        <w:rPr>
          <w:rFonts w:hint="eastAsia" w:ascii="宋体" w:hAnsi="宋体" w:eastAsia="宋体" w:cs="宋体"/>
          <w:color w:val="auto"/>
          <w:sz w:val="24"/>
          <w:highlight w:val="none"/>
          <w:lang w:eastAsia="zh-CN"/>
        </w:rPr>
        <w:t>（</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元 ☑</w:t>
      </w:r>
      <w:r>
        <w:rPr>
          <w:rFonts w:hint="eastAsia" w:ascii="宋体" w:hAnsi="宋体" w:eastAsia="宋体" w:cs="宋体"/>
          <w:color w:val="auto"/>
          <w:sz w:val="24"/>
          <w:highlight w:val="none"/>
          <w:u w:val="none"/>
        </w:rPr>
        <w:t>本合同约定总价款的</w:t>
      </w:r>
      <w:r>
        <w:rPr>
          <w:rFonts w:hint="eastAsia" w:ascii="宋体" w:hAnsi="宋体" w:eastAsia="宋体" w:cs="宋体"/>
          <w:color w:val="auto"/>
          <w:sz w:val="24"/>
          <w:highlight w:val="none"/>
          <w:u w:val="none"/>
          <w:lang w:eastAsia="zh-CN"/>
        </w:rPr>
        <w:t>千分之一</w:t>
      </w:r>
      <w:r>
        <w:rPr>
          <w:rFonts w:hint="eastAsia" w:ascii="宋体" w:hAnsi="宋体" w:eastAsia="宋体" w:cs="宋体"/>
          <w:color w:val="auto"/>
          <w:sz w:val="24"/>
          <w:highlight w:val="none"/>
          <w:lang w:eastAsia="zh-CN"/>
        </w:rPr>
        <w:t>）标准</w:t>
      </w:r>
      <w:r>
        <w:rPr>
          <w:rFonts w:hint="eastAsia" w:ascii="宋体" w:hAnsi="宋体" w:eastAsia="宋体" w:cs="宋体"/>
          <w:color w:val="auto"/>
          <w:sz w:val="24"/>
          <w:highlight w:val="none"/>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cs="宋体"/>
          <w:color w:val="auto"/>
          <w:sz w:val="24"/>
          <w:highlight w:val="none"/>
          <w:lang w:val="en-US" w:eastAsia="zh-CN"/>
        </w:rPr>
        <w:t>12</w:t>
      </w:r>
      <w:r>
        <w:rPr>
          <w:rFonts w:hint="eastAsia" w:ascii="宋体" w:hAnsi="宋体" w:eastAsia="宋体" w:cs="宋体"/>
          <w:color w:val="auto"/>
          <w:sz w:val="24"/>
          <w:highlight w:val="none"/>
        </w:rPr>
        <w:t>.3 如乙方单方解除合同或甲方因</w:t>
      </w:r>
      <w:r>
        <w:rPr>
          <w:rFonts w:hint="eastAsia" w:ascii="宋体" w:hAnsi="宋体" w:eastAsia="宋体" w:cs="宋体"/>
          <w:color w:val="auto"/>
          <w:sz w:val="24"/>
          <w:highlight w:val="none"/>
          <w:lang w:val="en-US" w:eastAsia="zh-CN"/>
        </w:rPr>
        <w:t>11.3情形</w:t>
      </w:r>
      <w:r>
        <w:rPr>
          <w:rFonts w:hint="eastAsia" w:ascii="宋体" w:hAnsi="宋体" w:eastAsia="宋体" w:cs="宋体"/>
          <w:color w:val="auto"/>
          <w:sz w:val="24"/>
          <w:highlight w:val="none"/>
        </w:rPr>
        <w:t>解除合同，乙方应赔偿给甲方造成的全部经济损失，并按</w:t>
      </w:r>
      <w:r>
        <w:rPr>
          <w:rFonts w:hint="eastAsia" w:ascii="宋体" w:hAnsi="宋体" w:eastAsia="宋体" w:cs="宋体"/>
          <w:color w:val="auto"/>
          <w:sz w:val="24"/>
          <w:highlight w:val="none"/>
          <w:lang w:eastAsia="zh-CN"/>
        </w:rPr>
        <w:t>（</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元 ☑</w:t>
      </w:r>
      <w:r>
        <w:rPr>
          <w:rFonts w:hint="eastAsia" w:ascii="宋体" w:hAnsi="宋体" w:eastAsia="宋体" w:cs="宋体"/>
          <w:color w:val="auto"/>
          <w:sz w:val="24"/>
          <w:highlight w:val="none"/>
          <w:u w:val="none"/>
        </w:rPr>
        <w:t>本合同总价款30%</w:t>
      </w:r>
      <w:r>
        <w:rPr>
          <w:rFonts w:hint="eastAsia" w:ascii="宋体" w:hAnsi="宋体" w:eastAsia="宋体" w:cs="宋体"/>
          <w:color w:val="auto"/>
          <w:sz w:val="24"/>
          <w:highlight w:val="none"/>
          <w:u w:val="none"/>
          <w:lang w:eastAsia="zh-CN"/>
        </w:rPr>
        <w:t>）</w:t>
      </w:r>
      <w:r>
        <w:rPr>
          <w:rFonts w:hint="eastAsia" w:ascii="宋体" w:hAnsi="宋体" w:eastAsia="宋体" w:cs="宋体"/>
          <w:color w:val="auto"/>
          <w:sz w:val="24"/>
          <w:highlight w:val="none"/>
        </w:rPr>
        <w:t>标准</w:t>
      </w:r>
      <w:r>
        <w:rPr>
          <w:rFonts w:hint="eastAsia" w:ascii="宋体" w:hAnsi="宋体" w:eastAsia="宋体" w:cs="宋体"/>
          <w:color w:val="auto"/>
          <w:sz w:val="24"/>
          <w:highlight w:val="none"/>
          <w:lang w:val="en-US" w:eastAsia="zh-CN"/>
        </w:rPr>
        <w:t>向</w:t>
      </w:r>
      <w:r>
        <w:rPr>
          <w:rFonts w:hint="eastAsia" w:ascii="宋体" w:hAnsi="宋体" w:eastAsia="宋体" w:cs="宋体"/>
          <w:color w:val="auto"/>
          <w:sz w:val="24"/>
          <w:highlight w:val="none"/>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u w:val="single"/>
          <w:lang w:val="en-US" w:eastAsia="zh-CN"/>
        </w:rPr>
        <w:t>12.4 无论甲方在任意时候（不限于本合同履行期间）发现存在违反本合同廉洁条款及供应商考核管理制度约定的行为，乙方均须向甲方支付一次性惩罚性违约金，该违约金金额按以下较高者确定：（1）本合同总费用的10%；（2）根据《娄底市中心医院医疗器械供应商考核管理制度》规定计算的廉政违约金金额。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auto"/>
          <w:sz w:val="24"/>
          <w:highlight w:val="none"/>
          <w:u w:val="single"/>
          <w:lang w:val="en-US" w:eastAsia="zh-CN"/>
        </w:rPr>
      </w:pPr>
      <w:r>
        <w:rPr>
          <w:rFonts w:hint="eastAsia" w:ascii="宋体" w:hAnsi="宋体" w:eastAsia="宋体" w:cs="宋体"/>
          <w:b/>
          <w:bCs/>
          <w:color w:val="auto"/>
          <w:sz w:val="24"/>
          <w:highlight w:val="none"/>
          <w:u w:val="single"/>
          <w:lang w:val="en-US" w:eastAsia="zh-CN"/>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第</w:t>
      </w:r>
      <w:r>
        <w:rPr>
          <w:rFonts w:hint="eastAsia" w:ascii="宋体" w:hAnsi="宋体" w:cs="宋体"/>
          <w:b/>
          <w:bCs/>
          <w:color w:val="auto"/>
          <w:sz w:val="24"/>
          <w:highlight w:val="none"/>
          <w:lang w:val="en-US" w:eastAsia="zh-CN"/>
        </w:rPr>
        <w:t>十三</w:t>
      </w:r>
      <w:r>
        <w:rPr>
          <w:rFonts w:hint="eastAsia" w:ascii="宋体" w:hAnsi="宋体" w:eastAsia="宋体" w:cs="宋体"/>
          <w:b/>
          <w:bCs/>
          <w:color w:val="auto"/>
          <w:sz w:val="24"/>
          <w:highlight w:val="none"/>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13.2 </w:t>
      </w:r>
      <w:r>
        <w:rPr>
          <w:rFonts w:hint="eastAsia" w:ascii="宋体" w:hAnsi="宋体" w:eastAsia="宋体" w:cs="宋体"/>
          <w:color w:val="auto"/>
          <w:sz w:val="24"/>
          <w:highlight w:val="none"/>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第十</w:t>
      </w:r>
      <w:r>
        <w:rPr>
          <w:rFonts w:hint="eastAsia" w:ascii="宋体" w:hAnsi="宋体" w:cs="宋体"/>
          <w:b/>
          <w:bCs/>
          <w:color w:val="auto"/>
          <w:sz w:val="24"/>
          <w:highlight w:val="none"/>
          <w:lang w:val="en-US" w:eastAsia="zh-CN"/>
        </w:rPr>
        <w:t>四</w:t>
      </w:r>
      <w:r>
        <w:rPr>
          <w:rFonts w:hint="eastAsia" w:ascii="宋体" w:hAnsi="宋体" w:eastAsia="宋体" w:cs="宋体"/>
          <w:b/>
          <w:bCs/>
          <w:color w:val="auto"/>
          <w:sz w:val="24"/>
          <w:highlight w:val="none"/>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 甲方《娄底市中心医院医疗器械供应商考核管理制度》、</w:t>
      </w:r>
      <w:r>
        <w:rPr>
          <w:rFonts w:hint="eastAsia" w:ascii="宋体" w:hAnsi="宋体" w:eastAsia="宋体" w:cs="宋体"/>
          <w:color w:val="auto"/>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auto"/>
          <w:sz w:val="24"/>
          <w:highlight w:val="none"/>
          <w:lang w:eastAsia="zh-CN"/>
        </w:rPr>
        <w:t xml:space="preserve">14.2 </w:t>
      </w:r>
      <w:r>
        <w:rPr>
          <w:rFonts w:hint="eastAsia" w:ascii="宋体" w:hAnsi="宋体" w:eastAsia="宋体" w:cs="宋体"/>
          <w:color w:val="auto"/>
          <w:sz w:val="24"/>
          <w:highlight w:val="none"/>
        </w:rPr>
        <w:t>本合同组成文件和优先解释顺序：</w:t>
      </w:r>
      <w:r>
        <w:rPr>
          <w:rFonts w:hint="eastAsia" w:ascii="宋体" w:hAnsi="宋体" w:eastAsia="宋体" w:cs="宋体"/>
          <w:color w:val="auto"/>
          <w:sz w:val="24"/>
          <w:highlight w:val="none"/>
          <w:lang w:eastAsia="zh-CN"/>
        </w:rPr>
        <w:t>乙方在履行本合同中作出的书面承诺；</w:t>
      </w:r>
      <w:r>
        <w:rPr>
          <w:rFonts w:hint="eastAsia" w:ascii="宋体" w:hAnsi="宋体" w:eastAsia="宋体" w:cs="宋体"/>
          <w:color w:val="auto"/>
          <w:sz w:val="24"/>
          <w:highlight w:val="none"/>
        </w:rPr>
        <w:t>本合同补充协议；本合同及附件；</w:t>
      </w:r>
      <w:r>
        <w:rPr>
          <w:rFonts w:hint="eastAsia" w:ascii="宋体" w:hAnsi="宋体" w:eastAsia="宋体" w:cs="宋体"/>
          <w:color w:val="auto"/>
          <w:sz w:val="24"/>
          <w:highlight w:val="none"/>
          <w:lang w:eastAsia="zh-CN"/>
        </w:rPr>
        <w:t>中标通知书</w:t>
      </w:r>
      <w:r>
        <w:rPr>
          <w:rFonts w:hint="eastAsia" w:ascii="宋体" w:hAnsi="宋体" w:eastAsia="宋体" w:cs="宋体"/>
          <w:color w:val="auto"/>
          <w:sz w:val="24"/>
          <w:highlight w:val="none"/>
          <w:lang w:val="en-US" w:eastAsia="zh-CN"/>
        </w:rPr>
        <w:t>/成交通知书/</w:t>
      </w:r>
      <w:r>
        <w:rPr>
          <w:rFonts w:hint="eastAsia" w:ascii="宋体" w:hAnsi="宋体" w:eastAsia="宋体" w:cs="宋体"/>
          <w:color w:val="auto"/>
          <w:sz w:val="24"/>
          <w:highlight w:val="none"/>
        </w:rPr>
        <w:t>议价结果公示</w:t>
      </w:r>
      <w:r>
        <w:rPr>
          <w:rFonts w:hint="eastAsia" w:ascii="宋体" w:hAnsi="宋体" w:eastAsia="宋体" w:cs="宋体"/>
          <w:color w:val="auto"/>
          <w:sz w:val="24"/>
          <w:highlight w:val="none"/>
          <w:lang w:val="en-US" w:eastAsia="zh-CN"/>
        </w:rPr>
        <w:t>/成交公告</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响</w:t>
      </w:r>
      <w:r>
        <w:rPr>
          <w:rFonts w:hint="eastAsia" w:ascii="宋体" w:hAnsi="宋体" w:eastAsia="宋体" w:cs="宋体"/>
          <w:color w:val="000000" w:themeColor="text1"/>
          <w:sz w:val="24"/>
          <w:highlight w:val="none"/>
          <w14:textFill>
            <w14:solidFill>
              <w14:schemeClr w14:val="tx1"/>
            </w14:solidFill>
          </w14:textFill>
        </w:rPr>
        <w:t>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93139A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285015B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4B8CEB5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729FA45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2026</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46178DD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4195693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p>
    <w:p w14:paraId="76B9AE15">
      <w:pPr>
        <w:spacing w:line="480" w:lineRule="exact"/>
        <w:rPr>
          <w:rFonts w:hint="eastAsia" w:ascii="黑体" w:hAnsi="黑体" w:eastAsia="黑体" w:cs="黑体"/>
          <w:sz w:val="32"/>
          <w:szCs w:val="32"/>
        </w:rPr>
      </w:pPr>
    </w:p>
    <w:p w14:paraId="07B141D5">
      <w:pPr>
        <w:spacing w:line="480" w:lineRule="exact"/>
        <w:rPr>
          <w:rFonts w:hint="eastAsia" w:ascii="黑体" w:hAnsi="黑体" w:eastAsia="黑体" w:cs="黑体"/>
          <w:sz w:val="32"/>
          <w:szCs w:val="32"/>
        </w:rPr>
      </w:pPr>
    </w:p>
    <w:p w14:paraId="26D1E816">
      <w:pPr>
        <w:spacing w:line="480" w:lineRule="exact"/>
        <w:rPr>
          <w:rFonts w:hint="eastAsia" w:ascii="黑体" w:hAnsi="黑体" w:eastAsia="黑体" w:cs="黑体"/>
          <w:sz w:val="32"/>
          <w:szCs w:val="32"/>
        </w:rPr>
      </w:pPr>
    </w:p>
    <w:p w14:paraId="44226F89">
      <w:pPr>
        <w:spacing w:line="480" w:lineRule="exact"/>
        <w:rPr>
          <w:rFonts w:hint="eastAsia" w:ascii="黑体" w:hAnsi="黑体" w:eastAsia="黑体" w:cs="黑体"/>
          <w:sz w:val="32"/>
          <w:szCs w:val="32"/>
        </w:rPr>
      </w:pPr>
    </w:p>
    <w:p w14:paraId="20B7AE6B">
      <w:pPr>
        <w:spacing w:line="480" w:lineRule="exact"/>
        <w:rPr>
          <w:rFonts w:hint="eastAsia" w:ascii="黑体" w:hAnsi="黑体" w:eastAsia="黑体" w:cs="黑体"/>
          <w:sz w:val="32"/>
          <w:szCs w:val="32"/>
        </w:rPr>
      </w:pPr>
    </w:p>
    <w:p w14:paraId="764B8DD9">
      <w:pPr>
        <w:spacing w:line="480" w:lineRule="exact"/>
        <w:rPr>
          <w:rFonts w:hint="eastAsia" w:ascii="黑体" w:hAnsi="黑体" w:eastAsia="黑体" w:cs="黑体"/>
          <w:sz w:val="32"/>
          <w:szCs w:val="32"/>
        </w:rPr>
      </w:pPr>
    </w:p>
    <w:p w14:paraId="6B06F021">
      <w:pPr>
        <w:spacing w:line="480" w:lineRule="exact"/>
        <w:rPr>
          <w:rFonts w:hint="eastAsia" w:ascii="黑体" w:hAnsi="黑体" w:eastAsia="黑体" w:cs="黑体"/>
          <w:sz w:val="32"/>
          <w:szCs w:val="32"/>
        </w:rPr>
      </w:pPr>
      <w:r>
        <w:rPr>
          <w:rFonts w:ascii="宋体" w:hAnsi="宋体" w:eastAsia="宋体" w:cs="宋体"/>
          <w:sz w:val="24"/>
        </w:rPr>
        <w:drawing>
          <wp:anchor distT="0" distB="0" distL="114300" distR="114300" simplePos="0" relativeHeight="251659264" behindDoc="0" locked="0" layoutInCell="1" allowOverlap="1">
            <wp:simplePos x="0" y="0"/>
            <wp:positionH relativeFrom="column">
              <wp:posOffset>38100</wp:posOffset>
            </wp:positionH>
            <wp:positionV relativeFrom="paragraph">
              <wp:posOffset>377190</wp:posOffset>
            </wp:positionV>
            <wp:extent cx="5615305" cy="7988935"/>
            <wp:effectExtent l="0" t="0" r="4445" b="12065"/>
            <wp:wrapSquare wrapText="bothSides"/>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15305" cy="7988935"/>
                    </a:xfrm>
                    <a:prstGeom prst="rect">
                      <a:avLst/>
                    </a:prstGeom>
                  </pic:spPr>
                </pic:pic>
              </a:graphicData>
            </a:graphic>
          </wp:anchor>
        </w:drawing>
      </w:r>
      <w:r>
        <w:rPr>
          <w:rFonts w:hint="eastAsia" w:ascii="黑体" w:hAnsi="黑体" w:eastAsia="黑体" w:cs="黑体"/>
          <w:sz w:val="32"/>
          <w:szCs w:val="32"/>
        </w:rPr>
        <w:t>附件：</w:t>
      </w:r>
    </w:p>
    <w:p w14:paraId="227001E0">
      <w:pPr>
        <w:spacing w:line="480" w:lineRule="exact"/>
        <w:rPr>
          <w:rFonts w:hint="eastAsia" w:ascii="宋体" w:hAnsi="宋体" w:eastAsia="宋体" w:cs="宋体"/>
          <w:sz w:val="24"/>
        </w:rPr>
      </w:pPr>
    </w:p>
    <w:p w14:paraId="55002253">
      <w:pPr>
        <w:spacing w:line="480" w:lineRule="exact"/>
        <w:rPr>
          <w:rFonts w:hint="eastAsia" w:ascii="宋体" w:hAnsi="宋体" w:eastAsia="宋体" w:cs="宋体"/>
          <w:sz w:val="24"/>
        </w:rPr>
      </w:pPr>
    </w:p>
    <w:p w14:paraId="2848D38D">
      <w:pPr>
        <w:spacing w:line="480" w:lineRule="exact"/>
        <w:rPr>
          <w:rFonts w:hint="eastAsia" w:ascii="宋体" w:hAnsi="宋体" w:eastAsia="宋体" w:cs="宋体"/>
          <w:sz w:val="24"/>
        </w:rPr>
      </w:pPr>
    </w:p>
    <w:p w14:paraId="1609F11D">
      <w:pPr>
        <w:spacing w:line="480" w:lineRule="exact"/>
        <w:rPr>
          <w:rFonts w:hint="eastAsia" w:ascii="宋体" w:hAnsi="宋体" w:eastAsia="宋体" w:cs="宋体"/>
          <w:sz w:val="24"/>
        </w:rPr>
      </w:pPr>
    </w:p>
    <w:p w14:paraId="5531761F">
      <w:pPr>
        <w:spacing w:line="480" w:lineRule="exact"/>
        <w:rPr>
          <w:rFonts w:hint="eastAsia" w:ascii="宋体" w:hAnsi="宋体" w:eastAsia="宋体" w:cs="宋体"/>
          <w:sz w:val="24"/>
        </w:rPr>
      </w:pPr>
    </w:p>
    <w:p w14:paraId="1D5C0BF1">
      <w:pPr>
        <w:spacing w:line="480" w:lineRule="exact"/>
        <w:rPr>
          <w:rFonts w:hint="eastAsia" w:ascii="宋体" w:hAnsi="宋体" w:eastAsia="宋体" w:cs="宋体"/>
          <w:sz w:val="24"/>
        </w:rPr>
      </w:pPr>
    </w:p>
    <w:p w14:paraId="33EAFCC5">
      <w:pPr>
        <w:spacing w:line="480" w:lineRule="exact"/>
        <w:rPr>
          <w:rFonts w:hint="eastAsia" w:ascii="宋体" w:hAnsi="宋体" w:eastAsia="宋体" w:cs="宋体"/>
          <w:sz w:val="24"/>
        </w:rPr>
      </w:pPr>
    </w:p>
    <w:p w14:paraId="0DAE4335">
      <w:pPr>
        <w:spacing w:line="480" w:lineRule="exact"/>
        <w:rPr>
          <w:rFonts w:hint="eastAsia" w:ascii="宋体" w:hAnsi="宋体" w:eastAsia="宋体" w:cs="宋体"/>
          <w:sz w:val="24"/>
        </w:rPr>
      </w:pPr>
    </w:p>
    <w:p w14:paraId="34A2261D">
      <w:pPr>
        <w:spacing w:line="480" w:lineRule="exact"/>
        <w:rPr>
          <w:rFonts w:hint="eastAsia" w:ascii="宋体" w:hAnsi="宋体" w:eastAsia="宋体" w:cs="宋体"/>
          <w:sz w:val="24"/>
        </w:rPr>
      </w:pPr>
    </w:p>
    <w:p w14:paraId="113A1CF0">
      <w:pPr>
        <w:spacing w:line="480" w:lineRule="exact"/>
        <w:rPr>
          <w:rFonts w:hint="eastAsia" w:ascii="宋体" w:hAnsi="宋体" w:eastAsia="宋体" w:cs="宋体"/>
          <w:sz w:val="24"/>
        </w:rPr>
      </w:pPr>
    </w:p>
    <w:p w14:paraId="59E42C74">
      <w:pPr>
        <w:spacing w:line="480" w:lineRule="exact"/>
        <w:rPr>
          <w:rFonts w:hint="eastAsia" w:ascii="宋体" w:hAnsi="宋体" w:eastAsia="宋体" w:cs="宋体"/>
          <w:sz w:val="24"/>
        </w:rPr>
      </w:pPr>
    </w:p>
    <w:p w14:paraId="1D205281">
      <w:pPr>
        <w:spacing w:line="480" w:lineRule="exact"/>
        <w:rPr>
          <w:rFonts w:hint="eastAsia" w:ascii="宋体" w:hAnsi="宋体" w:eastAsia="宋体" w:cs="宋体"/>
          <w:sz w:val="24"/>
        </w:rPr>
      </w:pPr>
    </w:p>
    <w:p w14:paraId="588942DA">
      <w:pPr>
        <w:spacing w:line="480" w:lineRule="exact"/>
        <w:rPr>
          <w:rFonts w:hint="eastAsia" w:ascii="宋体" w:hAnsi="宋体" w:eastAsia="宋体" w:cs="宋体"/>
          <w:sz w:val="24"/>
        </w:rPr>
      </w:pPr>
    </w:p>
    <w:p w14:paraId="14EEB46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2336" behindDoc="0" locked="0" layoutInCell="1" allowOverlap="1">
            <wp:simplePos x="0" y="0"/>
            <wp:positionH relativeFrom="column">
              <wp:posOffset>-116840</wp:posOffset>
            </wp:positionH>
            <wp:positionV relativeFrom="paragraph">
              <wp:posOffset>1338580</wp:posOffset>
            </wp:positionV>
            <wp:extent cx="5888990" cy="8423910"/>
            <wp:effectExtent l="0" t="0" r="16510" b="15240"/>
            <wp:wrapTopAndBottom/>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888990" cy="8423910"/>
                    </a:xfrm>
                    <a:prstGeom prst="rect">
                      <a:avLst/>
                    </a:prstGeom>
                  </pic:spPr>
                </pic:pic>
              </a:graphicData>
            </a:graphic>
          </wp:anchor>
        </w:drawing>
      </w:r>
    </w:p>
    <w:p w14:paraId="58EBEBF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585365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67EF959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70641E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3360" behindDoc="0" locked="0" layoutInCell="1" allowOverlap="1">
            <wp:simplePos x="0" y="0"/>
            <wp:positionH relativeFrom="column">
              <wp:posOffset>-38100</wp:posOffset>
            </wp:positionH>
            <wp:positionV relativeFrom="paragraph">
              <wp:posOffset>224790</wp:posOffset>
            </wp:positionV>
            <wp:extent cx="5995670" cy="8456930"/>
            <wp:effectExtent l="0" t="0" r="5080" b="1270"/>
            <wp:wrapSquare wrapText="bothSides"/>
            <wp:docPr id="9" name="图片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
                    <pic:cNvPicPr>
                      <a:picLocks noChangeAspect="1"/>
                    </pic:cNvPicPr>
                  </pic:nvPicPr>
                  <pic:blipFill>
                    <a:blip r:embed="rId9"/>
                    <a:stretch>
                      <a:fillRect/>
                    </a:stretch>
                  </pic:blipFill>
                  <pic:spPr>
                    <a:xfrm>
                      <a:off x="647700" y="1139190"/>
                      <a:ext cx="5995670" cy="8456930"/>
                    </a:xfrm>
                    <a:prstGeom prst="rect">
                      <a:avLst/>
                    </a:prstGeom>
                  </pic:spPr>
                </pic:pic>
              </a:graphicData>
            </a:graphic>
          </wp:anchor>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1312" behindDoc="0" locked="0" layoutInCell="1" allowOverlap="1">
            <wp:simplePos x="0" y="0"/>
            <wp:positionH relativeFrom="column">
              <wp:posOffset>236220</wp:posOffset>
            </wp:positionH>
            <wp:positionV relativeFrom="paragraph">
              <wp:posOffset>113030</wp:posOffset>
            </wp:positionV>
            <wp:extent cx="5976620" cy="8301355"/>
            <wp:effectExtent l="0" t="0" r="5080" b="4445"/>
            <wp:wrapSquare wrapText="bothSides"/>
            <wp:docPr id="10" name="图片 1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
                    <pic:cNvPicPr>
                      <a:picLocks noChangeAspect="1"/>
                    </pic:cNvPicPr>
                  </pic:nvPicPr>
                  <pic:blipFill>
                    <a:blip r:embed="rId10"/>
                    <a:stretch>
                      <a:fillRect/>
                    </a:stretch>
                  </pic:blipFill>
                  <pic:spPr>
                    <a:xfrm>
                      <a:off x="0" y="0"/>
                      <a:ext cx="5976620" cy="8301355"/>
                    </a:xfrm>
                    <a:prstGeom prst="rect">
                      <a:avLst/>
                    </a:prstGeom>
                  </pic:spPr>
                </pic:pic>
              </a:graphicData>
            </a:graphic>
          </wp:anchor>
        </w:drawing>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auto"/>
          <w:sz w:val="44"/>
          <w:szCs w:val="44"/>
          <w:lang w:val="en-US" w:eastAsia="zh-CN"/>
        </w:rPr>
      </w:pPr>
      <w:bookmarkStart w:id="6" w:name="_Toc16523574"/>
      <w:r>
        <w:rPr>
          <w:rFonts w:hint="eastAsia" w:ascii="方正小标宋简体" w:hAnsi="方正小标宋简体" w:eastAsia="方正小标宋简体" w:cs="方正小标宋简体"/>
          <w:color w:val="auto"/>
          <w:sz w:val="44"/>
          <w:szCs w:val="44"/>
          <w:lang w:val="en-US" w:eastAsia="zh-CN"/>
        </w:rPr>
        <w:t>第三章</w:t>
      </w:r>
      <w:bookmarkStart w:id="7" w:name="_Toc16523573"/>
      <w:r>
        <w:rPr>
          <w:rFonts w:hint="eastAsia" w:ascii="方正小标宋简体" w:hAnsi="方正小标宋简体" w:eastAsia="方正小标宋简体" w:cs="方正小标宋简体"/>
          <w:color w:val="auto"/>
          <w:sz w:val="44"/>
          <w:szCs w:val="44"/>
          <w:lang w:val="en-US" w:eastAsia="zh-CN"/>
        </w:rPr>
        <w:t>评标方法及标准</w:t>
      </w:r>
      <w:bookmarkEnd w:id="7"/>
    </w:p>
    <w:p w14:paraId="6505C827">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3"/>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4FD447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7EE8710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173B3D4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5A04CB7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22A72C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BF3074D">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72F9EC0B">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7E3AA480">
            <w:pPr>
              <w:jc w:val="center"/>
              <w:rPr>
                <w:rFonts w:hint="eastAsia" w:ascii="仿宋" w:hAnsi="仿宋" w:eastAsia="仿宋" w:cs="仿宋"/>
                <w:sz w:val="24"/>
                <w:szCs w:val="24"/>
              </w:rPr>
            </w:pPr>
            <w:r>
              <w:rPr>
                <w:rFonts w:hint="eastAsia" w:ascii="仿宋" w:hAnsi="仿宋" w:eastAsia="仿宋" w:cs="仿宋"/>
                <w:sz w:val="24"/>
                <w:szCs w:val="24"/>
              </w:rPr>
              <w:t>50%</w:t>
            </w:r>
          </w:p>
        </w:tc>
      </w:tr>
      <w:tr w14:paraId="0323DC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1B7889E7">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51BC837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0D15E51">
            <w:pPr>
              <w:jc w:val="center"/>
              <w:rPr>
                <w:rFonts w:hint="eastAsia" w:ascii="仿宋" w:hAnsi="仿宋" w:eastAsia="仿宋" w:cs="仿宋"/>
                <w:sz w:val="24"/>
                <w:szCs w:val="24"/>
              </w:rPr>
            </w:pPr>
            <w:r>
              <w:rPr>
                <w:rFonts w:hint="eastAsia" w:ascii="仿宋" w:hAnsi="仿宋" w:eastAsia="仿宋" w:cs="仿宋"/>
                <w:sz w:val="24"/>
                <w:szCs w:val="24"/>
              </w:rPr>
              <w:t>40%</w:t>
            </w:r>
          </w:p>
        </w:tc>
      </w:tr>
      <w:tr w14:paraId="3B382F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8C16F54">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118F2ACE">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EE02E85">
            <w:pPr>
              <w:jc w:val="center"/>
              <w:rPr>
                <w:rFonts w:hint="eastAsia" w:ascii="仿宋" w:hAnsi="仿宋" w:eastAsia="仿宋" w:cs="仿宋"/>
                <w:sz w:val="24"/>
                <w:szCs w:val="24"/>
              </w:rPr>
            </w:pPr>
            <w:r>
              <w:rPr>
                <w:rFonts w:hint="eastAsia" w:ascii="仿宋" w:hAnsi="仿宋" w:eastAsia="仿宋" w:cs="仿宋"/>
                <w:sz w:val="24"/>
                <w:szCs w:val="24"/>
              </w:rPr>
              <w:t>10%</w:t>
            </w:r>
          </w:p>
        </w:tc>
      </w:tr>
      <w:tr w14:paraId="170FAB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5D2BDF2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665494A7">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44721463">
      <w:pPr>
        <w:jc w:val="center"/>
        <w:rPr>
          <w:rFonts w:hint="eastAsia" w:ascii="仿宋" w:hAnsi="仿宋" w:eastAsia="仿宋" w:cs="仿宋"/>
          <w:sz w:val="24"/>
          <w:szCs w:val="24"/>
        </w:rPr>
      </w:pPr>
    </w:p>
    <w:p w14:paraId="14DB9668">
      <w:pPr>
        <w:jc w:val="center"/>
        <w:rPr>
          <w:rFonts w:hint="eastAsia" w:ascii="仿宋" w:hAnsi="仿宋" w:eastAsia="仿宋" w:cs="仿宋"/>
          <w:sz w:val="24"/>
          <w:szCs w:val="24"/>
        </w:rPr>
      </w:pPr>
    </w:p>
    <w:p w14:paraId="33DADF36">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3"/>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1463"/>
        <w:gridCol w:w="6945"/>
      </w:tblGrid>
      <w:tr w14:paraId="423DB7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1B0455E2">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463" w:type="dxa"/>
            <w:tcBorders>
              <w:top w:val="double" w:color="auto" w:sz="4" w:space="0"/>
              <w:left w:val="single" w:color="auto" w:sz="4" w:space="0"/>
              <w:bottom w:val="single" w:color="auto" w:sz="6" w:space="0"/>
              <w:right w:val="single" w:color="auto" w:sz="4" w:space="0"/>
            </w:tcBorders>
            <w:noWrap w:val="0"/>
            <w:vAlign w:val="center"/>
          </w:tcPr>
          <w:p w14:paraId="63431F5F">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945" w:type="dxa"/>
            <w:tcBorders>
              <w:top w:val="double" w:color="auto" w:sz="4" w:space="0"/>
              <w:left w:val="single" w:color="auto" w:sz="4" w:space="0"/>
              <w:bottom w:val="single" w:color="auto" w:sz="6" w:space="0"/>
              <w:right w:val="double" w:color="auto" w:sz="4" w:space="0"/>
            </w:tcBorders>
            <w:noWrap w:val="0"/>
            <w:vAlign w:val="center"/>
          </w:tcPr>
          <w:p w14:paraId="108F38D1">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AB5E7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741B3036">
            <w:pPr>
              <w:jc w:val="center"/>
              <w:rPr>
                <w:rFonts w:hint="eastAsia" w:ascii="仿宋" w:hAnsi="仿宋" w:eastAsia="仿宋" w:cs="仿宋"/>
                <w:sz w:val="24"/>
                <w:szCs w:val="24"/>
              </w:rPr>
            </w:pPr>
            <w:r>
              <w:rPr>
                <w:rFonts w:hint="eastAsia" w:ascii="仿宋" w:hAnsi="仿宋" w:eastAsia="仿宋" w:cs="仿宋"/>
                <w:sz w:val="24"/>
                <w:szCs w:val="24"/>
              </w:rPr>
              <w:t>1</w:t>
            </w:r>
          </w:p>
        </w:tc>
        <w:tc>
          <w:tcPr>
            <w:tcW w:w="1463" w:type="dxa"/>
            <w:tcBorders>
              <w:top w:val="single" w:color="auto" w:sz="6" w:space="0"/>
              <w:left w:val="single" w:color="auto" w:sz="4" w:space="0"/>
              <w:bottom w:val="single" w:color="auto" w:sz="6" w:space="0"/>
              <w:right w:val="single" w:color="auto" w:sz="4" w:space="0"/>
            </w:tcBorders>
            <w:noWrap w:val="0"/>
            <w:vAlign w:val="center"/>
          </w:tcPr>
          <w:p w14:paraId="30BC638F">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16E7717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945" w:type="dxa"/>
            <w:tcBorders>
              <w:top w:val="single" w:color="auto" w:sz="6" w:space="0"/>
              <w:left w:val="single" w:color="auto" w:sz="4" w:space="0"/>
              <w:bottom w:val="single" w:color="auto" w:sz="6" w:space="0"/>
              <w:right w:val="double" w:color="auto" w:sz="4" w:space="0"/>
            </w:tcBorders>
            <w:noWrap w:val="0"/>
            <w:vAlign w:val="center"/>
          </w:tcPr>
          <w:p w14:paraId="277AAA12">
            <w:pPr>
              <w:jc w:val="left"/>
              <w:rPr>
                <w:rFonts w:hint="eastAsia" w:ascii="仿宋" w:hAnsi="仿宋" w:eastAsia="仿宋" w:cs="仿宋"/>
                <w:sz w:val="24"/>
                <w:szCs w:val="24"/>
              </w:rPr>
            </w:pPr>
            <w:r>
              <w:rPr>
                <w:rFonts w:hint="eastAsia" w:ascii="仿宋" w:hAnsi="仿宋" w:eastAsia="仿宋" w:cs="仿宋"/>
                <w:sz w:val="24"/>
                <w:szCs w:val="24"/>
              </w:rPr>
              <w:t>1、满足招标文件要求且投标报价中最低的投标报价为评标基准价其价格分为满分；其他投标人的价格分统一按照以下公式计算：</w:t>
            </w:r>
          </w:p>
          <w:p w14:paraId="382993C6">
            <w:pPr>
              <w:jc w:val="left"/>
              <w:rPr>
                <w:rFonts w:hint="eastAsia" w:ascii="仿宋" w:hAnsi="仿宋" w:eastAsia="仿宋" w:cs="仿宋"/>
                <w:sz w:val="24"/>
                <w:szCs w:val="24"/>
              </w:rPr>
            </w:pPr>
            <w:r>
              <w:rPr>
                <w:rFonts w:hint="eastAsia" w:ascii="仿宋" w:hAnsi="仿宋" w:eastAsia="仿宋" w:cs="仿宋"/>
                <w:sz w:val="24"/>
                <w:szCs w:val="24"/>
              </w:rPr>
              <w:t>投标报价得分=（评标基准价/投标报价）×价格权值×100</w:t>
            </w:r>
          </w:p>
          <w:p w14:paraId="6E82FE21">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B0BA615">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29D6D6CC">
      <w:pPr>
        <w:jc w:val="center"/>
        <w:rPr>
          <w:rFonts w:hint="eastAsia" w:ascii="仿宋" w:hAnsi="仿宋" w:eastAsia="仿宋" w:cs="仿宋"/>
          <w:sz w:val="24"/>
          <w:szCs w:val="24"/>
        </w:rPr>
      </w:pPr>
    </w:p>
    <w:p w14:paraId="7EAB5543">
      <w:pPr>
        <w:jc w:val="center"/>
        <w:rPr>
          <w:rFonts w:hint="eastAsia" w:ascii="仿宋" w:hAnsi="仿宋" w:eastAsia="仿宋" w:cs="仿宋"/>
          <w:sz w:val="24"/>
          <w:szCs w:val="24"/>
        </w:rPr>
      </w:pPr>
    </w:p>
    <w:p w14:paraId="5DE4AB9C">
      <w:pPr>
        <w:jc w:val="center"/>
        <w:rPr>
          <w:rFonts w:hint="eastAsia" w:ascii="仿宋" w:hAnsi="仿宋" w:eastAsia="仿宋" w:cs="仿宋"/>
          <w:sz w:val="24"/>
          <w:szCs w:val="24"/>
        </w:rPr>
      </w:pPr>
    </w:p>
    <w:p w14:paraId="03133162">
      <w:pPr>
        <w:jc w:val="center"/>
        <w:rPr>
          <w:rFonts w:hint="eastAsia" w:ascii="仿宋" w:hAnsi="仿宋" w:eastAsia="仿宋" w:cs="仿宋"/>
          <w:sz w:val="24"/>
          <w:szCs w:val="24"/>
        </w:rPr>
      </w:pPr>
    </w:p>
    <w:p w14:paraId="1554B452">
      <w:pPr>
        <w:jc w:val="center"/>
        <w:rPr>
          <w:rFonts w:hint="eastAsia" w:ascii="仿宋" w:hAnsi="仿宋" w:eastAsia="仿宋" w:cs="仿宋"/>
          <w:sz w:val="24"/>
          <w:szCs w:val="24"/>
        </w:rPr>
      </w:pPr>
      <w:r>
        <w:rPr>
          <w:rFonts w:hint="eastAsia" w:ascii="仿宋" w:hAnsi="仿宋" w:eastAsia="仿宋" w:cs="仿宋"/>
          <w:sz w:val="24"/>
          <w:szCs w:val="24"/>
        </w:rPr>
        <w:br w:type="page"/>
      </w:r>
    </w:p>
    <w:p w14:paraId="5F766B0E">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3"/>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1643"/>
        <w:gridCol w:w="763"/>
        <w:gridCol w:w="641"/>
        <w:gridCol w:w="5390"/>
      </w:tblGrid>
      <w:tr w14:paraId="68C4F3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02784703">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643" w:type="dxa"/>
            <w:tcBorders>
              <w:top w:val="double" w:color="auto" w:sz="4" w:space="0"/>
              <w:left w:val="single" w:color="auto" w:sz="4" w:space="0"/>
              <w:bottom w:val="single" w:color="auto" w:sz="6" w:space="0"/>
              <w:right w:val="single" w:color="auto" w:sz="4" w:space="0"/>
            </w:tcBorders>
            <w:noWrap w:val="0"/>
            <w:vAlign w:val="center"/>
          </w:tcPr>
          <w:p w14:paraId="2FEA214F">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794" w:type="dxa"/>
            <w:gridSpan w:val="3"/>
            <w:tcBorders>
              <w:top w:val="double" w:color="auto" w:sz="4" w:space="0"/>
              <w:left w:val="single" w:color="auto" w:sz="4" w:space="0"/>
              <w:bottom w:val="single" w:color="auto" w:sz="6" w:space="0"/>
              <w:right w:val="double" w:color="auto" w:sz="4" w:space="0"/>
            </w:tcBorders>
            <w:noWrap w:val="0"/>
            <w:vAlign w:val="center"/>
          </w:tcPr>
          <w:p w14:paraId="25D71E13">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96E01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67B4B751">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643" w:type="dxa"/>
            <w:tcBorders>
              <w:top w:val="single" w:color="auto" w:sz="6" w:space="0"/>
              <w:left w:val="single" w:color="auto" w:sz="4" w:space="0"/>
              <w:bottom w:val="single" w:color="auto" w:sz="6" w:space="0"/>
              <w:right w:val="single" w:color="auto" w:sz="6" w:space="0"/>
            </w:tcBorders>
            <w:noWrap w:val="0"/>
            <w:vAlign w:val="center"/>
          </w:tcPr>
          <w:p w14:paraId="12DB6FE3">
            <w:pPr>
              <w:jc w:val="center"/>
              <w:rPr>
                <w:rFonts w:hint="eastAsia" w:ascii="仿宋" w:hAnsi="仿宋" w:eastAsia="仿宋" w:cs="仿宋"/>
                <w:color w:val="auto"/>
                <w:sz w:val="24"/>
                <w:szCs w:val="24"/>
              </w:rPr>
            </w:pPr>
            <w:r>
              <w:rPr>
                <w:rFonts w:hint="eastAsia" w:ascii="仿宋" w:hAnsi="仿宋" w:eastAsia="仿宋" w:cs="仿宋"/>
                <w:color w:val="auto"/>
                <w:sz w:val="24"/>
                <w:szCs w:val="24"/>
              </w:rPr>
              <w:t>技术评价项</w:t>
            </w:r>
          </w:p>
          <w:p w14:paraId="305BF3AF">
            <w:pPr>
              <w:jc w:val="center"/>
              <w:rPr>
                <w:rFonts w:hint="eastAsia" w:ascii="仿宋" w:hAnsi="仿宋" w:eastAsia="仿宋" w:cs="仿宋"/>
                <w:color w:val="auto"/>
                <w:sz w:val="24"/>
                <w:szCs w:val="24"/>
              </w:rPr>
            </w:pPr>
            <w:r>
              <w:rPr>
                <w:rFonts w:hint="eastAsia" w:ascii="仿宋" w:hAnsi="仿宋" w:eastAsia="仿宋" w:cs="仿宋"/>
                <w:color w:val="auto"/>
                <w:sz w:val="24"/>
                <w:szCs w:val="24"/>
              </w:rPr>
              <w:t>（F=100分）</w:t>
            </w:r>
          </w:p>
        </w:tc>
        <w:tc>
          <w:tcPr>
            <w:tcW w:w="763" w:type="dxa"/>
            <w:tcBorders>
              <w:top w:val="single" w:color="auto" w:sz="6" w:space="0"/>
              <w:left w:val="single" w:color="auto" w:sz="6" w:space="0"/>
              <w:bottom w:val="single" w:color="auto" w:sz="6" w:space="0"/>
              <w:right w:val="single" w:color="auto" w:sz="4" w:space="0"/>
            </w:tcBorders>
            <w:noWrap w:val="0"/>
            <w:vAlign w:val="center"/>
          </w:tcPr>
          <w:p w14:paraId="20DC8CC7">
            <w:pPr>
              <w:jc w:val="center"/>
              <w:rPr>
                <w:rFonts w:hint="eastAsia" w:ascii="仿宋" w:hAnsi="仿宋" w:eastAsia="仿宋" w:cs="仿宋"/>
                <w:color w:val="auto"/>
                <w:sz w:val="24"/>
                <w:szCs w:val="24"/>
              </w:rPr>
            </w:pPr>
            <w:r>
              <w:rPr>
                <w:rFonts w:hint="eastAsia" w:ascii="仿宋" w:hAnsi="仿宋" w:eastAsia="仿宋" w:cs="仿宋"/>
                <w:color w:val="auto"/>
                <w:sz w:val="24"/>
                <w:szCs w:val="24"/>
              </w:rPr>
              <w:t>技术参数</w:t>
            </w:r>
          </w:p>
        </w:tc>
        <w:tc>
          <w:tcPr>
            <w:tcW w:w="641" w:type="dxa"/>
            <w:tcBorders>
              <w:top w:val="single" w:color="auto" w:sz="6" w:space="0"/>
              <w:left w:val="single" w:color="auto" w:sz="4" w:space="0"/>
              <w:bottom w:val="single" w:color="auto" w:sz="6" w:space="0"/>
              <w:right w:val="single" w:color="auto" w:sz="6" w:space="0"/>
            </w:tcBorders>
            <w:noWrap w:val="0"/>
            <w:vAlign w:val="center"/>
          </w:tcPr>
          <w:p w14:paraId="769012A3">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100</w:t>
            </w:r>
          </w:p>
        </w:tc>
        <w:tc>
          <w:tcPr>
            <w:tcW w:w="5390" w:type="dxa"/>
            <w:tcBorders>
              <w:top w:val="single" w:color="auto" w:sz="6" w:space="0"/>
              <w:left w:val="single" w:color="auto" w:sz="6" w:space="0"/>
              <w:bottom w:val="single" w:color="auto" w:sz="6" w:space="0"/>
              <w:right w:val="double" w:color="auto" w:sz="4" w:space="0"/>
            </w:tcBorders>
            <w:noWrap w:val="0"/>
            <w:vAlign w:val="center"/>
          </w:tcPr>
          <w:p w14:paraId="3A9DD5A5">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6D3F4D7A">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76C8FD84">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41B3645E">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33178DC7">
            <w:pPr>
              <w:jc w:val="left"/>
              <w:rPr>
                <w:rFonts w:hint="eastAsia" w:ascii="仿宋" w:hAnsi="仿宋" w:eastAsia="仿宋" w:cs="仿宋"/>
                <w:color w:val="auto"/>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为实质性条款，任何一条负偏离视为无效投标</w:t>
            </w:r>
            <w:r>
              <w:rPr>
                <w:rFonts w:hint="eastAsia" w:ascii="仿宋" w:hAnsi="仿宋" w:eastAsia="仿宋" w:cs="仿宋"/>
                <w:sz w:val="24"/>
                <w:szCs w:val="24"/>
              </w:rPr>
              <w:t>）</w:t>
            </w:r>
          </w:p>
        </w:tc>
      </w:tr>
    </w:tbl>
    <w:p w14:paraId="523BA3D2">
      <w:pPr>
        <w:jc w:val="center"/>
        <w:rPr>
          <w:rFonts w:hint="eastAsia" w:ascii="仿宋" w:hAnsi="仿宋" w:eastAsia="仿宋" w:cs="仿宋"/>
          <w:color w:val="auto"/>
          <w:sz w:val="24"/>
          <w:szCs w:val="24"/>
        </w:rPr>
      </w:pPr>
    </w:p>
    <w:p w14:paraId="44449688">
      <w:pPr>
        <w:jc w:val="center"/>
        <w:rPr>
          <w:rFonts w:hint="eastAsia" w:ascii="仿宋" w:hAnsi="仿宋" w:eastAsia="仿宋" w:cs="仿宋"/>
          <w:color w:val="auto"/>
          <w:sz w:val="24"/>
          <w:szCs w:val="24"/>
        </w:rPr>
      </w:pPr>
      <w:r>
        <w:rPr>
          <w:rFonts w:hint="eastAsia" w:ascii="仿宋" w:hAnsi="仿宋" w:eastAsia="仿宋" w:cs="仿宋"/>
          <w:color w:val="auto"/>
          <w:sz w:val="24"/>
          <w:szCs w:val="24"/>
        </w:rPr>
        <w:br w:type="page"/>
      </w:r>
      <w:r>
        <w:rPr>
          <w:rFonts w:hint="eastAsia" w:ascii="仿宋" w:hAnsi="仿宋" w:eastAsia="仿宋" w:cs="仿宋"/>
          <w:color w:val="auto"/>
          <w:sz w:val="24"/>
          <w:szCs w:val="24"/>
        </w:rPr>
        <w:t>附表1.3商务部分评审标准表</w:t>
      </w:r>
    </w:p>
    <w:tbl>
      <w:tblPr>
        <w:tblStyle w:val="13"/>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473"/>
        <w:gridCol w:w="1486"/>
        <w:gridCol w:w="682"/>
        <w:gridCol w:w="4841"/>
      </w:tblGrid>
      <w:tr w14:paraId="2AFA90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4FAA5EC1">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473" w:type="dxa"/>
            <w:tcBorders>
              <w:tl2br w:val="nil"/>
              <w:tr2bl w:val="nil"/>
            </w:tcBorders>
            <w:noWrap w:val="0"/>
            <w:vAlign w:val="center"/>
          </w:tcPr>
          <w:p w14:paraId="0113CA81">
            <w:pPr>
              <w:jc w:val="center"/>
              <w:rPr>
                <w:rFonts w:hint="eastAsia" w:ascii="仿宋" w:hAnsi="仿宋" w:eastAsia="仿宋" w:cs="仿宋"/>
                <w:color w:val="auto"/>
                <w:sz w:val="24"/>
                <w:szCs w:val="24"/>
              </w:rPr>
            </w:pPr>
            <w:r>
              <w:rPr>
                <w:rFonts w:hint="eastAsia" w:ascii="仿宋" w:hAnsi="仿宋" w:eastAsia="仿宋" w:cs="仿宋"/>
                <w:color w:val="auto"/>
                <w:sz w:val="24"/>
                <w:szCs w:val="24"/>
              </w:rPr>
              <w:t>评标因素（分值）</w:t>
            </w:r>
          </w:p>
        </w:tc>
        <w:tc>
          <w:tcPr>
            <w:tcW w:w="7009" w:type="dxa"/>
            <w:gridSpan w:val="3"/>
            <w:tcBorders>
              <w:tl2br w:val="nil"/>
              <w:tr2bl w:val="nil"/>
            </w:tcBorders>
            <w:noWrap w:val="0"/>
            <w:vAlign w:val="center"/>
          </w:tcPr>
          <w:p w14:paraId="7286AA18">
            <w:pPr>
              <w:jc w:val="center"/>
              <w:rPr>
                <w:rFonts w:hint="eastAsia" w:ascii="仿宋" w:hAnsi="仿宋" w:eastAsia="仿宋" w:cs="仿宋"/>
                <w:color w:val="auto"/>
                <w:sz w:val="24"/>
                <w:szCs w:val="24"/>
              </w:rPr>
            </w:pPr>
            <w:r>
              <w:rPr>
                <w:rFonts w:hint="eastAsia" w:ascii="仿宋" w:hAnsi="仿宋" w:eastAsia="仿宋" w:cs="仿宋"/>
                <w:color w:val="auto"/>
                <w:sz w:val="24"/>
                <w:szCs w:val="24"/>
              </w:rPr>
              <w:t>评标标准</w:t>
            </w:r>
          </w:p>
        </w:tc>
      </w:tr>
      <w:tr w14:paraId="38E5C2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1F869E5F">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473" w:type="dxa"/>
            <w:vMerge w:val="restart"/>
            <w:tcBorders>
              <w:tl2br w:val="nil"/>
              <w:tr2bl w:val="nil"/>
            </w:tcBorders>
            <w:noWrap w:val="0"/>
            <w:vAlign w:val="center"/>
          </w:tcPr>
          <w:p w14:paraId="05A61FC6">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商务评价项</w:t>
            </w:r>
          </w:p>
          <w:p w14:paraId="36C83338">
            <w:pPr>
              <w:jc w:val="center"/>
              <w:rPr>
                <w:rFonts w:hint="eastAsia" w:ascii="仿宋" w:hAnsi="仿宋" w:eastAsia="仿宋" w:cs="仿宋"/>
                <w:color w:val="auto"/>
                <w:sz w:val="24"/>
                <w:szCs w:val="24"/>
              </w:rPr>
            </w:pPr>
            <w:r>
              <w:rPr>
                <w:rFonts w:hint="eastAsia" w:ascii="仿宋" w:hAnsi="仿宋" w:eastAsia="仿宋" w:cs="仿宋"/>
                <w:color w:val="auto"/>
                <w:sz w:val="24"/>
                <w:szCs w:val="24"/>
              </w:rPr>
              <w:t>（F=100分）</w:t>
            </w:r>
          </w:p>
        </w:tc>
        <w:tc>
          <w:tcPr>
            <w:tcW w:w="1486" w:type="dxa"/>
            <w:tcBorders>
              <w:tl2br w:val="nil"/>
              <w:tr2bl w:val="nil"/>
            </w:tcBorders>
            <w:noWrap w:val="0"/>
            <w:vAlign w:val="center"/>
          </w:tcPr>
          <w:p w14:paraId="43F9E75B">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售后服务</w:t>
            </w:r>
          </w:p>
        </w:tc>
        <w:tc>
          <w:tcPr>
            <w:tcW w:w="682" w:type="dxa"/>
            <w:tcBorders>
              <w:tl2br w:val="nil"/>
              <w:tr2bl w:val="nil"/>
            </w:tcBorders>
            <w:noWrap w:val="0"/>
            <w:vAlign w:val="center"/>
          </w:tcPr>
          <w:p w14:paraId="46050400">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55</w:t>
            </w:r>
          </w:p>
        </w:tc>
        <w:tc>
          <w:tcPr>
            <w:tcW w:w="4841" w:type="dxa"/>
            <w:tcBorders>
              <w:tl2br w:val="nil"/>
              <w:tr2bl w:val="nil"/>
            </w:tcBorders>
            <w:noWrap w:val="0"/>
            <w:vAlign w:val="center"/>
          </w:tcPr>
          <w:p w14:paraId="4C14F0A6">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5A737568">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51E3BA4F">
            <w:pPr>
              <w:jc w:val="left"/>
              <w:rPr>
                <w:rFonts w:hint="eastAsia" w:ascii="仿宋" w:hAnsi="仿宋" w:eastAsia="仿宋" w:cs="仿宋"/>
                <w:color w:val="auto"/>
                <w:sz w:val="24"/>
                <w:szCs w:val="24"/>
              </w:rPr>
            </w:pPr>
            <w:r>
              <w:rPr>
                <w:rFonts w:hint="eastAsia" w:ascii="仿宋" w:hAnsi="仿宋" w:eastAsia="仿宋" w:cs="仿宋"/>
                <w:color w:val="auto"/>
                <w:sz w:val="24"/>
                <w:szCs w:val="24"/>
              </w:rPr>
              <w:t>2、质保期在招标要求基础上再增加1年的加10分，增加2年以上的加20分，最高可加20分。</w:t>
            </w:r>
          </w:p>
        </w:tc>
      </w:tr>
      <w:tr w14:paraId="26EED3B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38305688">
            <w:pPr>
              <w:jc w:val="center"/>
              <w:rPr>
                <w:rFonts w:hint="eastAsia" w:ascii="仿宋" w:hAnsi="仿宋" w:eastAsia="仿宋" w:cs="仿宋"/>
                <w:color w:val="auto"/>
                <w:sz w:val="24"/>
                <w:szCs w:val="24"/>
              </w:rPr>
            </w:pPr>
          </w:p>
        </w:tc>
        <w:tc>
          <w:tcPr>
            <w:tcW w:w="1473" w:type="dxa"/>
            <w:vMerge w:val="continue"/>
            <w:tcBorders>
              <w:tl2br w:val="nil"/>
              <w:tr2bl w:val="nil"/>
            </w:tcBorders>
            <w:noWrap w:val="0"/>
            <w:vAlign w:val="center"/>
          </w:tcPr>
          <w:p w14:paraId="2C8BFC02">
            <w:pPr>
              <w:jc w:val="center"/>
              <w:rPr>
                <w:rFonts w:hint="eastAsia" w:ascii="仿宋" w:hAnsi="仿宋" w:eastAsia="仿宋" w:cs="仿宋"/>
                <w:color w:val="auto"/>
                <w:sz w:val="24"/>
                <w:szCs w:val="24"/>
              </w:rPr>
            </w:pPr>
          </w:p>
        </w:tc>
        <w:tc>
          <w:tcPr>
            <w:tcW w:w="1486" w:type="dxa"/>
            <w:tcBorders>
              <w:tl2br w:val="nil"/>
              <w:tr2bl w:val="nil"/>
            </w:tcBorders>
            <w:noWrap w:val="0"/>
            <w:vAlign w:val="center"/>
          </w:tcPr>
          <w:p w14:paraId="1EECC22E">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培训方案</w:t>
            </w:r>
          </w:p>
        </w:tc>
        <w:tc>
          <w:tcPr>
            <w:tcW w:w="682" w:type="dxa"/>
            <w:tcBorders>
              <w:tl2br w:val="nil"/>
              <w:tr2bl w:val="nil"/>
            </w:tcBorders>
            <w:noWrap w:val="0"/>
            <w:vAlign w:val="center"/>
          </w:tcPr>
          <w:p w14:paraId="4BF791B0">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15</w:t>
            </w:r>
          </w:p>
        </w:tc>
        <w:tc>
          <w:tcPr>
            <w:tcW w:w="4841" w:type="dxa"/>
            <w:tcBorders>
              <w:tl2br w:val="nil"/>
              <w:tr2bl w:val="nil"/>
            </w:tcBorders>
            <w:noWrap w:val="0"/>
            <w:vAlign w:val="center"/>
          </w:tcPr>
          <w:p w14:paraId="1A280959">
            <w:pPr>
              <w:jc w:val="left"/>
              <w:rPr>
                <w:rFonts w:hint="eastAsia" w:ascii="仿宋" w:hAnsi="仿宋" w:eastAsia="仿宋" w:cs="仿宋"/>
                <w:color w:val="auto"/>
                <w:sz w:val="24"/>
                <w:szCs w:val="24"/>
              </w:rPr>
            </w:pPr>
            <w:r>
              <w:rPr>
                <w:rFonts w:hint="eastAsia" w:ascii="仿宋" w:hAnsi="仿宋" w:eastAsia="仿宋" w:cs="仿宋"/>
                <w:color w:val="auto"/>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4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④</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t>培训</w:t>
            </w:r>
            <w:r>
              <w:rPr>
                <w:rFonts w:hint="eastAsia" w:ascii="仿宋" w:hAnsi="仿宋" w:eastAsia="仿宋" w:cs="仿宋"/>
                <w:color w:val="auto"/>
                <w:sz w:val="24"/>
                <w:szCs w:val="24"/>
                <w:lang w:eastAsia="zh-CN"/>
              </w:rPr>
              <w:t>计划安排</w:t>
            </w:r>
            <w:r>
              <w:rPr>
                <w:rFonts w:hint="eastAsia" w:ascii="仿宋" w:hAnsi="仿宋" w:eastAsia="仿宋" w:cs="仿宋"/>
                <w:color w:val="auto"/>
                <w:sz w:val="24"/>
                <w:szCs w:val="24"/>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5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⑤</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eastAsia="zh-CN"/>
              </w:rPr>
              <w:t>培训效果</w:t>
            </w:r>
            <w:r>
              <w:rPr>
                <w:rFonts w:hint="eastAsia" w:ascii="仿宋" w:hAnsi="仿宋" w:eastAsia="仿宋" w:cs="仿宋"/>
                <w:color w:val="auto"/>
                <w:sz w:val="24"/>
                <w:szCs w:val="24"/>
              </w:rPr>
              <w:t>等。</w:t>
            </w:r>
          </w:p>
          <w:p w14:paraId="2C91FE55">
            <w:pPr>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432DEB2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44D8C28A">
            <w:pPr>
              <w:jc w:val="center"/>
              <w:rPr>
                <w:rFonts w:hint="eastAsia" w:ascii="仿宋" w:hAnsi="仿宋" w:eastAsia="仿宋" w:cs="仿宋"/>
                <w:color w:val="auto"/>
                <w:sz w:val="24"/>
                <w:szCs w:val="24"/>
              </w:rPr>
            </w:pPr>
          </w:p>
        </w:tc>
        <w:tc>
          <w:tcPr>
            <w:tcW w:w="1473" w:type="dxa"/>
            <w:vMerge w:val="continue"/>
            <w:tcBorders>
              <w:tl2br w:val="nil"/>
              <w:tr2bl w:val="nil"/>
            </w:tcBorders>
            <w:noWrap w:val="0"/>
            <w:vAlign w:val="center"/>
          </w:tcPr>
          <w:p w14:paraId="4E96D9C5">
            <w:pPr>
              <w:jc w:val="center"/>
              <w:rPr>
                <w:rFonts w:hint="eastAsia" w:ascii="仿宋" w:hAnsi="仿宋" w:eastAsia="仿宋" w:cs="仿宋"/>
                <w:color w:val="auto"/>
                <w:sz w:val="24"/>
                <w:szCs w:val="24"/>
              </w:rPr>
            </w:pPr>
          </w:p>
        </w:tc>
        <w:tc>
          <w:tcPr>
            <w:tcW w:w="1486" w:type="dxa"/>
            <w:tcBorders>
              <w:tl2br w:val="nil"/>
              <w:tr2bl w:val="nil"/>
            </w:tcBorders>
            <w:noWrap w:val="0"/>
            <w:vAlign w:val="center"/>
          </w:tcPr>
          <w:p w14:paraId="40DDE5FA">
            <w:pPr>
              <w:jc w:val="center"/>
              <w:rPr>
                <w:rFonts w:hint="eastAsia" w:ascii="仿宋" w:hAnsi="仿宋" w:eastAsia="仿宋" w:cs="仿宋"/>
                <w:color w:val="auto"/>
                <w:sz w:val="24"/>
                <w:szCs w:val="24"/>
              </w:rPr>
            </w:pPr>
            <w:r>
              <w:rPr>
                <w:rFonts w:hint="eastAsia" w:ascii="仿宋" w:hAnsi="仿宋" w:eastAsia="仿宋" w:cs="仿宋"/>
                <w:color w:val="auto"/>
                <w:sz w:val="24"/>
                <w:szCs w:val="24"/>
              </w:rPr>
              <w:t>类似业绩</w:t>
            </w:r>
          </w:p>
        </w:tc>
        <w:tc>
          <w:tcPr>
            <w:tcW w:w="682" w:type="dxa"/>
            <w:tcBorders>
              <w:tl2br w:val="nil"/>
              <w:tr2bl w:val="nil"/>
            </w:tcBorders>
            <w:noWrap w:val="0"/>
            <w:vAlign w:val="center"/>
          </w:tcPr>
          <w:p w14:paraId="505C34E4">
            <w:pPr>
              <w:jc w:val="center"/>
              <w:rPr>
                <w:rFonts w:hint="eastAsia" w:ascii="仿宋" w:hAnsi="仿宋" w:eastAsia="仿宋" w:cs="仿宋"/>
                <w:color w:val="auto"/>
                <w:sz w:val="24"/>
                <w:szCs w:val="24"/>
              </w:rPr>
            </w:pPr>
            <w:r>
              <w:rPr>
                <w:rFonts w:hint="eastAsia" w:ascii="仿宋" w:hAnsi="仿宋" w:eastAsia="仿宋" w:cs="仿宋"/>
                <w:color w:val="auto"/>
                <w:sz w:val="24"/>
                <w:szCs w:val="24"/>
              </w:rPr>
              <w:t>30</w:t>
            </w:r>
          </w:p>
        </w:tc>
        <w:tc>
          <w:tcPr>
            <w:tcW w:w="4841" w:type="dxa"/>
            <w:tcBorders>
              <w:tl2br w:val="nil"/>
              <w:tr2bl w:val="nil"/>
            </w:tcBorders>
            <w:noWrap w:val="0"/>
            <w:vAlign w:val="center"/>
          </w:tcPr>
          <w:p w14:paraId="6C0D023C">
            <w:pPr>
              <w:jc w:val="left"/>
              <w:rPr>
                <w:rFonts w:hint="eastAsia" w:ascii="仿宋" w:hAnsi="仿宋" w:eastAsia="仿宋" w:cs="仿宋"/>
                <w:color w:val="auto"/>
                <w:sz w:val="24"/>
                <w:szCs w:val="24"/>
              </w:rPr>
            </w:pPr>
            <w:r>
              <w:rPr>
                <w:rFonts w:hint="eastAsia" w:ascii="仿宋" w:hAnsi="仿宋" w:eastAsia="仿宋" w:cs="仿宋"/>
                <w:color w:val="auto"/>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分，计满30分为止，未按要求提供不得分。</w:t>
            </w:r>
          </w:p>
        </w:tc>
      </w:tr>
    </w:tbl>
    <w:p w14:paraId="39124244">
      <w:pPr>
        <w:jc w:val="center"/>
        <w:rPr>
          <w:rFonts w:hint="eastAsia" w:ascii="仿宋" w:hAnsi="仿宋" w:eastAsia="仿宋" w:cs="仿宋"/>
          <w:sz w:val="24"/>
          <w:szCs w:val="24"/>
        </w:rPr>
      </w:pPr>
    </w:p>
    <w:p w14:paraId="4092A6A2">
      <w:pPr>
        <w:pStyle w:val="2"/>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第四章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6"/>
    <w:p w14:paraId="134583E1">
      <w:pPr>
        <w:rPr>
          <w:rFonts w:hint="eastAsia" w:ascii="宋体" w:hAnsi="宋体" w:cs="宋体"/>
          <w:color w:val="auto"/>
        </w:rPr>
      </w:pPr>
    </w:p>
    <w:p w14:paraId="0C36B7E3">
      <w:pPr>
        <w:rPr>
          <w:rFonts w:hint="eastAsia"/>
          <w:color w:val="auto"/>
        </w:rPr>
      </w:pPr>
    </w:p>
    <w:p w14:paraId="642A6E11">
      <w:pPr>
        <w:jc w:val="center"/>
        <w:rPr>
          <w:b/>
          <w:color w:val="auto"/>
          <w:sz w:val="24"/>
        </w:rPr>
      </w:pPr>
      <w:r>
        <w:rPr>
          <w:b/>
          <w:color w:val="auto"/>
          <w:sz w:val="28"/>
          <w:szCs w:val="28"/>
        </w:rPr>
        <w:t>第一部分、开标一览表</w:t>
      </w:r>
    </w:p>
    <w:p w14:paraId="31CF1AE0">
      <w:pPr>
        <w:jc w:val="center"/>
        <w:rPr>
          <w:b/>
          <w:color w:val="auto"/>
          <w:sz w:val="24"/>
        </w:rPr>
      </w:pPr>
    </w:p>
    <w:p w14:paraId="6D74B725">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5F8096E0">
      <w:pPr>
        <w:pStyle w:val="19"/>
        <w:rPr>
          <w:color w:val="auto"/>
        </w:rPr>
      </w:pPr>
    </w:p>
    <w:p w14:paraId="3009323F">
      <w:pPr>
        <w:adjustRightInd w:val="0"/>
        <w:snapToGrid w:val="0"/>
        <w:spacing w:line="360" w:lineRule="auto"/>
        <w:jc w:val="center"/>
        <w:rPr>
          <w:rFonts w:hint="eastAsia" w:ascii="宋体" w:hAnsi="宋体" w:cs="宋体"/>
          <w:b/>
          <w:color w:val="auto"/>
          <w:sz w:val="28"/>
          <w:szCs w:val="28"/>
        </w:rPr>
      </w:pPr>
    </w:p>
    <w:p w14:paraId="60B9049D">
      <w:pPr>
        <w:adjustRightInd w:val="0"/>
        <w:snapToGrid w:val="0"/>
        <w:spacing w:line="360" w:lineRule="auto"/>
        <w:jc w:val="center"/>
        <w:rPr>
          <w:rFonts w:hint="eastAsia" w:ascii="宋体" w:hAnsi="宋体" w:cs="宋体"/>
          <w:b/>
          <w:color w:val="auto"/>
          <w:sz w:val="28"/>
          <w:szCs w:val="28"/>
        </w:rPr>
      </w:pPr>
    </w:p>
    <w:p w14:paraId="47A9E7E6">
      <w:pPr>
        <w:adjustRightInd w:val="0"/>
        <w:snapToGrid w:val="0"/>
        <w:spacing w:line="360" w:lineRule="auto"/>
        <w:jc w:val="center"/>
        <w:rPr>
          <w:rFonts w:hint="eastAsia" w:ascii="宋体" w:hAnsi="宋体" w:cs="宋体"/>
          <w:b/>
          <w:color w:val="auto"/>
          <w:sz w:val="28"/>
          <w:szCs w:val="28"/>
        </w:rPr>
      </w:pPr>
    </w:p>
    <w:p w14:paraId="0B851203">
      <w:pPr>
        <w:adjustRightInd w:val="0"/>
        <w:snapToGrid w:val="0"/>
        <w:spacing w:line="360" w:lineRule="auto"/>
        <w:jc w:val="center"/>
        <w:rPr>
          <w:rFonts w:hint="eastAsia" w:ascii="宋体" w:hAnsi="宋体" w:cs="宋体"/>
          <w:b/>
          <w:color w:val="auto"/>
          <w:sz w:val="28"/>
          <w:szCs w:val="28"/>
        </w:rPr>
      </w:pPr>
    </w:p>
    <w:p w14:paraId="5B522B1B">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6BE0168">
      <w:pPr>
        <w:pStyle w:val="18"/>
        <w:rPr>
          <w:rFonts w:hint="eastAsia"/>
          <w:lang w:eastAsia="zh-CN"/>
        </w:rPr>
      </w:pPr>
    </w:p>
    <w:p w14:paraId="1C4CE19E">
      <w:pPr>
        <w:adjustRightInd w:val="0"/>
        <w:snapToGrid w:val="0"/>
        <w:spacing w:line="360" w:lineRule="auto"/>
        <w:jc w:val="center"/>
        <w:rPr>
          <w:rFonts w:hint="eastAsia" w:ascii="宋体" w:hAnsi="宋体" w:cs="宋体"/>
          <w:b/>
          <w:color w:val="auto"/>
          <w:sz w:val="24"/>
          <w:szCs w:val="20"/>
        </w:rPr>
      </w:pPr>
    </w:p>
    <w:p w14:paraId="5F76F163">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CD8A2E9">
      <w:pPr>
        <w:adjustRightInd w:val="0"/>
        <w:snapToGrid w:val="0"/>
        <w:spacing w:line="360" w:lineRule="auto"/>
        <w:rPr>
          <w:rFonts w:hint="eastAsia" w:ascii="宋体" w:hAnsi="宋体" w:cs="宋体"/>
          <w:b/>
          <w:color w:val="auto"/>
          <w:sz w:val="28"/>
          <w:szCs w:val="28"/>
        </w:rPr>
      </w:pPr>
    </w:p>
    <w:p w14:paraId="57FDFFD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5DC957A3">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8EF331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9B331C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387948B">
      <w:pPr>
        <w:adjustRightInd w:val="0"/>
        <w:snapToGrid w:val="0"/>
        <w:spacing w:line="360" w:lineRule="auto"/>
        <w:ind w:firstLine="480" w:firstLineChars="200"/>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FD0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5E52C6EF">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346FCCD3">
      <w:pPr>
        <w:adjustRightInd w:val="0"/>
        <w:snapToGrid w:val="0"/>
        <w:spacing w:line="360" w:lineRule="auto"/>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7CB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44E9FC1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1ED57AA">
      <w:pPr>
        <w:adjustRightInd w:val="0"/>
        <w:snapToGrid w:val="0"/>
        <w:spacing w:line="360" w:lineRule="auto"/>
        <w:rPr>
          <w:rFonts w:hint="eastAsia" w:ascii="宋体" w:hAnsi="宋体" w:cs="宋体"/>
          <w:color w:val="auto"/>
          <w:sz w:val="24"/>
        </w:rPr>
      </w:pPr>
    </w:p>
    <w:p w14:paraId="73683F9B">
      <w:pPr>
        <w:adjustRightInd w:val="0"/>
        <w:snapToGrid w:val="0"/>
        <w:spacing w:line="360" w:lineRule="auto"/>
        <w:rPr>
          <w:rFonts w:hint="eastAsia" w:ascii="宋体" w:hAnsi="宋体" w:cs="宋体"/>
          <w:color w:val="auto"/>
          <w:sz w:val="24"/>
        </w:rPr>
      </w:pPr>
    </w:p>
    <w:p w14:paraId="74E54024">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1F56670">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83F8CB4">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24EF6AB7">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E41FF70">
      <w:pPr>
        <w:adjustRightInd w:val="0"/>
        <w:snapToGrid w:val="0"/>
        <w:spacing w:line="360" w:lineRule="auto"/>
        <w:rPr>
          <w:rFonts w:hint="eastAsia" w:ascii="宋体" w:hAnsi="宋体" w:cs="宋体"/>
          <w:b/>
          <w:color w:val="auto"/>
          <w:sz w:val="28"/>
          <w:szCs w:val="28"/>
        </w:rPr>
      </w:pPr>
    </w:p>
    <w:p w14:paraId="0F5DBA54">
      <w:pPr>
        <w:rPr>
          <w:rFonts w:hint="eastAsia" w:ascii="宋体" w:hAnsi="宋体" w:cs="宋体"/>
          <w:b/>
          <w:color w:val="auto"/>
          <w:sz w:val="24"/>
          <w:szCs w:val="20"/>
        </w:rPr>
      </w:pPr>
      <w:r>
        <w:rPr>
          <w:rFonts w:hint="eastAsia" w:ascii="宋体" w:hAnsi="宋体" w:cs="宋体"/>
          <w:b/>
          <w:color w:val="auto"/>
          <w:sz w:val="24"/>
          <w:szCs w:val="20"/>
        </w:rPr>
        <w:br w:type="page"/>
      </w:r>
    </w:p>
    <w:p w14:paraId="2A1D0F17">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09B775A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DD6DC6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0DB7BF5D">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53678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98527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218121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265A087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2E36ED8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E4EEB9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0226D39D">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35752034">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60EB918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024C14A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ADBE667">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64DDD70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55D549B2">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2C3DEF84">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6F3D623">
      <w:pPr>
        <w:adjustRightInd w:val="0"/>
        <w:snapToGrid w:val="0"/>
        <w:spacing w:line="360" w:lineRule="auto"/>
        <w:jc w:val="center"/>
        <w:rPr>
          <w:rFonts w:hint="eastAsia" w:ascii="宋体" w:hAnsi="宋体" w:cs="宋体"/>
          <w:b/>
          <w:color w:val="auto"/>
          <w:sz w:val="24"/>
          <w:szCs w:val="20"/>
        </w:rPr>
      </w:pPr>
    </w:p>
    <w:p w14:paraId="40F1283F">
      <w:pPr>
        <w:adjustRightInd w:val="0"/>
        <w:snapToGrid w:val="0"/>
        <w:spacing w:line="360" w:lineRule="auto"/>
        <w:rPr>
          <w:rFonts w:hint="eastAsia" w:ascii="宋体" w:hAnsi="宋体" w:cs="宋体"/>
          <w:b/>
          <w:color w:val="auto"/>
          <w:sz w:val="24"/>
          <w:szCs w:val="20"/>
        </w:rPr>
      </w:pPr>
    </w:p>
    <w:p w14:paraId="5128EA67">
      <w:pPr>
        <w:adjustRightInd w:val="0"/>
        <w:snapToGrid w:val="0"/>
        <w:spacing w:line="360" w:lineRule="auto"/>
        <w:rPr>
          <w:rFonts w:hint="eastAsia" w:ascii="宋体" w:hAnsi="宋体" w:cs="宋体"/>
          <w:b/>
          <w:color w:val="auto"/>
          <w:sz w:val="24"/>
          <w:szCs w:val="20"/>
        </w:rPr>
      </w:pPr>
    </w:p>
    <w:p w14:paraId="27E5A23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78E56FA9">
      <w:pPr>
        <w:adjustRightInd w:val="0"/>
        <w:snapToGrid w:val="0"/>
        <w:spacing w:line="360" w:lineRule="auto"/>
        <w:jc w:val="center"/>
        <w:rPr>
          <w:rFonts w:hint="eastAsia" w:ascii="宋体" w:hAnsi="宋体" w:cs="宋体"/>
          <w:b/>
          <w:color w:val="auto"/>
          <w:sz w:val="24"/>
          <w:szCs w:val="20"/>
        </w:rPr>
      </w:pPr>
    </w:p>
    <w:p w14:paraId="675A77B9">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3EFCC07C">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802804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9A5AFCB">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8865E0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D7A1C86">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8FD500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6D76AF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6755BE39">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2DEE6198">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663AA6F9">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15BE5D0A">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CEF50E">
      <w:pPr>
        <w:jc w:val="left"/>
        <w:rPr>
          <w:rFonts w:hint="eastAsia" w:ascii="宋体" w:hAnsi="宋体" w:eastAsia="宋体" w:cs="Times New Roman"/>
          <w:b w:val="0"/>
          <w:bCs w:val="0"/>
          <w:color w:val="auto"/>
          <w:kern w:val="2"/>
          <w:sz w:val="24"/>
          <w:szCs w:val="24"/>
          <w:lang w:val="en-US" w:eastAsia="zh-CN" w:bidi="ar-SA"/>
        </w:rPr>
      </w:pPr>
    </w:p>
    <w:p w14:paraId="30756FE5">
      <w:pPr>
        <w:jc w:val="left"/>
        <w:rPr>
          <w:rFonts w:hint="eastAsia" w:ascii="宋体" w:hAnsi="宋体" w:eastAsia="宋体" w:cs="Times New Roman"/>
          <w:b w:val="0"/>
          <w:bCs w:val="0"/>
          <w:color w:val="auto"/>
          <w:kern w:val="2"/>
          <w:sz w:val="24"/>
          <w:szCs w:val="24"/>
          <w:lang w:val="en-US" w:eastAsia="zh-CN" w:bidi="ar-SA"/>
        </w:rPr>
      </w:pPr>
    </w:p>
    <w:p w14:paraId="15990E6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97D7B90">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2D0C4DC7">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8" w:name="_Toc476514128"/>
      <w:bookmarkStart w:id="9" w:name="_Toc486424819"/>
    </w:p>
    <w:p w14:paraId="62A84631">
      <w:pPr>
        <w:pStyle w:val="18"/>
        <w:rPr>
          <w:rFonts w:hint="eastAsia"/>
          <w:lang w:eastAsia="zh-CN"/>
        </w:rPr>
      </w:pPr>
    </w:p>
    <w:p w14:paraId="7C3A650F">
      <w:pPr>
        <w:spacing w:before="120" w:beforeLines="50" w:after="120" w:afterLines="50" w:line="276" w:lineRule="auto"/>
        <w:jc w:val="center"/>
        <w:rPr>
          <w:b/>
          <w:color w:val="auto"/>
          <w:sz w:val="24"/>
        </w:rPr>
      </w:pPr>
      <w:r>
        <w:rPr>
          <w:b/>
          <w:color w:val="auto"/>
          <w:sz w:val="24"/>
        </w:rPr>
        <w:t>采购需求响应/偏离表</w:t>
      </w:r>
    </w:p>
    <w:p w14:paraId="08E5B6D6">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7E6D2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35B2D26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2E39D26F">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08D2C1B3">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515E670">
            <w:pPr>
              <w:adjustRightInd w:val="0"/>
              <w:snapToGrid w:val="0"/>
              <w:spacing w:before="50" w:line="360" w:lineRule="auto"/>
              <w:jc w:val="center"/>
              <w:rPr>
                <w:color w:val="auto"/>
              </w:rPr>
            </w:pPr>
            <w:r>
              <w:rPr>
                <w:color w:val="auto"/>
              </w:rPr>
              <w:t>投标文件应答</w:t>
            </w:r>
          </w:p>
        </w:tc>
        <w:tc>
          <w:tcPr>
            <w:tcW w:w="1513" w:type="dxa"/>
            <w:noWrap w:val="0"/>
            <w:vAlign w:val="center"/>
          </w:tcPr>
          <w:p w14:paraId="5FDFAC2D">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52B13AE">
            <w:pPr>
              <w:adjustRightInd w:val="0"/>
              <w:snapToGrid w:val="0"/>
              <w:spacing w:before="50" w:line="360" w:lineRule="auto"/>
              <w:ind w:left="-88" w:leftChars="-42"/>
              <w:jc w:val="center"/>
              <w:rPr>
                <w:color w:val="auto"/>
                <w:szCs w:val="21"/>
              </w:rPr>
            </w:pPr>
            <w:r>
              <w:rPr>
                <w:color w:val="auto"/>
                <w:szCs w:val="21"/>
              </w:rPr>
              <w:t>偏离说明</w:t>
            </w:r>
          </w:p>
        </w:tc>
      </w:tr>
      <w:tr w14:paraId="36F3D4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29A584E">
            <w:pPr>
              <w:adjustRightInd w:val="0"/>
              <w:snapToGrid w:val="0"/>
              <w:spacing w:before="50" w:line="360" w:lineRule="auto"/>
              <w:ind w:left="-88" w:leftChars="-42"/>
              <w:jc w:val="center"/>
              <w:rPr>
                <w:color w:val="auto"/>
                <w:szCs w:val="21"/>
              </w:rPr>
            </w:pPr>
          </w:p>
        </w:tc>
        <w:tc>
          <w:tcPr>
            <w:tcW w:w="1877" w:type="dxa"/>
            <w:noWrap w:val="0"/>
            <w:vAlign w:val="center"/>
          </w:tcPr>
          <w:p w14:paraId="04FA1F79">
            <w:pPr>
              <w:adjustRightInd w:val="0"/>
              <w:snapToGrid w:val="0"/>
              <w:spacing w:before="50" w:line="360" w:lineRule="auto"/>
              <w:ind w:left="-88" w:leftChars="-42"/>
              <w:jc w:val="center"/>
              <w:rPr>
                <w:color w:val="auto"/>
                <w:szCs w:val="21"/>
              </w:rPr>
            </w:pPr>
          </w:p>
        </w:tc>
        <w:tc>
          <w:tcPr>
            <w:tcW w:w="1671" w:type="dxa"/>
            <w:noWrap w:val="0"/>
            <w:vAlign w:val="center"/>
          </w:tcPr>
          <w:p w14:paraId="111429EA">
            <w:pPr>
              <w:adjustRightInd w:val="0"/>
              <w:snapToGrid w:val="0"/>
              <w:spacing w:before="50" w:line="360" w:lineRule="auto"/>
              <w:ind w:left="-88" w:leftChars="-42"/>
              <w:jc w:val="center"/>
              <w:rPr>
                <w:color w:val="auto"/>
                <w:szCs w:val="21"/>
              </w:rPr>
            </w:pPr>
          </w:p>
        </w:tc>
        <w:tc>
          <w:tcPr>
            <w:tcW w:w="1608" w:type="dxa"/>
            <w:noWrap w:val="0"/>
            <w:vAlign w:val="center"/>
          </w:tcPr>
          <w:p w14:paraId="3F5C712D">
            <w:pPr>
              <w:adjustRightInd w:val="0"/>
              <w:snapToGrid w:val="0"/>
              <w:spacing w:before="50" w:line="360" w:lineRule="auto"/>
              <w:ind w:left="-88" w:leftChars="-42"/>
              <w:jc w:val="center"/>
              <w:rPr>
                <w:color w:val="auto"/>
                <w:szCs w:val="21"/>
              </w:rPr>
            </w:pPr>
          </w:p>
        </w:tc>
        <w:tc>
          <w:tcPr>
            <w:tcW w:w="1513" w:type="dxa"/>
            <w:noWrap w:val="0"/>
            <w:vAlign w:val="center"/>
          </w:tcPr>
          <w:p w14:paraId="1FD267E1">
            <w:pPr>
              <w:adjustRightInd w:val="0"/>
              <w:snapToGrid w:val="0"/>
              <w:spacing w:before="50" w:line="360" w:lineRule="auto"/>
              <w:ind w:left="-88" w:leftChars="-42"/>
              <w:jc w:val="center"/>
              <w:rPr>
                <w:color w:val="auto"/>
                <w:szCs w:val="21"/>
              </w:rPr>
            </w:pPr>
          </w:p>
        </w:tc>
        <w:tc>
          <w:tcPr>
            <w:tcW w:w="1061" w:type="dxa"/>
            <w:noWrap w:val="0"/>
            <w:vAlign w:val="center"/>
          </w:tcPr>
          <w:p w14:paraId="1B0463B5">
            <w:pPr>
              <w:adjustRightInd w:val="0"/>
              <w:snapToGrid w:val="0"/>
              <w:spacing w:before="50" w:line="360" w:lineRule="auto"/>
              <w:ind w:left="-88" w:leftChars="-42"/>
              <w:jc w:val="center"/>
              <w:rPr>
                <w:color w:val="auto"/>
                <w:szCs w:val="21"/>
              </w:rPr>
            </w:pPr>
          </w:p>
        </w:tc>
      </w:tr>
      <w:tr w14:paraId="3C6C57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DE623C7">
            <w:pPr>
              <w:adjustRightInd w:val="0"/>
              <w:snapToGrid w:val="0"/>
              <w:spacing w:before="50" w:line="360" w:lineRule="auto"/>
              <w:ind w:left="-88" w:leftChars="-42"/>
              <w:jc w:val="center"/>
              <w:rPr>
                <w:color w:val="auto"/>
                <w:szCs w:val="21"/>
              </w:rPr>
            </w:pPr>
          </w:p>
        </w:tc>
        <w:tc>
          <w:tcPr>
            <w:tcW w:w="1877" w:type="dxa"/>
            <w:noWrap w:val="0"/>
            <w:vAlign w:val="center"/>
          </w:tcPr>
          <w:p w14:paraId="0139CDB7">
            <w:pPr>
              <w:adjustRightInd w:val="0"/>
              <w:snapToGrid w:val="0"/>
              <w:spacing w:before="50" w:line="360" w:lineRule="auto"/>
              <w:ind w:left="-88" w:leftChars="-42"/>
              <w:jc w:val="center"/>
              <w:rPr>
                <w:color w:val="auto"/>
                <w:szCs w:val="21"/>
              </w:rPr>
            </w:pPr>
          </w:p>
        </w:tc>
        <w:tc>
          <w:tcPr>
            <w:tcW w:w="1671" w:type="dxa"/>
            <w:noWrap w:val="0"/>
            <w:vAlign w:val="center"/>
          </w:tcPr>
          <w:p w14:paraId="74FA9D80">
            <w:pPr>
              <w:adjustRightInd w:val="0"/>
              <w:snapToGrid w:val="0"/>
              <w:spacing w:before="50" w:line="360" w:lineRule="auto"/>
              <w:ind w:left="-88" w:leftChars="-42"/>
              <w:jc w:val="center"/>
              <w:rPr>
                <w:color w:val="auto"/>
                <w:szCs w:val="21"/>
              </w:rPr>
            </w:pPr>
          </w:p>
        </w:tc>
        <w:tc>
          <w:tcPr>
            <w:tcW w:w="1608" w:type="dxa"/>
            <w:noWrap w:val="0"/>
            <w:vAlign w:val="center"/>
          </w:tcPr>
          <w:p w14:paraId="4DF49294">
            <w:pPr>
              <w:adjustRightInd w:val="0"/>
              <w:snapToGrid w:val="0"/>
              <w:spacing w:before="50" w:line="360" w:lineRule="auto"/>
              <w:ind w:left="-88" w:leftChars="-42"/>
              <w:jc w:val="center"/>
              <w:rPr>
                <w:color w:val="auto"/>
                <w:szCs w:val="21"/>
              </w:rPr>
            </w:pPr>
          </w:p>
        </w:tc>
        <w:tc>
          <w:tcPr>
            <w:tcW w:w="1513" w:type="dxa"/>
            <w:noWrap w:val="0"/>
            <w:vAlign w:val="center"/>
          </w:tcPr>
          <w:p w14:paraId="72CDE795">
            <w:pPr>
              <w:adjustRightInd w:val="0"/>
              <w:snapToGrid w:val="0"/>
              <w:spacing w:before="50" w:line="360" w:lineRule="auto"/>
              <w:ind w:left="-88" w:leftChars="-42"/>
              <w:jc w:val="center"/>
              <w:rPr>
                <w:color w:val="auto"/>
                <w:szCs w:val="21"/>
              </w:rPr>
            </w:pPr>
          </w:p>
        </w:tc>
        <w:tc>
          <w:tcPr>
            <w:tcW w:w="1061" w:type="dxa"/>
            <w:noWrap w:val="0"/>
            <w:vAlign w:val="center"/>
          </w:tcPr>
          <w:p w14:paraId="35D7F53B">
            <w:pPr>
              <w:adjustRightInd w:val="0"/>
              <w:snapToGrid w:val="0"/>
              <w:spacing w:before="50" w:line="360" w:lineRule="auto"/>
              <w:ind w:left="-88" w:leftChars="-42"/>
              <w:jc w:val="center"/>
              <w:rPr>
                <w:color w:val="auto"/>
                <w:szCs w:val="21"/>
              </w:rPr>
            </w:pPr>
          </w:p>
        </w:tc>
      </w:tr>
      <w:tr w14:paraId="6DCDB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C5504F">
            <w:pPr>
              <w:adjustRightInd w:val="0"/>
              <w:snapToGrid w:val="0"/>
              <w:spacing w:before="50" w:line="360" w:lineRule="auto"/>
              <w:ind w:left="-88" w:leftChars="-42"/>
              <w:jc w:val="center"/>
              <w:rPr>
                <w:color w:val="auto"/>
                <w:szCs w:val="21"/>
              </w:rPr>
            </w:pPr>
          </w:p>
        </w:tc>
        <w:tc>
          <w:tcPr>
            <w:tcW w:w="1877" w:type="dxa"/>
            <w:noWrap w:val="0"/>
            <w:vAlign w:val="center"/>
          </w:tcPr>
          <w:p w14:paraId="3FC5B1D9">
            <w:pPr>
              <w:adjustRightInd w:val="0"/>
              <w:snapToGrid w:val="0"/>
              <w:spacing w:before="50" w:line="360" w:lineRule="auto"/>
              <w:ind w:left="-88" w:leftChars="-42"/>
              <w:jc w:val="center"/>
              <w:rPr>
                <w:color w:val="auto"/>
                <w:szCs w:val="21"/>
              </w:rPr>
            </w:pPr>
          </w:p>
        </w:tc>
        <w:tc>
          <w:tcPr>
            <w:tcW w:w="1671" w:type="dxa"/>
            <w:noWrap w:val="0"/>
            <w:vAlign w:val="center"/>
          </w:tcPr>
          <w:p w14:paraId="6B2107E1">
            <w:pPr>
              <w:adjustRightInd w:val="0"/>
              <w:snapToGrid w:val="0"/>
              <w:spacing w:before="50" w:line="360" w:lineRule="auto"/>
              <w:ind w:left="-88" w:leftChars="-42"/>
              <w:jc w:val="center"/>
              <w:rPr>
                <w:color w:val="auto"/>
                <w:szCs w:val="21"/>
              </w:rPr>
            </w:pPr>
          </w:p>
        </w:tc>
        <w:tc>
          <w:tcPr>
            <w:tcW w:w="1608" w:type="dxa"/>
            <w:noWrap w:val="0"/>
            <w:vAlign w:val="center"/>
          </w:tcPr>
          <w:p w14:paraId="50438157">
            <w:pPr>
              <w:adjustRightInd w:val="0"/>
              <w:snapToGrid w:val="0"/>
              <w:spacing w:before="50" w:line="360" w:lineRule="auto"/>
              <w:ind w:left="-88" w:leftChars="-42"/>
              <w:jc w:val="center"/>
              <w:rPr>
                <w:color w:val="auto"/>
                <w:szCs w:val="21"/>
              </w:rPr>
            </w:pPr>
          </w:p>
        </w:tc>
        <w:tc>
          <w:tcPr>
            <w:tcW w:w="1513" w:type="dxa"/>
            <w:noWrap w:val="0"/>
            <w:vAlign w:val="center"/>
          </w:tcPr>
          <w:p w14:paraId="2617429B">
            <w:pPr>
              <w:adjustRightInd w:val="0"/>
              <w:snapToGrid w:val="0"/>
              <w:spacing w:before="50" w:line="360" w:lineRule="auto"/>
              <w:ind w:left="-88" w:leftChars="-42"/>
              <w:jc w:val="center"/>
              <w:rPr>
                <w:color w:val="auto"/>
                <w:szCs w:val="21"/>
              </w:rPr>
            </w:pPr>
          </w:p>
        </w:tc>
        <w:tc>
          <w:tcPr>
            <w:tcW w:w="1061" w:type="dxa"/>
            <w:noWrap w:val="0"/>
            <w:vAlign w:val="center"/>
          </w:tcPr>
          <w:p w14:paraId="469BAD0E">
            <w:pPr>
              <w:adjustRightInd w:val="0"/>
              <w:snapToGrid w:val="0"/>
              <w:spacing w:before="50" w:line="360" w:lineRule="auto"/>
              <w:ind w:left="-88" w:leftChars="-42"/>
              <w:jc w:val="center"/>
              <w:rPr>
                <w:color w:val="auto"/>
                <w:szCs w:val="21"/>
              </w:rPr>
            </w:pPr>
          </w:p>
        </w:tc>
      </w:tr>
      <w:tr w14:paraId="46674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497E606C">
            <w:pPr>
              <w:rPr>
                <w:b/>
                <w:color w:val="auto"/>
              </w:rPr>
            </w:pPr>
          </w:p>
        </w:tc>
      </w:tr>
    </w:tbl>
    <w:p w14:paraId="40556A6B">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8"/>
    <w:bookmarkEnd w:id="9"/>
    <w:p w14:paraId="48C94C08">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7C43CBC0">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075DFE47">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w:t>
      </w:r>
      <w:r>
        <w:rPr>
          <w:rFonts w:hint="eastAsia"/>
          <w:color w:val="FF0000"/>
          <w:sz w:val="24"/>
          <w:lang w:eastAsia="zh-CN"/>
        </w:rPr>
        <w:t>（</w:t>
      </w:r>
      <w:r>
        <w:rPr>
          <w:rFonts w:hint="eastAsia"/>
          <w:color w:val="FF0000"/>
          <w:sz w:val="24"/>
          <w:lang w:val="en-US" w:eastAsia="zh-CN"/>
        </w:rPr>
        <w:t>包括商务参数）</w:t>
      </w:r>
      <w:r>
        <w:rPr>
          <w:rFonts w:hint="eastAsia"/>
          <w:color w:val="auto"/>
          <w:sz w:val="24"/>
          <w:lang w:eastAsia="zh-CN"/>
        </w:rPr>
        <w:t>必须在响应表中逐条应答。</w:t>
      </w:r>
    </w:p>
    <w:p w14:paraId="0DA40BA3">
      <w:pPr>
        <w:pStyle w:val="19"/>
        <w:rPr>
          <w:color w:val="auto"/>
        </w:rPr>
      </w:pPr>
    </w:p>
    <w:p w14:paraId="0EFEE20B">
      <w:pPr>
        <w:pStyle w:val="18"/>
        <w:rPr>
          <w:rFonts w:hint="eastAsia"/>
          <w:lang w:eastAsia="zh-CN"/>
        </w:rPr>
      </w:pPr>
    </w:p>
    <w:p w14:paraId="2CB8A4F5"/>
    <w:p w14:paraId="58D1B8B1">
      <w:pPr>
        <w:pStyle w:val="19"/>
        <w:rPr>
          <w:color w:val="auto"/>
        </w:rPr>
      </w:pPr>
    </w:p>
    <w:p w14:paraId="43E00E01">
      <w:pPr>
        <w:pStyle w:val="18"/>
        <w:rPr>
          <w:rFonts w:hint="eastAsia"/>
          <w:lang w:eastAsia="zh-CN"/>
        </w:rPr>
      </w:pPr>
    </w:p>
    <w:p w14:paraId="53FA0AAC"/>
    <w:p w14:paraId="36507233"/>
    <w:p w14:paraId="5AA899CA"/>
    <w:p w14:paraId="2936BFC4"/>
    <w:p w14:paraId="740A0EF9"/>
    <w:p w14:paraId="57A7D16B"/>
    <w:p w14:paraId="003C5A4F"/>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 w:name="微软雅黑">
    <w:altName w:val="方正黑体_GBK"/>
    <w:panose1 w:val="020B0503020204020204"/>
    <w:charset w:val="86"/>
    <w:family w:val="auto"/>
    <w:pitch w:val="default"/>
    <w:sig w:usb0="00000000" w:usb1="00000000" w:usb2="00000016" w:usb3="00000000" w:csb0="0004001F" w:csb1="00000000"/>
  </w:font>
  <w:font w:name="思源黑体 CN Medium">
    <w:altName w:val="方正黑体_GBK"/>
    <w:panose1 w:val="020B0600000000000000"/>
    <w:charset w:val="86"/>
    <w:family w:val="auto"/>
    <w:pitch w:val="default"/>
    <w:sig w:usb0="00000000" w:usb1="0000000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59C88">
    <w:pPr>
      <w:pStyle w:val="9"/>
      <w:rPr>
        <w:rFonts w:hint="eastAsia" w:ascii="仿宋_GB2312" w:eastAsia="仿宋_GB2312"/>
        <w:bCs/>
        <w:u w:val="single"/>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20831">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D20831">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1A9478CC">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9"/>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4788">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abstractNum w:abstractNumId="2">
    <w:nsid w:val="FFFF06E7"/>
    <w:multiLevelType w:val="singleLevel"/>
    <w:tmpl w:val="FFFF06E7"/>
    <w:lvl w:ilvl="0" w:tentative="0">
      <w:start w:val="1"/>
      <w:numFmt w:val="decimal"/>
      <w:suff w:val="nothing"/>
      <w:lvlText w:val="%1．"/>
      <w:lvlJc w:val="left"/>
      <w:pPr>
        <w:ind w:left="0" w:firstLine="4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8A74D4"/>
    <w:rsid w:val="0CAD77BD"/>
    <w:rsid w:val="0E331420"/>
    <w:rsid w:val="0EDD1643"/>
    <w:rsid w:val="0FB9029C"/>
    <w:rsid w:val="10897B23"/>
    <w:rsid w:val="10914EF9"/>
    <w:rsid w:val="10B8663C"/>
    <w:rsid w:val="114A6E83"/>
    <w:rsid w:val="11FE0BB2"/>
    <w:rsid w:val="12080B62"/>
    <w:rsid w:val="12994AC5"/>
    <w:rsid w:val="129F447F"/>
    <w:rsid w:val="12C86253"/>
    <w:rsid w:val="15060AC8"/>
    <w:rsid w:val="15125EAE"/>
    <w:rsid w:val="15675A4C"/>
    <w:rsid w:val="17F91BB8"/>
    <w:rsid w:val="193E7D91"/>
    <w:rsid w:val="1943608F"/>
    <w:rsid w:val="19E91315"/>
    <w:rsid w:val="1AF56B46"/>
    <w:rsid w:val="1B7B72C0"/>
    <w:rsid w:val="1D5071B5"/>
    <w:rsid w:val="1D5D59A6"/>
    <w:rsid w:val="1DD7486D"/>
    <w:rsid w:val="1E79119D"/>
    <w:rsid w:val="1EFD25AF"/>
    <w:rsid w:val="1F334F58"/>
    <w:rsid w:val="1F385662"/>
    <w:rsid w:val="1F796B24"/>
    <w:rsid w:val="1FC602A8"/>
    <w:rsid w:val="1FDFE26B"/>
    <w:rsid w:val="1FE73549"/>
    <w:rsid w:val="2038045E"/>
    <w:rsid w:val="20AF0900"/>
    <w:rsid w:val="20B41DA7"/>
    <w:rsid w:val="21C61C7A"/>
    <w:rsid w:val="2383771E"/>
    <w:rsid w:val="23F374DB"/>
    <w:rsid w:val="24881A32"/>
    <w:rsid w:val="24E375C9"/>
    <w:rsid w:val="25266F96"/>
    <w:rsid w:val="267547DF"/>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66241E2"/>
    <w:rsid w:val="36B66AAC"/>
    <w:rsid w:val="36E47928"/>
    <w:rsid w:val="372F7378"/>
    <w:rsid w:val="37BA0809"/>
    <w:rsid w:val="37DE919F"/>
    <w:rsid w:val="38F7D690"/>
    <w:rsid w:val="397348CD"/>
    <w:rsid w:val="3A8E0AB7"/>
    <w:rsid w:val="3A994AB7"/>
    <w:rsid w:val="3B3B544D"/>
    <w:rsid w:val="3B654F2B"/>
    <w:rsid w:val="3BB72BAE"/>
    <w:rsid w:val="3BBFA467"/>
    <w:rsid w:val="3BFC7D2B"/>
    <w:rsid w:val="3C7C799C"/>
    <w:rsid w:val="3C8A61A4"/>
    <w:rsid w:val="3D5E17FF"/>
    <w:rsid w:val="3DF93413"/>
    <w:rsid w:val="3DFD1951"/>
    <w:rsid w:val="3DFFD27E"/>
    <w:rsid w:val="3E1F0DA4"/>
    <w:rsid w:val="3E584E51"/>
    <w:rsid w:val="3E62C1E0"/>
    <w:rsid w:val="3E6E70D5"/>
    <w:rsid w:val="3EBE1ADE"/>
    <w:rsid w:val="3F788D05"/>
    <w:rsid w:val="3FEF41F9"/>
    <w:rsid w:val="3FF36FC1"/>
    <w:rsid w:val="403B4B34"/>
    <w:rsid w:val="4140452A"/>
    <w:rsid w:val="414D7889"/>
    <w:rsid w:val="41BB0BAE"/>
    <w:rsid w:val="425629F5"/>
    <w:rsid w:val="4284152B"/>
    <w:rsid w:val="429A4992"/>
    <w:rsid w:val="42FF3888"/>
    <w:rsid w:val="435B161D"/>
    <w:rsid w:val="437EFEE3"/>
    <w:rsid w:val="43B25DAC"/>
    <w:rsid w:val="44771DFD"/>
    <w:rsid w:val="45D569C3"/>
    <w:rsid w:val="475F9F54"/>
    <w:rsid w:val="479B74B7"/>
    <w:rsid w:val="48735221"/>
    <w:rsid w:val="49E92B05"/>
    <w:rsid w:val="4A354E62"/>
    <w:rsid w:val="4AEE1A11"/>
    <w:rsid w:val="4B7F39F4"/>
    <w:rsid w:val="4B9387EE"/>
    <w:rsid w:val="4BAE646F"/>
    <w:rsid w:val="4BD9C0F1"/>
    <w:rsid w:val="4CAC1559"/>
    <w:rsid w:val="4D1D09A0"/>
    <w:rsid w:val="4D754257"/>
    <w:rsid w:val="4DCD6AB3"/>
    <w:rsid w:val="4E334DF1"/>
    <w:rsid w:val="4EE7662F"/>
    <w:rsid w:val="4FB7DB77"/>
    <w:rsid w:val="50216DCD"/>
    <w:rsid w:val="50540C20"/>
    <w:rsid w:val="506258C6"/>
    <w:rsid w:val="51AC28BD"/>
    <w:rsid w:val="52183ACC"/>
    <w:rsid w:val="5275566D"/>
    <w:rsid w:val="53238E8B"/>
    <w:rsid w:val="5337E57F"/>
    <w:rsid w:val="53B55872"/>
    <w:rsid w:val="544055F2"/>
    <w:rsid w:val="54AD4386"/>
    <w:rsid w:val="55D8243C"/>
    <w:rsid w:val="567C4A72"/>
    <w:rsid w:val="575FAF7E"/>
    <w:rsid w:val="581A7C72"/>
    <w:rsid w:val="583A4BD7"/>
    <w:rsid w:val="59C74B1F"/>
    <w:rsid w:val="59EF9AD0"/>
    <w:rsid w:val="5A886F59"/>
    <w:rsid w:val="5BDF167E"/>
    <w:rsid w:val="5E9BBF88"/>
    <w:rsid w:val="5EBFE873"/>
    <w:rsid w:val="5EEF238A"/>
    <w:rsid w:val="5F153ADC"/>
    <w:rsid w:val="5FBFAB6E"/>
    <w:rsid w:val="5FD50556"/>
    <w:rsid w:val="5FFCB874"/>
    <w:rsid w:val="604D5946"/>
    <w:rsid w:val="611B6B1B"/>
    <w:rsid w:val="61FF68C0"/>
    <w:rsid w:val="62C222C2"/>
    <w:rsid w:val="632D7C40"/>
    <w:rsid w:val="63F39F53"/>
    <w:rsid w:val="64133D6A"/>
    <w:rsid w:val="64245572"/>
    <w:rsid w:val="674A3DD5"/>
    <w:rsid w:val="678E4F5D"/>
    <w:rsid w:val="67D7D290"/>
    <w:rsid w:val="67F3562A"/>
    <w:rsid w:val="67FFBBE3"/>
    <w:rsid w:val="680E122C"/>
    <w:rsid w:val="6A4E1D63"/>
    <w:rsid w:val="6C486FE4"/>
    <w:rsid w:val="6CA409DF"/>
    <w:rsid w:val="6D9F787E"/>
    <w:rsid w:val="6DE375E4"/>
    <w:rsid w:val="6E8E5287"/>
    <w:rsid w:val="6F2FB06F"/>
    <w:rsid w:val="6FAC3B48"/>
    <w:rsid w:val="6FAD463B"/>
    <w:rsid w:val="6FB7ACDA"/>
    <w:rsid w:val="6FBE332C"/>
    <w:rsid w:val="6FFF67CC"/>
    <w:rsid w:val="70CE0BC9"/>
    <w:rsid w:val="71554367"/>
    <w:rsid w:val="71584067"/>
    <w:rsid w:val="71F26E91"/>
    <w:rsid w:val="72FB9D37"/>
    <w:rsid w:val="735201FF"/>
    <w:rsid w:val="737B50A4"/>
    <w:rsid w:val="73F40E72"/>
    <w:rsid w:val="74566F5C"/>
    <w:rsid w:val="750117A8"/>
    <w:rsid w:val="755B2270"/>
    <w:rsid w:val="75E27514"/>
    <w:rsid w:val="76920D75"/>
    <w:rsid w:val="76C47877"/>
    <w:rsid w:val="76CD3EF0"/>
    <w:rsid w:val="77423DFF"/>
    <w:rsid w:val="779BB28F"/>
    <w:rsid w:val="77EE6ED4"/>
    <w:rsid w:val="77FD832A"/>
    <w:rsid w:val="783B5EA9"/>
    <w:rsid w:val="78B114A6"/>
    <w:rsid w:val="79EB699D"/>
    <w:rsid w:val="79FFEA3A"/>
    <w:rsid w:val="7A3E5854"/>
    <w:rsid w:val="7ABA298D"/>
    <w:rsid w:val="7B0620DE"/>
    <w:rsid w:val="7B7D7C18"/>
    <w:rsid w:val="7BBF44BB"/>
    <w:rsid w:val="7BF15CE4"/>
    <w:rsid w:val="7C3A27E5"/>
    <w:rsid w:val="7D9727DD"/>
    <w:rsid w:val="7D9F887D"/>
    <w:rsid w:val="7DDF8A36"/>
    <w:rsid w:val="7DFE74A2"/>
    <w:rsid w:val="7DFF9811"/>
    <w:rsid w:val="7E8BAD0B"/>
    <w:rsid w:val="7ED7DBED"/>
    <w:rsid w:val="7EFB4F6E"/>
    <w:rsid w:val="7EFF5E7D"/>
    <w:rsid w:val="7F164138"/>
    <w:rsid w:val="7F1A5E95"/>
    <w:rsid w:val="7F5F64AB"/>
    <w:rsid w:val="7FA75B91"/>
    <w:rsid w:val="7FBC7699"/>
    <w:rsid w:val="7FCFF1E1"/>
    <w:rsid w:val="7FDDDE56"/>
    <w:rsid w:val="7FDF25FB"/>
    <w:rsid w:val="7FFB0877"/>
    <w:rsid w:val="7FFE88A1"/>
    <w:rsid w:val="87EFD207"/>
    <w:rsid w:val="8B7D3439"/>
    <w:rsid w:val="8EFAA180"/>
    <w:rsid w:val="98654DAE"/>
    <w:rsid w:val="9AF2751B"/>
    <w:rsid w:val="A4FC5874"/>
    <w:rsid w:val="A99BC227"/>
    <w:rsid w:val="ADFDDBA5"/>
    <w:rsid w:val="AFDF5C35"/>
    <w:rsid w:val="AFEF0E21"/>
    <w:rsid w:val="AFEFD62F"/>
    <w:rsid w:val="B7FBACA6"/>
    <w:rsid w:val="BB956F6A"/>
    <w:rsid w:val="BBDFF490"/>
    <w:rsid w:val="BD7F6FD4"/>
    <w:rsid w:val="BF59071B"/>
    <w:rsid w:val="BF7D9491"/>
    <w:rsid w:val="BFF77D2B"/>
    <w:rsid w:val="BFFF1325"/>
    <w:rsid w:val="CDFF7760"/>
    <w:rsid w:val="CFFF8E32"/>
    <w:rsid w:val="D6420169"/>
    <w:rsid w:val="D6D5AD7C"/>
    <w:rsid w:val="DBBDAA3F"/>
    <w:rsid w:val="DBDE3CFA"/>
    <w:rsid w:val="DDBAF315"/>
    <w:rsid w:val="DFF97BBC"/>
    <w:rsid w:val="DFFEDE01"/>
    <w:rsid w:val="DFFF05F4"/>
    <w:rsid w:val="E6F7C8DE"/>
    <w:rsid w:val="E7BF1FC4"/>
    <w:rsid w:val="ED6D9162"/>
    <w:rsid w:val="EDEF1A68"/>
    <w:rsid w:val="EF7B1925"/>
    <w:rsid w:val="EFF91F3A"/>
    <w:rsid w:val="EFFF278C"/>
    <w:rsid w:val="F1347A70"/>
    <w:rsid w:val="F7D57869"/>
    <w:rsid w:val="F91F5623"/>
    <w:rsid w:val="F99F179C"/>
    <w:rsid w:val="FB6F87D3"/>
    <w:rsid w:val="FB7D52BD"/>
    <w:rsid w:val="FBBD03F1"/>
    <w:rsid w:val="FBBDFED4"/>
    <w:rsid w:val="FC5F632E"/>
    <w:rsid w:val="FDDEE62D"/>
    <w:rsid w:val="FDF7EAA8"/>
    <w:rsid w:val="FDFF9C76"/>
    <w:rsid w:val="FEAFF452"/>
    <w:rsid w:val="FED7AE9E"/>
    <w:rsid w:val="FEE34724"/>
    <w:rsid w:val="FF1EFC35"/>
    <w:rsid w:val="FF2EF86E"/>
    <w:rsid w:val="FF477DD4"/>
    <w:rsid w:val="FF5F7F20"/>
    <w:rsid w:val="FF7B9B69"/>
    <w:rsid w:val="FFAFFB84"/>
    <w:rsid w:val="FFBF9032"/>
    <w:rsid w:val="FFC8EF32"/>
    <w:rsid w:val="FFD76697"/>
    <w:rsid w:val="FFDF81E1"/>
    <w:rsid w:val="FFDF846C"/>
    <w:rsid w:val="FFE13652"/>
    <w:rsid w:val="FFECE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qFormat/>
    <w:uiPriority w:val="0"/>
    <w:pPr>
      <w:keepNext/>
      <w:keepLines/>
      <w:spacing w:line="360" w:lineRule="auto"/>
      <w:outlineLvl w:val="1"/>
    </w:pPr>
    <w:rPr>
      <w:b/>
      <w:bCs/>
      <w:sz w:val="24"/>
      <w:szCs w:val="32"/>
    </w:rPr>
  </w:style>
  <w:style w:type="paragraph" w:styleId="4">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Body Text Indent"/>
    <w:basedOn w:val="1"/>
    <w:autoRedefine/>
    <w:qFormat/>
    <w:uiPriority w:val="99"/>
    <w:pPr>
      <w:spacing w:line="400" w:lineRule="exact"/>
      <w:ind w:left="630"/>
    </w:pPr>
    <w:rPr>
      <w:rFonts w:ascii="楷体_GB2312"/>
      <w:sz w:val="30"/>
      <w:szCs w:val="30"/>
    </w:rPr>
  </w:style>
  <w:style w:type="paragraph" w:styleId="8">
    <w:name w:val="Date"/>
    <w:basedOn w:val="1"/>
    <w:next w:val="1"/>
    <w:qFormat/>
    <w:uiPriority w:val="0"/>
    <w:rPr>
      <w:color w:val="000000"/>
      <w:kern w:val="0"/>
      <w:sz w:val="30"/>
    </w:rPr>
  </w:style>
  <w:style w:type="paragraph" w:styleId="9">
    <w:name w:val="footer"/>
    <w:basedOn w:val="1"/>
    <w:autoRedefine/>
    <w:qFormat/>
    <w:uiPriority w:val="0"/>
    <w:pPr>
      <w:tabs>
        <w:tab w:val="center" w:pos="4153"/>
        <w:tab w:val="right" w:pos="8306"/>
      </w:tabs>
      <w:snapToGrid w:val="0"/>
      <w:jc w:val="left"/>
    </w:pPr>
    <w:rPr>
      <w:kern w:val="0"/>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autoRedefine/>
    <w:qFormat/>
    <w:uiPriority w:val="0"/>
    <w:rPr>
      <w:sz w:val="24"/>
    </w:rPr>
  </w:style>
  <w:style w:type="paragraph" w:styleId="12">
    <w:name w:val="Body Text First Indent 2"/>
    <w:basedOn w:val="7"/>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大标题"/>
    <w:basedOn w:val="1"/>
    <w:next w:val="12"/>
    <w:autoRedefine/>
    <w:qFormat/>
    <w:uiPriority w:val="0"/>
    <w:pPr>
      <w:jc w:val="center"/>
    </w:pPr>
    <w:rPr>
      <w:rFonts w:ascii="Arial" w:hAnsi="Arial" w:eastAsia="宋体"/>
      <w:b/>
      <w:sz w:val="28"/>
      <w:szCs w:val="24"/>
    </w:rPr>
  </w:style>
  <w:style w:type="paragraph" w:customStyle="1" w:styleId="17">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8">
    <w:name w:val="列出段落1"/>
    <w:basedOn w:val="1"/>
    <w:autoRedefine/>
    <w:qFormat/>
    <w:uiPriority w:val="99"/>
    <w:pPr>
      <w:ind w:firstLine="420" w:firstLineChars="200"/>
    </w:pPr>
  </w:style>
  <w:style w:type="paragraph" w:customStyle="1" w:styleId="19">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0">
    <w:name w:val="List Paragraph"/>
    <w:basedOn w:val="1"/>
    <w:autoRedefine/>
    <w:qFormat/>
    <w:uiPriority w:val="34"/>
    <w:pPr>
      <w:ind w:firstLine="420" w:firstLineChars="200"/>
    </w:pPr>
    <w:rPr>
      <w:rFonts w:ascii="Calibri" w:hAnsi="Calibri"/>
      <w:szCs w:val="22"/>
    </w:rPr>
  </w:style>
  <w:style w:type="character" w:customStyle="1" w:styleId="21">
    <w:name w:val="NormalCharacter"/>
    <w:autoRedefine/>
    <w:semiHidden/>
    <w:qFormat/>
    <w:uiPriority w:val="0"/>
  </w:style>
  <w:style w:type="paragraph" w:customStyle="1" w:styleId="22">
    <w:name w:val="列出段落2"/>
    <w:basedOn w:val="1"/>
    <w:qFormat/>
    <w:uiPriority w:val="0"/>
    <w:pPr>
      <w:ind w:firstLine="420" w:firstLineChars="200"/>
    </w:pPr>
  </w:style>
  <w:style w:type="paragraph" w:customStyle="1" w:styleId="23">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5790</Words>
  <Characters>6232</Characters>
  <Lines>0</Lines>
  <Paragraphs>0</Paragraphs>
  <TotalTime>3</TotalTime>
  <ScaleCrop>false</ScaleCrop>
  <LinksUpToDate>false</LinksUpToDate>
  <CharactersWithSpaces>6555</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2023-07-24T17:45:00Z</dcterms:created>
  <dc:creator>是小豹子</dc:creator>
  <cp:lastModifiedBy>沁sqr</cp:lastModifiedBy>
  <dcterms:modified xsi:type="dcterms:W3CDTF">2026-08-19T08:45:17Z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76FB0FAE7D39B64E20C5306ACAD8361B_43</vt:lpwstr>
  </property>
  <property fmtid="{D5CDD505-2E9C-101B-9397-08002B2CF9AE}" pid="4" name="KSOTemplateDocerSaveRecord">
    <vt:lpwstr>eyJoZGlkIjoiYjhlYmE2MWY2NTY0MzZmZTc1MzE0ZTI3ZDViMDM4ZWEiLCJ1c2VySWQiOiIxMDY1NzYwODA4In0=</vt:lpwstr>
  </property>
</Properties>
</file>