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（光子治疗仪+电磁场治疗仪医院公开挂网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eastAsia="zh-CN"/>
        </w:rPr>
        <w:t>八</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光子治疗仪+电磁场治疗仪</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光子治疗仪+电磁场治疗仪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1、投标报名、截止时间、开标时间：见医院官网公开挂网表</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FF0000"/>
          <w:sz w:val="24"/>
          <w:szCs w:val="24"/>
          <w:lang w:val="en-US" w:eastAsia="zh-CN" w:bidi="ar-SA"/>
        </w:rPr>
      </w:pPr>
      <w:r>
        <w:rPr>
          <w:rFonts w:hint="eastAsia" w:asciiTheme="minorEastAsia" w:hAnsiTheme="minorEastAsia" w:eastAsiaTheme="minorEastAsia" w:cstheme="minorEastAsia"/>
          <w:b w:val="0"/>
          <w:bCs/>
          <w:color w:val="FF0000"/>
          <w:sz w:val="24"/>
          <w:szCs w:val="24"/>
          <w:lang w:val="en-US" w:eastAsia="zh-CN" w:bidi="ar-SA"/>
        </w:rPr>
        <w:t>1.7、技术参数负偏离大于5条的。</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FE0AE3F">
      <w:pPr>
        <w:pStyle w:val="12"/>
        <w:ind w:left="0" w:leftChars="0" w:firstLine="0" w:firstLineChars="0"/>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光子治疗仪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4.1</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r w14:paraId="5BFF9F1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F887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6951CC2">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电磁场治疗仪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C1ED6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04639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2.8</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21882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7B886E9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F72CC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5022D13">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center"/>
              <w:rPr>
                <w:rFonts w:hint="eastAsia" w:asciiTheme="minorEastAsia" w:hAnsiTheme="minorEastAsia" w:eastAsiaTheme="minorEastAsia" w:cstheme="minorEastAsia"/>
                <w:bCs/>
                <w:color w:val="auto"/>
                <w:kern w:val="0"/>
                <w:sz w:val="24"/>
                <w:szCs w:val="24"/>
                <w:lang w:val="en-US" w:eastAsia="zh-CN" w:bidi="ar-SA"/>
              </w:rPr>
            </w:pP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4C2764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091A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6.9</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180B1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r>
    </w:tbl>
    <w:p w14:paraId="3474C8E9">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650627F6">
      <w:pPr>
        <w:numPr>
          <w:numId w:val="0"/>
        </w:numPr>
        <w:ind w:firstLine="560" w:firstLineChars="200"/>
        <w:jc w:val="both"/>
        <w:rPr>
          <w:rFonts w:hint="eastAsia" w:ascii="宋体" w:hAnsi="宋体" w:eastAsia="宋体" w:cs="宋体"/>
          <w:sz w:val="28"/>
          <w:szCs w:val="28"/>
        </w:rPr>
      </w:pPr>
      <w:r>
        <w:rPr>
          <w:rFonts w:hint="eastAsia" w:ascii="宋体" w:hAnsi="宋体" w:cs="宋体"/>
          <w:sz w:val="28"/>
          <w:szCs w:val="28"/>
          <w:lang w:eastAsia="zh-CN"/>
        </w:rPr>
        <w:t>（一）</w:t>
      </w:r>
      <w:r>
        <w:rPr>
          <w:rFonts w:hint="eastAsia" w:ascii="宋体" w:hAnsi="宋体" w:eastAsia="宋体" w:cs="宋体"/>
          <w:sz w:val="28"/>
          <w:szCs w:val="28"/>
        </w:rPr>
        <w:t>光子治疗仪</w:t>
      </w:r>
      <w:r>
        <w:rPr>
          <w:rFonts w:hint="eastAsia" w:ascii="宋体" w:hAnsi="宋体" w:eastAsia="宋体" w:cs="宋体"/>
          <w:sz w:val="28"/>
          <w:szCs w:val="28"/>
          <w:lang w:eastAsia="zh-CN"/>
        </w:rPr>
        <w:t>技术参数</w:t>
      </w:r>
    </w:p>
    <w:p w14:paraId="69889854">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产品注册登记表的适用范围</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适用于消炎、镇痛，对体表创面有止渗液、促进肉芽组织生长、加速愈合的作用</w:t>
      </w:r>
      <w:r>
        <w:rPr>
          <w:rFonts w:hint="eastAsia" w:asciiTheme="minorEastAsia" w:hAnsiTheme="minorEastAsia" w:eastAsiaTheme="minorEastAsia" w:cstheme="minorEastAsia"/>
          <w:sz w:val="24"/>
          <w:szCs w:val="24"/>
          <w:lang w:eastAsia="zh-CN"/>
        </w:rPr>
        <w:t>。</w:t>
      </w:r>
    </w:p>
    <w:p w14:paraId="77694B58">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光源材料，半导体固态冷光源（点阵芯片集成式）</w:t>
      </w:r>
    </w:p>
    <w:p w14:paraId="513C8A10">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光源聚光设计，平板</w:t>
      </w:r>
      <w:r>
        <w:rPr>
          <w:rFonts w:hint="eastAsia" w:asciiTheme="minorEastAsia" w:hAnsiTheme="minorEastAsia" w:eastAsiaTheme="minorEastAsia" w:cstheme="minorEastAsia"/>
          <w:color w:val="auto"/>
          <w:sz w:val="24"/>
          <w:szCs w:val="24"/>
          <w:lang w:val="en-US" w:eastAsia="zh-CN"/>
        </w:rPr>
        <w:t>式光源</w:t>
      </w:r>
    </w:p>
    <w:p w14:paraId="651D732D">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峰值波长： 红光：640±10nm，蓝光：460±10nm</w:t>
      </w:r>
    </w:p>
    <w:p w14:paraId="1667F26D">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w:t>
      </w:r>
      <w:r>
        <w:rPr>
          <w:rFonts w:hint="eastAsia" w:asciiTheme="minorEastAsia" w:hAnsiTheme="minorEastAsia" w:eastAsiaTheme="minorEastAsia" w:cstheme="minorEastAsia"/>
          <w:color w:val="auto"/>
          <w:sz w:val="24"/>
          <w:szCs w:val="24"/>
          <w:lang w:val="en-US" w:eastAsia="zh-CN"/>
        </w:rPr>
        <w:t>光功率密度（光源表面测量</w:t>
      </w:r>
      <w:bookmarkStart w:id="5" w:name="_GoBack"/>
      <w:bookmarkEnd w:id="5"/>
      <w:r>
        <w:rPr>
          <w:rFonts w:hint="eastAsia" w:asciiTheme="minorEastAsia" w:hAnsiTheme="minorEastAsia" w:eastAsiaTheme="minorEastAsia" w:cstheme="minorEastAsia"/>
          <w:color w:val="auto"/>
          <w:sz w:val="24"/>
          <w:szCs w:val="24"/>
          <w:lang w:val="en-US" w:eastAsia="zh-CN"/>
        </w:rPr>
        <w:t>）：红光：≥1300mW/c㎡ ， 蓝光：≥1300mW/</w:t>
      </w:r>
      <w:r>
        <w:rPr>
          <w:rFonts w:hint="eastAsia" w:asciiTheme="minorEastAsia" w:hAnsiTheme="minorEastAsia" w:eastAsiaTheme="minorEastAsia" w:cstheme="minorEastAsia"/>
          <w:color w:val="auto"/>
          <w:sz w:val="24"/>
          <w:szCs w:val="24"/>
          <w:highlight w:val="none"/>
          <w:lang w:val="en-US" w:eastAsia="zh-CN"/>
        </w:rPr>
        <w:t>c㎡</w:t>
      </w:r>
    </w:p>
    <w:p w14:paraId="41280F69">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▲特定照射距离下的温升和光功率密度（在距离光杯口平面</w:t>
      </w:r>
      <w:r>
        <w:rPr>
          <w:rFonts w:hint="eastAsia" w:asciiTheme="minorEastAsia" w:hAnsiTheme="minorEastAsia" w:eastAsiaTheme="minorEastAsia" w:cstheme="minorEastAsia"/>
          <w:color w:val="auto"/>
          <w:kern w:val="2"/>
          <w:sz w:val="24"/>
          <w:szCs w:val="24"/>
          <w:highlight w:val="none"/>
          <w:lang w:val="en-US" w:eastAsia="zh-CN" w:bidi="ar-SA"/>
        </w:rPr>
        <w:t>中心轴15cm处，环境温度26℃的条件下，单次照射15min后，），水膜温升≤3℃，光功率密度≥40mW/cm2</w:t>
      </w:r>
    </w:p>
    <w:p w14:paraId="536C7927">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治疗距离下光功率密度，距芯片表面中心垂直15cm处，最高光功率密度≥40mW/cm2</w:t>
      </w:r>
    </w:p>
    <w:p w14:paraId="20799768">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▲有效红光辐照度  距离出光口15cm有效红光辐照度≥30 mW/c m2</w:t>
      </w:r>
    </w:p>
    <w:p w14:paraId="0ECCEE5E">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输出光功率（光杯口平面测量）≥30W</w:t>
      </w:r>
    </w:p>
    <w:p w14:paraId="55BE0D45">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jc w:val="both"/>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光源治疗 15min 后，光源外壳（不包括光杯口平面和散热栅及周围）温度应不高于40℃。</w:t>
      </w:r>
    </w:p>
    <w:p w14:paraId="5B79061E">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具有脉率生物信息反馈功</w:t>
      </w:r>
      <w:r>
        <w:rPr>
          <w:rFonts w:hint="eastAsia" w:asciiTheme="minorEastAsia" w:hAnsiTheme="minorEastAsia" w:eastAsiaTheme="minorEastAsia" w:cstheme="minorEastAsia"/>
          <w:kern w:val="2"/>
          <w:sz w:val="24"/>
          <w:szCs w:val="24"/>
          <w:highlight w:val="none"/>
          <w:lang w:val="en-US" w:eastAsia="zh-CN" w:bidi="ar-SA"/>
        </w:rPr>
        <w:t>能</w:t>
      </w:r>
    </w:p>
    <w:p w14:paraId="5688A1FA">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jc w:val="both"/>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具有自定义治疗方案功能</w:t>
      </w:r>
    </w:p>
    <w:p w14:paraId="0B37FB68">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治疗仪最大治疗深度≥10cm</w:t>
      </w:r>
    </w:p>
    <w:p w14:paraId="29284AB4">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最大有效治疗面积≥800c㎡</w:t>
      </w:r>
    </w:p>
    <w:p w14:paraId="1BF8F016">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光杯口平面面积≥200c㎡   </w:t>
      </w:r>
    </w:p>
    <w:p w14:paraId="72A08306">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kern w:val="2"/>
          <w:sz w:val="24"/>
          <w:szCs w:val="24"/>
          <w:highlight w:val="none"/>
          <w:lang w:val="en-US" w:eastAsia="zh-CN" w:bidi="ar-SA"/>
        </w:rPr>
        <w:t>▲</w:t>
      </w:r>
      <w:r>
        <w:rPr>
          <w:rFonts w:hint="eastAsia" w:asciiTheme="minorEastAsia" w:hAnsiTheme="minorEastAsia" w:eastAsiaTheme="minorEastAsia" w:cstheme="minorEastAsia"/>
          <w:sz w:val="24"/>
          <w:szCs w:val="24"/>
          <w:highlight w:val="none"/>
          <w:lang w:val="en-US" w:eastAsia="zh-CN"/>
        </w:rPr>
        <w:t>光功率稳定度 光功率变化率≤±3%</w:t>
      </w:r>
    </w:p>
    <w:p w14:paraId="3BB89CFB">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手动升降装置   </w:t>
      </w:r>
    </w:p>
    <w:p w14:paraId="415883B0">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升降高度调节范围 ≥300mm</w:t>
      </w:r>
    </w:p>
    <w:p w14:paraId="5981F677">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能量调节方式：五级焦耳剂量能量调节</w:t>
      </w:r>
    </w:p>
    <w:p w14:paraId="6C5A0C0A">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照射治疗模式 ：持续/脉冲照射治疗可选</w:t>
      </w:r>
    </w:p>
    <w:p w14:paraId="47A54828">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定时时间：可从1min～99min连续可调</w:t>
      </w:r>
    </w:p>
    <w:p w14:paraId="69DCA94B">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操作面板 ：触摸屏、液晶显示</w:t>
      </w:r>
    </w:p>
    <w:p w14:paraId="464A02D0">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输入功率：≤450VA</w:t>
      </w:r>
    </w:p>
    <w:p w14:paraId="1904C914">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570" w:leftChars="0" w:firstLine="48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售后服务：省内有厂家售后服务人员，</w:t>
      </w:r>
      <w:r>
        <w:rPr>
          <w:rFonts w:hint="eastAsia" w:asciiTheme="minorEastAsia" w:hAnsiTheme="minorEastAsia" w:eastAsiaTheme="minorEastAsia" w:cstheme="minorEastAsia"/>
          <w:color w:val="auto"/>
          <w:sz w:val="24"/>
          <w:szCs w:val="24"/>
          <w:highlight w:val="none"/>
          <w:lang w:val="en-US" w:eastAsia="zh-CN"/>
        </w:rPr>
        <w:t>并开通服务热线</w:t>
      </w:r>
      <w:r>
        <w:rPr>
          <w:rFonts w:hint="eastAsia" w:asciiTheme="minorEastAsia" w:hAnsiTheme="minorEastAsia" w:eastAsiaTheme="minorEastAsia" w:cstheme="minorEastAsia"/>
          <w:sz w:val="24"/>
          <w:szCs w:val="24"/>
          <w:highlight w:val="none"/>
          <w:lang w:val="en-US" w:eastAsia="zh-CN"/>
        </w:rPr>
        <w:t xml:space="preserve"> </w:t>
      </w:r>
    </w:p>
    <w:p w14:paraId="3A03E023">
      <w:pPr>
        <w:keepNext w:val="0"/>
        <w:keepLines w:val="0"/>
        <w:pageBreakBefore w:val="0"/>
        <w:widowControl w:val="0"/>
        <w:numPr>
          <w:ilvl w:val="0"/>
          <w:numId w:val="4"/>
        </w:numPr>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电磁场治疗仪</w:t>
      </w:r>
    </w:p>
    <w:p w14:paraId="59CEC85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两路中频电疗（8个电极）和两路脉冲磁疗联合治疗；</w:t>
      </w:r>
    </w:p>
    <w:p w14:paraId="62BBFDC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彩色液晶触摸显示屏； </w:t>
      </w:r>
    </w:p>
    <w:p w14:paraId="4B53C13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14:textFill>
            <w14:solidFill>
              <w14:schemeClr w14:val="tx1"/>
            </w14:solidFill>
          </w14:textFill>
        </w:rPr>
        <w:t>台式机型，方便移动医疗；</w:t>
      </w:r>
    </w:p>
    <w:p w14:paraId="77ED4A1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14:textFill>
            <w14:solidFill>
              <w14:schemeClr w14:val="tx1"/>
            </w14:solidFill>
          </w14:textFill>
        </w:rPr>
        <w:t>中频</w:t>
      </w:r>
      <w:r>
        <w:rPr>
          <w:rFonts w:hint="eastAsia" w:asciiTheme="minorEastAsia" w:hAnsiTheme="minorEastAsia" w:eastAsiaTheme="minorEastAsia" w:cstheme="minorEastAsia"/>
          <w:color w:val="000000" w:themeColor="text1"/>
          <w:spacing w:val="20"/>
          <w:sz w:val="24"/>
          <w:szCs w:val="24"/>
          <w14:textFill>
            <w14:solidFill>
              <w14:schemeClr w14:val="tx1"/>
            </w14:solidFill>
          </w14:textFill>
        </w:rPr>
        <w:t>电疗输出强度0-100mA（峰值强度）可调；</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14:paraId="3FEBCDA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中频</w:t>
      </w:r>
      <w:r>
        <w:rPr>
          <w:rFonts w:hint="eastAsia" w:asciiTheme="minorEastAsia" w:hAnsiTheme="minorEastAsia" w:eastAsiaTheme="minorEastAsia" w:cstheme="minorEastAsia"/>
          <w:color w:val="000000" w:themeColor="text1"/>
          <w:spacing w:val="20"/>
          <w:sz w:val="24"/>
          <w:szCs w:val="24"/>
          <w14:textFill>
            <w14:solidFill>
              <w14:schemeClr w14:val="tx1"/>
            </w14:solidFill>
          </w14:textFill>
        </w:rPr>
        <w:t>电疗具有四种固定治疗模式，对骨折各期针对性治疗；</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14:paraId="095ECAF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56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20"/>
          <w:sz w:val="24"/>
          <w:szCs w:val="24"/>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pacing w:val="20"/>
          <w:sz w:val="24"/>
          <w:szCs w:val="24"/>
          <w14:textFill>
            <w14:solidFill>
              <w14:schemeClr w14:val="tx1"/>
            </w14:solidFill>
          </w14:textFill>
        </w:rPr>
        <w:t>电疗治疗强度实时数字显示：电疗输出波形动态显示，输出一目了然；</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14:paraId="122DB2F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56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20"/>
          <w:sz w:val="24"/>
          <w:szCs w:val="24"/>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pacing w:val="20"/>
          <w:sz w:val="24"/>
          <w:szCs w:val="24"/>
          <w14:textFill>
            <w14:solidFill>
              <w14:schemeClr w14:val="tx1"/>
            </w14:solidFill>
          </w14:textFill>
        </w:rPr>
        <w:t>电脉冲延迟技术，避免瞬间高强电流刺激人体，具备过电流保护功能；磁疗具有</w:t>
      </w:r>
      <w:r>
        <w:rPr>
          <w:rFonts w:hint="eastAsia" w:asciiTheme="minorEastAsia" w:hAnsiTheme="minorEastAsia" w:eastAsiaTheme="minorEastAsia" w:cstheme="minorEastAsia"/>
          <w:color w:val="FF0000"/>
          <w:spacing w:val="20"/>
          <w:sz w:val="24"/>
          <w:szCs w:val="24"/>
          <w:lang w:eastAsia="zh-CN"/>
        </w:rPr>
        <w:t>不少于</w:t>
      </w:r>
      <w:r>
        <w:rPr>
          <w:rFonts w:hint="eastAsia" w:asciiTheme="minorEastAsia" w:hAnsiTheme="minorEastAsia" w:eastAsiaTheme="minorEastAsia" w:cstheme="minorEastAsia"/>
          <w:color w:val="000000" w:themeColor="text1"/>
          <w:spacing w:val="20"/>
          <w:sz w:val="24"/>
          <w:szCs w:val="24"/>
          <w14:textFill>
            <w14:solidFill>
              <w14:schemeClr w14:val="tx1"/>
            </w14:solidFill>
          </w14:textFill>
        </w:rPr>
        <w:t>四种治疗模式，对各种骨折进行针对性治疗；</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14:paraId="1DA63C8F">
      <w:pPr>
        <w:pStyle w:val="22"/>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Theme="minorEastAsia" w:hAnsiTheme="minorEastAsia" w:eastAsiaTheme="minorEastAsia" w:cstheme="minorEastAsia"/>
          <w:color w:val="auto"/>
          <w:spacing w:val="20"/>
          <w:sz w:val="24"/>
          <w:szCs w:val="24"/>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万向磁疗耦合器，可</w:t>
      </w:r>
      <w:r>
        <w:rPr>
          <w:rFonts w:hint="eastAsia" w:asciiTheme="minorEastAsia" w:hAnsiTheme="minorEastAsia" w:eastAsiaTheme="minorEastAsia" w:cstheme="minorEastAsia"/>
          <w:color w:val="auto"/>
          <w:sz w:val="24"/>
          <w:szCs w:val="24"/>
        </w:rPr>
        <w:t>根据部位大小自由调节磁疗头宽度，适用于全身各个部位的治疗；</w:t>
      </w:r>
      <w:r>
        <w:rPr>
          <w:rFonts w:hint="eastAsia" w:asciiTheme="minorEastAsia" w:hAnsiTheme="minorEastAsia" w:eastAsiaTheme="minorEastAsia" w:cstheme="minorEastAsia"/>
          <w:color w:val="auto"/>
          <w:spacing w:val="20"/>
          <w:sz w:val="24"/>
          <w:szCs w:val="24"/>
        </w:rPr>
        <w:t xml:space="preserve"> </w:t>
      </w:r>
    </w:p>
    <w:p w14:paraId="1AAAE0DB">
      <w:pPr>
        <w:pStyle w:val="22"/>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560" w:firstLineChars="200"/>
        <w:textAlignment w:val="auto"/>
        <w:rPr>
          <w:rFonts w:hint="eastAsia" w:asciiTheme="minorEastAsia" w:hAnsiTheme="minorEastAsia" w:eastAsiaTheme="minorEastAsia" w:cstheme="minorEastAsia"/>
          <w:color w:val="auto"/>
          <w:spacing w:val="20"/>
          <w:sz w:val="24"/>
          <w:szCs w:val="24"/>
        </w:rPr>
      </w:pPr>
      <w:r>
        <w:rPr>
          <w:rFonts w:hint="eastAsia" w:asciiTheme="minorEastAsia" w:hAnsiTheme="minorEastAsia" w:eastAsiaTheme="minorEastAsia" w:cstheme="minorEastAsia"/>
          <w:color w:val="auto"/>
          <w:spacing w:val="20"/>
          <w:sz w:val="24"/>
          <w:szCs w:val="24"/>
          <w:lang w:val="en-US" w:eastAsia="zh-CN"/>
        </w:rPr>
        <w:t>9、</w:t>
      </w:r>
      <w:r>
        <w:rPr>
          <w:rFonts w:hint="eastAsia" w:asciiTheme="minorEastAsia" w:hAnsiTheme="minorEastAsia" w:eastAsiaTheme="minorEastAsia" w:cstheme="minorEastAsia"/>
          <w:color w:val="auto"/>
          <w:spacing w:val="20"/>
          <w:sz w:val="24"/>
          <w:szCs w:val="24"/>
        </w:rPr>
        <w:t>治疗时间0~99min可调，</w:t>
      </w:r>
      <w:r>
        <w:rPr>
          <w:rFonts w:hint="eastAsia" w:asciiTheme="minorEastAsia" w:hAnsiTheme="minorEastAsia" w:eastAsiaTheme="minorEastAsia" w:cstheme="minorEastAsia"/>
          <w:color w:val="FF0000"/>
          <w:spacing w:val="20"/>
          <w:sz w:val="24"/>
          <w:szCs w:val="24"/>
          <w:lang w:eastAsia="zh-CN"/>
        </w:rPr>
        <w:t>可设置</w:t>
      </w:r>
      <w:r>
        <w:rPr>
          <w:rFonts w:hint="eastAsia" w:asciiTheme="minorEastAsia" w:hAnsiTheme="minorEastAsia" w:eastAsiaTheme="minorEastAsia" w:cstheme="minorEastAsia"/>
          <w:color w:val="FF0000"/>
          <w:spacing w:val="20"/>
          <w:sz w:val="24"/>
          <w:szCs w:val="24"/>
        </w:rPr>
        <w:t>默认</w:t>
      </w:r>
      <w:r>
        <w:rPr>
          <w:rFonts w:hint="eastAsia" w:asciiTheme="minorEastAsia" w:hAnsiTheme="minorEastAsia" w:eastAsiaTheme="minorEastAsia" w:cstheme="minorEastAsia"/>
          <w:color w:val="FF0000"/>
          <w:spacing w:val="20"/>
          <w:sz w:val="24"/>
          <w:szCs w:val="24"/>
          <w:lang w:eastAsia="zh-CN"/>
        </w:rPr>
        <w:t>时间</w:t>
      </w:r>
      <w:r>
        <w:rPr>
          <w:rFonts w:hint="eastAsia" w:asciiTheme="minorEastAsia" w:hAnsiTheme="minorEastAsia" w:eastAsiaTheme="minorEastAsia" w:cstheme="minorEastAsia"/>
          <w:color w:val="FF0000"/>
          <w:spacing w:val="20"/>
          <w:sz w:val="24"/>
          <w:szCs w:val="24"/>
        </w:rPr>
        <w:t>为20min。</w:t>
      </w:r>
    </w:p>
    <w:p w14:paraId="1A4DAA20">
      <w:pPr>
        <w:pStyle w:val="22"/>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560" w:firstLineChars="200"/>
        <w:textAlignment w:val="auto"/>
        <w:rPr>
          <w:rFonts w:hint="eastAsia" w:asciiTheme="minorEastAsia" w:hAnsiTheme="minorEastAsia" w:eastAsiaTheme="minorEastAsia" w:cstheme="minorEastAsia"/>
          <w:color w:val="C00000"/>
          <w:spacing w:val="20"/>
          <w:sz w:val="24"/>
          <w:szCs w:val="24"/>
        </w:rPr>
      </w:pPr>
      <w:r>
        <w:rPr>
          <w:rFonts w:hint="eastAsia" w:asciiTheme="minorEastAsia" w:hAnsiTheme="minorEastAsia" w:eastAsiaTheme="minorEastAsia" w:cstheme="minorEastAsia"/>
          <w:spacing w:val="20"/>
          <w:sz w:val="24"/>
          <w:szCs w:val="24"/>
          <w:lang w:val="en-US" w:eastAsia="zh-CN"/>
        </w:rPr>
        <w:t>10、</w:t>
      </w:r>
      <w:r>
        <w:rPr>
          <w:rFonts w:hint="eastAsia" w:asciiTheme="minorEastAsia" w:hAnsiTheme="minorEastAsia" w:eastAsiaTheme="minorEastAsia" w:cstheme="minorEastAsia"/>
          <w:spacing w:val="20"/>
          <w:sz w:val="24"/>
          <w:szCs w:val="24"/>
        </w:rPr>
        <w:t>治疗结束自动停止，声音提示。</w:t>
      </w:r>
    </w:p>
    <w:p w14:paraId="5B0A8C51">
      <w:pPr>
        <w:keepNext w:val="0"/>
        <w:keepLines w:val="0"/>
        <w:pageBreakBefore w:val="0"/>
        <w:widowControl w:val="0"/>
        <w:kinsoku/>
        <w:wordWrap/>
        <w:topLinePunct w:val="0"/>
        <w:autoSpaceDE/>
        <w:autoSpaceDN/>
        <w:bidi w:val="0"/>
        <w:snapToGrid/>
        <w:spacing w:line="360" w:lineRule="auto"/>
        <w:ind w:left="120" w:leftChars="57"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p>
    <w:p w14:paraId="7DA9722A">
      <w:pPr>
        <w:keepNext w:val="0"/>
        <w:keepLines w:val="0"/>
        <w:pageBreakBefore w:val="0"/>
        <w:widowControl w:val="0"/>
        <w:numPr>
          <w:ilvl w:val="0"/>
          <w:numId w:val="0"/>
        </w:numPr>
        <w:kinsoku/>
        <w:wordWrap/>
        <w:topLinePunct w:val="0"/>
        <w:autoSpaceDE/>
        <w:autoSpaceDN/>
        <w:bidi w:val="0"/>
        <w:snapToGrid/>
        <w:ind w:left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（三）商务参数</w:t>
      </w:r>
    </w:p>
    <w:p w14:paraId="24C22C10">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运输、装卸、培训、安装调试：由中标人负责承担，最终通过使用科室、设备科及相关部门确认验收交付使用。国产设备交付，设备必须为6个月内生产的产品；进口设备交付，设备必须为一年内生产的产品。</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cr/>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 xml:space="preserve">   ★2、交货时间：按合同约定的日期交货。</w:t>
      </w:r>
    </w:p>
    <w:p w14:paraId="7A81A5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★3、交货地点：娄底市中心医院指定地点。</w:t>
      </w:r>
    </w:p>
    <w:p w14:paraId="228C4B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★4、付款方式：设备验收合格后，供应商将发票交到娄底市中心医院后按程序支付货款90%（一般情况下4个月内支付、特殊情况下最多不超过6个月），甲方在设备验收合格满叁年后支付10%余款给乙方。</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cr/>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 xml:space="preserve">   ★5、质保与售后：整机保修叁年，终身维修。验收时出具原厂售后质保承诺书，质保期内每年巡检一次，并提交巡检记录。</w:t>
      </w:r>
      <w:r>
        <w:rPr>
          <w:rFonts w:hint="eastAsia" w:asciiTheme="minorEastAsia" w:hAnsiTheme="minorEastAsia" w:eastAsiaTheme="minorEastAsia" w:cstheme="minorEastAsia"/>
          <w:color w:val="000000" w:themeColor="text1"/>
          <w:spacing w:val="20"/>
          <w:kern w:val="2"/>
          <w:sz w:val="24"/>
          <w:szCs w:val="24"/>
          <w:lang w:val="zh-CN" w:eastAsia="zh-CN" w:bidi="ar-SA"/>
          <w14:textFill>
            <w14:solidFill>
              <w14:schemeClr w14:val="tx1"/>
            </w14:solidFill>
          </w14:textFill>
        </w:rPr>
        <w:t>质保期内</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出现故障，1小时响应，响应后24小时上门服务。</w:t>
      </w:r>
    </w:p>
    <w:p w14:paraId="05FBDB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6、在投标文件中必须提供相关技术资料并加盖投标人公章（如技术参数、技术白皮书、说明书、彩页等），并在响应表中对技术参数中“★”、“▲”以及要求提供佐证材料的条款备注该条参数响应或正偏离的佐证资料所在页码。</w:t>
      </w:r>
    </w:p>
    <w:p w14:paraId="716766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2A43F4F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合同编号：</w:t>
      </w:r>
    </w:p>
    <w:p w14:paraId="397E0CB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E0A135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702B9FF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4CFFB5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2BEB770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2784CB5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5E91B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1D9801D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59B25EE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CED870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BE3294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171EE5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680C42A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6045C2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1CDE74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光子治疗仪+电磁场治疗仪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光子治疗仪+电磁场治疗仪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光子治疗仪</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17" w:type="dxa"/>
            <w:vAlign w:val="top"/>
          </w:tcPr>
          <w:p w14:paraId="6655782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电磁场治疗仪</w:t>
            </w:r>
          </w:p>
        </w:tc>
        <w:tc>
          <w:tcPr>
            <w:tcW w:w="1220"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C3723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6D4364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1E6659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B099D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9F05D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1B23E70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A14CDE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w:t>
      </w:r>
      <w:r>
        <w:rPr>
          <w:rFonts w:hint="eastAsia" w:ascii="宋体" w:hAnsi="宋体" w:eastAsia="宋体" w:cs="宋体"/>
          <w:color w:val="auto"/>
          <w:sz w:val="24"/>
          <w:szCs w:val="24"/>
          <w:highlight w:val="none"/>
          <w:lang w:val="en-US" w:eastAsia="zh-CN"/>
        </w:rPr>
        <w:t>准；如乙方应交付的设备属于国产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147C2C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3.2 质量验收：以本合同约定标准按以下方式进行验收： </w:t>
      </w:r>
    </w:p>
    <w:p w14:paraId="1A982C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w:t>
      </w:r>
      <w:r>
        <w:rPr>
          <w:rFonts w:hint="eastAsia" w:ascii="宋体" w:hAnsi="宋体" w:eastAsia="宋体" w:cs="宋体"/>
          <w:color w:val="000000" w:themeColor="text1"/>
          <w:sz w:val="24"/>
          <w:szCs w:val="24"/>
          <w:highlight w:val="none"/>
          <w:lang w:val="en-US" w:eastAsia="zh-CN"/>
          <w14:textFill>
            <w14:solidFill>
              <w14:schemeClr w14:val="tx1"/>
            </w14:solidFill>
          </w14:textFill>
        </w:rPr>
        <w:t>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2F8F14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D45A2D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261EF64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16C99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D56B3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03EC28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0A581A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3C71C8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43BC7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8839F9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4A64EAF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392BEB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274AE7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730E4A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3FE8AE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0E3BE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771793B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C7722E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089EE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228F9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33E57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C622F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0EDF2E1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FB3DA7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4AF548D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4BE521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F8800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F3BEE2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0A2668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A6953D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75C6545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9272D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81DA3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48771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CB352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561E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DCF478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2B97C7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FD2B1E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182C8D1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DD57F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471CB5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9567D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CEDC96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05E77C4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63C846A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230F3F8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DC72E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2242E6D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497D76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w:t>
      </w:r>
      <w:r>
        <w:rPr>
          <w:rFonts w:hint="eastAsia" w:ascii="宋体" w:hAnsi="宋体" w:eastAsia="宋体" w:cs="宋体"/>
          <w:b/>
          <w:bCs/>
          <w:color w:val="auto"/>
          <w:sz w:val="24"/>
          <w:szCs w:val="24"/>
          <w:highlight w:val="none"/>
          <w:u w:val="single"/>
          <w:lang w:val="en-US" w:eastAsia="zh-CN"/>
        </w:rPr>
        <w:t>现存在违反本合同廉洁条款及供应商考核管理制度约定的行为，乙方均须向甲方支付一次性惩罚性违约金，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承担相应违约责任。</w:t>
      </w:r>
    </w:p>
    <w:p w14:paraId="21D091F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9EC66C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0A5E899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A196A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6911FC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64A17B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084975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A0BE3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32E40BC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0BE301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5A3FB3B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F51B8B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B3625A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67D4EC1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09C605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7ACE6D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0D3ED46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E73D50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F55EB0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90CD13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729FA45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46178DD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76B9AE15">
      <w:pPr>
        <w:spacing w:line="480" w:lineRule="exact"/>
        <w:rPr>
          <w:rFonts w:hint="eastAsia" w:ascii="黑体" w:hAnsi="黑体" w:eastAsia="黑体" w:cs="黑体"/>
          <w:sz w:val="32"/>
          <w:szCs w:val="32"/>
        </w:rPr>
      </w:pPr>
    </w:p>
    <w:p w14:paraId="07B141D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6505C82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FD447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7EE8710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173B3D4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5A04CB7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22A72C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BF3074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72F9EC0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E3AA480">
            <w:pPr>
              <w:jc w:val="center"/>
              <w:rPr>
                <w:rFonts w:hint="eastAsia" w:ascii="仿宋" w:hAnsi="仿宋" w:eastAsia="仿宋" w:cs="仿宋"/>
                <w:sz w:val="24"/>
                <w:szCs w:val="24"/>
              </w:rPr>
            </w:pPr>
            <w:r>
              <w:rPr>
                <w:rFonts w:hint="eastAsia" w:ascii="仿宋" w:hAnsi="仿宋" w:eastAsia="仿宋" w:cs="仿宋"/>
                <w:sz w:val="24"/>
                <w:szCs w:val="24"/>
              </w:rPr>
              <w:t>50%</w:t>
            </w:r>
          </w:p>
        </w:tc>
      </w:tr>
      <w:tr w14:paraId="0323D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B7889E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1BC837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0D15E51">
            <w:pPr>
              <w:jc w:val="center"/>
              <w:rPr>
                <w:rFonts w:hint="eastAsia" w:ascii="仿宋" w:hAnsi="仿宋" w:eastAsia="仿宋" w:cs="仿宋"/>
                <w:sz w:val="24"/>
                <w:szCs w:val="24"/>
              </w:rPr>
            </w:pPr>
            <w:r>
              <w:rPr>
                <w:rFonts w:hint="eastAsia" w:ascii="仿宋" w:hAnsi="仿宋" w:eastAsia="仿宋" w:cs="仿宋"/>
                <w:sz w:val="24"/>
                <w:szCs w:val="24"/>
              </w:rPr>
              <w:t>40%</w:t>
            </w:r>
          </w:p>
        </w:tc>
      </w:tr>
      <w:tr w14:paraId="3B382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8C16F5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18F2ACE">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E02E85">
            <w:pPr>
              <w:jc w:val="center"/>
              <w:rPr>
                <w:rFonts w:hint="eastAsia" w:ascii="仿宋" w:hAnsi="仿宋" w:eastAsia="仿宋" w:cs="仿宋"/>
                <w:sz w:val="24"/>
                <w:szCs w:val="24"/>
              </w:rPr>
            </w:pPr>
            <w:r>
              <w:rPr>
                <w:rFonts w:hint="eastAsia" w:ascii="仿宋" w:hAnsi="仿宋" w:eastAsia="仿宋" w:cs="仿宋"/>
                <w:sz w:val="24"/>
                <w:szCs w:val="24"/>
              </w:rPr>
              <w:t>10%</w:t>
            </w:r>
          </w:p>
        </w:tc>
      </w:tr>
      <w:tr w14:paraId="170FA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D2BDF2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665494A7">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4721463">
      <w:pPr>
        <w:jc w:val="center"/>
        <w:rPr>
          <w:rFonts w:hint="eastAsia" w:ascii="仿宋" w:hAnsi="仿宋" w:eastAsia="仿宋" w:cs="仿宋"/>
          <w:sz w:val="24"/>
          <w:szCs w:val="24"/>
        </w:rPr>
      </w:pPr>
    </w:p>
    <w:p w14:paraId="14DB9668">
      <w:pPr>
        <w:jc w:val="center"/>
        <w:rPr>
          <w:rFonts w:hint="eastAsia" w:ascii="仿宋" w:hAnsi="仿宋" w:eastAsia="仿宋" w:cs="仿宋"/>
          <w:sz w:val="24"/>
          <w:szCs w:val="24"/>
        </w:rPr>
      </w:pPr>
    </w:p>
    <w:p w14:paraId="33DADF36">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1463"/>
        <w:gridCol w:w="6945"/>
      </w:tblGrid>
      <w:tr w14:paraId="423DB7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1B0455E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463" w:type="dxa"/>
            <w:tcBorders>
              <w:top w:val="double" w:color="auto" w:sz="4" w:space="0"/>
              <w:left w:val="single" w:color="auto" w:sz="4" w:space="0"/>
              <w:bottom w:val="single" w:color="auto" w:sz="6" w:space="0"/>
              <w:right w:val="single" w:color="auto" w:sz="4" w:space="0"/>
            </w:tcBorders>
            <w:noWrap w:val="0"/>
            <w:vAlign w:val="center"/>
          </w:tcPr>
          <w:p w14:paraId="63431F5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945" w:type="dxa"/>
            <w:tcBorders>
              <w:top w:val="double" w:color="auto" w:sz="4" w:space="0"/>
              <w:left w:val="single" w:color="auto" w:sz="4" w:space="0"/>
              <w:bottom w:val="single" w:color="auto" w:sz="6" w:space="0"/>
              <w:right w:val="double" w:color="auto" w:sz="4" w:space="0"/>
            </w:tcBorders>
            <w:noWrap w:val="0"/>
            <w:vAlign w:val="center"/>
          </w:tcPr>
          <w:p w14:paraId="108F38D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AB5E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741B3036">
            <w:pPr>
              <w:jc w:val="center"/>
              <w:rPr>
                <w:rFonts w:hint="eastAsia" w:ascii="仿宋" w:hAnsi="仿宋" w:eastAsia="仿宋" w:cs="仿宋"/>
                <w:sz w:val="24"/>
                <w:szCs w:val="24"/>
              </w:rPr>
            </w:pPr>
            <w:r>
              <w:rPr>
                <w:rFonts w:hint="eastAsia" w:ascii="仿宋" w:hAnsi="仿宋" w:eastAsia="仿宋" w:cs="仿宋"/>
                <w:sz w:val="24"/>
                <w:szCs w:val="24"/>
              </w:rPr>
              <w:t>1</w:t>
            </w:r>
          </w:p>
        </w:tc>
        <w:tc>
          <w:tcPr>
            <w:tcW w:w="1463" w:type="dxa"/>
            <w:tcBorders>
              <w:top w:val="single" w:color="auto" w:sz="6" w:space="0"/>
              <w:left w:val="single" w:color="auto" w:sz="4" w:space="0"/>
              <w:bottom w:val="single" w:color="auto" w:sz="6" w:space="0"/>
              <w:right w:val="single" w:color="auto" w:sz="4" w:space="0"/>
            </w:tcBorders>
            <w:noWrap w:val="0"/>
            <w:vAlign w:val="center"/>
          </w:tcPr>
          <w:p w14:paraId="30BC638F">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6E7717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945" w:type="dxa"/>
            <w:tcBorders>
              <w:top w:val="single" w:color="auto" w:sz="6" w:space="0"/>
              <w:left w:val="single" w:color="auto" w:sz="4" w:space="0"/>
              <w:bottom w:val="single" w:color="auto" w:sz="6" w:space="0"/>
              <w:right w:val="double" w:color="auto" w:sz="4" w:space="0"/>
            </w:tcBorders>
            <w:noWrap w:val="0"/>
            <w:vAlign w:val="center"/>
          </w:tcPr>
          <w:p w14:paraId="277AAA12">
            <w:pPr>
              <w:jc w:val="left"/>
              <w:rPr>
                <w:rFonts w:hint="eastAsia" w:ascii="仿宋" w:hAnsi="仿宋" w:eastAsia="仿宋" w:cs="仿宋"/>
                <w:sz w:val="24"/>
                <w:szCs w:val="24"/>
              </w:rPr>
            </w:pPr>
            <w:r>
              <w:rPr>
                <w:rFonts w:hint="eastAsia" w:ascii="仿宋" w:hAnsi="仿宋" w:eastAsia="仿宋" w:cs="仿宋"/>
                <w:sz w:val="24"/>
                <w:szCs w:val="24"/>
              </w:rPr>
              <w:t>1、满足招标文件要求且投标报价中最低的投标报价为评标基准价其价格分为满分；其他投标人的价格分统一按照以下公式计算：</w:t>
            </w:r>
          </w:p>
          <w:p w14:paraId="382993C6">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6E82FE21">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B0BA615">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29D6D6CC">
      <w:pPr>
        <w:jc w:val="center"/>
        <w:rPr>
          <w:rFonts w:hint="eastAsia" w:ascii="仿宋" w:hAnsi="仿宋" w:eastAsia="仿宋" w:cs="仿宋"/>
          <w:sz w:val="24"/>
          <w:szCs w:val="24"/>
        </w:rPr>
      </w:pPr>
    </w:p>
    <w:p w14:paraId="7EAB5543">
      <w:pPr>
        <w:jc w:val="center"/>
        <w:rPr>
          <w:rFonts w:hint="eastAsia" w:ascii="仿宋" w:hAnsi="仿宋" w:eastAsia="仿宋" w:cs="仿宋"/>
          <w:sz w:val="24"/>
          <w:szCs w:val="24"/>
        </w:rPr>
      </w:pPr>
    </w:p>
    <w:p w14:paraId="5DE4AB9C">
      <w:pPr>
        <w:jc w:val="center"/>
        <w:rPr>
          <w:rFonts w:hint="eastAsia" w:ascii="仿宋" w:hAnsi="仿宋" w:eastAsia="仿宋" w:cs="仿宋"/>
          <w:sz w:val="24"/>
          <w:szCs w:val="24"/>
        </w:rPr>
      </w:pPr>
    </w:p>
    <w:p w14:paraId="03133162">
      <w:pPr>
        <w:jc w:val="center"/>
        <w:rPr>
          <w:rFonts w:hint="eastAsia" w:ascii="仿宋" w:hAnsi="仿宋" w:eastAsia="仿宋" w:cs="仿宋"/>
          <w:sz w:val="24"/>
          <w:szCs w:val="24"/>
        </w:rPr>
      </w:pPr>
    </w:p>
    <w:p w14:paraId="1554B452">
      <w:pPr>
        <w:jc w:val="center"/>
        <w:rPr>
          <w:rFonts w:hint="eastAsia" w:ascii="仿宋" w:hAnsi="仿宋" w:eastAsia="仿宋" w:cs="仿宋"/>
          <w:sz w:val="24"/>
          <w:szCs w:val="24"/>
        </w:rPr>
      </w:pPr>
      <w:r>
        <w:rPr>
          <w:rFonts w:hint="eastAsia" w:ascii="仿宋" w:hAnsi="仿宋" w:eastAsia="仿宋" w:cs="仿宋"/>
          <w:sz w:val="24"/>
          <w:szCs w:val="24"/>
        </w:rPr>
        <w:br w:type="page"/>
      </w:r>
    </w:p>
    <w:p w14:paraId="5F766B0E">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643"/>
        <w:gridCol w:w="763"/>
        <w:gridCol w:w="641"/>
        <w:gridCol w:w="5390"/>
      </w:tblGrid>
      <w:tr w14:paraId="68C4F3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2784703">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43" w:type="dxa"/>
            <w:tcBorders>
              <w:top w:val="double" w:color="auto" w:sz="4" w:space="0"/>
              <w:left w:val="single" w:color="auto" w:sz="4" w:space="0"/>
              <w:bottom w:val="single" w:color="auto" w:sz="6" w:space="0"/>
              <w:right w:val="single" w:color="auto" w:sz="4" w:space="0"/>
            </w:tcBorders>
            <w:noWrap w:val="0"/>
            <w:vAlign w:val="center"/>
          </w:tcPr>
          <w:p w14:paraId="2FEA214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794" w:type="dxa"/>
            <w:gridSpan w:val="3"/>
            <w:tcBorders>
              <w:top w:val="double" w:color="auto" w:sz="4" w:space="0"/>
              <w:left w:val="single" w:color="auto" w:sz="4" w:space="0"/>
              <w:bottom w:val="single" w:color="auto" w:sz="6" w:space="0"/>
              <w:right w:val="double" w:color="auto" w:sz="4" w:space="0"/>
            </w:tcBorders>
            <w:noWrap w:val="0"/>
            <w:vAlign w:val="center"/>
          </w:tcPr>
          <w:p w14:paraId="25D71E1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E01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7B4B75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643" w:type="dxa"/>
            <w:tcBorders>
              <w:top w:val="single" w:color="auto" w:sz="6" w:space="0"/>
              <w:left w:val="single" w:color="auto" w:sz="4" w:space="0"/>
              <w:bottom w:val="single" w:color="auto" w:sz="6" w:space="0"/>
              <w:right w:val="single" w:color="auto" w:sz="6" w:space="0"/>
            </w:tcBorders>
            <w:noWrap w:val="0"/>
            <w:vAlign w:val="center"/>
          </w:tcPr>
          <w:p w14:paraId="12DB6FE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技术评价项</w:t>
            </w:r>
          </w:p>
          <w:p w14:paraId="305BF3AF">
            <w:pPr>
              <w:jc w:val="center"/>
              <w:rPr>
                <w:rFonts w:hint="eastAsia" w:ascii="仿宋" w:hAnsi="仿宋" w:eastAsia="仿宋" w:cs="仿宋"/>
                <w:color w:val="auto"/>
                <w:sz w:val="24"/>
                <w:szCs w:val="24"/>
              </w:rPr>
            </w:pPr>
            <w:r>
              <w:rPr>
                <w:rFonts w:hint="eastAsia" w:ascii="仿宋" w:hAnsi="仿宋" w:eastAsia="仿宋" w:cs="仿宋"/>
                <w:color w:val="auto"/>
                <w:sz w:val="24"/>
                <w:szCs w:val="24"/>
              </w:rPr>
              <w:t>（F=100分）</w:t>
            </w:r>
          </w:p>
        </w:tc>
        <w:tc>
          <w:tcPr>
            <w:tcW w:w="763" w:type="dxa"/>
            <w:tcBorders>
              <w:top w:val="single" w:color="auto" w:sz="6" w:space="0"/>
              <w:left w:val="single" w:color="auto" w:sz="6" w:space="0"/>
              <w:bottom w:val="single" w:color="auto" w:sz="6" w:space="0"/>
              <w:right w:val="single" w:color="auto" w:sz="4" w:space="0"/>
            </w:tcBorders>
            <w:noWrap w:val="0"/>
            <w:vAlign w:val="center"/>
          </w:tcPr>
          <w:p w14:paraId="20DC8CC7">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技术参数</w:t>
            </w:r>
          </w:p>
        </w:tc>
        <w:tc>
          <w:tcPr>
            <w:tcW w:w="641" w:type="dxa"/>
            <w:tcBorders>
              <w:top w:val="single" w:color="auto" w:sz="6" w:space="0"/>
              <w:left w:val="single" w:color="auto" w:sz="4" w:space="0"/>
              <w:bottom w:val="single" w:color="auto" w:sz="6" w:space="0"/>
              <w:right w:val="single" w:color="auto" w:sz="6" w:space="0"/>
            </w:tcBorders>
            <w:noWrap w:val="0"/>
            <w:vAlign w:val="center"/>
          </w:tcPr>
          <w:p w14:paraId="769012A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100</w:t>
            </w:r>
          </w:p>
        </w:tc>
        <w:tc>
          <w:tcPr>
            <w:tcW w:w="5390" w:type="dxa"/>
            <w:tcBorders>
              <w:top w:val="single" w:color="auto" w:sz="6" w:space="0"/>
              <w:left w:val="single" w:color="auto" w:sz="6" w:space="0"/>
              <w:bottom w:val="single" w:color="auto" w:sz="6" w:space="0"/>
              <w:right w:val="double" w:color="auto" w:sz="4" w:space="0"/>
            </w:tcBorders>
            <w:noWrap w:val="0"/>
            <w:vAlign w:val="center"/>
          </w:tcPr>
          <w:p w14:paraId="3A9DD5A5">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6D3F4D7A">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76C8FD84">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1B3645E">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33178DC7">
            <w:pPr>
              <w:jc w:val="left"/>
              <w:rPr>
                <w:rFonts w:hint="eastAsia" w:ascii="仿宋" w:hAnsi="仿宋" w:eastAsia="仿宋" w:cs="仿宋"/>
                <w:color w:val="auto"/>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523BA3D2">
      <w:pPr>
        <w:jc w:val="center"/>
        <w:rPr>
          <w:rFonts w:hint="eastAsia" w:ascii="仿宋" w:hAnsi="仿宋" w:eastAsia="仿宋" w:cs="仿宋"/>
          <w:color w:val="auto"/>
          <w:sz w:val="24"/>
          <w:szCs w:val="24"/>
        </w:rPr>
      </w:pPr>
    </w:p>
    <w:p w14:paraId="44449688">
      <w:pPr>
        <w:jc w:val="center"/>
        <w:rPr>
          <w:rFonts w:hint="eastAsia" w:ascii="仿宋" w:hAnsi="仿宋" w:eastAsia="仿宋" w:cs="仿宋"/>
          <w:color w:val="auto"/>
          <w:sz w:val="24"/>
          <w:szCs w:val="24"/>
        </w:rPr>
      </w:pPr>
      <w:r>
        <w:rPr>
          <w:rFonts w:hint="eastAsia" w:ascii="仿宋" w:hAnsi="仿宋" w:eastAsia="仿宋" w:cs="仿宋"/>
          <w:color w:val="auto"/>
          <w:sz w:val="24"/>
          <w:szCs w:val="24"/>
        </w:rPr>
        <w:br w:type="page"/>
      </w:r>
      <w:r>
        <w:rPr>
          <w:rFonts w:hint="eastAsia" w:ascii="仿宋" w:hAnsi="仿宋" w:eastAsia="仿宋" w:cs="仿宋"/>
          <w:color w:val="auto"/>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473"/>
        <w:gridCol w:w="1486"/>
        <w:gridCol w:w="682"/>
        <w:gridCol w:w="4841"/>
      </w:tblGrid>
      <w:tr w14:paraId="2AFA90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FAA5EC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473" w:type="dxa"/>
            <w:tcBorders>
              <w:tl2br w:val="nil"/>
              <w:tr2bl w:val="nil"/>
            </w:tcBorders>
            <w:noWrap w:val="0"/>
            <w:vAlign w:val="center"/>
          </w:tcPr>
          <w:p w14:paraId="0113CA8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评标因素（分值）</w:t>
            </w:r>
          </w:p>
        </w:tc>
        <w:tc>
          <w:tcPr>
            <w:tcW w:w="7009" w:type="dxa"/>
            <w:gridSpan w:val="3"/>
            <w:tcBorders>
              <w:tl2br w:val="nil"/>
              <w:tr2bl w:val="nil"/>
            </w:tcBorders>
            <w:noWrap w:val="0"/>
            <w:vAlign w:val="center"/>
          </w:tcPr>
          <w:p w14:paraId="7286AA1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评标标准</w:t>
            </w:r>
          </w:p>
        </w:tc>
      </w:tr>
      <w:tr w14:paraId="38E5C2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869E5F">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473" w:type="dxa"/>
            <w:vMerge w:val="restart"/>
            <w:tcBorders>
              <w:tl2br w:val="nil"/>
              <w:tr2bl w:val="nil"/>
            </w:tcBorders>
            <w:noWrap w:val="0"/>
            <w:vAlign w:val="center"/>
          </w:tcPr>
          <w:p w14:paraId="05A61FC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商务评价项</w:t>
            </w:r>
          </w:p>
          <w:p w14:paraId="36C8333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（F=100分）</w:t>
            </w:r>
          </w:p>
        </w:tc>
        <w:tc>
          <w:tcPr>
            <w:tcW w:w="1486" w:type="dxa"/>
            <w:tcBorders>
              <w:tl2br w:val="nil"/>
              <w:tr2bl w:val="nil"/>
            </w:tcBorders>
            <w:noWrap w:val="0"/>
            <w:vAlign w:val="center"/>
          </w:tcPr>
          <w:p w14:paraId="43F9E75B">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售后服务</w:t>
            </w:r>
          </w:p>
        </w:tc>
        <w:tc>
          <w:tcPr>
            <w:tcW w:w="682" w:type="dxa"/>
            <w:tcBorders>
              <w:tl2br w:val="nil"/>
              <w:tr2bl w:val="nil"/>
            </w:tcBorders>
            <w:noWrap w:val="0"/>
            <w:vAlign w:val="center"/>
          </w:tcPr>
          <w:p w14:paraId="46050400">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55</w:t>
            </w:r>
          </w:p>
        </w:tc>
        <w:tc>
          <w:tcPr>
            <w:tcW w:w="4841" w:type="dxa"/>
            <w:tcBorders>
              <w:tl2br w:val="nil"/>
              <w:tr2bl w:val="nil"/>
            </w:tcBorders>
            <w:noWrap w:val="0"/>
            <w:vAlign w:val="center"/>
          </w:tcPr>
          <w:p w14:paraId="4C14F0A6">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5A737568">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51E3BA4F">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6EED3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8305688">
            <w:pPr>
              <w:jc w:val="center"/>
              <w:rPr>
                <w:rFonts w:hint="eastAsia" w:ascii="仿宋" w:hAnsi="仿宋" w:eastAsia="仿宋" w:cs="仿宋"/>
                <w:color w:val="auto"/>
                <w:sz w:val="24"/>
                <w:szCs w:val="24"/>
              </w:rPr>
            </w:pPr>
          </w:p>
        </w:tc>
        <w:tc>
          <w:tcPr>
            <w:tcW w:w="1473" w:type="dxa"/>
            <w:vMerge w:val="continue"/>
            <w:tcBorders>
              <w:tl2br w:val="nil"/>
              <w:tr2bl w:val="nil"/>
            </w:tcBorders>
            <w:noWrap w:val="0"/>
            <w:vAlign w:val="center"/>
          </w:tcPr>
          <w:p w14:paraId="2C8BFC02">
            <w:pPr>
              <w:jc w:val="center"/>
              <w:rPr>
                <w:rFonts w:hint="eastAsia" w:ascii="仿宋" w:hAnsi="仿宋" w:eastAsia="仿宋" w:cs="仿宋"/>
                <w:color w:val="auto"/>
                <w:sz w:val="24"/>
                <w:szCs w:val="24"/>
              </w:rPr>
            </w:pPr>
          </w:p>
        </w:tc>
        <w:tc>
          <w:tcPr>
            <w:tcW w:w="1486" w:type="dxa"/>
            <w:tcBorders>
              <w:tl2br w:val="nil"/>
              <w:tr2bl w:val="nil"/>
            </w:tcBorders>
            <w:noWrap w:val="0"/>
            <w:vAlign w:val="center"/>
          </w:tcPr>
          <w:p w14:paraId="1EECC22E">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培训方案</w:t>
            </w:r>
          </w:p>
        </w:tc>
        <w:tc>
          <w:tcPr>
            <w:tcW w:w="682" w:type="dxa"/>
            <w:tcBorders>
              <w:tl2br w:val="nil"/>
              <w:tr2bl w:val="nil"/>
            </w:tcBorders>
            <w:noWrap w:val="0"/>
            <w:vAlign w:val="center"/>
          </w:tcPr>
          <w:p w14:paraId="4BF791B0">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4841" w:type="dxa"/>
            <w:tcBorders>
              <w:tl2br w:val="nil"/>
              <w:tr2bl w:val="nil"/>
            </w:tcBorders>
            <w:noWrap w:val="0"/>
            <w:vAlign w:val="center"/>
          </w:tcPr>
          <w:p w14:paraId="1A280959">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2C91FE55">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432DEB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4D8C28A">
            <w:pPr>
              <w:jc w:val="center"/>
              <w:rPr>
                <w:rFonts w:hint="eastAsia" w:ascii="仿宋" w:hAnsi="仿宋" w:eastAsia="仿宋" w:cs="仿宋"/>
                <w:color w:val="auto"/>
                <w:sz w:val="24"/>
                <w:szCs w:val="24"/>
              </w:rPr>
            </w:pPr>
          </w:p>
        </w:tc>
        <w:tc>
          <w:tcPr>
            <w:tcW w:w="1473" w:type="dxa"/>
            <w:vMerge w:val="continue"/>
            <w:tcBorders>
              <w:tl2br w:val="nil"/>
              <w:tr2bl w:val="nil"/>
            </w:tcBorders>
            <w:noWrap w:val="0"/>
            <w:vAlign w:val="center"/>
          </w:tcPr>
          <w:p w14:paraId="4E96D9C5">
            <w:pPr>
              <w:jc w:val="center"/>
              <w:rPr>
                <w:rFonts w:hint="eastAsia" w:ascii="仿宋" w:hAnsi="仿宋" w:eastAsia="仿宋" w:cs="仿宋"/>
                <w:color w:val="auto"/>
                <w:sz w:val="24"/>
                <w:szCs w:val="24"/>
              </w:rPr>
            </w:pPr>
          </w:p>
        </w:tc>
        <w:tc>
          <w:tcPr>
            <w:tcW w:w="1486" w:type="dxa"/>
            <w:tcBorders>
              <w:tl2br w:val="nil"/>
              <w:tr2bl w:val="nil"/>
            </w:tcBorders>
            <w:noWrap w:val="0"/>
            <w:vAlign w:val="center"/>
          </w:tcPr>
          <w:p w14:paraId="40DDE5F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类似业绩</w:t>
            </w:r>
          </w:p>
        </w:tc>
        <w:tc>
          <w:tcPr>
            <w:tcW w:w="682" w:type="dxa"/>
            <w:tcBorders>
              <w:tl2br w:val="nil"/>
              <w:tr2bl w:val="nil"/>
            </w:tcBorders>
            <w:noWrap w:val="0"/>
            <w:vAlign w:val="center"/>
          </w:tcPr>
          <w:p w14:paraId="505C34E4">
            <w:pPr>
              <w:jc w:val="center"/>
              <w:rPr>
                <w:rFonts w:hint="eastAsia" w:ascii="仿宋" w:hAnsi="仿宋" w:eastAsia="仿宋" w:cs="仿宋"/>
                <w:color w:val="auto"/>
                <w:sz w:val="24"/>
                <w:szCs w:val="24"/>
              </w:rPr>
            </w:pPr>
            <w:r>
              <w:rPr>
                <w:rFonts w:hint="eastAsia" w:ascii="仿宋" w:hAnsi="仿宋" w:eastAsia="仿宋" w:cs="仿宋"/>
                <w:color w:val="auto"/>
                <w:sz w:val="24"/>
                <w:szCs w:val="24"/>
              </w:rPr>
              <w:t>30</w:t>
            </w:r>
          </w:p>
        </w:tc>
        <w:tc>
          <w:tcPr>
            <w:tcW w:w="4841" w:type="dxa"/>
            <w:tcBorders>
              <w:tl2br w:val="nil"/>
              <w:tr2bl w:val="nil"/>
            </w:tcBorders>
            <w:noWrap w:val="0"/>
            <w:vAlign w:val="center"/>
          </w:tcPr>
          <w:p w14:paraId="6C0D023C">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39124244">
      <w:pPr>
        <w:jc w:val="center"/>
        <w:rPr>
          <w:rFonts w:hint="eastAsia" w:ascii="仿宋" w:hAnsi="仿宋" w:eastAsia="仿宋" w:cs="仿宋"/>
          <w:sz w:val="24"/>
          <w:szCs w:val="24"/>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19"/>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8"/>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09B775A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55D549B2">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62A84631">
      <w:pPr>
        <w:pStyle w:val="18"/>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19"/>
        <w:rPr>
          <w:color w:val="auto"/>
        </w:rPr>
      </w:pPr>
    </w:p>
    <w:p w14:paraId="0EFEE20B">
      <w:pPr>
        <w:pStyle w:val="18"/>
        <w:rPr>
          <w:rFonts w:hint="eastAsia"/>
          <w:lang w:eastAsia="zh-CN"/>
        </w:rPr>
      </w:pPr>
    </w:p>
    <w:p w14:paraId="2CB8A4F5"/>
    <w:p w14:paraId="58D1B8B1">
      <w:pPr>
        <w:pStyle w:val="19"/>
        <w:rPr>
          <w:color w:val="auto"/>
        </w:rPr>
      </w:pPr>
    </w:p>
    <w:p w14:paraId="43E00E01">
      <w:pPr>
        <w:pStyle w:val="18"/>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abstractNum w:abstractNumId="2">
    <w:nsid w:val="3F45ED79"/>
    <w:multiLevelType w:val="singleLevel"/>
    <w:tmpl w:val="3F45ED79"/>
    <w:lvl w:ilvl="0" w:tentative="0">
      <w:start w:val="1"/>
      <w:numFmt w:val="chineseCounting"/>
      <w:suff w:val="nothing"/>
      <w:lvlText w:val="（%1）"/>
      <w:lvlJc w:val="left"/>
      <w:rPr>
        <w:rFonts w:hint="eastAsia"/>
      </w:rPr>
    </w:lvl>
  </w:abstractNum>
  <w:abstractNum w:abstractNumId="3">
    <w:nsid w:val="5A38A91A"/>
    <w:multiLevelType w:val="singleLevel"/>
    <w:tmpl w:val="5A38A91A"/>
    <w:lvl w:ilvl="0" w:tentative="0">
      <w:start w:val="1"/>
      <w:numFmt w:val="decimal"/>
      <w:lvlText w:val="%1."/>
      <w:lvlJc w:val="left"/>
      <w:pPr>
        <w:ind w:left="570" w:hanging="425"/>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F56B46"/>
    <w:rsid w:val="1B7B72C0"/>
    <w:rsid w:val="1D5071B5"/>
    <w:rsid w:val="1D5D59A6"/>
    <w:rsid w:val="1DD7486D"/>
    <w:rsid w:val="1E79119D"/>
    <w:rsid w:val="1EFD25AF"/>
    <w:rsid w:val="1F334F58"/>
    <w:rsid w:val="1F385662"/>
    <w:rsid w:val="1F796B24"/>
    <w:rsid w:val="1FC602A8"/>
    <w:rsid w:val="1FDFE26B"/>
    <w:rsid w:val="1FE73549"/>
    <w:rsid w:val="2038045E"/>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7DE919F"/>
    <w:rsid w:val="38F7D690"/>
    <w:rsid w:val="397348CD"/>
    <w:rsid w:val="3A8E0AB7"/>
    <w:rsid w:val="3A994AB7"/>
    <w:rsid w:val="3B3B544D"/>
    <w:rsid w:val="3B654F2B"/>
    <w:rsid w:val="3BB72BAE"/>
    <w:rsid w:val="3BFC7D2B"/>
    <w:rsid w:val="3C7C799C"/>
    <w:rsid w:val="3C8A61A4"/>
    <w:rsid w:val="3D5E17FF"/>
    <w:rsid w:val="3DF93413"/>
    <w:rsid w:val="3DFD1951"/>
    <w:rsid w:val="3DFFD27E"/>
    <w:rsid w:val="3E1F0DA4"/>
    <w:rsid w:val="3E584E51"/>
    <w:rsid w:val="3E62C1E0"/>
    <w:rsid w:val="3E6E70D5"/>
    <w:rsid w:val="3EBE1ADE"/>
    <w:rsid w:val="3F788D05"/>
    <w:rsid w:val="3FEF41F9"/>
    <w:rsid w:val="3FF36FC1"/>
    <w:rsid w:val="403B4B34"/>
    <w:rsid w:val="4140452A"/>
    <w:rsid w:val="414D7889"/>
    <w:rsid w:val="41BB0BAE"/>
    <w:rsid w:val="425629F5"/>
    <w:rsid w:val="4284152B"/>
    <w:rsid w:val="429A4992"/>
    <w:rsid w:val="42FF3888"/>
    <w:rsid w:val="435B161D"/>
    <w:rsid w:val="437EFEE3"/>
    <w:rsid w:val="43B25DAC"/>
    <w:rsid w:val="44771DFD"/>
    <w:rsid w:val="45D569C3"/>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3238E8B"/>
    <w:rsid w:val="53B55872"/>
    <w:rsid w:val="544055F2"/>
    <w:rsid w:val="54AD4386"/>
    <w:rsid w:val="55D8243C"/>
    <w:rsid w:val="567C4A72"/>
    <w:rsid w:val="575FAF7E"/>
    <w:rsid w:val="581A7C72"/>
    <w:rsid w:val="583A4BD7"/>
    <w:rsid w:val="59C74B1F"/>
    <w:rsid w:val="5A886F59"/>
    <w:rsid w:val="5BDF167E"/>
    <w:rsid w:val="5E9BBF88"/>
    <w:rsid w:val="5EBFE873"/>
    <w:rsid w:val="5F153ADC"/>
    <w:rsid w:val="5FBFAB6E"/>
    <w:rsid w:val="5FD50556"/>
    <w:rsid w:val="604D5946"/>
    <w:rsid w:val="611B6B1B"/>
    <w:rsid w:val="61FF68C0"/>
    <w:rsid w:val="62C222C2"/>
    <w:rsid w:val="632D7C40"/>
    <w:rsid w:val="63F39F53"/>
    <w:rsid w:val="64133D6A"/>
    <w:rsid w:val="64245572"/>
    <w:rsid w:val="674A3DD5"/>
    <w:rsid w:val="678E4F5D"/>
    <w:rsid w:val="67F3562A"/>
    <w:rsid w:val="67FFBBE3"/>
    <w:rsid w:val="680E122C"/>
    <w:rsid w:val="6A4E1D63"/>
    <w:rsid w:val="6C486FE4"/>
    <w:rsid w:val="6CA409DF"/>
    <w:rsid w:val="6D9F787E"/>
    <w:rsid w:val="6DE375E4"/>
    <w:rsid w:val="6E8E5287"/>
    <w:rsid w:val="6F2FB06F"/>
    <w:rsid w:val="6FAC3B48"/>
    <w:rsid w:val="6FAD463B"/>
    <w:rsid w:val="6FB7ACDA"/>
    <w:rsid w:val="6FBE332C"/>
    <w:rsid w:val="6FFF67CC"/>
    <w:rsid w:val="70CE0BC9"/>
    <w:rsid w:val="71554367"/>
    <w:rsid w:val="71584067"/>
    <w:rsid w:val="71F26E91"/>
    <w:rsid w:val="72FB9D37"/>
    <w:rsid w:val="735201FF"/>
    <w:rsid w:val="737B50A4"/>
    <w:rsid w:val="73F40E72"/>
    <w:rsid w:val="74566F5C"/>
    <w:rsid w:val="750117A8"/>
    <w:rsid w:val="755B2270"/>
    <w:rsid w:val="75E27514"/>
    <w:rsid w:val="76920D75"/>
    <w:rsid w:val="76C47877"/>
    <w:rsid w:val="77423DFF"/>
    <w:rsid w:val="77EE6ED4"/>
    <w:rsid w:val="77FD832A"/>
    <w:rsid w:val="783B5EA9"/>
    <w:rsid w:val="78B114A6"/>
    <w:rsid w:val="79EB699D"/>
    <w:rsid w:val="79FFEA3A"/>
    <w:rsid w:val="7A3E5854"/>
    <w:rsid w:val="7ABA298D"/>
    <w:rsid w:val="7B0620DE"/>
    <w:rsid w:val="7B7D7C18"/>
    <w:rsid w:val="7BBF44BB"/>
    <w:rsid w:val="7BF15CE4"/>
    <w:rsid w:val="7C3A27E5"/>
    <w:rsid w:val="7D9727DD"/>
    <w:rsid w:val="7DDF8A36"/>
    <w:rsid w:val="7DFE74A2"/>
    <w:rsid w:val="7DFF9811"/>
    <w:rsid w:val="7E8BAD0B"/>
    <w:rsid w:val="7ED7DBED"/>
    <w:rsid w:val="7EFB4F6E"/>
    <w:rsid w:val="7F164138"/>
    <w:rsid w:val="7F1A5E95"/>
    <w:rsid w:val="7FA75B91"/>
    <w:rsid w:val="7FBC7699"/>
    <w:rsid w:val="7FCFF1E1"/>
    <w:rsid w:val="7FFB0877"/>
    <w:rsid w:val="7FFE88A1"/>
    <w:rsid w:val="87EFD207"/>
    <w:rsid w:val="8B7D3439"/>
    <w:rsid w:val="8EFAA180"/>
    <w:rsid w:val="98654DAE"/>
    <w:rsid w:val="9AF2751B"/>
    <w:rsid w:val="A4FC5874"/>
    <w:rsid w:val="A99BC227"/>
    <w:rsid w:val="ADFDDBA5"/>
    <w:rsid w:val="AFDF5C35"/>
    <w:rsid w:val="AFEF0E21"/>
    <w:rsid w:val="AFEFD62F"/>
    <w:rsid w:val="B7FBACA6"/>
    <w:rsid w:val="BBDFF490"/>
    <w:rsid w:val="BD7F6FD4"/>
    <w:rsid w:val="BF59071B"/>
    <w:rsid w:val="BF7D9491"/>
    <w:rsid w:val="BFF77D2B"/>
    <w:rsid w:val="CDFF7760"/>
    <w:rsid w:val="CFFF8E32"/>
    <w:rsid w:val="D6D5AD7C"/>
    <w:rsid w:val="DBBDAA3F"/>
    <w:rsid w:val="DBDE3CFA"/>
    <w:rsid w:val="DFF97BBC"/>
    <w:rsid w:val="DFFEDE01"/>
    <w:rsid w:val="DFFF05F4"/>
    <w:rsid w:val="E6F7C8DE"/>
    <w:rsid w:val="E7BF1FC4"/>
    <w:rsid w:val="ED6D9162"/>
    <w:rsid w:val="EF7B1925"/>
    <w:rsid w:val="EFF91F3A"/>
    <w:rsid w:val="EFFF278C"/>
    <w:rsid w:val="F1347A70"/>
    <w:rsid w:val="F7D57869"/>
    <w:rsid w:val="F91F5623"/>
    <w:rsid w:val="F99F179C"/>
    <w:rsid w:val="FB6F87D3"/>
    <w:rsid w:val="FB7D52BD"/>
    <w:rsid w:val="FBBD03F1"/>
    <w:rsid w:val="FC5F632E"/>
    <w:rsid w:val="FDF7EAA8"/>
    <w:rsid w:val="FDFF9C76"/>
    <w:rsid w:val="FEAFF452"/>
    <w:rsid w:val="FED7AE9E"/>
    <w:rsid w:val="FEE34724"/>
    <w:rsid w:val="FF1EFC35"/>
    <w:rsid w:val="FF477DD4"/>
    <w:rsid w:val="FF5F7F20"/>
    <w:rsid w:val="FF7B9B69"/>
    <w:rsid w:val="FFAFFB84"/>
    <w:rsid w:val="FFBF9032"/>
    <w:rsid w:val="FFC8EF32"/>
    <w:rsid w:val="FFD76697"/>
    <w:rsid w:val="FFDF81E1"/>
    <w:rsid w:val="FFE13652"/>
    <w:rsid w:val="FFECE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大标题"/>
    <w:basedOn w:val="1"/>
    <w:next w:val="12"/>
    <w:autoRedefine/>
    <w:qFormat/>
    <w:uiPriority w:val="0"/>
    <w:pPr>
      <w:jc w:val="center"/>
    </w:pPr>
    <w:rPr>
      <w:rFonts w:ascii="Arial" w:hAnsi="Arial" w:eastAsia="宋体"/>
      <w:b/>
      <w:sz w:val="28"/>
      <w:szCs w:val="24"/>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NormalCharacter"/>
    <w:autoRedefine/>
    <w:semiHidden/>
    <w:qFormat/>
    <w:uiPriority w:val="0"/>
  </w:style>
  <w:style w:type="paragraph" w:customStyle="1" w:styleId="22">
    <w:name w:val="列出段落2"/>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5790</Words>
  <Characters>6232</Characters>
  <Lines>0</Lines>
  <Paragraphs>0</Paragraphs>
  <TotalTime>1</TotalTime>
  <ScaleCrop>false</ScaleCrop>
  <LinksUpToDate>false</LinksUpToDate>
  <CharactersWithSpaces>6555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2023-07-24T09:45:00Z</dcterms:created>
  <dc:creator>是小豹子</dc:creator>
  <cp:lastModifiedBy>沁sqr</cp:lastModifiedBy>
  <dcterms:modified xsi:type="dcterms:W3CDTF">2026-08-04T13:29:38Z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