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3"/>
        <w:rPr>
          <w:rFonts w:ascii="Arial" w:hAnsi="Arial" w:cs="Arial"/>
          <w:sz w:val="32"/>
          <w:szCs w:val="32"/>
        </w:rPr>
      </w:pPr>
    </w:p>
    <w:p w14:paraId="790E99FE">
      <w:pPr>
        <w:pStyle w:val="13"/>
        <w:rPr>
          <w:rFonts w:ascii="Arial" w:hAnsi="Arial" w:cs="Arial"/>
          <w:sz w:val="32"/>
          <w:szCs w:val="32"/>
        </w:rPr>
      </w:pPr>
    </w:p>
    <w:p w14:paraId="6D6CF557">
      <w:pPr>
        <w:pStyle w:val="13"/>
        <w:rPr>
          <w:rFonts w:ascii="Arial" w:hAnsi="Arial" w:cs="Arial"/>
          <w:sz w:val="32"/>
          <w:szCs w:val="32"/>
        </w:rPr>
      </w:pPr>
    </w:p>
    <w:p w14:paraId="77BABE1C">
      <w:pPr>
        <w:pStyle w:val="13"/>
        <w:rPr>
          <w:rFonts w:ascii="Arial" w:hAnsi="Arial" w:cs="Arial"/>
          <w:sz w:val="32"/>
          <w:szCs w:val="32"/>
        </w:rPr>
      </w:pPr>
    </w:p>
    <w:p w14:paraId="1C0FB295">
      <w:pPr>
        <w:pStyle w:val="13"/>
        <w:rPr>
          <w:rFonts w:ascii="Arial" w:hAnsi="Arial" w:cs="Arial"/>
          <w:sz w:val="32"/>
          <w:szCs w:val="32"/>
        </w:rPr>
      </w:pPr>
    </w:p>
    <w:p w14:paraId="4C96CB97">
      <w:pPr>
        <w:pStyle w:val="13"/>
        <w:rPr>
          <w:rFonts w:ascii="Arial" w:hAnsi="Arial" w:cs="Arial"/>
          <w:sz w:val="32"/>
          <w:szCs w:val="32"/>
        </w:rPr>
      </w:pPr>
    </w:p>
    <w:p w14:paraId="1825AAC5">
      <w:pPr>
        <w:pStyle w:val="13"/>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（结肠透析仪医院公开挂网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结肠透析仪</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结肠透析仪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shd w:val="clear" w:color="auto" w:fill="auto"/>
          <w:lang w:val="en-US" w:eastAsia="zh-CN" w:bidi="ar-SA"/>
        </w:rPr>
      </w:pPr>
      <w:r>
        <w:rPr>
          <w:rFonts w:hint="eastAsia" w:asciiTheme="minorEastAsia" w:hAnsiTheme="minorEastAsia" w:eastAsiaTheme="minorEastAsia" w:cstheme="minorEastAsia"/>
          <w:b w:val="0"/>
          <w:bCs/>
          <w:color w:val="FF0000"/>
          <w:sz w:val="24"/>
          <w:szCs w:val="24"/>
          <w:shd w:val="clear" w:color="auto" w:fill="auto"/>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color w:val="auto"/>
                <w:sz w:val="24"/>
                <w:szCs w:val="24"/>
                <w:u w:val="none"/>
                <w:lang w:val="en-US" w:eastAsia="zh-CN"/>
              </w:rPr>
              <w:t>结肠透析仪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7211C923">
      <w:pPr>
        <w:ind w:firstLine="240" w:firstLineChars="1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（一）技术参数</w:t>
      </w:r>
    </w:p>
    <w:tbl>
      <w:tblPr>
        <w:tblStyle w:val="14"/>
        <w:tblpPr w:leftFromText="180" w:rightFromText="180" w:vertAnchor="text" w:horzAnchor="page" w:tblpX="1366" w:tblpY="293"/>
        <w:tblOverlap w:val="never"/>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7229"/>
      </w:tblGrid>
      <w:tr w14:paraId="3F10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986" w:type="dxa"/>
            <w:vMerge w:val="restart"/>
            <w:shd w:val="clear" w:color="auto" w:fill="D7D7D7" w:themeFill="background1" w:themeFillShade="D8"/>
            <w:vAlign w:val="center"/>
          </w:tcPr>
          <w:p w14:paraId="79BF7572">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温度控制</w:t>
            </w:r>
          </w:p>
        </w:tc>
        <w:tc>
          <w:tcPr>
            <w:tcW w:w="7229" w:type="dxa"/>
            <w:vAlign w:val="center"/>
          </w:tcPr>
          <w:p w14:paraId="49D594ED">
            <w:pPr>
              <w:adjustRightInd w:val="0"/>
              <w:snapToGrid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控温范围和测量精度：35℃～40℃；测温误差不大于±0.2℃；</w:t>
            </w:r>
          </w:p>
        </w:tc>
      </w:tr>
      <w:tr w14:paraId="5FE1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986" w:type="dxa"/>
            <w:vMerge w:val="continue"/>
            <w:shd w:val="clear" w:color="auto" w:fill="D7D7D7" w:themeFill="background1" w:themeFillShade="D8"/>
            <w:vAlign w:val="center"/>
          </w:tcPr>
          <w:p w14:paraId="40A44222">
            <w:pPr>
              <w:adjustRightInd w:val="0"/>
              <w:snapToGrid w:val="0"/>
              <w:jc w:val="center"/>
              <w:rPr>
                <w:rFonts w:hint="eastAsia" w:asciiTheme="minorEastAsia" w:hAnsiTheme="minorEastAsia" w:eastAsiaTheme="minorEastAsia" w:cstheme="minorEastAsia"/>
                <w:b/>
                <w:bCs/>
                <w:color w:val="000000"/>
                <w:sz w:val="24"/>
                <w:szCs w:val="24"/>
              </w:rPr>
            </w:pPr>
          </w:p>
        </w:tc>
        <w:tc>
          <w:tcPr>
            <w:tcW w:w="7229" w:type="dxa"/>
            <w:vAlign w:val="center"/>
          </w:tcPr>
          <w:p w14:paraId="24C9C001">
            <w:pPr>
              <w:adjustRightInd w:val="0"/>
              <w:snapToGrid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超温防护</w:t>
            </w:r>
          </w:p>
          <w:p w14:paraId="3FB5C426">
            <w:pPr>
              <w:adjustRightInd w:val="0"/>
              <w:snapToGrid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w:t>
            </w:r>
            <w:r>
              <w:rPr>
                <w:rFonts w:hint="eastAsia" w:asciiTheme="minorEastAsia" w:hAnsiTheme="minorEastAsia" w:eastAsiaTheme="minorEastAsia" w:cstheme="minorEastAsia"/>
                <w:color w:val="000000"/>
                <w:sz w:val="24"/>
                <w:szCs w:val="24"/>
              </w:rPr>
              <w:tab/>
            </w:r>
            <w:r>
              <w:rPr>
                <w:rFonts w:hint="eastAsia" w:asciiTheme="minorEastAsia" w:hAnsiTheme="minorEastAsia" w:eastAsiaTheme="minorEastAsia" w:cstheme="minorEastAsia"/>
                <w:color w:val="000000"/>
                <w:sz w:val="24"/>
                <w:szCs w:val="24"/>
              </w:rPr>
              <w:t>设备应有低温防护（低于32℃）和高温防护（高于42℃）。</w:t>
            </w:r>
          </w:p>
          <w:p w14:paraId="116AFA1E">
            <w:pPr>
              <w:adjustRightInd w:val="0"/>
              <w:snapToGrid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b)</w:t>
            </w:r>
            <w:r>
              <w:rPr>
                <w:rFonts w:hint="eastAsia" w:asciiTheme="minorEastAsia" w:hAnsiTheme="minorEastAsia" w:eastAsiaTheme="minorEastAsia" w:cstheme="minorEastAsia"/>
                <w:color w:val="000000"/>
                <w:sz w:val="24"/>
                <w:szCs w:val="24"/>
              </w:rPr>
              <w:tab/>
            </w:r>
            <w:r>
              <w:rPr>
                <w:rFonts w:hint="eastAsia" w:asciiTheme="minorEastAsia" w:hAnsiTheme="minorEastAsia" w:eastAsiaTheme="minorEastAsia" w:cstheme="minorEastAsia"/>
                <w:color w:val="000000"/>
                <w:sz w:val="24"/>
                <w:szCs w:val="24"/>
              </w:rPr>
              <w:t>超出防护限值时,触发声和光报警，设备应停止液体的灌入。</w:t>
            </w:r>
          </w:p>
        </w:tc>
      </w:tr>
      <w:tr w14:paraId="56D3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shd w:val="clear" w:color="auto" w:fill="D7D7D7" w:themeFill="background1" w:themeFillShade="D8"/>
            <w:vAlign w:val="center"/>
          </w:tcPr>
          <w:p w14:paraId="4A8D5B9A">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泵注液速度</w:t>
            </w:r>
          </w:p>
        </w:tc>
        <w:tc>
          <w:tcPr>
            <w:tcW w:w="7229" w:type="dxa"/>
          </w:tcPr>
          <w:p w14:paraId="7DB62682">
            <w:pPr>
              <w:adjustRightInd w:val="0"/>
              <w:snapToGrid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主泵注液速度范围不小于0L／min～1.5L／min，该范围内可任意设置速度参数；</w:t>
            </w:r>
          </w:p>
        </w:tc>
      </w:tr>
      <w:tr w14:paraId="3E1B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shd w:val="clear" w:color="auto" w:fill="D7D7D7" w:themeFill="background1" w:themeFillShade="D8"/>
            <w:vAlign w:val="center"/>
          </w:tcPr>
          <w:p w14:paraId="26676E6A">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灌注量及灌注</w:t>
            </w:r>
          </w:p>
          <w:p w14:paraId="0637AFE6">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误差</w:t>
            </w:r>
          </w:p>
        </w:tc>
        <w:tc>
          <w:tcPr>
            <w:tcW w:w="7229" w:type="dxa"/>
            <w:vAlign w:val="center"/>
          </w:tcPr>
          <w:p w14:paraId="33692968">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总液量设定范围6L-16L,灌注量在5L-15L范围内误差不大于±1%；</w:t>
            </w:r>
          </w:p>
        </w:tc>
      </w:tr>
      <w:tr w14:paraId="6136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986" w:type="dxa"/>
            <w:shd w:val="clear" w:color="auto" w:fill="D7D7D7" w:themeFill="background1" w:themeFillShade="D8"/>
            <w:vAlign w:val="center"/>
          </w:tcPr>
          <w:p w14:paraId="0252E9BA">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压力设定范围及测压误差</w:t>
            </w:r>
          </w:p>
        </w:tc>
        <w:tc>
          <w:tcPr>
            <w:tcW w:w="7229" w:type="dxa"/>
          </w:tcPr>
          <w:p w14:paraId="409940AC">
            <w:pPr>
              <w:adjustRightInd w:val="0"/>
              <w:snapToGrid w:val="0"/>
              <w:ind w:right="105" w:rightChars="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灌注压力设定范围不大于0kPa～200kPa，测压误差：±2kPa；</w:t>
            </w:r>
          </w:p>
          <w:p w14:paraId="3519647B">
            <w:pPr>
              <w:adjustRightInd w:val="0"/>
              <w:snapToGrid w:val="0"/>
              <w:ind w:right="105" w:rightChars="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6.</w:t>
            </w:r>
            <w:r>
              <w:rPr>
                <w:rFonts w:hint="eastAsia" w:asciiTheme="minorEastAsia" w:hAnsiTheme="minorEastAsia" w:eastAsiaTheme="minorEastAsia" w:cstheme="minorEastAsia"/>
                <w:color w:val="000000"/>
                <w:sz w:val="24"/>
                <w:szCs w:val="24"/>
              </w:rPr>
              <w:t>排泄压力设定范围不大于0kPa～25kPa；测压误差：±2kPa。</w:t>
            </w:r>
          </w:p>
        </w:tc>
      </w:tr>
      <w:tr w14:paraId="6FDE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shd w:val="clear" w:color="auto" w:fill="D7D7D7" w:themeFill="background1" w:themeFillShade="D8"/>
            <w:vAlign w:val="center"/>
          </w:tcPr>
          <w:p w14:paraId="1E404E20">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报警及保护功能</w:t>
            </w:r>
          </w:p>
        </w:tc>
        <w:tc>
          <w:tcPr>
            <w:tcW w:w="7229" w:type="dxa"/>
          </w:tcPr>
          <w:p w14:paraId="10B7C0F0">
            <w:pPr>
              <w:adjustRightInd w:val="0"/>
              <w:snapToGrid w:val="0"/>
              <w:ind w:right="105" w:rightChars="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7.</w:t>
            </w:r>
            <w:r>
              <w:rPr>
                <w:rFonts w:hint="eastAsia" w:asciiTheme="minorEastAsia" w:hAnsiTheme="minorEastAsia" w:eastAsiaTheme="minorEastAsia" w:cstheme="minorEastAsia"/>
                <w:color w:val="000000"/>
                <w:sz w:val="24"/>
                <w:szCs w:val="24"/>
              </w:rPr>
              <w:t>报警功能：设备发生如下情况，将进行声光报警：</w:t>
            </w:r>
          </w:p>
          <w:p w14:paraId="228B18F4">
            <w:pPr>
              <w:adjustRightInd w:val="0"/>
              <w:snapToGrid w:val="0"/>
              <w:ind w:right="105" w:rightChars="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a)超预定温度报警；b)阻塞报警；c)液尽报警；d)超压报警；</w:t>
            </w:r>
          </w:p>
          <w:p w14:paraId="78F292EB">
            <w:pPr>
              <w:adjustRightInd w:val="0"/>
              <w:snapToGrid w:val="0"/>
              <w:ind w:right="105" w:rightChars="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发生上述报警后，设备应自动停止治疗，同时设备还应设有手动紧急停止开关按钮，紧急状况下可人为停止灌注；</w:t>
            </w:r>
          </w:p>
        </w:tc>
      </w:tr>
      <w:tr w14:paraId="3B42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986" w:type="dxa"/>
            <w:vMerge w:val="restart"/>
            <w:shd w:val="clear" w:color="auto" w:fill="D7D7D7" w:themeFill="background1" w:themeFillShade="D8"/>
            <w:vAlign w:val="center"/>
          </w:tcPr>
          <w:p w14:paraId="4B431A7C">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软件功能</w:t>
            </w:r>
          </w:p>
        </w:tc>
        <w:tc>
          <w:tcPr>
            <w:tcW w:w="7229" w:type="dxa"/>
          </w:tcPr>
          <w:p w14:paraId="356B9AC8">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8.</w:t>
            </w:r>
            <w:r>
              <w:rPr>
                <w:rFonts w:hint="eastAsia" w:asciiTheme="minorEastAsia" w:hAnsiTheme="minorEastAsia" w:eastAsiaTheme="minorEastAsia" w:cstheme="minorEastAsia"/>
                <w:color w:val="000000"/>
                <w:sz w:val="24"/>
                <w:szCs w:val="24"/>
              </w:rPr>
              <w:t>具有“药液配置”、“治疗方案设置”、“病人信息”、“系统检测和故障</w:t>
            </w:r>
            <w:r>
              <w:rPr>
                <w:rFonts w:hint="eastAsia" w:asciiTheme="minorEastAsia" w:hAnsiTheme="minorEastAsia" w:eastAsiaTheme="minorEastAsia" w:cstheme="minorEastAsia"/>
                <w:color w:val="auto"/>
                <w:sz w:val="24"/>
                <w:szCs w:val="24"/>
              </w:rPr>
              <w:t>诊断”、“帮助”菜单及“肠道水疗”、“结肠透析”、“药液保留灌注”治疗模式，且可以实现单一或组合治疗模式；</w:t>
            </w:r>
          </w:p>
        </w:tc>
      </w:tr>
      <w:tr w14:paraId="4BC4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986" w:type="dxa"/>
            <w:vMerge w:val="continue"/>
            <w:shd w:val="clear" w:color="auto" w:fill="D7D7D7" w:themeFill="background1" w:themeFillShade="D8"/>
            <w:vAlign w:val="center"/>
          </w:tcPr>
          <w:p w14:paraId="0BB89255">
            <w:pPr>
              <w:adjustRightInd w:val="0"/>
              <w:snapToGrid w:val="0"/>
              <w:jc w:val="center"/>
              <w:rPr>
                <w:rFonts w:hint="eastAsia" w:asciiTheme="minorEastAsia" w:hAnsiTheme="minorEastAsia" w:eastAsiaTheme="minorEastAsia" w:cstheme="minorEastAsia"/>
                <w:b/>
                <w:bCs/>
                <w:color w:val="000000"/>
                <w:sz w:val="24"/>
                <w:szCs w:val="24"/>
              </w:rPr>
            </w:pPr>
          </w:p>
        </w:tc>
        <w:tc>
          <w:tcPr>
            <w:tcW w:w="7229" w:type="dxa"/>
          </w:tcPr>
          <w:p w14:paraId="559FA987">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w:t>
            </w:r>
            <w:r>
              <w:rPr>
                <w:rFonts w:hint="eastAsia" w:asciiTheme="minorEastAsia" w:hAnsiTheme="minorEastAsia" w:eastAsiaTheme="minorEastAsia" w:cstheme="minorEastAsia"/>
                <w:color w:val="000000"/>
                <w:sz w:val="24"/>
                <w:szCs w:val="24"/>
              </w:rPr>
              <w:t>温度、总液量、灌注量、储液量、灌注压力、排泄压力、时间参数的实时显示；</w:t>
            </w:r>
          </w:p>
        </w:tc>
      </w:tr>
      <w:tr w14:paraId="7F35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vMerge w:val="continue"/>
            <w:shd w:val="clear" w:color="auto" w:fill="D7D7D7" w:themeFill="background1" w:themeFillShade="D8"/>
            <w:vAlign w:val="center"/>
          </w:tcPr>
          <w:p w14:paraId="2119CBA8">
            <w:pPr>
              <w:adjustRightInd w:val="0"/>
              <w:snapToGrid w:val="0"/>
              <w:jc w:val="center"/>
              <w:rPr>
                <w:rFonts w:hint="eastAsia" w:asciiTheme="minorEastAsia" w:hAnsiTheme="minorEastAsia" w:eastAsiaTheme="minorEastAsia" w:cstheme="minorEastAsia"/>
                <w:b/>
                <w:bCs/>
                <w:color w:val="000000"/>
                <w:sz w:val="24"/>
                <w:szCs w:val="24"/>
              </w:rPr>
            </w:pPr>
          </w:p>
        </w:tc>
        <w:tc>
          <w:tcPr>
            <w:tcW w:w="7229" w:type="dxa"/>
          </w:tcPr>
          <w:p w14:paraId="56CB397D">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具有灌注压力及排泄压力的双通道压力变化波形曲线并实时显示；</w:t>
            </w:r>
          </w:p>
        </w:tc>
      </w:tr>
      <w:tr w14:paraId="751A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vMerge w:val="continue"/>
            <w:shd w:val="clear" w:color="auto" w:fill="D7D7D7" w:themeFill="background1" w:themeFillShade="D8"/>
            <w:vAlign w:val="center"/>
          </w:tcPr>
          <w:p w14:paraId="595D2117">
            <w:pPr>
              <w:adjustRightInd w:val="0"/>
              <w:snapToGrid w:val="0"/>
              <w:jc w:val="center"/>
              <w:rPr>
                <w:rFonts w:hint="eastAsia" w:asciiTheme="minorEastAsia" w:hAnsiTheme="minorEastAsia" w:eastAsiaTheme="minorEastAsia" w:cstheme="minorEastAsia"/>
                <w:b/>
                <w:bCs/>
                <w:color w:val="000000"/>
                <w:sz w:val="24"/>
                <w:szCs w:val="24"/>
              </w:rPr>
            </w:pPr>
          </w:p>
        </w:tc>
        <w:tc>
          <w:tcPr>
            <w:tcW w:w="7229" w:type="dxa"/>
          </w:tcPr>
          <w:p w14:paraId="2486B556">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11.</w:t>
            </w:r>
            <w:r>
              <w:rPr>
                <w:rFonts w:hint="eastAsia" w:asciiTheme="minorEastAsia" w:hAnsiTheme="minorEastAsia" w:eastAsiaTheme="minorEastAsia" w:cstheme="minorEastAsia"/>
                <w:color w:val="000000"/>
                <w:sz w:val="24"/>
                <w:szCs w:val="24"/>
              </w:rPr>
              <w:t>治疗阶段逐步提示培训功能；</w:t>
            </w:r>
          </w:p>
        </w:tc>
      </w:tr>
      <w:tr w14:paraId="6AB5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shd w:val="clear" w:color="auto" w:fill="D7D7D7" w:themeFill="background1" w:themeFillShade="D8"/>
            <w:vAlign w:val="center"/>
          </w:tcPr>
          <w:p w14:paraId="3514BD38">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水处理装置</w:t>
            </w:r>
          </w:p>
        </w:tc>
        <w:tc>
          <w:tcPr>
            <w:tcW w:w="7229" w:type="dxa"/>
          </w:tcPr>
          <w:p w14:paraId="68421B95">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12.</w:t>
            </w:r>
            <w:r>
              <w:rPr>
                <w:rFonts w:hint="eastAsia" w:asciiTheme="minorEastAsia" w:hAnsiTheme="minorEastAsia" w:eastAsiaTheme="minorEastAsia" w:cstheme="minorEastAsia"/>
                <w:color w:val="000000"/>
                <w:sz w:val="24"/>
                <w:szCs w:val="24"/>
              </w:rPr>
              <w:t>出水口水质应达到饮用水标准，滤芯不大于0.02μm；</w:t>
            </w:r>
          </w:p>
        </w:tc>
      </w:tr>
      <w:tr w14:paraId="2938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shd w:val="clear" w:color="auto" w:fill="D7D7D7" w:themeFill="background1" w:themeFillShade="D8"/>
            <w:vAlign w:val="center"/>
          </w:tcPr>
          <w:p w14:paraId="54716116">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噪声</w:t>
            </w:r>
          </w:p>
        </w:tc>
        <w:tc>
          <w:tcPr>
            <w:tcW w:w="7229" w:type="dxa"/>
          </w:tcPr>
          <w:p w14:paraId="7B66E9AA">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13.</w:t>
            </w:r>
            <w:r>
              <w:rPr>
                <w:rFonts w:hint="eastAsia" w:asciiTheme="minorEastAsia" w:hAnsiTheme="minorEastAsia" w:eastAsiaTheme="minorEastAsia" w:cstheme="minorEastAsia"/>
                <w:color w:val="000000"/>
                <w:sz w:val="24"/>
                <w:szCs w:val="24"/>
              </w:rPr>
              <w:t>治疗机正常工作的噪声≤65dB(A)；</w:t>
            </w:r>
          </w:p>
        </w:tc>
      </w:tr>
      <w:tr w14:paraId="1C54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6" w:type="dxa"/>
            <w:shd w:val="clear" w:color="auto" w:fill="D7D7D7" w:themeFill="background1" w:themeFillShade="D8"/>
            <w:vAlign w:val="center"/>
          </w:tcPr>
          <w:p w14:paraId="66A4216F">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连续工作时间</w:t>
            </w:r>
          </w:p>
        </w:tc>
        <w:tc>
          <w:tcPr>
            <w:tcW w:w="7229" w:type="dxa"/>
          </w:tcPr>
          <w:p w14:paraId="40F8BFD6">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14.</w:t>
            </w:r>
            <w:r>
              <w:rPr>
                <w:rFonts w:hint="eastAsia" w:asciiTheme="minorEastAsia" w:hAnsiTheme="minorEastAsia" w:eastAsiaTheme="minorEastAsia" w:cstheme="minorEastAsia"/>
                <w:color w:val="000000"/>
                <w:sz w:val="24"/>
                <w:szCs w:val="24"/>
              </w:rPr>
              <w:t>治疗机连续工作时间不小于6h；</w:t>
            </w:r>
          </w:p>
        </w:tc>
      </w:tr>
      <w:tr w14:paraId="44A7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986" w:type="dxa"/>
            <w:shd w:val="clear" w:color="auto" w:fill="D7D7D7" w:themeFill="background1" w:themeFillShade="D8"/>
            <w:vAlign w:val="center"/>
          </w:tcPr>
          <w:p w14:paraId="43005782">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安全要求</w:t>
            </w:r>
          </w:p>
        </w:tc>
        <w:tc>
          <w:tcPr>
            <w:tcW w:w="7229" w:type="dxa"/>
          </w:tcPr>
          <w:p w14:paraId="32C43527">
            <w:pPr>
              <w:adjustRightInd w:val="0"/>
              <w:snapToGrid w:val="0"/>
              <w:spacing w:before="93" w:beforeLines="30" w:after="93" w:afterLines="3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15.</w:t>
            </w:r>
            <w:r>
              <w:rPr>
                <w:rFonts w:hint="eastAsia" w:asciiTheme="minorEastAsia" w:hAnsiTheme="minorEastAsia" w:eastAsiaTheme="minorEastAsia" w:cstheme="minorEastAsia"/>
                <w:color w:val="000000"/>
                <w:sz w:val="24"/>
                <w:szCs w:val="24"/>
              </w:rPr>
              <w:t>电气安全应符合GB9706.1-2020的要求</w:t>
            </w:r>
            <w:r>
              <w:rPr>
                <w:rFonts w:hint="eastAsia" w:asciiTheme="minorEastAsia" w:hAnsiTheme="minorEastAsia" w:eastAsiaTheme="minorEastAsia" w:cstheme="minorEastAsia"/>
                <w:color w:val="000000"/>
                <w:sz w:val="24"/>
                <w:szCs w:val="24"/>
                <w:lang w:eastAsia="zh-CN"/>
              </w:rPr>
              <w:t>；</w:t>
            </w:r>
          </w:p>
          <w:p w14:paraId="48556D20">
            <w:pPr>
              <w:adjustRightInd w:val="0"/>
              <w:snapToGrid w:val="0"/>
              <w:spacing w:before="93" w:beforeLines="30" w:after="93" w:afterLines="3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16.报警应符合</w:t>
            </w:r>
            <w:r>
              <w:rPr>
                <w:rFonts w:hint="eastAsia" w:asciiTheme="minorEastAsia" w:hAnsiTheme="minorEastAsia" w:eastAsiaTheme="minorEastAsia" w:cstheme="minorEastAsia"/>
                <w:color w:val="000000"/>
                <w:sz w:val="24"/>
                <w:szCs w:val="24"/>
                <w:highlight w:val="none"/>
              </w:rPr>
              <w:t>YY 9706.108-2021的要求；</w:t>
            </w:r>
          </w:p>
          <w:p w14:paraId="6ED651A5">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17.</w:t>
            </w:r>
            <w:r>
              <w:rPr>
                <w:rFonts w:hint="eastAsia" w:asciiTheme="minorEastAsia" w:hAnsiTheme="minorEastAsia" w:eastAsiaTheme="minorEastAsia" w:cstheme="minorEastAsia"/>
                <w:color w:val="000000"/>
                <w:sz w:val="24"/>
                <w:szCs w:val="24"/>
              </w:rPr>
              <w:t>电磁兼容应符合YY 9706.102-2021的要求；</w:t>
            </w:r>
          </w:p>
        </w:tc>
      </w:tr>
      <w:tr w14:paraId="18F7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986" w:type="dxa"/>
            <w:shd w:val="clear" w:color="auto" w:fill="D7D7D7" w:themeFill="background1" w:themeFillShade="D8"/>
            <w:vAlign w:val="center"/>
          </w:tcPr>
          <w:p w14:paraId="3DA06BDA">
            <w:pPr>
              <w:adjustRightInd w:val="0"/>
              <w:snapToGrid w:val="0"/>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高位结肠透析</w:t>
            </w:r>
          </w:p>
        </w:tc>
        <w:tc>
          <w:tcPr>
            <w:tcW w:w="7229" w:type="dxa"/>
          </w:tcPr>
          <w:p w14:paraId="3DDA8F79">
            <w:pPr>
              <w:adjustRightInd w:val="0"/>
              <w:snapToGrid w:val="0"/>
              <w:spacing w:before="93" w:beforeLines="30" w:after="93" w:afterLines="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color w:val="000000"/>
                <w:sz w:val="24"/>
                <w:szCs w:val="24"/>
              </w:rPr>
              <w:t>设备压力传感器与双腔直肠导管配合，建立治疗通路至高位结肠。直肠导管为无菌一次性使用。</w:t>
            </w:r>
          </w:p>
        </w:tc>
      </w:tr>
      <w:tr w14:paraId="0C68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986" w:type="dxa"/>
            <w:shd w:val="clear" w:color="auto" w:fill="D7D7D7" w:themeFill="background1" w:themeFillShade="D8"/>
            <w:vAlign w:val="center"/>
          </w:tcPr>
          <w:p w14:paraId="23B3A29D">
            <w:pPr>
              <w:adjustRightInd w:val="0"/>
              <w:snapToGrid w:val="0"/>
              <w:jc w:val="center"/>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val="en-US" w:eastAsia="zh-CN"/>
              </w:rPr>
              <w:t>数据导出</w:t>
            </w:r>
          </w:p>
        </w:tc>
        <w:tc>
          <w:tcPr>
            <w:tcW w:w="7229" w:type="dxa"/>
            <w:shd w:val="clear" w:color="auto" w:fill="auto"/>
            <w:vAlign w:val="center"/>
          </w:tcPr>
          <w:p w14:paraId="678E2D4A">
            <w:pPr>
              <w:adjustRightInd w:val="0"/>
              <w:snapToGrid w:val="0"/>
              <w:spacing w:before="93" w:beforeLines="30" w:after="93" w:afterLines="30"/>
              <w:rPr>
                <w:rFonts w:hint="eastAsia" w:asciiTheme="minorEastAsia" w:hAnsiTheme="minorEastAsia" w:eastAsiaTheme="minorEastAsia" w:cstheme="minorEastAsia"/>
                <w:color w:val="000000"/>
                <w:sz w:val="24"/>
                <w:szCs w:val="24"/>
                <w:highlight w:val="yellow"/>
                <w:lang w:val="en-US" w:eastAsia="zh-CN"/>
              </w:rPr>
            </w:pPr>
            <w:r>
              <w:rPr>
                <w:rFonts w:hint="eastAsia" w:asciiTheme="minorEastAsia" w:hAnsiTheme="minorEastAsia" w:eastAsiaTheme="minorEastAsia" w:cstheme="minorEastAsia"/>
                <w:color w:val="000000"/>
                <w:sz w:val="24"/>
                <w:szCs w:val="24"/>
                <w:highlight w:val="none"/>
                <w:lang w:val="en-US" w:eastAsia="zh-CN"/>
              </w:rPr>
              <w:t>19.可将病人信息及治疗信息导出</w:t>
            </w:r>
          </w:p>
        </w:tc>
      </w:tr>
      <w:tr w14:paraId="09B6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986" w:type="dxa"/>
            <w:shd w:val="clear" w:color="auto" w:fill="D7D7D7" w:themeFill="background1" w:themeFillShade="D8"/>
            <w:vAlign w:val="center"/>
          </w:tcPr>
          <w:p w14:paraId="0D9437A8">
            <w:pPr>
              <w:adjustRightInd w:val="0"/>
              <w:snapToGrid w:val="0"/>
              <w:jc w:val="center"/>
              <w:rPr>
                <w:rFonts w:hint="eastAsia" w:asciiTheme="minorEastAsia" w:hAnsiTheme="minorEastAsia" w:eastAsiaTheme="minorEastAsia" w:cstheme="minorEastAsia"/>
                <w:b/>
                <w:bCs/>
                <w:color w:val="000000"/>
                <w:sz w:val="24"/>
                <w:szCs w:val="24"/>
                <w:highlight w:val="none"/>
                <w:lang w:val="en-US" w:eastAsia="zh-CN"/>
              </w:rPr>
            </w:pPr>
            <w:r>
              <w:rPr>
                <w:rFonts w:hint="eastAsia" w:asciiTheme="minorEastAsia" w:hAnsiTheme="minorEastAsia" w:eastAsiaTheme="minorEastAsia" w:cstheme="minorEastAsia"/>
                <w:b/>
                <w:bCs/>
                <w:color w:val="000000"/>
                <w:sz w:val="24"/>
                <w:szCs w:val="24"/>
                <w:highlight w:val="none"/>
                <w:lang w:val="en-US" w:eastAsia="zh-CN"/>
              </w:rPr>
              <w:t>设备使用期</w:t>
            </w:r>
          </w:p>
        </w:tc>
        <w:tc>
          <w:tcPr>
            <w:tcW w:w="7229" w:type="dxa"/>
            <w:shd w:val="clear" w:color="auto" w:fill="auto"/>
            <w:vAlign w:val="center"/>
          </w:tcPr>
          <w:p w14:paraId="7D64DF66">
            <w:pPr>
              <w:adjustRightInd w:val="0"/>
              <w:snapToGrid w:val="0"/>
              <w:spacing w:before="93" w:beforeLines="30" w:after="93" w:afterLines="3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▲20.设备使用期≥10年</w:t>
            </w:r>
          </w:p>
        </w:tc>
      </w:tr>
    </w:tbl>
    <w:p w14:paraId="46C251A4">
      <w:pPr>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（二）耗材限价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2777"/>
        <w:gridCol w:w="952"/>
        <w:gridCol w:w="2686"/>
        <w:gridCol w:w="2686"/>
      </w:tblGrid>
      <w:tr w14:paraId="26D6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59" w:type="dxa"/>
          </w:tcPr>
          <w:p w14:paraId="3478D081">
            <w:pPr>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序号</w:t>
            </w:r>
          </w:p>
        </w:tc>
        <w:tc>
          <w:tcPr>
            <w:tcW w:w="2777" w:type="dxa"/>
          </w:tcPr>
          <w:p w14:paraId="49DF794C">
            <w:pPr>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耗材名称</w:t>
            </w:r>
          </w:p>
        </w:tc>
        <w:tc>
          <w:tcPr>
            <w:tcW w:w="952" w:type="dxa"/>
          </w:tcPr>
          <w:p w14:paraId="19F350FE">
            <w:pPr>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单位</w:t>
            </w:r>
          </w:p>
        </w:tc>
        <w:tc>
          <w:tcPr>
            <w:tcW w:w="2686" w:type="dxa"/>
          </w:tcPr>
          <w:p w14:paraId="7EF3C5C8">
            <w:pPr>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最高限价（元）</w:t>
            </w:r>
          </w:p>
        </w:tc>
        <w:tc>
          <w:tcPr>
            <w:tcW w:w="2686" w:type="dxa"/>
          </w:tcPr>
          <w:p w14:paraId="425E3239">
            <w:pPr>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sz w:val="24"/>
                <w:szCs w:val="24"/>
                <w:vertAlign w:val="baseline"/>
                <w:lang w:val="en-US" w:eastAsia="zh-CN"/>
              </w:rPr>
              <w:t>备注</w:t>
            </w:r>
          </w:p>
        </w:tc>
      </w:tr>
      <w:tr w14:paraId="3030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859" w:type="dxa"/>
          </w:tcPr>
          <w:p w14:paraId="44323146">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2777" w:type="dxa"/>
          </w:tcPr>
          <w:p w14:paraId="47BA78FD">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一次性使用肛门管</w:t>
            </w:r>
          </w:p>
        </w:tc>
        <w:tc>
          <w:tcPr>
            <w:tcW w:w="952" w:type="dxa"/>
          </w:tcPr>
          <w:p w14:paraId="218FC279">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支</w:t>
            </w:r>
          </w:p>
        </w:tc>
        <w:tc>
          <w:tcPr>
            <w:tcW w:w="2686" w:type="dxa"/>
          </w:tcPr>
          <w:p w14:paraId="1EAAFEB4">
            <w:pPr>
              <w:numPr>
                <w:ilvl w:val="0"/>
                <w:numId w:val="0"/>
              </w:numPr>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32</w:t>
            </w:r>
          </w:p>
        </w:tc>
        <w:tc>
          <w:tcPr>
            <w:tcW w:w="2686" w:type="dxa"/>
          </w:tcPr>
          <w:p w14:paraId="109CD9C3">
            <w:pPr>
              <w:widowControl w:val="0"/>
              <w:jc w:val="both"/>
              <w:rPr>
                <w:rFonts w:hint="eastAsia" w:asciiTheme="minorEastAsia" w:hAnsiTheme="minorEastAsia" w:eastAsiaTheme="minorEastAsia" w:cstheme="minorEastAsia"/>
                <w:color w:val="auto"/>
                <w:sz w:val="24"/>
                <w:szCs w:val="24"/>
                <w:vertAlign w:val="baseline"/>
                <w:lang w:val="en-US" w:eastAsia="zh-CN"/>
              </w:rPr>
            </w:pPr>
            <w:r>
              <w:rPr>
                <w:rFonts w:hint="eastAsia" w:ascii="宋体" w:hAnsi="宋体" w:cs="宋体"/>
                <w:b w:val="0"/>
                <w:i w:val="0"/>
                <w:color w:val="auto"/>
                <w:spacing w:val="0"/>
                <w:sz w:val="24"/>
                <w:szCs w:val="24"/>
                <w:lang w:val="en-US" w:eastAsia="zh-CN"/>
              </w:rPr>
              <w:t>不得高于湖南省药品和医用耗材招采管理子系统中标价</w:t>
            </w:r>
          </w:p>
        </w:tc>
      </w:tr>
    </w:tbl>
    <w:p w14:paraId="20000A62">
      <w:pPr>
        <w:numPr>
          <w:ilvl w:val="0"/>
          <w:numId w:val="0"/>
        </w:numPr>
        <w:jc w:val="both"/>
        <w:rPr>
          <w:rFonts w:hint="eastAsia" w:asciiTheme="minorEastAsia" w:hAnsiTheme="minorEastAsia" w:eastAsiaTheme="minorEastAsia" w:cstheme="minorEastAsia"/>
          <w:sz w:val="24"/>
          <w:szCs w:val="24"/>
          <w:lang w:val="en-US" w:eastAsia="zh-CN"/>
        </w:rPr>
      </w:pPr>
    </w:p>
    <w:p w14:paraId="2CD6459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（三）商务参数</w:t>
      </w:r>
    </w:p>
    <w:p w14:paraId="10271DD9">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3CD1503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★2、交货时间：按合同约定的日期交货。</w:t>
      </w:r>
    </w:p>
    <w:p w14:paraId="577AFFB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★3、交货地点：娄底市中心医院指定地点。</w:t>
      </w:r>
    </w:p>
    <w:p w14:paraId="311DE2F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★4、付款方式：设备验收合格后，供应商将发票交到娄底市中心医院后按程序支付货款90%（一般情况下4个月内支付、特殊情况下最多不超过6个月），甲方在设备验收合格</w:t>
      </w:r>
      <w:r>
        <w:rPr>
          <w:rFonts w:hint="eastAsia" w:asciiTheme="minorEastAsia" w:hAnsiTheme="minorEastAsia" w:cstheme="minorEastAsia"/>
          <w:sz w:val="24"/>
          <w:szCs w:val="24"/>
          <w:lang w:eastAsia="zh-CN"/>
        </w:rPr>
        <w:t>且</w:t>
      </w:r>
      <w:r>
        <w:rPr>
          <w:rFonts w:hint="eastAsia" w:ascii="宋体" w:hAnsi="宋体" w:eastAsia="宋体" w:cs="宋体"/>
          <w:color w:val="000000" w:themeColor="text1"/>
          <w:sz w:val="24"/>
          <w14:textFill>
            <w14:solidFill>
              <w14:schemeClr w14:val="tx1"/>
            </w14:solidFill>
          </w14:textFill>
        </w:rPr>
        <w:t>质保期届满</w:t>
      </w:r>
      <w:r>
        <w:rPr>
          <w:rFonts w:hint="eastAsia" w:asciiTheme="minorEastAsia" w:hAnsiTheme="minorEastAsia" w:eastAsiaTheme="minorEastAsia" w:cstheme="minorEastAsia"/>
          <w:sz w:val="24"/>
          <w:szCs w:val="24"/>
        </w:rPr>
        <w:t>后支付10%余款给乙方</w:t>
      </w:r>
      <w:r>
        <w:rPr>
          <w:rFonts w:hint="eastAsia" w:asciiTheme="minorEastAsia" w:hAnsiTheme="minorEastAsia" w:eastAsiaTheme="minorEastAsia" w:cstheme="minorEastAsia"/>
          <w:sz w:val="24"/>
          <w:szCs w:val="24"/>
          <w:lang w:eastAsia="zh-CN"/>
        </w:rPr>
        <w:t>。</w:t>
      </w:r>
      <w:bookmarkStart w:id="5" w:name="_GoBack"/>
      <w:bookmarkEnd w:id="5"/>
    </w:p>
    <w:p w14:paraId="46C9380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★5、质保与售后：整机保修 </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年，终身维修。验收时出具原厂售后质保承诺书，质保期内每年巡检一次，并提交巡检记录。质保期内出现故障，1小时响应，响应后24小时上门服务。</w:t>
      </w:r>
    </w:p>
    <w:p w14:paraId="72B8DB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投标文件中必须提供相关技术资料并加盖投标人公章（如技术参数、技术白皮书、说明书、彩页等），并在响应表中对“★”、“▲”以及要求提供佐证材料的条款备注该条参数响应或正偏离的佐证资料所在页码。</w:t>
      </w:r>
    </w:p>
    <w:p w14:paraId="551A708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color w:val="auto"/>
          <w:sz w:val="24"/>
          <w:szCs w:val="24"/>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8497DBE">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结肠透析仪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结肠透析仪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4"/>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结肠透析仪</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24"/>
                <w:szCs w:val="24"/>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24"/>
                <w:szCs w:val="24"/>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13FC8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C44C9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CA7A70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22AC8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4"/>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专机专用</w:t>
            </w:r>
          </w:p>
          <w:p w14:paraId="04EC64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单价</w:t>
            </w:r>
          </w:p>
          <w:p w14:paraId="6B67F9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一次性使用肛门管</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lang w:val="en-US" w:eastAsia="zh-CN"/>
                <w14:textFill>
                  <w14:solidFill>
                    <w14:schemeClr w14:val="tx1"/>
                  </w14:solidFill>
                </w14:textFill>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lang w:val="en-US" w:eastAsia="zh-CN"/>
                <w14:textFill>
                  <w14:solidFill>
                    <w14:schemeClr w14:val="tx1"/>
                  </w14:solidFill>
                </w14:textFill>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支</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lang w:val="en-US" w:eastAsia="zh-CN"/>
                <w14:textFill>
                  <w14:solidFill>
                    <w14:schemeClr w14:val="tx1"/>
                  </w14:solidFill>
                </w14:textFill>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连续性血液净化设备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55375980">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BB3978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5E83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11A08B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32FC829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E7C4B3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E40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03041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E5B0D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CD61DC">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3D8FD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7EC499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105BC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A6814C5">
            <w:pPr>
              <w:jc w:val="center"/>
              <w:rPr>
                <w:rFonts w:hint="eastAsia" w:ascii="仿宋" w:hAnsi="仿宋" w:eastAsia="仿宋" w:cs="仿宋"/>
                <w:sz w:val="24"/>
                <w:szCs w:val="24"/>
              </w:rPr>
            </w:pPr>
            <w:r>
              <w:rPr>
                <w:rFonts w:hint="eastAsia" w:ascii="仿宋" w:hAnsi="仿宋" w:eastAsia="仿宋" w:cs="仿宋"/>
                <w:sz w:val="24"/>
                <w:szCs w:val="24"/>
              </w:rPr>
              <w:t>40%</w:t>
            </w:r>
          </w:p>
        </w:tc>
      </w:tr>
      <w:tr w14:paraId="08265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39F7A2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C9FEB0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BDF92C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8AEB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C8DD14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762A933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74128E9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75DDC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E93CB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7022934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37483CF0">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AD30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B7BF88D">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DC1D78A">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E17972E">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E0DFD2F">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3199592E">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4B9AECC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1C0BBCE7">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F0CFF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0727BE38">
      <w:pPr>
        <w:jc w:val="center"/>
        <w:rPr>
          <w:rFonts w:hint="eastAsia" w:ascii="仿宋" w:hAnsi="仿宋" w:eastAsia="仿宋" w:cs="仿宋"/>
          <w:sz w:val="24"/>
          <w:szCs w:val="24"/>
        </w:rPr>
      </w:pPr>
    </w:p>
    <w:p w14:paraId="44B6AE09">
      <w:pPr>
        <w:jc w:val="center"/>
        <w:rPr>
          <w:rFonts w:hint="eastAsia" w:ascii="仿宋" w:hAnsi="仿宋" w:eastAsia="仿宋" w:cs="仿宋"/>
          <w:sz w:val="24"/>
          <w:szCs w:val="24"/>
        </w:rPr>
      </w:pPr>
    </w:p>
    <w:p w14:paraId="5AA7DFCF">
      <w:pPr>
        <w:jc w:val="center"/>
        <w:rPr>
          <w:rFonts w:hint="eastAsia" w:ascii="仿宋" w:hAnsi="仿宋" w:eastAsia="仿宋" w:cs="仿宋"/>
          <w:sz w:val="24"/>
          <w:szCs w:val="24"/>
        </w:rPr>
      </w:pPr>
    </w:p>
    <w:p w14:paraId="64289275">
      <w:pPr>
        <w:jc w:val="center"/>
        <w:rPr>
          <w:rFonts w:hint="eastAsia" w:ascii="仿宋" w:hAnsi="仿宋" w:eastAsia="仿宋" w:cs="仿宋"/>
          <w:sz w:val="24"/>
          <w:szCs w:val="24"/>
        </w:rPr>
      </w:pPr>
    </w:p>
    <w:p w14:paraId="34F91219">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icrosoft JhengHei UI Light">
    <w:altName w:val="方正书宋_GBK"/>
    <w:panose1 w:val="020B0304030504040204"/>
    <w:charset w:val="88"/>
    <w:family w:val="swiss"/>
    <w:pitch w:val="default"/>
    <w:sig w:usb0="00000000" w:usb1="00000000" w:usb2="00000016" w:usb3="00000000" w:csb0="00100009"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0BE22C9"/>
    <w:rsid w:val="01350E35"/>
    <w:rsid w:val="01807593"/>
    <w:rsid w:val="02390242"/>
    <w:rsid w:val="03E43FAE"/>
    <w:rsid w:val="04653F41"/>
    <w:rsid w:val="04B72FC8"/>
    <w:rsid w:val="04F57A38"/>
    <w:rsid w:val="050719CA"/>
    <w:rsid w:val="06934BAA"/>
    <w:rsid w:val="06E91EC4"/>
    <w:rsid w:val="086F75C9"/>
    <w:rsid w:val="09C0303A"/>
    <w:rsid w:val="0A3F4F3C"/>
    <w:rsid w:val="0A8A74D4"/>
    <w:rsid w:val="0CAD77BD"/>
    <w:rsid w:val="0D696CDD"/>
    <w:rsid w:val="0E331420"/>
    <w:rsid w:val="0EDD1643"/>
    <w:rsid w:val="0FB9029C"/>
    <w:rsid w:val="10897B23"/>
    <w:rsid w:val="10914EF9"/>
    <w:rsid w:val="10B8663C"/>
    <w:rsid w:val="114A6E83"/>
    <w:rsid w:val="12080B62"/>
    <w:rsid w:val="12994AC5"/>
    <w:rsid w:val="129F447F"/>
    <w:rsid w:val="12C86253"/>
    <w:rsid w:val="13FA68E0"/>
    <w:rsid w:val="15060AC8"/>
    <w:rsid w:val="15125EAE"/>
    <w:rsid w:val="15675A4C"/>
    <w:rsid w:val="17F91BB8"/>
    <w:rsid w:val="19006747"/>
    <w:rsid w:val="193E7D91"/>
    <w:rsid w:val="1943608F"/>
    <w:rsid w:val="19E91315"/>
    <w:rsid w:val="1ADD5C4C"/>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537177"/>
    <w:rsid w:val="21C61C7A"/>
    <w:rsid w:val="22FE28BC"/>
    <w:rsid w:val="2383771E"/>
    <w:rsid w:val="23F374DB"/>
    <w:rsid w:val="24881A32"/>
    <w:rsid w:val="24E375C9"/>
    <w:rsid w:val="25266F96"/>
    <w:rsid w:val="267547DF"/>
    <w:rsid w:val="26C30DB4"/>
    <w:rsid w:val="272B6E6C"/>
    <w:rsid w:val="27CF2BB7"/>
    <w:rsid w:val="28E81B29"/>
    <w:rsid w:val="28FD390A"/>
    <w:rsid w:val="29B45A41"/>
    <w:rsid w:val="2A174DA9"/>
    <w:rsid w:val="2AB010A8"/>
    <w:rsid w:val="2AC66F99"/>
    <w:rsid w:val="2C0A2E19"/>
    <w:rsid w:val="2C7642D0"/>
    <w:rsid w:val="2CC97A35"/>
    <w:rsid w:val="2CF47F19"/>
    <w:rsid w:val="2DD77C64"/>
    <w:rsid w:val="2DDA1E78"/>
    <w:rsid w:val="2DE00B8C"/>
    <w:rsid w:val="2E7C6418"/>
    <w:rsid w:val="2EAC037F"/>
    <w:rsid w:val="2EB67A5C"/>
    <w:rsid w:val="2EF91817"/>
    <w:rsid w:val="2F9730FD"/>
    <w:rsid w:val="302741D2"/>
    <w:rsid w:val="308B184D"/>
    <w:rsid w:val="309C1E01"/>
    <w:rsid w:val="30BB11DD"/>
    <w:rsid w:val="31F17CD1"/>
    <w:rsid w:val="321B02E0"/>
    <w:rsid w:val="324F4D43"/>
    <w:rsid w:val="33384C93"/>
    <w:rsid w:val="340F06E9"/>
    <w:rsid w:val="34C12F54"/>
    <w:rsid w:val="35101668"/>
    <w:rsid w:val="366241E2"/>
    <w:rsid w:val="368F480F"/>
    <w:rsid w:val="369029A0"/>
    <w:rsid w:val="36B66AAC"/>
    <w:rsid w:val="36E47928"/>
    <w:rsid w:val="372F7378"/>
    <w:rsid w:val="37BA0809"/>
    <w:rsid w:val="37DE919F"/>
    <w:rsid w:val="38F7D690"/>
    <w:rsid w:val="395A7185"/>
    <w:rsid w:val="397348CD"/>
    <w:rsid w:val="39FBA7F3"/>
    <w:rsid w:val="3A8E0AB7"/>
    <w:rsid w:val="3A994AB7"/>
    <w:rsid w:val="3B3B544D"/>
    <w:rsid w:val="3B654F2B"/>
    <w:rsid w:val="3BB72BAE"/>
    <w:rsid w:val="3BC792DA"/>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403B4B34"/>
    <w:rsid w:val="4140452A"/>
    <w:rsid w:val="414D7889"/>
    <w:rsid w:val="41BB0BAE"/>
    <w:rsid w:val="42091919"/>
    <w:rsid w:val="425629F5"/>
    <w:rsid w:val="4284152B"/>
    <w:rsid w:val="429A4992"/>
    <w:rsid w:val="42FF3888"/>
    <w:rsid w:val="435B161D"/>
    <w:rsid w:val="43B25DAC"/>
    <w:rsid w:val="44771DFD"/>
    <w:rsid w:val="45D569C3"/>
    <w:rsid w:val="46C011EB"/>
    <w:rsid w:val="475F9F54"/>
    <w:rsid w:val="479B74B7"/>
    <w:rsid w:val="48735221"/>
    <w:rsid w:val="49296D45"/>
    <w:rsid w:val="49E92B05"/>
    <w:rsid w:val="4A354E62"/>
    <w:rsid w:val="4AEE1A11"/>
    <w:rsid w:val="4B7F39F4"/>
    <w:rsid w:val="4B9387EE"/>
    <w:rsid w:val="4BAE646F"/>
    <w:rsid w:val="4BB7768C"/>
    <w:rsid w:val="4CAC1559"/>
    <w:rsid w:val="4D1D09A0"/>
    <w:rsid w:val="4D754257"/>
    <w:rsid w:val="4DCD6AB3"/>
    <w:rsid w:val="4E334DF1"/>
    <w:rsid w:val="4EE7662F"/>
    <w:rsid w:val="50216DCD"/>
    <w:rsid w:val="50540C20"/>
    <w:rsid w:val="506258C6"/>
    <w:rsid w:val="51AC28BD"/>
    <w:rsid w:val="52183ACC"/>
    <w:rsid w:val="5275566D"/>
    <w:rsid w:val="531356F0"/>
    <w:rsid w:val="53238E8B"/>
    <w:rsid w:val="533407C0"/>
    <w:rsid w:val="53B55872"/>
    <w:rsid w:val="544055F2"/>
    <w:rsid w:val="54745318"/>
    <w:rsid w:val="54AD4386"/>
    <w:rsid w:val="55D8243C"/>
    <w:rsid w:val="575FAF7E"/>
    <w:rsid w:val="581A7C72"/>
    <w:rsid w:val="583A4BD7"/>
    <w:rsid w:val="58FF53CC"/>
    <w:rsid w:val="59C74B1F"/>
    <w:rsid w:val="5A886F59"/>
    <w:rsid w:val="5BAFF1A0"/>
    <w:rsid w:val="5BDF167E"/>
    <w:rsid w:val="5CE24971"/>
    <w:rsid w:val="5DEECDE0"/>
    <w:rsid w:val="5E9BBF88"/>
    <w:rsid w:val="5EBFE873"/>
    <w:rsid w:val="5F153ADC"/>
    <w:rsid w:val="5FBFAB6E"/>
    <w:rsid w:val="604D5946"/>
    <w:rsid w:val="611B6B1B"/>
    <w:rsid w:val="61FF68C0"/>
    <w:rsid w:val="62C222C2"/>
    <w:rsid w:val="632D7C40"/>
    <w:rsid w:val="63F39F53"/>
    <w:rsid w:val="64133D6A"/>
    <w:rsid w:val="64245572"/>
    <w:rsid w:val="65824D95"/>
    <w:rsid w:val="66FB932D"/>
    <w:rsid w:val="674A3DD5"/>
    <w:rsid w:val="678E4F5D"/>
    <w:rsid w:val="67F3562A"/>
    <w:rsid w:val="67F35D5C"/>
    <w:rsid w:val="67FFBBE3"/>
    <w:rsid w:val="680E122C"/>
    <w:rsid w:val="6A4E1D63"/>
    <w:rsid w:val="6A701C86"/>
    <w:rsid w:val="6C352415"/>
    <w:rsid w:val="6C486FE4"/>
    <w:rsid w:val="6CA409DF"/>
    <w:rsid w:val="6D1234C8"/>
    <w:rsid w:val="6D9F787E"/>
    <w:rsid w:val="6DBF6E4D"/>
    <w:rsid w:val="6DE375E4"/>
    <w:rsid w:val="6DFF0C8E"/>
    <w:rsid w:val="6E8E5287"/>
    <w:rsid w:val="6FAC3B48"/>
    <w:rsid w:val="6FAD463B"/>
    <w:rsid w:val="6FB7ACDA"/>
    <w:rsid w:val="6FBE332C"/>
    <w:rsid w:val="6FFF67CC"/>
    <w:rsid w:val="70CE0BC9"/>
    <w:rsid w:val="71554367"/>
    <w:rsid w:val="71584067"/>
    <w:rsid w:val="71F26E91"/>
    <w:rsid w:val="726447C6"/>
    <w:rsid w:val="72CE2295"/>
    <w:rsid w:val="72FB9D37"/>
    <w:rsid w:val="735201FF"/>
    <w:rsid w:val="737B50A4"/>
    <w:rsid w:val="73E13BF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3378"/>
    <w:rsid w:val="79FFEA3A"/>
    <w:rsid w:val="7A3E5854"/>
    <w:rsid w:val="7ABA298D"/>
    <w:rsid w:val="7B0620DE"/>
    <w:rsid w:val="7B7D7C18"/>
    <w:rsid w:val="7BBF44BB"/>
    <w:rsid w:val="7BF15CE4"/>
    <w:rsid w:val="7C3A27E5"/>
    <w:rsid w:val="7C5533D1"/>
    <w:rsid w:val="7D1BCA3C"/>
    <w:rsid w:val="7D9727DD"/>
    <w:rsid w:val="7DDF8A36"/>
    <w:rsid w:val="7DFE74A2"/>
    <w:rsid w:val="7E2117BD"/>
    <w:rsid w:val="7E8BAD0B"/>
    <w:rsid w:val="7ED7DBED"/>
    <w:rsid w:val="7EFB4F6E"/>
    <w:rsid w:val="7F13078A"/>
    <w:rsid w:val="7F164138"/>
    <w:rsid w:val="7F1A5E95"/>
    <w:rsid w:val="7F4A6DD3"/>
    <w:rsid w:val="7F763C78"/>
    <w:rsid w:val="7FA75B91"/>
    <w:rsid w:val="7FBC7699"/>
    <w:rsid w:val="7FBFD637"/>
    <w:rsid w:val="7FCFF1E1"/>
    <w:rsid w:val="7FFB0877"/>
    <w:rsid w:val="7FFC4CAE"/>
    <w:rsid w:val="7FFE88A1"/>
    <w:rsid w:val="7FFF52FF"/>
    <w:rsid w:val="87EFD207"/>
    <w:rsid w:val="8B7D3439"/>
    <w:rsid w:val="8BDA768A"/>
    <w:rsid w:val="8EFAA180"/>
    <w:rsid w:val="9AFFD12F"/>
    <w:rsid w:val="9FFD7F25"/>
    <w:rsid w:val="A4FC5874"/>
    <w:rsid w:val="A99BC227"/>
    <w:rsid w:val="ADFDDBA5"/>
    <w:rsid w:val="AFDF5C35"/>
    <w:rsid w:val="AFEFD62F"/>
    <w:rsid w:val="B7FBACA6"/>
    <w:rsid w:val="BBDFF490"/>
    <w:rsid w:val="BBFE96E2"/>
    <w:rsid w:val="BCE66654"/>
    <w:rsid w:val="BF59071B"/>
    <w:rsid w:val="BF7D9491"/>
    <w:rsid w:val="BFF77D2B"/>
    <w:rsid w:val="C3FEA355"/>
    <w:rsid w:val="C7D81BF4"/>
    <w:rsid w:val="C7FCC1D5"/>
    <w:rsid w:val="CDFF7760"/>
    <w:rsid w:val="CDFFF204"/>
    <w:rsid w:val="CFFF8E32"/>
    <w:rsid w:val="D5D30848"/>
    <w:rsid w:val="D6D5AD7C"/>
    <w:rsid w:val="D7FE9D14"/>
    <w:rsid w:val="DBDE3CFA"/>
    <w:rsid w:val="DFAD8580"/>
    <w:rsid w:val="DFF97BBC"/>
    <w:rsid w:val="DFFA836E"/>
    <w:rsid w:val="DFFEDE01"/>
    <w:rsid w:val="DFFF05F4"/>
    <w:rsid w:val="E1DB97AE"/>
    <w:rsid w:val="E6F7C8DE"/>
    <w:rsid w:val="E9A79CA6"/>
    <w:rsid w:val="E9FE6660"/>
    <w:rsid w:val="EADE7AA2"/>
    <w:rsid w:val="ED6D9162"/>
    <w:rsid w:val="EF766382"/>
    <w:rsid w:val="EF7B1925"/>
    <w:rsid w:val="EFEF36A7"/>
    <w:rsid w:val="EFF91F3A"/>
    <w:rsid w:val="EFFDC3C3"/>
    <w:rsid w:val="EFFF278C"/>
    <w:rsid w:val="F1347A70"/>
    <w:rsid w:val="F76D9192"/>
    <w:rsid w:val="F7D57869"/>
    <w:rsid w:val="F91F5623"/>
    <w:rsid w:val="F99F179C"/>
    <w:rsid w:val="FB6F87D3"/>
    <w:rsid w:val="FB7D52BD"/>
    <w:rsid w:val="FBBD03F1"/>
    <w:rsid w:val="FBFDE7FA"/>
    <w:rsid w:val="FCEB7648"/>
    <w:rsid w:val="FDBFAFAF"/>
    <w:rsid w:val="FDF7EAA8"/>
    <w:rsid w:val="FDFF9C76"/>
    <w:rsid w:val="FEAFF452"/>
    <w:rsid w:val="FED7AE9E"/>
    <w:rsid w:val="FEE34724"/>
    <w:rsid w:val="FF1EFC35"/>
    <w:rsid w:val="FF477DD4"/>
    <w:rsid w:val="FF5F7F20"/>
    <w:rsid w:val="FF7B9B69"/>
    <w:rsid w:val="FF7D155A"/>
    <w:rsid w:val="FFAFCB3E"/>
    <w:rsid w:val="FFAFFB84"/>
    <w:rsid w:val="FFBF9032"/>
    <w:rsid w:val="FFC8EF32"/>
    <w:rsid w:val="FFD76697"/>
    <w:rsid w:val="FFDE4793"/>
    <w:rsid w:val="FFDF81E1"/>
    <w:rsid w:val="FFE13652"/>
    <w:rsid w:val="FFECE770"/>
    <w:rsid w:val="FFEFBF13"/>
    <w:rsid w:val="FFF50AEC"/>
    <w:rsid w:val="FFFF0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paragraph" w:styleId="13">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大标题"/>
    <w:basedOn w:val="1"/>
    <w:next w:val="13"/>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 w:type="paragraph" w:customStyle="1" w:styleId="23">
    <w:name w:val="正文 A"/>
    <w:qFormat/>
    <w:uiPriority w:val="0"/>
    <w:pPr>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3989</Words>
  <Characters>4508</Characters>
  <Lines>0</Lines>
  <Paragraphs>0</Paragraphs>
  <TotalTime>0</TotalTime>
  <ScaleCrop>false</ScaleCrop>
  <LinksUpToDate>false</LinksUpToDate>
  <CharactersWithSpaces>4593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2023-07-27T01:45:00Z</dcterms:created>
  <dc:creator>是小豹子</dc:creator>
  <cp:lastModifiedBy>沁sqr</cp:lastModifiedBy>
  <dcterms:modified xsi:type="dcterms:W3CDTF">2026-08-19T09:19:48Z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