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178723">
      <w:pPr>
        <w:pStyle w:val="10"/>
        <w:snapToGrid w:val="0"/>
        <w:jc w:val="center"/>
        <w:rPr>
          <w:rFonts w:ascii="Arial" w:hAnsi="Arial" w:eastAsia="方正小标宋简体" w:cs="Arial"/>
          <w:color w:val="auto"/>
          <w:sz w:val="72"/>
          <w:szCs w:val="72"/>
          <w:highlight w:val="none"/>
        </w:rPr>
      </w:pPr>
      <w:bookmarkStart w:id="1" w:name="_GoBack"/>
      <w:bookmarkEnd w:id="1"/>
      <w:bookmarkStart w:id="0" w:name="_Toc16523570"/>
    </w:p>
    <w:p w14:paraId="27E93D37">
      <w:pPr>
        <w:pStyle w:val="10"/>
        <w:snapToGrid w:val="0"/>
        <w:jc w:val="center"/>
        <w:rPr>
          <w:rFonts w:ascii="Arial" w:hAnsi="Arial" w:eastAsia="方正小标宋简体" w:cs="Arial"/>
          <w:color w:val="auto"/>
          <w:sz w:val="72"/>
          <w:szCs w:val="72"/>
          <w:highlight w:val="none"/>
        </w:rPr>
      </w:pPr>
      <w:r>
        <w:rPr>
          <w:rFonts w:hint="eastAsia" w:ascii="Arial" w:hAnsi="Arial" w:eastAsia="方正小标宋简体" w:cs="Arial"/>
          <w:color w:val="auto"/>
          <w:sz w:val="72"/>
          <w:szCs w:val="72"/>
          <w:highlight w:val="none"/>
        </w:rPr>
        <w:t>娄底市中心医院</w:t>
      </w:r>
    </w:p>
    <w:p w14:paraId="3C4F9584">
      <w:pPr>
        <w:pStyle w:val="10"/>
        <w:snapToGrid w:val="0"/>
        <w:jc w:val="center"/>
        <w:rPr>
          <w:rFonts w:ascii="Arial" w:hAnsi="Arial" w:eastAsia="方正小标宋简体" w:cs="Arial"/>
          <w:color w:val="auto"/>
          <w:sz w:val="72"/>
          <w:szCs w:val="72"/>
          <w:highlight w:val="none"/>
        </w:rPr>
      </w:pPr>
    </w:p>
    <w:p w14:paraId="48C06C50">
      <w:pPr>
        <w:pStyle w:val="10"/>
        <w:snapToGrid w:val="0"/>
        <w:jc w:val="center"/>
        <w:rPr>
          <w:rFonts w:ascii="Arial" w:hAnsi="Arial" w:eastAsia="方正小标宋简体" w:cs="Arial"/>
          <w:color w:val="auto"/>
          <w:sz w:val="72"/>
          <w:szCs w:val="72"/>
          <w:highlight w:val="none"/>
        </w:rPr>
      </w:pPr>
      <w:r>
        <w:rPr>
          <w:rFonts w:hint="eastAsia" w:ascii="Arial" w:hAnsi="Arial" w:eastAsia="方正小标宋简体" w:cs="Arial"/>
          <w:color w:val="auto"/>
          <w:sz w:val="72"/>
          <w:szCs w:val="72"/>
          <w:highlight w:val="none"/>
        </w:rPr>
        <w:t>采购文件</w:t>
      </w:r>
    </w:p>
    <w:p w14:paraId="50C11A41">
      <w:pPr>
        <w:pStyle w:val="10"/>
        <w:snapToGrid w:val="0"/>
        <w:jc w:val="center"/>
        <w:rPr>
          <w:rFonts w:ascii="Arial" w:hAnsi="Arial" w:cs="Arial"/>
          <w:color w:val="auto"/>
          <w:sz w:val="32"/>
          <w:szCs w:val="32"/>
          <w:highlight w:val="none"/>
        </w:rPr>
      </w:pPr>
    </w:p>
    <w:p w14:paraId="3757B1AF">
      <w:pPr>
        <w:pStyle w:val="10"/>
        <w:snapToGrid w:val="0"/>
        <w:jc w:val="center"/>
        <w:rPr>
          <w:rFonts w:ascii="Arial" w:hAnsi="Arial" w:cs="Arial"/>
          <w:color w:val="auto"/>
          <w:sz w:val="32"/>
          <w:szCs w:val="32"/>
          <w:highlight w:val="none"/>
        </w:rPr>
      </w:pPr>
    </w:p>
    <w:p w14:paraId="09A472AB">
      <w:pPr>
        <w:pStyle w:val="10"/>
        <w:snapToGrid w:val="0"/>
        <w:jc w:val="center"/>
        <w:rPr>
          <w:rFonts w:ascii="Arial" w:hAnsi="Arial" w:cs="Arial"/>
          <w:color w:val="auto"/>
          <w:sz w:val="32"/>
          <w:szCs w:val="32"/>
          <w:highlight w:val="none"/>
        </w:rPr>
      </w:pPr>
    </w:p>
    <w:p w14:paraId="3F0ADD9B">
      <w:pPr>
        <w:pStyle w:val="11"/>
        <w:ind w:left="0" w:leftChars="0" w:firstLine="0" w:firstLineChars="0"/>
        <w:rPr>
          <w:color w:val="auto"/>
          <w:highlight w:val="none"/>
        </w:rPr>
      </w:pPr>
    </w:p>
    <w:p w14:paraId="37AE6DF5">
      <w:pPr>
        <w:pStyle w:val="6"/>
        <w:ind w:firstLine="562"/>
        <w:rPr>
          <w:color w:val="auto"/>
          <w:highlight w:val="none"/>
        </w:rPr>
      </w:pPr>
    </w:p>
    <w:p w14:paraId="567316C4">
      <w:pPr>
        <w:pStyle w:val="6"/>
        <w:ind w:firstLine="562"/>
        <w:rPr>
          <w:color w:val="auto"/>
          <w:highlight w:val="none"/>
        </w:rPr>
      </w:pPr>
    </w:p>
    <w:p w14:paraId="3F29E8F9">
      <w:pPr>
        <w:pStyle w:val="2"/>
        <w:ind w:left="0" w:leftChars="0" w:firstLine="0" w:firstLineChars="0"/>
        <w:jc w:val="both"/>
        <w:rPr>
          <w:rFonts w:hint="eastAsia" w:ascii="仿宋" w:hAnsi="仿宋" w:eastAsia="仿宋" w:cs="仿宋"/>
          <w:b/>
          <w:bCs w:val="0"/>
          <w:color w:val="auto"/>
          <w:sz w:val="32"/>
          <w:szCs w:val="32"/>
          <w:highlight w:val="none"/>
          <w:u w:val="none"/>
        </w:rPr>
      </w:pPr>
    </w:p>
    <w:p w14:paraId="2F345F3D">
      <w:pPr>
        <w:pStyle w:val="2"/>
        <w:ind w:left="0" w:leftChars="0" w:firstLine="0" w:firstLineChars="0"/>
        <w:jc w:val="both"/>
        <w:rPr>
          <w:rFonts w:hint="eastAsia" w:ascii="仿宋" w:hAnsi="仿宋" w:eastAsia="仿宋" w:cs="仿宋"/>
          <w:b/>
          <w:bCs w:val="0"/>
          <w:color w:val="auto"/>
          <w:sz w:val="32"/>
          <w:szCs w:val="32"/>
          <w:highlight w:val="none"/>
          <w:u w:val="single"/>
          <w:lang w:val="en-US" w:eastAsia="zh-CN"/>
        </w:rPr>
      </w:pPr>
      <w:r>
        <w:rPr>
          <w:rFonts w:hint="eastAsia" w:ascii="仿宋" w:hAnsi="仿宋" w:eastAsia="仿宋" w:cs="仿宋"/>
          <w:b/>
          <w:bCs w:val="0"/>
          <w:color w:val="auto"/>
          <w:sz w:val="32"/>
          <w:szCs w:val="32"/>
          <w:highlight w:val="none"/>
          <w:u w:val="none"/>
        </w:rPr>
        <w:t>项目名称：</w:t>
      </w:r>
      <w:r>
        <w:rPr>
          <w:rFonts w:hint="eastAsia" w:ascii="仿宋" w:hAnsi="仿宋" w:eastAsia="仿宋" w:cs="仿宋"/>
          <w:b/>
          <w:bCs w:val="0"/>
          <w:color w:val="auto"/>
          <w:kern w:val="0"/>
          <w:sz w:val="32"/>
          <w:szCs w:val="32"/>
          <w:highlight w:val="none"/>
          <w:u w:val="single"/>
          <w:lang w:val="en-US" w:eastAsia="zh-CN" w:bidi="ar-SA"/>
        </w:rPr>
        <w:t>娄底市中心医院资源共享中心配套完善及特种治疗安全保障完善项目</w:t>
      </w:r>
      <w:r>
        <w:rPr>
          <w:rFonts w:hint="eastAsia" w:ascii="仿宋" w:hAnsi="仿宋" w:eastAsia="仿宋" w:cs="仿宋"/>
          <w:b/>
          <w:bCs w:val="0"/>
          <w:color w:val="auto"/>
          <w:sz w:val="32"/>
          <w:szCs w:val="32"/>
          <w:highlight w:val="none"/>
          <w:u w:val="single"/>
          <w:lang w:val="en-US" w:eastAsia="zh-CN"/>
        </w:rPr>
        <w:t>场地平整大树移植服务</w:t>
      </w:r>
    </w:p>
    <w:p w14:paraId="4D620D69">
      <w:pPr>
        <w:rPr>
          <w:color w:val="auto"/>
          <w:highlight w:val="none"/>
        </w:rPr>
      </w:pPr>
    </w:p>
    <w:p w14:paraId="4B231346">
      <w:pPr>
        <w:rPr>
          <w:color w:val="auto"/>
          <w:highlight w:val="none"/>
        </w:rPr>
      </w:pPr>
    </w:p>
    <w:p w14:paraId="27E79C34">
      <w:pPr>
        <w:rPr>
          <w:color w:val="auto"/>
          <w:highlight w:val="none"/>
        </w:rPr>
      </w:pPr>
    </w:p>
    <w:p w14:paraId="218DE747">
      <w:pPr>
        <w:rPr>
          <w:color w:val="auto"/>
          <w:highlight w:val="none"/>
        </w:rPr>
      </w:pPr>
    </w:p>
    <w:p w14:paraId="371D5B2C">
      <w:pPr>
        <w:rPr>
          <w:color w:val="auto"/>
          <w:highlight w:val="none"/>
        </w:rPr>
      </w:pPr>
    </w:p>
    <w:p w14:paraId="7EC4B6CC">
      <w:pPr>
        <w:rPr>
          <w:color w:val="auto"/>
          <w:highlight w:val="none"/>
        </w:rPr>
      </w:pPr>
    </w:p>
    <w:p w14:paraId="213710CC">
      <w:pPr>
        <w:rPr>
          <w:color w:val="auto"/>
          <w:highlight w:val="none"/>
        </w:rPr>
      </w:pPr>
    </w:p>
    <w:p w14:paraId="4710854E">
      <w:pPr>
        <w:rPr>
          <w:color w:val="auto"/>
          <w:highlight w:val="none"/>
        </w:rPr>
      </w:pPr>
    </w:p>
    <w:p w14:paraId="78590410">
      <w:pPr>
        <w:ind w:firstLine="643"/>
        <w:jc w:val="center"/>
        <w:rPr>
          <w:color w:val="auto"/>
          <w:highlight w:val="none"/>
        </w:rPr>
      </w:pPr>
      <w:r>
        <w:rPr>
          <w:rFonts w:hint="eastAsia"/>
          <w:color w:val="auto"/>
          <w:sz w:val="32"/>
          <w:highlight w:val="none"/>
        </w:rPr>
        <w:t>二〇二</w:t>
      </w:r>
      <w:r>
        <w:rPr>
          <w:rFonts w:hint="eastAsia"/>
          <w:color w:val="auto"/>
          <w:sz w:val="32"/>
          <w:highlight w:val="none"/>
          <w:lang w:eastAsia="zh-CN"/>
        </w:rPr>
        <w:t>六</w:t>
      </w:r>
      <w:r>
        <w:rPr>
          <w:rFonts w:hint="eastAsia"/>
          <w:color w:val="auto"/>
          <w:sz w:val="32"/>
          <w:highlight w:val="none"/>
        </w:rPr>
        <w:t>年</w:t>
      </w:r>
      <w:r>
        <w:rPr>
          <w:rFonts w:hint="eastAsia"/>
          <w:color w:val="auto"/>
          <w:sz w:val="32"/>
          <w:highlight w:val="none"/>
          <w:lang w:eastAsia="zh-CN"/>
        </w:rPr>
        <w:t>八</w:t>
      </w:r>
      <w:r>
        <w:rPr>
          <w:rFonts w:hint="eastAsia"/>
          <w:color w:val="auto"/>
          <w:sz w:val="32"/>
          <w:highlight w:val="none"/>
        </w:rPr>
        <w:t>月</w:t>
      </w:r>
    </w:p>
    <w:p w14:paraId="6215E6D1">
      <w:pPr>
        <w:pStyle w:val="2"/>
        <w:pageBreakBefore w:val="0"/>
        <w:widowControl w:val="0"/>
        <w:kinsoku/>
        <w:wordWrap/>
        <w:topLinePunct w:val="0"/>
        <w:bidi w:val="0"/>
        <w:spacing w:line="480" w:lineRule="atLeast"/>
        <w:jc w:val="center"/>
        <w:rPr>
          <w:rFonts w:hint="eastAsia" w:ascii="仿宋" w:hAnsi="仿宋" w:eastAsia="仿宋" w:cs="仿宋"/>
          <w:b/>
          <w:bCs w:val="0"/>
          <w:color w:val="auto"/>
          <w:sz w:val="28"/>
          <w:szCs w:val="28"/>
          <w:highlight w:val="none"/>
        </w:rPr>
      </w:pPr>
      <w:r>
        <w:rPr>
          <w:rFonts w:hint="eastAsia" w:ascii="仿宋" w:hAnsi="仿宋" w:eastAsia="仿宋" w:cs="仿宋"/>
          <w:b/>
          <w:bCs w:val="0"/>
          <w:color w:val="auto"/>
          <w:sz w:val="28"/>
          <w:szCs w:val="28"/>
          <w:highlight w:val="none"/>
        </w:rPr>
        <w:t>第一章 投标邀请</w:t>
      </w:r>
    </w:p>
    <w:p w14:paraId="34CE09AC">
      <w:pPr>
        <w:pStyle w:val="10"/>
        <w:pageBreakBefore w:val="0"/>
        <w:widowControl w:val="0"/>
        <w:tabs>
          <w:tab w:val="left" w:pos="312"/>
        </w:tabs>
        <w:kinsoku/>
        <w:wordWrap/>
        <w:topLinePunct w:val="0"/>
        <w:bidi w:val="0"/>
        <w:snapToGrid w:val="0"/>
        <w:spacing w:line="480" w:lineRule="atLeast"/>
        <w:ind w:firstLine="480" w:firstLineChars="200"/>
        <w:rPr>
          <w:rFonts w:hint="eastAsia" w:ascii="仿宋" w:hAnsi="仿宋" w:eastAsia="仿宋" w:cs="仿宋"/>
          <w:bCs/>
          <w:color w:val="auto"/>
          <w:sz w:val="24"/>
          <w:szCs w:val="24"/>
          <w:highlight w:val="none"/>
        </w:rPr>
      </w:pPr>
      <w:r>
        <w:rPr>
          <w:rFonts w:hint="eastAsia" w:ascii="仿宋" w:hAnsi="仿宋" w:eastAsia="仿宋" w:cs="仿宋"/>
          <w:b w:val="0"/>
          <w:bCs/>
          <w:color w:val="auto"/>
          <w:kern w:val="0"/>
          <w:sz w:val="24"/>
          <w:szCs w:val="24"/>
          <w:highlight w:val="none"/>
          <w:lang w:val="en-US" w:eastAsia="zh-CN" w:bidi="ar-SA"/>
        </w:rPr>
        <w:t>一、</w:t>
      </w:r>
      <w:r>
        <w:rPr>
          <w:rFonts w:hint="eastAsia" w:ascii="仿宋" w:hAnsi="仿宋" w:eastAsia="仿宋" w:cs="仿宋"/>
          <w:bCs/>
          <w:color w:val="auto"/>
          <w:sz w:val="24"/>
          <w:szCs w:val="24"/>
          <w:highlight w:val="none"/>
          <w:lang w:val="en-US" w:eastAsia="zh-CN"/>
        </w:rPr>
        <w:t>项目名称：娄底市中心医院资源共享中心配套完善及特种治疗安全保障完善项目场地平整大树移植服务（后简称“大树移植服务”）</w:t>
      </w:r>
    </w:p>
    <w:p w14:paraId="452D1BE9">
      <w:pPr>
        <w:pStyle w:val="10"/>
        <w:pageBreakBefore w:val="0"/>
        <w:widowControl w:val="0"/>
        <w:tabs>
          <w:tab w:val="left" w:pos="312"/>
        </w:tabs>
        <w:kinsoku/>
        <w:wordWrap/>
        <w:topLinePunct w:val="0"/>
        <w:bidi w:val="0"/>
        <w:snapToGrid w:val="0"/>
        <w:spacing w:line="480" w:lineRule="atLeas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娄底市中心医院资源共享中心配套完善及特种治疗安全保障完善项目用地面积443.44m²，目前需平整地面，对项目用地上的3棵大树进行移植（两棵樟树，一棵石楠）。现对该大树移植服务进行采购，采用医院院内议价方式采购，就有关事项公告如下：</w:t>
      </w:r>
    </w:p>
    <w:p w14:paraId="4681A576">
      <w:pPr>
        <w:pStyle w:val="10"/>
        <w:pageBreakBefore w:val="0"/>
        <w:widowControl w:val="0"/>
        <w:tabs>
          <w:tab w:val="left" w:pos="312"/>
        </w:tabs>
        <w:kinsoku/>
        <w:wordWrap/>
        <w:topLinePunct w:val="0"/>
        <w:bidi w:val="0"/>
        <w:snapToGrid w:val="0"/>
        <w:spacing w:line="480" w:lineRule="atLeast"/>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二、采购方式：医院公开挂网，最低评标价法，在满足所有实质性参数及资格条件的投标人（供应商）中，报价最低者中标；所有有效报价均不得超过采购上限控制价，超过者视为无效投标。如有多个并列最低价，则由并列最低价投标人再次密封报价，直至出现唯一最低报价为止。</w:t>
      </w:r>
    </w:p>
    <w:p w14:paraId="1838A144">
      <w:pPr>
        <w:pStyle w:val="10"/>
        <w:keepNext w:val="0"/>
        <w:keepLines w:val="0"/>
        <w:pageBreakBefore w:val="0"/>
        <w:widowControl w:val="0"/>
        <w:tabs>
          <w:tab w:val="left" w:pos="312"/>
        </w:tabs>
        <w:kinsoku/>
        <w:wordWrap/>
        <w:overflowPunct/>
        <w:topLinePunct w:val="0"/>
        <w:autoSpaceDE/>
        <w:autoSpaceDN/>
        <w:bidi w:val="0"/>
        <w:snapToGrid w:val="0"/>
        <w:spacing w:line="480" w:lineRule="exact"/>
        <w:ind w:leftChars="0" w:firstLine="480" w:firstLineChars="200"/>
        <w:jc w:val="both"/>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本大树移植服务采购项目论证后的采购上限控制价为</w:t>
      </w:r>
      <w:r>
        <w:rPr>
          <w:rFonts w:hint="eastAsia" w:ascii="仿宋" w:hAnsi="仿宋" w:eastAsia="仿宋" w:cs="仿宋"/>
          <w:b/>
          <w:bCs w:val="0"/>
          <w:color w:val="auto"/>
          <w:sz w:val="24"/>
          <w:szCs w:val="24"/>
          <w:highlight w:val="none"/>
          <w:u w:val="single"/>
          <w:lang w:val="en-US" w:eastAsia="zh-CN"/>
        </w:rPr>
        <w:t>11880元</w:t>
      </w:r>
      <w:r>
        <w:rPr>
          <w:rFonts w:hint="eastAsia" w:ascii="仿宋" w:hAnsi="仿宋" w:eastAsia="仿宋" w:cs="仿宋"/>
          <w:bCs/>
          <w:color w:val="auto"/>
          <w:sz w:val="24"/>
          <w:szCs w:val="24"/>
          <w:highlight w:val="none"/>
          <w:lang w:val="en-US" w:eastAsia="zh-CN"/>
        </w:rPr>
        <w:t>，即每棵树上限控制价为</w:t>
      </w:r>
      <w:r>
        <w:rPr>
          <w:rFonts w:hint="eastAsia" w:ascii="仿宋" w:hAnsi="仿宋" w:eastAsia="仿宋" w:cs="仿宋"/>
          <w:b/>
          <w:bCs w:val="0"/>
          <w:color w:val="auto"/>
          <w:sz w:val="24"/>
          <w:szCs w:val="24"/>
          <w:highlight w:val="none"/>
          <w:u w:val="single"/>
          <w:lang w:val="en-US" w:eastAsia="zh-CN"/>
        </w:rPr>
        <w:t>3960元</w:t>
      </w:r>
      <w:r>
        <w:rPr>
          <w:rFonts w:hint="eastAsia" w:ascii="仿宋" w:hAnsi="仿宋" w:eastAsia="仿宋" w:cs="仿宋"/>
          <w:bCs/>
          <w:color w:val="auto"/>
          <w:sz w:val="24"/>
          <w:szCs w:val="24"/>
          <w:highlight w:val="none"/>
          <w:lang w:val="en-US" w:eastAsia="zh-CN"/>
        </w:rPr>
        <w:t>。报价实行总价包干，</w:t>
      </w:r>
      <w:r>
        <w:rPr>
          <w:rFonts w:hint="eastAsia" w:ascii="仿宋" w:hAnsi="仿宋" w:eastAsia="仿宋" w:cs="仿宋"/>
          <w:b w:val="0"/>
          <w:bCs w:val="0"/>
          <w:color w:val="auto"/>
          <w:kern w:val="0"/>
          <w:sz w:val="24"/>
          <w:szCs w:val="24"/>
          <w:highlight w:val="none"/>
          <w:lang w:val="en-US" w:eastAsia="zh-CN" w:bidi="ar-SA"/>
        </w:rPr>
        <w:t>含树木移植费、运输费、人工费、材料费、机械设备费、</w:t>
      </w:r>
      <w:r>
        <w:rPr>
          <w:rFonts w:hint="eastAsia" w:ascii="仿宋" w:hAnsi="仿宋" w:eastAsia="仿宋" w:cs="仿宋"/>
          <w:bCs/>
          <w:color w:val="auto"/>
          <w:sz w:val="24"/>
          <w:szCs w:val="24"/>
          <w:highlight w:val="none"/>
          <w:lang w:val="en-US" w:eastAsia="zh-CN"/>
        </w:rPr>
        <w:t>栽植场地处置费、</w:t>
      </w:r>
      <w:r>
        <w:rPr>
          <w:rFonts w:hint="eastAsia" w:ascii="仿宋" w:hAnsi="仿宋" w:eastAsia="仿宋" w:cs="仿宋"/>
          <w:b w:val="0"/>
          <w:bCs w:val="0"/>
          <w:color w:val="auto"/>
          <w:kern w:val="0"/>
          <w:sz w:val="24"/>
          <w:szCs w:val="24"/>
          <w:highlight w:val="none"/>
          <w:lang w:val="en-US" w:eastAsia="zh-CN" w:bidi="ar-SA"/>
        </w:rPr>
        <w:t>安全文明施工费、行政审批费、养护费、补种费、保险费、税费及其他全部相关费用。合同签订后不因任何因素调整（甲方书面确认的工程变更除外）。</w:t>
      </w:r>
      <w:bookmarkEnd w:id="0"/>
    </w:p>
    <w:p w14:paraId="34C3BC70">
      <w:pPr>
        <w:pStyle w:val="10"/>
        <w:pageBreakBefore w:val="0"/>
        <w:widowControl w:val="0"/>
        <w:tabs>
          <w:tab w:val="left" w:pos="312"/>
        </w:tabs>
        <w:kinsoku/>
        <w:wordWrap/>
        <w:topLinePunct w:val="0"/>
        <w:bidi w:val="0"/>
        <w:snapToGrid w:val="0"/>
        <w:spacing w:line="480" w:lineRule="atLeast"/>
        <w:ind w:firstLine="480" w:firstLineChars="200"/>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rPr>
        <w:t>三、投标人资格要求</w:t>
      </w:r>
      <w:r>
        <w:rPr>
          <w:rFonts w:hint="eastAsia" w:ascii="仿宋" w:hAnsi="仿宋" w:eastAsia="仿宋" w:cs="仿宋"/>
          <w:b/>
          <w:bCs w:val="0"/>
          <w:color w:val="auto"/>
          <w:sz w:val="24"/>
          <w:szCs w:val="24"/>
          <w:highlight w:val="none"/>
          <w:lang w:eastAsia="zh-CN"/>
        </w:rPr>
        <w:t>（满足以下全部）</w:t>
      </w:r>
    </w:p>
    <w:p w14:paraId="5F36B748">
      <w:pPr>
        <w:pStyle w:val="10"/>
        <w:pageBreakBefore w:val="0"/>
        <w:widowControl w:val="0"/>
        <w:tabs>
          <w:tab w:val="left" w:pos="312"/>
        </w:tabs>
        <w:kinsoku/>
        <w:wordWrap/>
        <w:topLinePunct w:val="0"/>
        <w:bidi w:val="0"/>
        <w:snapToGrid w:val="0"/>
        <w:spacing w:line="480" w:lineRule="atLeast"/>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1. 供应商应为中华人民共和国境内注册的具有独立法人资格的法人或其他组织，提供有效的营业执照，经营范围</w:t>
      </w:r>
      <w:r>
        <w:rPr>
          <w:rFonts w:hint="eastAsia" w:ascii="仿宋" w:hAnsi="仿宋" w:eastAsia="仿宋" w:cs="仿宋"/>
          <w:b w:val="0"/>
          <w:bCs w:val="0"/>
          <w:color w:val="auto"/>
          <w:kern w:val="0"/>
          <w:sz w:val="24"/>
          <w:szCs w:val="24"/>
          <w:highlight w:val="none"/>
          <w:lang w:val="en-US" w:eastAsia="zh-CN" w:bidi="ar-SA"/>
        </w:rPr>
        <w:t>包含从事树木移植服务所需的资质</w:t>
      </w:r>
      <w:r>
        <w:rPr>
          <w:rFonts w:hint="eastAsia" w:ascii="仿宋" w:hAnsi="仿宋" w:eastAsia="仿宋" w:cs="仿宋"/>
          <w:bCs/>
          <w:color w:val="auto"/>
          <w:sz w:val="24"/>
          <w:szCs w:val="24"/>
          <w:highlight w:val="none"/>
          <w:lang w:val="en-US" w:eastAsia="zh-CN"/>
        </w:rPr>
        <w:t>。</w:t>
      </w:r>
    </w:p>
    <w:p w14:paraId="2289E2F2">
      <w:pPr>
        <w:pStyle w:val="10"/>
        <w:pageBreakBefore w:val="0"/>
        <w:widowControl w:val="0"/>
        <w:tabs>
          <w:tab w:val="left" w:pos="312"/>
        </w:tabs>
        <w:kinsoku/>
        <w:wordWrap/>
        <w:topLinePunct w:val="0"/>
        <w:bidi w:val="0"/>
        <w:snapToGrid w:val="0"/>
        <w:spacing w:line="480" w:lineRule="atLeast"/>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2. 具有良好的商业信誉和健全的财务会计制度。</w:t>
      </w:r>
    </w:p>
    <w:p w14:paraId="5F8C18A9">
      <w:pPr>
        <w:pStyle w:val="10"/>
        <w:pageBreakBefore w:val="0"/>
        <w:widowControl w:val="0"/>
        <w:tabs>
          <w:tab w:val="left" w:pos="312"/>
        </w:tabs>
        <w:kinsoku/>
        <w:wordWrap/>
        <w:topLinePunct w:val="0"/>
        <w:bidi w:val="0"/>
        <w:snapToGrid w:val="0"/>
        <w:spacing w:line="480" w:lineRule="atLeast"/>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3. 具有履行合同所必需的设备和专业技术能力。</w:t>
      </w:r>
    </w:p>
    <w:p w14:paraId="05ABAAD1">
      <w:pPr>
        <w:pStyle w:val="10"/>
        <w:pageBreakBefore w:val="0"/>
        <w:widowControl w:val="0"/>
        <w:tabs>
          <w:tab w:val="left" w:pos="312"/>
        </w:tabs>
        <w:kinsoku/>
        <w:wordWrap/>
        <w:topLinePunct w:val="0"/>
        <w:bidi w:val="0"/>
        <w:snapToGrid w:val="0"/>
        <w:spacing w:line="480" w:lineRule="atLeast"/>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4. 有依法缴纳税收和社会保障资金的良好记录。</w:t>
      </w:r>
    </w:p>
    <w:p w14:paraId="0B51FAE7">
      <w:pPr>
        <w:pStyle w:val="10"/>
        <w:pageBreakBefore w:val="0"/>
        <w:widowControl w:val="0"/>
        <w:tabs>
          <w:tab w:val="left" w:pos="312"/>
        </w:tabs>
        <w:kinsoku/>
        <w:wordWrap/>
        <w:topLinePunct w:val="0"/>
        <w:bidi w:val="0"/>
        <w:snapToGrid w:val="0"/>
        <w:spacing w:line="480" w:lineRule="atLeast"/>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5. 参加采购活动近三年（自2023年1月1日至今），在经营活动中没有重大违法记录（含重大税收违法、政府采购严重违法失信行为等）。</w:t>
      </w:r>
    </w:p>
    <w:p w14:paraId="6B4A4961">
      <w:pPr>
        <w:pStyle w:val="10"/>
        <w:pageBreakBefore w:val="0"/>
        <w:widowControl w:val="0"/>
        <w:tabs>
          <w:tab w:val="left" w:pos="312"/>
        </w:tabs>
        <w:kinsoku/>
        <w:wordWrap/>
        <w:topLinePunct w:val="0"/>
        <w:bidi w:val="0"/>
        <w:snapToGrid w:val="0"/>
        <w:spacing w:line="480" w:lineRule="atLeast"/>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6. 供应商未被列入严重违法失信企业名单、企业经营异常名录及政府采购严重违法失信行为记录名单（以采购人或评审委员会在"国家企业信用信息公示系统""信用中国"等官方平台查询结果为准）。</w:t>
      </w:r>
    </w:p>
    <w:p w14:paraId="4BD51941">
      <w:pPr>
        <w:pStyle w:val="10"/>
        <w:pageBreakBefore w:val="0"/>
        <w:widowControl w:val="0"/>
        <w:tabs>
          <w:tab w:val="left" w:pos="312"/>
        </w:tabs>
        <w:kinsoku/>
        <w:wordWrap/>
        <w:topLinePunct w:val="0"/>
        <w:bidi w:val="0"/>
        <w:snapToGrid w:val="0"/>
        <w:spacing w:line="480" w:lineRule="atLeast"/>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7. 拟派项目负责人应具备园林绿化相关专业中级及以上职称。</w:t>
      </w:r>
    </w:p>
    <w:p w14:paraId="69369CD9">
      <w:pPr>
        <w:pStyle w:val="10"/>
        <w:pageBreakBefore w:val="0"/>
        <w:widowControl w:val="0"/>
        <w:tabs>
          <w:tab w:val="left" w:pos="312"/>
        </w:tabs>
        <w:kinsoku/>
        <w:wordWrap/>
        <w:topLinePunct w:val="0"/>
        <w:bidi w:val="0"/>
        <w:snapToGrid w:val="0"/>
        <w:spacing w:line="480" w:lineRule="atLeast"/>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8. 本项目不接受联合体投标。</w:t>
      </w:r>
    </w:p>
    <w:p w14:paraId="20ADD50D">
      <w:pPr>
        <w:pStyle w:val="10"/>
        <w:pageBreakBefore w:val="0"/>
        <w:widowControl w:val="0"/>
        <w:tabs>
          <w:tab w:val="left" w:pos="312"/>
        </w:tabs>
        <w:kinsoku/>
        <w:wordWrap/>
        <w:topLinePunct w:val="0"/>
        <w:bidi w:val="0"/>
        <w:snapToGrid w:val="0"/>
        <w:spacing w:line="480" w:lineRule="atLeas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四、投标截止时间、开标时间及地点：</w:t>
      </w:r>
    </w:p>
    <w:p w14:paraId="4A8006E7">
      <w:pPr>
        <w:pStyle w:val="10"/>
        <w:pageBreakBefore w:val="0"/>
        <w:widowControl w:val="0"/>
        <w:tabs>
          <w:tab w:val="left" w:pos="312"/>
        </w:tabs>
        <w:kinsoku/>
        <w:wordWrap/>
        <w:topLinePunct w:val="0"/>
        <w:bidi w:val="0"/>
        <w:snapToGrid w:val="0"/>
        <w:spacing w:line="480" w:lineRule="atLeast"/>
        <w:ind w:firstLine="480" w:firstLineChars="200"/>
        <w:rPr>
          <w:rFonts w:hint="eastAsia" w:ascii="仿宋" w:hAnsi="仿宋" w:eastAsia="仿宋" w:cs="仿宋"/>
          <w:bCs/>
          <w:color w:val="auto"/>
          <w:sz w:val="24"/>
          <w:szCs w:val="24"/>
          <w:highlight w:val="none"/>
          <w:u w:val="single"/>
        </w:rPr>
      </w:pPr>
      <w:r>
        <w:rPr>
          <w:rFonts w:hint="eastAsia" w:ascii="仿宋" w:hAnsi="仿宋" w:eastAsia="仿宋" w:cs="仿宋"/>
          <w:bCs/>
          <w:color w:val="auto"/>
          <w:sz w:val="24"/>
          <w:szCs w:val="24"/>
          <w:highlight w:val="none"/>
        </w:rPr>
        <w:t>1、投标截止时间、开标时间：</w:t>
      </w:r>
      <w:r>
        <w:rPr>
          <w:rFonts w:hint="eastAsia" w:ascii="仿宋" w:hAnsi="仿宋" w:eastAsia="仿宋" w:cs="仿宋"/>
          <w:b/>
          <w:bCs w:val="0"/>
          <w:color w:val="auto"/>
          <w:sz w:val="24"/>
          <w:szCs w:val="24"/>
          <w:highlight w:val="none"/>
          <w:u w:val="single"/>
        </w:rPr>
        <w:t>202</w:t>
      </w:r>
      <w:r>
        <w:rPr>
          <w:rFonts w:hint="eastAsia" w:ascii="仿宋" w:hAnsi="仿宋" w:eastAsia="仿宋" w:cs="仿宋"/>
          <w:b/>
          <w:bCs w:val="0"/>
          <w:color w:val="auto"/>
          <w:sz w:val="24"/>
          <w:szCs w:val="24"/>
          <w:highlight w:val="none"/>
          <w:u w:val="single"/>
          <w:lang w:val="en-US" w:eastAsia="zh-CN"/>
        </w:rPr>
        <w:t>6</w:t>
      </w:r>
      <w:r>
        <w:rPr>
          <w:rFonts w:hint="eastAsia" w:ascii="仿宋" w:hAnsi="仿宋" w:eastAsia="仿宋" w:cs="仿宋"/>
          <w:b/>
          <w:bCs w:val="0"/>
          <w:color w:val="auto"/>
          <w:sz w:val="24"/>
          <w:szCs w:val="24"/>
          <w:highlight w:val="none"/>
          <w:u w:val="single"/>
        </w:rPr>
        <w:t>年</w:t>
      </w:r>
      <w:r>
        <w:rPr>
          <w:rFonts w:hint="eastAsia" w:ascii="仿宋" w:hAnsi="仿宋" w:eastAsia="仿宋" w:cs="仿宋"/>
          <w:b/>
          <w:bCs w:val="0"/>
          <w:color w:val="auto"/>
          <w:sz w:val="24"/>
          <w:szCs w:val="24"/>
          <w:highlight w:val="none"/>
          <w:u w:val="single"/>
          <w:lang w:val="en-US" w:eastAsia="zh-CN"/>
        </w:rPr>
        <w:t xml:space="preserve"> 9</w:t>
      </w:r>
      <w:r>
        <w:rPr>
          <w:rFonts w:hint="eastAsia" w:ascii="仿宋" w:hAnsi="仿宋" w:eastAsia="仿宋" w:cs="仿宋"/>
          <w:b/>
          <w:bCs w:val="0"/>
          <w:color w:val="auto"/>
          <w:sz w:val="24"/>
          <w:szCs w:val="24"/>
          <w:highlight w:val="none"/>
          <w:u w:val="single"/>
        </w:rPr>
        <w:t>月</w:t>
      </w:r>
      <w:r>
        <w:rPr>
          <w:rFonts w:hint="eastAsia" w:ascii="仿宋" w:hAnsi="仿宋" w:eastAsia="仿宋" w:cs="仿宋"/>
          <w:b/>
          <w:bCs w:val="0"/>
          <w:color w:val="auto"/>
          <w:sz w:val="24"/>
          <w:szCs w:val="24"/>
          <w:highlight w:val="none"/>
          <w:u w:val="single"/>
          <w:lang w:val="en-US" w:eastAsia="zh-CN"/>
        </w:rPr>
        <w:t xml:space="preserve"> 4</w:t>
      </w:r>
      <w:r>
        <w:rPr>
          <w:rFonts w:hint="eastAsia" w:ascii="仿宋" w:hAnsi="仿宋" w:eastAsia="仿宋" w:cs="仿宋"/>
          <w:b/>
          <w:bCs w:val="0"/>
          <w:color w:val="auto"/>
          <w:sz w:val="24"/>
          <w:szCs w:val="24"/>
          <w:highlight w:val="none"/>
          <w:u w:val="single"/>
        </w:rPr>
        <w:t>日（星期</w:t>
      </w:r>
      <w:r>
        <w:rPr>
          <w:rFonts w:hint="eastAsia" w:ascii="仿宋" w:hAnsi="仿宋" w:eastAsia="仿宋" w:cs="仿宋"/>
          <w:b/>
          <w:bCs w:val="0"/>
          <w:color w:val="auto"/>
          <w:sz w:val="24"/>
          <w:szCs w:val="24"/>
          <w:highlight w:val="none"/>
          <w:u w:val="single"/>
          <w:lang w:eastAsia="zh-CN"/>
        </w:rPr>
        <w:t>五</w:t>
      </w:r>
      <w:r>
        <w:rPr>
          <w:rFonts w:hint="eastAsia" w:ascii="仿宋" w:hAnsi="仿宋" w:eastAsia="仿宋" w:cs="仿宋"/>
          <w:b/>
          <w:bCs w:val="0"/>
          <w:color w:val="auto"/>
          <w:sz w:val="24"/>
          <w:szCs w:val="24"/>
          <w:highlight w:val="none"/>
          <w:u w:val="single"/>
        </w:rPr>
        <w:t>）</w:t>
      </w:r>
      <w:r>
        <w:rPr>
          <w:rFonts w:hint="eastAsia" w:ascii="仿宋" w:hAnsi="仿宋" w:eastAsia="仿宋" w:cs="仿宋"/>
          <w:b/>
          <w:bCs w:val="0"/>
          <w:color w:val="auto"/>
          <w:sz w:val="24"/>
          <w:szCs w:val="24"/>
          <w:highlight w:val="none"/>
          <w:u w:val="single"/>
          <w:lang w:val="en-US" w:eastAsia="zh-CN"/>
        </w:rPr>
        <w:t>上午9点整</w:t>
      </w:r>
    </w:p>
    <w:p w14:paraId="6EDAA572">
      <w:pPr>
        <w:pStyle w:val="10"/>
        <w:pageBreakBefore w:val="0"/>
        <w:widowControl w:val="0"/>
        <w:tabs>
          <w:tab w:val="left" w:pos="312"/>
        </w:tabs>
        <w:kinsoku/>
        <w:wordWrap/>
        <w:topLinePunct w:val="0"/>
        <w:bidi w:val="0"/>
        <w:snapToGrid w:val="0"/>
        <w:spacing w:line="480" w:lineRule="atLeas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2、开标地点：娄底市中心医院建设管理科办公室</w:t>
      </w:r>
    </w:p>
    <w:p w14:paraId="4158DE7A">
      <w:pPr>
        <w:pStyle w:val="10"/>
        <w:pageBreakBefore w:val="0"/>
        <w:widowControl w:val="0"/>
        <w:tabs>
          <w:tab w:val="left" w:pos="312"/>
        </w:tabs>
        <w:kinsoku/>
        <w:wordWrap/>
        <w:topLinePunct w:val="0"/>
        <w:bidi w:val="0"/>
        <w:snapToGrid w:val="0"/>
        <w:spacing w:line="480" w:lineRule="atLeas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五、采购人地址和联系方法：</w:t>
      </w:r>
    </w:p>
    <w:p w14:paraId="20FA2DD1">
      <w:pPr>
        <w:pStyle w:val="10"/>
        <w:pageBreakBefore w:val="0"/>
        <w:widowControl w:val="0"/>
        <w:tabs>
          <w:tab w:val="left" w:pos="312"/>
        </w:tabs>
        <w:kinsoku/>
        <w:wordWrap/>
        <w:topLinePunct w:val="0"/>
        <w:bidi w:val="0"/>
        <w:snapToGrid w:val="0"/>
        <w:spacing w:line="480" w:lineRule="atLeas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1、采购人名称：娄底市中心医院</w:t>
      </w:r>
    </w:p>
    <w:p w14:paraId="0C54F2FD">
      <w:pPr>
        <w:pStyle w:val="10"/>
        <w:pageBreakBefore w:val="0"/>
        <w:widowControl w:val="0"/>
        <w:tabs>
          <w:tab w:val="left" w:pos="312"/>
        </w:tabs>
        <w:kinsoku/>
        <w:wordWrap/>
        <w:topLinePunct w:val="0"/>
        <w:bidi w:val="0"/>
        <w:snapToGrid w:val="0"/>
        <w:spacing w:line="480" w:lineRule="atLeas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2、联系人及联系方式：聂东庚 13873869596</w:t>
      </w:r>
    </w:p>
    <w:p w14:paraId="66FEEA88">
      <w:pPr>
        <w:pStyle w:val="10"/>
        <w:pageBreakBefore w:val="0"/>
        <w:widowControl w:val="0"/>
        <w:tabs>
          <w:tab w:val="left" w:pos="312"/>
        </w:tabs>
        <w:kinsoku/>
        <w:wordWrap/>
        <w:topLinePunct w:val="0"/>
        <w:bidi w:val="0"/>
        <w:snapToGrid w:val="0"/>
        <w:spacing w:line="480" w:lineRule="atLeas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3、采购人地址：娄底市长青中街51号娄底市中心医院</w:t>
      </w:r>
    </w:p>
    <w:p w14:paraId="1198D27C">
      <w:pPr>
        <w:pStyle w:val="10"/>
        <w:pageBreakBefore w:val="0"/>
        <w:widowControl w:val="0"/>
        <w:tabs>
          <w:tab w:val="left" w:pos="312"/>
        </w:tabs>
        <w:kinsoku/>
        <w:wordWrap/>
        <w:topLinePunct w:val="0"/>
        <w:bidi w:val="0"/>
        <w:snapToGrid w:val="0"/>
        <w:spacing w:line="480" w:lineRule="atLeas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六、投标须知</w:t>
      </w:r>
    </w:p>
    <w:p w14:paraId="373863D1">
      <w:pPr>
        <w:pStyle w:val="10"/>
        <w:pageBreakBefore w:val="0"/>
        <w:widowControl w:val="0"/>
        <w:tabs>
          <w:tab w:val="left" w:pos="312"/>
        </w:tabs>
        <w:kinsoku/>
        <w:wordWrap/>
        <w:topLinePunct w:val="0"/>
        <w:bidi w:val="0"/>
        <w:snapToGrid w:val="0"/>
        <w:spacing w:line="480" w:lineRule="atLeas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1、否决投标的情形：</w:t>
      </w:r>
    </w:p>
    <w:p w14:paraId="4EB002F1">
      <w:pPr>
        <w:pStyle w:val="10"/>
        <w:pageBreakBefore w:val="0"/>
        <w:widowControl w:val="0"/>
        <w:tabs>
          <w:tab w:val="left" w:pos="312"/>
        </w:tabs>
        <w:kinsoku/>
        <w:wordWrap/>
        <w:topLinePunct w:val="0"/>
        <w:bidi w:val="0"/>
        <w:snapToGrid w:val="0"/>
        <w:spacing w:line="480" w:lineRule="atLeas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1.1</w:t>
      </w:r>
      <w:r>
        <w:rPr>
          <w:rFonts w:hint="eastAsia" w:ascii="仿宋" w:hAnsi="仿宋" w:eastAsia="仿宋" w:cs="仿宋"/>
          <w:bCs/>
          <w:color w:val="auto"/>
          <w:sz w:val="24"/>
          <w:szCs w:val="24"/>
          <w:highlight w:val="none"/>
          <w:lang w:val="en-US" w:eastAsia="zh-CN"/>
        </w:rPr>
        <w:t xml:space="preserve"> </w:t>
      </w:r>
      <w:r>
        <w:rPr>
          <w:rFonts w:hint="eastAsia" w:ascii="仿宋" w:hAnsi="仿宋" w:eastAsia="仿宋" w:cs="仿宋"/>
          <w:bCs/>
          <w:color w:val="auto"/>
          <w:sz w:val="24"/>
          <w:szCs w:val="24"/>
          <w:highlight w:val="none"/>
        </w:rPr>
        <w:t>投标人以他人名义投标、串通投标、以行贿手段谋取中标的；</w:t>
      </w:r>
    </w:p>
    <w:p w14:paraId="5C643A4F">
      <w:pPr>
        <w:pStyle w:val="10"/>
        <w:pageBreakBefore w:val="0"/>
        <w:widowControl w:val="0"/>
        <w:tabs>
          <w:tab w:val="left" w:pos="312"/>
        </w:tabs>
        <w:kinsoku/>
        <w:wordWrap/>
        <w:topLinePunct w:val="0"/>
        <w:bidi w:val="0"/>
        <w:snapToGrid w:val="0"/>
        <w:spacing w:line="480" w:lineRule="atLeas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1.2</w:t>
      </w:r>
      <w:r>
        <w:rPr>
          <w:rFonts w:hint="eastAsia" w:ascii="仿宋" w:hAnsi="仿宋" w:eastAsia="仿宋" w:cs="仿宋"/>
          <w:bCs/>
          <w:color w:val="auto"/>
          <w:sz w:val="24"/>
          <w:szCs w:val="24"/>
          <w:highlight w:val="none"/>
          <w:lang w:val="en-US" w:eastAsia="zh-CN"/>
        </w:rPr>
        <w:t xml:space="preserve"> </w:t>
      </w:r>
      <w:r>
        <w:rPr>
          <w:rFonts w:hint="eastAsia" w:ascii="仿宋" w:hAnsi="仿宋" w:eastAsia="仿宋" w:cs="仿宋"/>
          <w:bCs/>
          <w:color w:val="auto"/>
          <w:sz w:val="24"/>
          <w:szCs w:val="24"/>
          <w:highlight w:val="none"/>
        </w:rPr>
        <w:t>资格评审时，投标人资格条件不符合国家有关规定或者文件要求的，或者拒不按照要求对投标文件进行澄清、说明或补正，或者其说明补正无法证明其为合格投标人的；</w:t>
      </w:r>
    </w:p>
    <w:p w14:paraId="29E9F401">
      <w:pPr>
        <w:pStyle w:val="10"/>
        <w:pageBreakBefore w:val="0"/>
        <w:widowControl w:val="0"/>
        <w:tabs>
          <w:tab w:val="left" w:pos="312"/>
        </w:tabs>
        <w:kinsoku/>
        <w:wordWrap/>
        <w:topLinePunct w:val="0"/>
        <w:bidi w:val="0"/>
        <w:snapToGrid w:val="0"/>
        <w:spacing w:line="480" w:lineRule="atLeas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1.3</w:t>
      </w:r>
      <w:r>
        <w:rPr>
          <w:rFonts w:hint="eastAsia" w:ascii="仿宋" w:hAnsi="仿宋" w:eastAsia="仿宋" w:cs="仿宋"/>
          <w:bCs/>
          <w:color w:val="auto"/>
          <w:sz w:val="24"/>
          <w:szCs w:val="24"/>
          <w:highlight w:val="none"/>
          <w:lang w:val="en-US" w:eastAsia="zh-CN"/>
        </w:rPr>
        <w:t xml:space="preserve"> 评标委员会认定投标报价明显低于成本（低于成本价可能损害工程质量或甲方利益的），且投标人不能合理说明或提供完整证明材料证明其报价合理性的</w:t>
      </w:r>
      <w:r>
        <w:rPr>
          <w:rFonts w:hint="eastAsia" w:ascii="仿宋" w:hAnsi="仿宋" w:eastAsia="仿宋" w:cs="仿宋"/>
          <w:bCs/>
          <w:color w:val="auto"/>
          <w:sz w:val="24"/>
          <w:szCs w:val="24"/>
          <w:highlight w:val="none"/>
        </w:rPr>
        <w:t>；</w:t>
      </w:r>
    </w:p>
    <w:p w14:paraId="55AE7190">
      <w:pPr>
        <w:pStyle w:val="10"/>
        <w:pageBreakBefore w:val="0"/>
        <w:widowControl w:val="0"/>
        <w:tabs>
          <w:tab w:val="left" w:pos="312"/>
        </w:tabs>
        <w:kinsoku/>
        <w:wordWrap/>
        <w:topLinePunct w:val="0"/>
        <w:bidi w:val="0"/>
        <w:snapToGrid w:val="0"/>
        <w:spacing w:line="480" w:lineRule="atLeas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1.4</w:t>
      </w:r>
      <w:r>
        <w:rPr>
          <w:rFonts w:hint="eastAsia" w:ascii="仿宋" w:hAnsi="仿宋" w:eastAsia="仿宋" w:cs="仿宋"/>
          <w:bCs/>
          <w:color w:val="auto"/>
          <w:sz w:val="24"/>
          <w:szCs w:val="24"/>
          <w:highlight w:val="none"/>
          <w:lang w:val="en-US" w:eastAsia="zh-CN"/>
        </w:rPr>
        <w:t xml:space="preserve"> </w:t>
      </w:r>
      <w:r>
        <w:rPr>
          <w:rFonts w:hint="eastAsia" w:ascii="仿宋" w:hAnsi="仿宋" w:eastAsia="仿宋" w:cs="仿宋"/>
          <w:bCs/>
          <w:color w:val="auto"/>
          <w:sz w:val="24"/>
          <w:szCs w:val="24"/>
          <w:highlight w:val="none"/>
        </w:rPr>
        <w:t>投标人未按照要求出席开标会的；</w:t>
      </w:r>
    </w:p>
    <w:p w14:paraId="675BEABA">
      <w:pPr>
        <w:pStyle w:val="10"/>
        <w:pageBreakBefore w:val="0"/>
        <w:widowControl w:val="0"/>
        <w:tabs>
          <w:tab w:val="left" w:pos="312"/>
        </w:tabs>
        <w:kinsoku/>
        <w:wordWrap/>
        <w:topLinePunct w:val="0"/>
        <w:bidi w:val="0"/>
        <w:snapToGrid w:val="0"/>
        <w:spacing w:line="480" w:lineRule="atLeas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1.5</w:t>
      </w:r>
      <w:r>
        <w:rPr>
          <w:rFonts w:hint="eastAsia" w:ascii="仿宋" w:hAnsi="仿宋" w:eastAsia="仿宋" w:cs="仿宋"/>
          <w:bCs/>
          <w:color w:val="auto"/>
          <w:sz w:val="24"/>
          <w:szCs w:val="24"/>
          <w:highlight w:val="none"/>
          <w:lang w:val="en-US" w:eastAsia="zh-CN"/>
        </w:rPr>
        <w:t xml:space="preserve"> </w:t>
      </w:r>
      <w:r>
        <w:rPr>
          <w:rFonts w:hint="eastAsia" w:ascii="仿宋" w:hAnsi="仿宋" w:eastAsia="仿宋" w:cs="仿宋"/>
          <w:bCs/>
          <w:color w:val="auto"/>
          <w:sz w:val="24"/>
          <w:szCs w:val="24"/>
          <w:highlight w:val="none"/>
        </w:rPr>
        <w:t>投标报价有错误的，评标委员会将要求投标人作出书面澄清说明和确认，投标人拒不作出澄清说明和确认的；</w:t>
      </w:r>
    </w:p>
    <w:p w14:paraId="110FE5BF">
      <w:pPr>
        <w:pStyle w:val="10"/>
        <w:pageBreakBefore w:val="0"/>
        <w:widowControl w:val="0"/>
        <w:tabs>
          <w:tab w:val="left" w:pos="312"/>
        </w:tabs>
        <w:kinsoku/>
        <w:wordWrap/>
        <w:topLinePunct w:val="0"/>
        <w:bidi w:val="0"/>
        <w:snapToGrid w:val="0"/>
        <w:spacing w:line="480" w:lineRule="atLeas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1.6</w:t>
      </w:r>
      <w:r>
        <w:rPr>
          <w:rFonts w:hint="eastAsia" w:ascii="仿宋" w:hAnsi="仿宋" w:eastAsia="仿宋" w:cs="仿宋"/>
          <w:bCs/>
          <w:color w:val="auto"/>
          <w:sz w:val="24"/>
          <w:szCs w:val="24"/>
          <w:highlight w:val="none"/>
          <w:lang w:val="en-US" w:eastAsia="zh-CN"/>
        </w:rPr>
        <w:t xml:space="preserve"> </w:t>
      </w:r>
      <w:r>
        <w:rPr>
          <w:rFonts w:hint="eastAsia" w:ascii="仿宋" w:hAnsi="仿宋" w:eastAsia="仿宋" w:cs="仿宋"/>
          <w:bCs/>
          <w:color w:val="auto"/>
          <w:sz w:val="24"/>
          <w:szCs w:val="24"/>
          <w:highlight w:val="none"/>
        </w:rPr>
        <w:t>投标文件存在弄虚作假或者隐瞒事实，或者未按照文件要求如实提供有关情况和文件，以及证明资料且对投标人有利的，应当否决其投标。被列为中标候选人的，应当取消其中标候选人资格，且自否决之日起一年内不得参加本项目重新采购活动。</w:t>
      </w:r>
    </w:p>
    <w:p w14:paraId="72079F2C">
      <w:pPr>
        <w:pStyle w:val="10"/>
        <w:pageBreakBefore w:val="0"/>
        <w:widowControl w:val="0"/>
        <w:tabs>
          <w:tab w:val="left" w:pos="312"/>
        </w:tabs>
        <w:kinsoku/>
        <w:wordWrap/>
        <w:topLinePunct w:val="0"/>
        <w:bidi w:val="0"/>
        <w:snapToGrid w:val="0"/>
        <w:spacing w:line="480" w:lineRule="atLeast"/>
        <w:ind w:firstLine="480" w:firstLineChars="200"/>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2、有下列情形之一的，采购人将重新挂网采购：</w:t>
      </w:r>
    </w:p>
    <w:p w14:paraId="5742FFEE">
      <w:pPr>
        <w:pStyle w:val="10"/>
        <w:pageBreakBefore w:val="0"/>
        <w:widowControl w:val="0"/>
        <w:tabs>
          <w:tab w:val="left" w:pos="312"/>
        </w:tabs>
        <w:kinsoku/>
        <w:wordWrap/>
        <w:topLinePunct w:val="0"/>
        <w:bidi w:val="0"/>
        <w:snapToGrid w:val="0"/>
        <w:spacing w:line="480" w:lineRule="atLeast"/>
        <w:ind w:firstLine="480" w:firstLineChars="200"/>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2.1</w:t>
      </w:r>
      <w:r>
        <w:rPr>
          <w:rFonts w:hint="eastAsia" w:ascii="仿宋" w:hAnsi="仿宋" w:eastAsia="仿宋" w:cs="仿宋"/>
          <w:b w:val="0"/>
          <w:bCs/>
          <w:color w:val="auto"/>
          <w:sz w:val="24"/>
          <w:szCs w:val="24"/>
          <w:highlight w:val="none"/>
          <w:lang w:val="en-US" w:eastAsia="zh-CN"/>
        </w:rPr>
        <w:t xml:space="preserve"> </w:t>
      </w:r>
      <w:r>
        <w:rPr>
          <w:rFonts w:hint="eastAsia" w:ascii="仿宋" w:hAnsi="仿宋" w:eastAsia="仿宋" w:cs="仿宋"/>
          <w:b w:val="0"/>
          <w:bCs/>
          <w:color w:val="auto"/>
          <w:sz w:val="24"/>
          <w:szCs w:val="24"/>
          <w:highlight w:val="none"/>
        </w:rPr>
        <w:t>投标截止时间止，投标人少于3家的；</w:t>
      </w:r>
    </w:p>
    <w:p w14:paraId="38693767">
      <w:pPr>
        <w:pStyle w:val="10"/>
        <w:pageBreakBefore w:val="0"/>
        <w:widowControl w:val="0"/>
        <w:tabs>
          <w:tab w:val="left" w:pos="312"/>
        </w:tabs>
        <w:kinsoku/>
        <w:wordWrap/>
        <w:topLinePunct w:val="0"/>
        <w:bidi w:val="0"/>
        <w:snapToGrid w:val="0"/>
        <w:spacing w:line="480" w:lineRule="atLeast"/>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b w:val="0"/>
          <w:bCs/>
          <w:color w:val="auto"/>
          <w:sz w:val="24"/>
          <w:szCs w:val="24"/>
          <w:highlight w:val="none"/>
        </w:rPr>
        <w:t>2.2</w:t>
      </w:r>
      <w:r>
        <w:rPr>
          <w:rFonts w:hint="eastAsia" w:ascii="仿宋" w:hAnsi="仿宋" w:eastAsia="仿宋" w:cs="仿宋"/>
          <w:b w:val="0"/>
          <w:bCs/>
          <w:color w:val="auto"/>
          <w:sz w:val="24"/>
          <w:szCs w:val="24"/>
          <w:highlight w:val="none"/>
          <w:lang w:val="en-US" w:eastAsia="zh-CN"/>
        </w:rPr>
        <w:t xml:space="preserve"> </w:t>
      </w:r>
      <w:r>
        <w:rPr>
          <w:rFonts w:hint="eastAsia" w:ascii="仿宋" w:hAnsi="仿宋" w:eastAsia="仿宋" w:cs="仿宋"/>
          <w:b w:val="0"/>
          <w:bCs/>
          <w:color w:val="auto"/>
          <w:sz w:val="24"/>
          <w:szCs w:val="24"/>
          <w:highlight w:val="none"/>
        </w:rPr>
        <w:t>经评标委员会评审后，符合资格审查的投标人少于3家的。</w:t>
      </w:r>
    </w:p>
    <w:p w14:paraId="14267ACA">
      <w:pPr>
        <w:pStyle w:val="10"/>
        <w:pageBreakBefore w:val="0"/>
        <w:widowControl w:val="0"/>
        <w:tabs>
          <w:tab w:val="left" w:pos="312"/>
        </w:tabs>
        <w:kinsoku/>
        <w:wordWrap/>
        <w:topLinePunct w:val="0"/>
        <w:bidi w:val="0"/>
        <w:snapToGrid w:val="0"/>
        <w:spacing w:line="480" w:lineRule="atLeast"/>
        <w:ind w:firstLine="562" w:firstLineChars="200"/>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第二章</w:t>
      </w:r>
      <w:r>
        <w:rPr>
          <w:rFonts w:hint="eastAsia" w:ascii="仿宋" w:hAnsi="仿宋" w:eastAsia="仿宋" w:cs="仿宋"/>
          <w:b/>
          <w:bCs/>
          <w:color w:val="auto"/>
          <w:sz w:val="28"/>
          <w:szCs w:val="28"/>
          <w:highlight w:val="none"/>
          <w:lang w:val="en-US" w:eastAsia="zh-CN"/>
        </w:rPr>
        <w:t xml:space="preserve"> </w:t>
      </w:r>
      <w:r>
        <w:rPr>
          <w:rFonts w:hint="eastAsia" w:ascii="仿宋" w:hAnsi="仿宋" w:eastAsia="仿宋" w:cs="仿宋"/>
          <w:b/>
          <w:bCs/>
          <w:color w:val="auto"/>
          <w:sz w:val="28"/>
          <w:szCs w:val="28"/>
          <w:highlight w:val="none"/>
        </w:rPr>
        <w:t>采购需求</w:t>
      </w:r>
    </w:p>
    <w:p w14:paraId="1E01635E">
      <w:pPr>
        <w:pStyle w:val="10"/>
        <w:pageBreakBefore w:val="0"/>
        <w:widowControl w:val="0"/>
        <w:tabs>
          <w:tab w:val="left" w:pos="312"/>
        </w:tabs>
        <w:kinsoku/>
        <w:wordWrap/>
        <w:topLinePunct w:val="0"/>
        <w:bidi w:val="0"/>
        <w:snapToGrid w:val="0"/>
        <w:spacing w:line="480" w:lineRule="atLeast"/>
        <w:ind w:firstLine="480" w:firstLineChars="200"/>
        <w:rPr>
          <w:rFonts w:hint="eastAsia" w:ascii="仿宋" w:hAnsi="仿宋" w:eastAsia="仿宋" w:cs="仿宋"/>
          <w:bCs/>
          <w:color w:val="auto"/>
          <w:sz w:val="24"/>
          <w:szCs w:val="24"/>
          <w:highlight w:val="none"/>
        </w:rPr>
      </w:pPr>
      <w:r>
        <w:rPr>
          <w:rFonts w:hint="eastAsia" w:ascii="仿宋" w:hAnsi="仿宋" w:eastAsia="仿宋" w:cs="仿宋"/>
          <w:b w:val="0"/>
          <w:bCs/>
          <w:color w:val="auto"/>
          <w:kern w:val="0"/>
          <w:sz w:val="24"/>
          <w:szCs w:val="24"/>
          <w:highlight w:val="none"/>
          <w:lang w:val="en-US" w:eastAsia="zh-CN" w:bidi="ar-SA"/>
        </w:rPr>
        <w:t>一、</w:t>
      </w:r>
      <w:r>
        <w:rPr>
          <w:rFonts w:hint="eastAsia" w:ascii="仿宋" w:hAnsi="仿宋" w:eastAsia="仿宋" w:cs="仿宋"/>
          <w:bCs/>
          <w:color w:val="auto"/>
          <w:sz w:val="24"/>
          <w:szCs w:val="24"/>
          <w:highlight w:val="none"/>
          <w:lang w:val="en-US" w:eastAsia="zh-CN"/>
        </w:rPr>
        <w:t>项目名称：娄底市中心医院资源共享中心配套完善及特种治疗安全保障完善项目场地平整大树移植服务（后简称“大树移植服务”）</w:t>
      </w:r>
    </w:p>
    <w:p w14:paraId="5B49F381">
      <w:pPr>
        <w:pStyle w:val="10"/>
        <w:pageBreakBefore w:val="0"/>
        <w:widowControl w:val="0"/>
        <w:numPr>
          <w:ilvl w:val="0"/>
          <w:numId w:val="1"/>
        </w:numPr>
        <w:tabs>
          <w:tab w:val="left" w:pos="312"/>
        </w:tabs>
        <w:kinsoku/>
        <w:wordWrap/>
        <w:topLinePunct w:val="0"/>
        <w:bidi w:val="0"/>
        <w:snapToGrid w:val="0"/>
        <w:spacing w:line="480" w:lineRule="atLeast"/>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项目概况</w:t>
      </w:r>
    </w:p>
    <w:p w14:paraId="0C2CDA23">
      <w:pPr>
        <w:pStyle w:val="10"/>
        <w:pageBreakBefore w:val="0"/>
        <w:widowControl w:val="0"/>
        <w:tabs>
          <w:tab w:val="left" w:pos="312"/>
        </w:tabs>
        <w:kinsoku/>
        <w:wordWrap/>
        <w:topLinePunct w:val="0"/>
        <w:bidi w:val="0"/>
        <w:snapToGrid w:val="0"/>
        <w:spacing w:line="480" w:lineRule="atLeast"/>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娄底市中心医院资源共享中心配套完善及特种治疗安全保障完善项目用地面积443.44m²，目前需平整地面，对项目用地上的3棵大树进行移植（两棵樟树，一棵石楠）。现对该大树移植服务进行采购。 项目地点位于娄底市中心医院医疗区内。</w:t>
      </w:r>
    </w:p>
    <w:p w14:paraId="325B7F55">
      <w:pPr>
        <w:pStyle w:val="10"/>
        <w:pageBreakBefore w:val="0"/>
        <w:widowControl w:val="0"/>
        <w:numPr>
          <w:ilvl w:val="0"/>
          <w:numId w:val="1"/>
        </w:numPr>
        <w:tabs>
          <w:tab w:val="left" w:pos="312"/>
        </w:tabs>
        <w:kinsoku/>
        <w:wordWrap/>
        <w:topLinePunct w:val="0"/>
        <w:bidi w:val="0"/>
        <w:snapToGrid w:val="0"/>
        <w:spacing w:line="480" w:lineRule="atLeast"/>
        <w:ind w:left="0" w:leftChars="0"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采购内容及服务要求</w:t>
      </w:r>
    </w:p>
    <w:p w14:paraId="575A1F18">
      <w:pPr>
        <w:pStyle w:val="10"/>
        <w:pageBreakBefore w:val="0"/>
        <w:widowControl w:val="0"/>
        <w:tabs>
          <w:tab w:val="left" w:pos="312"/>
        </w:tabs>
        <w:kinsoku/>
        <w:wordWrap/>
        <w:topLinePunct w:val="0"/>
        <w:bidi w:val="0"/>
        <w:snapToGrid w:val="0"/>
        <w:spacing w:line="480" w:lineRule="atLeast"/>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（一）移植树木基本情况</w:t>
      </w:r>
    </w:p>
    <w:tbl>
      <w:tblPr>
        <w:tblStyle w:val="8"/>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17"/>
        <w:gridCol w:w="3068"/>
        <w:gridCol w:w="1818"/>
        <w:gridCol w:w="1819"/>
      </w:tblGrid>
      <w:tr w14:paraId="10996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817" w:type="dxa"/>
            <w:noWrap w:val="0"/>
            <w:tcMar>
              <w:top w:w="-1" w:type="dxa"/>
              <w:left w:w="-1" w:type="dxa"/>
              <w:bottom w:w="-1" w:type="dxa"/>
              <w:right w:w="-1" w:type="dxa"/>
            </w:tcMar>
            <w:vAlign w:val="center"/>
          </w:tcPr>
          <w:p w14:paraId="634CF0C5">
            <w:pPr>
              <w:pStyle w:val="10"/>
              <w:pageBreakBefore w:val="0"/>
              <w:widowControl w:val="0"/>
              <w:tabs>
                <w:tab w:val="left" w:pos="312"/>
              </w:tabs>
              <w:kinsoku/>
              <w:wordWrap/>
              <w:topLinePunct w:val="0"/>
              <w:bidi w:val="0"/>
              <w:snapToGrid w:val="0"/>
              <w:spacing w:line="240" w:lineRule="auto"/>
              <w:ind w:left="0" w:leftChars="0" w:right="0" w:rightChars="0" w:firstLine="0" w:firstLineChars="0"/>
              <w:jc w:val="center"/>
              <w:rPr>
                <w:rFonts w:hint="eastAsia"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lang w:val="en-US" w:eastAsia="zh-CN"/>
              </w:rPr>
              <w:t>序号</w:t>
            </w:r>
          </w:p>
        </w:tc>
        <w:tc>
          <w:tcPr>
            <w:tcW w:w="3068" w:type="dxa"/>
            <w:noWrap w:val="0"/>
            <w:tcMar>
              <w:top w:w="-1" w:type="dxa"/>
              <w:left w:w="-1" w:type="dxa"/>
              <w:bottom w:w="-1" w:type="dxa"/>
              <w:right w:w="-1" w:type="dxa"/>
            </w:tcMar>
            <w:vAlign w:val="center"/>
          </w:tcPr>
          <w:p w14:paraId="25897E9B">
            <w:pPr>
              <w:pStyle w:val="10"/>
              <w:pageBreakBefore w:val="0"/>
              <w:widowControl w:val="0"/>
              <w:tabs>
                <w:tab w:val="left" w:pos="312"/>
              </w:tabs>
              <w:kinsoku/>
              <w:wordWrap/>
              <w:topLinePunct w:val="0"/>
              <w:bidi w:val="0"/>
              <w:snapToGrid w:val="0"/>
              <w:spacing w:line="240" w:lineRule="auto"/>
              <w:ind w:left="0" w:leftChars="0" w:right="0" w:rightChars="0" w:firstLine="0" w:firstLineChars="0"/>
              <w:jc w:val="center"/>
              <w:rPr>
                <w:rFonts w:hint="eastAsia"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lang w:val="en-US" w:eastAsia="zh-CN"/>
              </w:rPr>
              <w:t>树木品种</w:t>
            </w:r>
          </w:p>
        </w:tc>
        <w:tc>
          <w:tcPr>
            <w:tcW w:w="1818" w:type="dxa"/>
            <w:noWrap w:val="0"/>
            <w:tcMar>
              <w:top w:w="-1" w:type="dxa"/>
              <w:left w:w="-1" w:type="dxa"/>
              <w:bottom w:w="-1" w:type="dxa"/>
              <w:right w:w="-1" w:type="dxa"/>
            </w:tcMar>
            <w:vAlign w:val="center"/>
          </w:tcPr>
          <w:p w14:paraId="536859C9">
            <w:pPr>
              <w:pStyle w:val="10"/>
              <w:pageBreakBefore w:val="0"/>
              <w:widowControl w:val="0"/>
              <w:tabs>
                <w:tab w:val="left" w:pos="312"/>
              </w:tabs>
              <w:kinsoku/>
              <w:wordWrap/>
              <w:topLinePunct w:val="0"/>
              <w:bidi w:val="0"/>
              <w:snapToGrid w:val="0"/>
              <w:spacing w:line="240" w:lineRule="auto"/>
              <w:ind w:left="0" w:leftChars="0" w:right="0" w:rightChars="0" w:firstLine="0" w:firstLineChars="0"/>
              <w:jc w:val="center"/>
              <w:rPr>
                <w:rFonts w:hint="eastAsia"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lang w:val="en-US" w:eastAsia="zh-CN"/>
              </w:rPr>
              <w:t>数量</w:t>
            </w:r>
          </w:p>
        </w:tc>
        <w:tc>
          <w:tcPr>
            <w:tcW w:w="1819" w:type="dxa"/>
            <w:noWrap w:val="0"/>
            <w:tcMar>
              <w:top w:w="-1" w:type="dxa"/>
              <w:left w:w="-1" w:type="dxa"/>
              <w:bottom w:w="-1" w:type="dxa"/>
              <w:right w:w="-1" w:type="dxa"/>
            </w:tcMar>
            <w:vAlign w:val="center"/>
          </w:tcPr>
          <w:p w14:paraId="70F7620F">
            <w:pPr>
              <w:pStyle w:val="10"/>
              <w:pageBreakBefore w:val="0"/>
              <w:widowControl w:val="0"/>
              <w:tabs>
                <w:tab w:val="left" w:pos="312"/>
              </w:tabs>
              <w:kinsoku/>
              <w:wordWrap/>
              <w:topLinePunct w:val="0"/>
              <w:bidi w:val="0"/>
              <w:snapToGrid w:val="0"/>
              <w:spacing w:line="240" w:lineRule="auto"/>
              <w:ind w:left="0" w:leftChars="0" w:right="0" w:rightChars="0" w:firstLine="0" w:firstLineChars="0"/>
              <w:jc w:val="center"/>
              <w:rPr>
                <w:rFonts w:hint="eastAsia"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lang w:val="en-US" w:eastAsia="zh-CN"/>
              </w:rPr>
              <w:t>备注</w:t>
            </w:r>
          </w:p>
        </w:tc>
      </w:tr>
      <w:tr w14:paraId="1CE5D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817" w:type="dxa"/>
            <w:noWrap w:val="0"/>
            <w:tcMar>
              <w:top w:w="-1" w:type="dxa"/>
              <w:left w:w="-1" w:type="dxa"/>
              <w:bottom w:w="-1" w:type="dxa"/>
              <w:right w:w="-1" w:type="dxa"/>
            </w:tcMar>
            <w:vAlign w:val="center"/>
          </w:tcPr>
          <w:p w14:paraId="0109D174">
            <w:pPr>
              <w:pStyle w:val="10"/>
              <w:pageBreakBefore w:val="0"/>
              <w:widowControl w:val="0"/>
              <w:tabs>
                <w:tab w:val="left" w:pos="312"/>
              </w:tabs>
              <w:kinsoku/>
              <w:wordWrap/>
              <w:topLinePunct w:val="0"/>
              <w:bidi w:val="0"/>
              <w:snapToGrid w:val="0"/>
              <w:spacing w:line="240" w:lineRule="auto"/>
              <w:ind w:left="0" w:leftChars="0" w:right="0" w:rightChars="0" w:firstLine="0" w:firstLineChars="0"/>
              <w:jc w:val="center"/>
              <w:rPr>
                <w:rFonts w:hint="eastAsia" w:ascii="仿宋" w:hAnsi="仿宋" w:eastAsia="仿宋" w:cs="仿宋"/>
                <w:bCs/>
                <w:color w:val="auto"/>
                <w:sz w:val="24"/>
                <w:szCs w:val="24"/>
                <w:highlight w:val="none"/>
                <w:vertAlign w:val="baseline"/>
                <w:lang w:val="en-US" w:eastAsia="zh-CN"/>
              </w:rPr>
            </w:pPr>
            <w:r>
              <w:rPr>
                <w:rFonts w:hint="eastAsia" w:ascii="仿宋" w:hAnsi="仿宋" w:eastAsia="仿宋" w:cs="仿宋"/>
                <w:bCs/>
                <w:color w:val="auto"/>
                <w:sz w:val="24"/>
                <w:szCs w:val="24"/>
                <w:highlight w:val="none"/>
                <w:lang w:val="en-US" w:eastAsia="zh-CN"/>
              </w:rPr>
              <w:t>1</w:t>
            </w:r>
          </w:p>
        </w:tc>
        <w:tc>
          <w:tcPr>
            <w:tcW w:w="3068" w:type="dxa"/>
            <w:noWrap w:val="0"/>
            <w:tcMar>
              <w:top w:w="-1" w:type="dxa"/>
              <w:left w:w="-1" w:type="dxa"/>
              <w:bottom w:w="-1" w:type="dxa"/>
              <w:right w:w="-1" w:type="dxa"/>
            </w:tcMar>
            <w:vAlign w:val="center"/>
          </w:tcPr>
          <w:p w14:paraId="029E8326">
            <w:pPr>
              <w:pStyle w:val="10"/>
              <w:pageBreakBefore w:val="0"/>
              <w:widowControl w:val="0"/>
              <w:tabs>
                <w:tab w:val="left" w:pos="312"/>
              </w:tabs>
              <w:kinsoku/>
              <w:wordWrap/>
              <w:topLinePunct w:val="0"/>
              <w:bidi w:val="0"/>
              <w:snapToGrid w:val="0"/>
              <w:spacing w:line="240" w:lineRule="auto"/>
              <w:ind w:left="0" w:leftChars="0" w:right="0" w:rightChars="0" w:firstLine="0" w:firstLineChars="0"/>
              <w:jc w:val="center"/>
              <w:rPr>
                <w:rFonts w:hint="eastAsia" w:ascii="仿宋" w:hAnsi="仿宋" w:eastAsia="仿宋" w:cs="仿宋"/>
                <w:bCs/>
                <w:color w:val="auto"/>
                <w:sz w:val="24"/>
                <w:szCs w:val="24"/>
                <w:highlight w:val="none"/>
                <w:vertAlign w:val="baseline"/>
                <w:lang w:val="en-US" w:eastAsia="zh-CN"/>
              </w:rPr>
            </w:pPr>
            <w:r>
              <w:rPr>
                <w:rFonts w:hint="eastAsia" w:ascii="仿宋" w:hAnsi="仿宋" w:eastAsia="仿宋" w:cs="仿宋"/>
                <w:bCs/>
                <w:color w:val="auto"/>
                <w:sz w:val="24"/>
                <w:szCs w:val="24"/>
                <w:highlight w:val="none"/>
                <w:lang w:val="en-US" w:eastAsia="zh-CN"/>
              </w:rPr>
              <w:t>樟树</w:t>
            </w:r>
          </w:p>
        </w:tc>
        <w:tc>
          <w:tcPr>
            <w:tcW w:w="1818" w:type="dxa"/>
            <w:noWrap w:val="0"/>
            <w:tcMar>
              <w:top w:w="-1" w:type="dxa"/>
              <w:left w:w="-1" w:type="dxa"/>
              <w:bottom w:w="-1" w:type="dxa"/>
              <w:right w:w="-1" w:type="dxa"/>
            </w:tcMar>
            <w:vAlign w:val="center"/>
          </w:tcPr>
          <w:p w14:paraId="3319EA1E">
            <w:pPr>
              <w:pStyle w:val="10"/>
              <w:pageBreakBefore w:val="0"/>
              <w:widowControl w:val="0"/>
              <w:tabs>
                <w:tab w:val="left" w:pos="312"/>
              </w:tabs>
              <w:kinsoku/>
              <w:wordWrap/>
              <w:topLinePunct w:val="0"/>
              <w:bidi w:val="0"/>
              <w:snapToGrid w:val="0"/>
              <w:spacing w:line="240" w:lineRule="auto"/>
              <w:ind w:left="0" w:leftChars="0" w:right="0" w:rightChars="0" w:firstLine="0" w:firstLineChars="0"/>
              <w:jc w:val="center"/>
              <w:rPr>
                <w:rFonts w:hint="eastAsia" w:ascii="仿宋" w:hAnsi="仿宋" w:eastAsia="仿宋" w:cs="仿宋"/>
                <w:bCs/>
                <w:color w:val="auto"/>
                <w:sz w:val="24"/>
                <w:szCs w:val="24"/>
                <w:highlight w:val="none"/>
                <w:vertAlign w:val="baseline"/>
                <w:lang w:val="en-US" w:eastAsia="zh-CN"/>
              </w:rPr>
            </w:pPr>
            <w:r>
              <w:rPr>
                <w:rFonts w:hint="eastAsia" w:ascii="仿宋" w:hAnsi="仿宋" w:eastAsia="仿宋" w:cs="仿宋"/>
                <w:bCs/>
                <w:color w:val="auto"/>
                <w:sz w:val="24"/>
                <w:szCs w:val="24"/>
                <w:highlight w:val="none"/>
                <w:lang w:val="en-US" w:eastAsia="zh-CN"/>
              </w:rPr>
              <w:t>2棵</w:t>
            </w:r>
          </w:p>
        </w:tc>
        <w:tc>
          <w:tcPr>
            <w:tcW w:w="1819" w:type="dxa"/>
            <w:noWrap w:val="0"/>
            <w:tcMar>
              <w:top w:w="-1" w:type="dxa"/>
              <w:left w:w="-1" w:type="dxa"/>
              <w:bottom w:w="-1" w:type="dxa"/>
              <w:right w:w="-1" w:type="dxa"/>
            </w:tcMar>
            <w:vAlign w:val="center"/>
          </w:tcPr>
          <w:p w14:paraId="23CBD5BF">
            <w:pPr>
              <w:pStyle w:val="10"/>
              <w:pageBreakBefore w:val="0"/>
              <w:widowControl w:val="0"/>
              <w:tabs>
                <w:tab w:val="left" w:pos="312"/>
              </w:tabs>
              <w:kinsoku/>
              <w:wordWrap/>
              <w:topLinePunct w:val="0"/>
              <w:bidi w:val="0"/>
              <w:snapToGrid w:val="0"/>
              <w:spacing w:line="240" w:lineRule="auto"/>
              <w:ind w:left="0" w:leftChars="0" w:right="0" w:rightChars="0" w:firstLine="0" w:firstLineChars="0"/>
              <w:jc w:val="center"/>
              <w:rPr>
                <w:rFonts w:hint="eastAsia" w:ascii="仿宋" w:hAnsi="仿宋" w:eastAsia="仿宋" w:cs="仿宋"/>
                <w:bCs/>
                <w:color w:val="auto"/>
                <w:sz w:val="24"/>
                <w:szCs w:val="24"/>
                <w:highlight w:val="none"/>
                <w:vertAlign w:val="baseline"/>
                <w:lang w:val="en-US" w:eastAsia="zh-CN"/>
              </w:rPr>
            </w:pPr>
          </w:p>
        </w:tc>
      </w:tr>
      <w:tr w14:paraId="6F8D8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817" w:type="dxa"/>
            <w:noWrap w:val="0"/>
            <w:tcMar>
              <w:top w:w="-1" w:type="dxa"/>
              <w:left w:w="-1" w:type="dxa"/>
              <w:bottom w:w="-1" w:type="dxa"/>
              <w:right w:w="-1" w:type="dxa"/>
            </w:tcMar>
            <w:vAlign w:val="center"/>
          </w:tcPr>
          <w:p w14:paraId="3B28045B">
            <w:pPr>
              <w:pStyle w:val="10"/>
              <w:pageBreakBefore w:val="0"/>
              <w:widowControl w:val="0"/>
              <w:tabs>
                <w:tab w:val="left" w:pos="312"/>
              </w:tabs>
              <w:kinsoku/>
              <w:wordWrap/>
              <w:topLinePunct w:val="0"/>
              <w:bidi w:val="0"/>
              <w:snapToGrid w:val="0"/>
              <w:spacing w:line="240" w:lineRule="auto"/>
              <w:ind w:left="0" w:leftChars="0" w:right="0" w:rightChars="0" w:firstLine="0" w:firstLineChars="0"/>
              <w:jc w:val="center"/>
              <w:rPr>
                <w:rFonts w:hint="eastAsia" w:ascii="仿宋" w:hAnsi="仿宋" w:eastAsia="仿宋" w:cs="仿宋"/>
                <w:bCs/>
                <w:color w:val="auto"/>
                <w:sz w:val="24"/>
                <w:szCs w:val="24"/>
                <w:highlight w:val="none"/>
                <w:vertAlign w:val="baseline"/>
                <w:lang w:val="en-US" w:eastAsia="zh-CN"/>
              </w:rPr>
            </w:pPr>
            <w:r>
              <w:rPr>
                <w:rFonts w:hint="eastAsia" w:ascii="仿宋" w:hAnsi="仿宋" w:eastAsia="仿宋" w:cs="仿宋"/>
                <w:bCs/>
                <w:color w:val="auto"/>
                <w:sz w:val="24"/>
                <w:szCs w:val="24"/>
                <w:highlight w:val="none"/>
                <w:lang w:val="en-US" w:eastAsia="zh-CN"/>
              </w:rPr>
              <w:t xml:space="preserve">2 </w:t>
            </w:r>
          </w:p>
        </w:tc>
        <w:tc>
          <w:tcPr>
            <w:tcW w:w="3068" w:type="dxa"/>
            <w:noWrap w:val="0"/>
            <w:tcMar>
              <w:top w:w="-1" w:type="dxa"/>
              <w:left w:w="-1" w:type="dxa"/>
              <w:bottom w:w="-1" w:type="dxa"/>
              <w:right w:w="-1" w:type="dxa"/>
            </w:tcMar>
            <w:vAlign w:val="center"/>
          </w:tcPr>
          <w:p w14:paraId="37C1308B">
            <w:pPr>
              <w:pStyle w:val="10"/>
              <w:pageBreakBefore w:val="0"/>
              <w:widowControl w:val="0"/>
              <w:tabs>
                <w:tab w:val="left" w:pos="312"/>
              </w:tabs>
              <w:kinsoku/>
              <w:wordWrap/>
              <w:topLinePunct w:val="0"/>
              <w:bidi w:val="0"/>
              <w:snapToGrid w:val="0"/>
              <w:spacing w:line="240" w:lineRule="auto"/>
              <w:ind w:left="0" w:leftChars="0" w:right="0" w:rightChars="0" w:firstLine="0" w:firstLineChars="0"/>
              <w:jc w:val="center"/>
              <w:rPr>
                <w:rFonts w:hint="eastAsia" w:ascii="仿宋" w:hAnsi="仿宋" w:eastAsia="仿宋" w:cs="仿宋"/>
                <w:bCs/>
                <w:color w:val="auto"/>
                <w:sz w:val="24"/>
                <w:szCs w:val="24"/>
                <w:highlight w:val="none"/>
                <w:vertAlign w:val="baseline"/>
                <w:lang w:val="en-US" w:eastAsia="zh-CN"/>
              </w:rPr>
            </w:pPr>
            <w:r>
              <w:rPr>
                <w:rFonts w:hint="eastAsia" w:ascii="仿宋" w:hAnsi="仿宋" w:eastAsia="仿宋" w:cs="仿宋"/>
                <w:bCs/>
                <w:color w:val="auto"/>
                <w:sz w:val="24"/>
                <w:szCs w:val="24"/>
                <w:highlight w:val="none"/>
                <w:lang w:val="en-US" w:eastAsia="zh-CN"/>
              </w:rPr>
              <w:t>石楠</w:t>
            </w:r>
          </w:p>
        </w:tc>
        <w:tc>
          <w:tcPr>
            <w:tcW w:w="1818" w:type="dxa"/>
            <w:noWrap w:val="0"/>
            <w:tcMar>
              <w:top w:w="-1" w:type="dxa"/>
              <w:left w:w="-1" w:type="dxa"/>
              <w:bottom w:w="-1" w:type="dxa"/>
              <w:right w:w="-1" w:type="dxa"/>
            </w:tcMar>
            <w:vAlign w:val="center"/>
          </w:tcPr>
          <w:p w14:paraId="534E32A0">
            <w:pPr>
              <w:pStyle w:val="10"/>
              <w:pageBreakBefore w:val="0"/>
              <w:widowControl w:val="0"/>
              <w:tabs>
                <w:tab w:val="left" w:pos="312"/>
              </w:tabs>
              <w:kinsoku/>
              <w:wordWrap/>
              <w:topLinePunct w:val="0"/>
              <w:bidi w:val="0"/>
              <w:snapToGrid w:val="0"/>
              <w:spacing w:line="240" w:lineRule="auto"/>
              <w:ind w:left="0" w:leftChars="0" w:right="0" w:rightChars="0" w:firstLine="0" w:firstLineChars="0"/>
              <w:jc w:val="center"/>
              <w:rPr>
                <w:rFonts w:hint="eastAsia" w:ascii="仿宋" w:hAnsi="仿宋" w:eastAsia="仿宋" w:cs="仿宋"/>
                <w:bCs/>
                <w:color w:val="auto"/>
                <w:sz w:val="24"/>
                <w:szCs w:val="24"/>
                <w:highlight w:val="none"/>
                <w:vertAlign w:val="baseline"/>
                <w:lang w:val="en-US" w:eastAsia="zh-CN"/>
              </w:rPr>
            </w:pPr>
            <w:r>
              <w:rPr>
                <w:rFonts w:hint="eastAsia" w:ascii="仿宋" w:hAnsi="仿宋" w:eastAsia="仿宋" w:cs="仿宋"/>
                <w:bCs/>
                <w:color w:val="auto"/>
                <w:sz w:val="24"/>
                <w:szCs w:val="24"/>
                <w:highlight w:val="none"/>
                <w:lang w:val="en-US" w:eastAsia="zh-CN"/>
              </w:rPr>
              <w:t>1棵</w:t>
            </w:r>
          </w:p>
        </w:tc>
        <w:tc>
          <w:tcPr>
            <w:tcW w:w="1819" w:type="dxa"/>
            <w:noWrap w:val="0"/>
            <w:tcMar>
              <w:top w:w="-1" w:type="dxa"/>
              <w:left w:w="-1" w:type="dxa"/>
              <w:bottom w:w="-1" w:type="dxa"/>
              <w:right w:w="-1" w:type="dxa"/>
            </w:tcMar>
            <w:vAlign w:val="center"/>
          </w:tcPr>
          <w:p w14:paraId="6D9283C6">
            <w:pPr>
              <w:pStyle w:val="10"/>
              <w:pageBreakBefore w:val="0"/>
              <w:widowControl w:val="0"/>
              <w:tabs>
                <w:tab w:val="left" w:pos="312"/>
              </w:tabs>
              <w:kinsoku/>
              <w:wordWrap/>
              <w:topLinePunct w:val="0"/>
              <w:bidi w:val="0"/>
              <w:snapToGrid w:val="0"/>
              <w:spacing w:line="240" w:lineRule="auto"/>
              <w:ind w:left="0" w:leftChars="0" w:right="0" w:rightChars="0" w:firstLine="0" w:firstLineChars="0"/>
              <w:jc w:val="center"/>
              <w:rPr>
                <w:rFonts w:hint="eastAsia" w:ascii="仿宋" w:hAnsi="仿宋" w:eastAsia="仿宋" w:cs="仿宋"/>
                <w:bCs/>
                <w:color w:val="auto"/>
                <w:sz w:val="24"/>
                <w:szCs w:val="24"/>
                <w:highlight w:val="none"/>
                <w:vertAlign w:val="baseline"/>
                <w:lang w:val="en-US" w:eastAsia="zh-CN"/>
              </w:rPr>
            </w:pPr>
          </w:p>
        </w:tc>
      </w:tr>
    </w:tbl>
    <w:p w14:paraId="3354B18F">
      <w:pPr>
        <w:pStyle w:val="10"/>
        <w:pageBreakBefore w:val="0"/>
        <w:widowControl w:val="0"/>
        <w:tabs>
          <w:tab w:val="left" w:pos="312"/>
        </w:tabs>
        <w:kinsoku/>
        <w:wordWrap/>
        <w:topLinePunct w:val="0"/>
        <w:bidi w:val="0"/>
        <w:snapToGrid w:val="0"/>
        <w:spacing w:line="480" w:lineRule="atLeast"/>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（二）服务内容</w:t>
      </w:r>
    </w:p>
    <w:p w14:paraId="077EC15B">
      <w:pPr>
        <w:pStyle w:val="10"/>
        <w:pageBreakBefore w:val="0"/>
        <w:widowControl w:val="0"/>
        <w:tabs>
          <w:tab w:val="left" w:pos="312"/>
        </w:tabs>
        <w:kinsoku/>
        <w:wordWrap/>
        <w:topLinePunct w:val="0"/>
        <w:bidi w:val="0"/>
        <w:snapToGrid w:val="0"/>
        <w:spacing w:line="480" w:lineRule="atLeast"/>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1. 乙方负责对甲方指定的3棵大树进行挖掘、包扎、吊运、栽植及养护</w:t>
      </w:r>
      <w:r>
        <w:rPr>
          <w:rFonts w:hint="eastAsia" w:ascii="仿宋" w:hAnsi="仿宋" w:eastAsia="仿宋" w:cs="仿宋"/>
          <w:b w:val="0"/>
          <w:bCs w:val="0"/>
          <w:color w:val="auto"/>
          <w:kern w:val="0"/>
          <w:sz w:val="24"/>
          <w:szCs w:val="24"/>
          <w:highlight w:val="none"/>
          <w:lang w:val="en-US" w:eastAsia="zh-CN" w:bidi="ar-SA"/>
        </w:rPr>
        <w:t>及对挖掘后的地面进行平整等一系列移植服务。</w:t>
      </w:r>
    </w:p>
    <w:p w14:paraId="52B890E2">
      <w:pPr>
        <w:pStyle w:val="10"/>
        <w:pageBreakBefore w:val="0"/>
        <w:widowControl w:val="0"/>
        <w:tabs>
          <w:tab w:val="left" w:pos="312"/>
        </w:tabs>
        <w:kinsoku/>
        <w:wordWrap/>
        <w:topLinePunct w:val="0"/>
        <w:bidi w:val="0"/>
        <w:snapToGrid w:val="0"/>
        <w:spacing w:line="480" w:lineRule="atLeast"/>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 xml:space="preserve">2. </w:t>
      </w:r>
      <w:r>
        <w:rPr>
          <w:rFonts w:hint="eastAsia" w:ascii="仿宋" w:hAnsi="仿宋" w:eastAsia="仿宋" w:cs="仿宋"/>
          <w:b w:val="0"/>
          <w:bCs w:val="0"/>
          <w:color w:val="auto"/>
          <w:kern w:val="0"/>
          <w:sz w:val="24"/>
          <w:szCs w:val="24"/>
          <w:highlight w:val="none"/>
          <w:lang w:val="en-US" w:eastAsia="zh-CN" w:bidi="ar-SA"/>
        </w:rPr>
        <w:t>乙方负责自行寻找合适的移栽地点（移栽地点须符合城市绿化规划要求，不得妨碍公共设施及相邻权），并负责树木移植后的养护管理，养护期不少于一年（自移植验收合格之日起算），养护期内确保树木正常存活。</w:t>
      </w:r>
    </w:p>
    <w:p w14:paraId="2E645298">
      <w:pPr>
        <w:pStyle w:val="10"/>
        <w:pageBreakBefore w:val="0"/>
        <w:widowControl w:val="0"/>
        <w:tabs>
          <w:tab w:val="left" w:pos="312"/>
        </w:tabs>
        <w:kinsoku/>
        <w:wordWrap/>
        <w:topLinePunct w:val="0"/>
        <w:bidi w:val="0"/>
        <w:snapToGrid w:val="0"/>
        <w:spacing w:line="480" w:lineRule="atLeast"/>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3. 在挖掘过程中，乙方应采取必要的措施确保树木根系完整，尽量减少对树木的损伤。</w:t>
      </w:r>
    </w:p>
    <w:p w14:paraId="5A33B9D3">
      <w:pPr>
        <w:pStyle w:val="10"/>
        <w:pageBreakBefore w:val="0"/>
        <w:widowControl w:val="0"/>
        <w:tabs>
          <w:tab w:val="left" w:pos="312"/>
        </w:tabs>
        <w:kinsoku/>
        <w:wordWrap/>
        <w:topLinePunct w:val="0"/>
        <w:bidi w:val="0"/>
        <w:snapToGrid w:val="0"/>
        <w:spacing w:line="480" w:lineRule="atLeast"/>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4. 包扎时，应使用专业的材料对树木根系和树干进行妥善包裹，防止在吊运过程中受到损伤。</w:t>
      </w:r>
    </w:p>
    <w:p w14:paraId="12A8F2C8">
      <w:pPr>
        <w:pStyle w:val="10"/>
        <w:pageBreakBefore w:val="0"/>
        <w:widowControl w:val="0"/>
        <w:tabs>
          <w:tab w:val="left" w:pos="312"/>
        </w:tabs>
        <w:kinsoku/>
        <w:wordWrap/>
        <w:topLinePunct w:val="0"/>
        <w:bidi w:val="0"/>
        <w:snapToGrid w:val="0"/>
        <w:spacing w:line="480" w:lineRule="atLeast"/>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5. 吊运过程中，乙方应选用合适的吊运设备和工具，确保树木安全吊运至移植目的地。</w:t>
      </w:r>
    </w:p>
    <w:p w14:paraId="5750352F">
      <w:pPr>
        <w:pStyle w:val="10"/>
        <w:pageBreakBefore w:val="0"/>
        <w:widowControl w:val="0"/>
        <w:tabs>
          <w:tab w:val="left" w:pos="312"/>
        </w:tabs>
        <w:kinsoku/>
        <w:wordWrap/>
        <w:topLinePunct w:val="0"/>
        <w:bidi w:val="0"/>
        <w:snapToGrid w:val="0"/>
        <w:spacing w:line="480" w:lineRule="atLeast"/>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6. 栽植时，乙方应按照规范的操作流程进行，确保树木栽植深度适宜、土壤压实，并浇足定根水。</w:t>
      </w:r>
    </w:p>
    <w:p w14:paraId="43E62EEE">
      <w:pPr>
        <w:pStyle w:val="10"/>
        <w:pageBreakBefore w:val="0"/>
        <w:widowControl w:val="0"/>
        <w:tabs>
          <w:tab w:val="left" w:pos="312"/>
        </w:tabs>
        <w:kinsoku/>
        <w:wordWrap/>
        <w:topLinePunct w:val="0"/>
        <w:bidi w:val="0"/>
        <w:snapToGrid w:val="0"/>
        <w:spacing w:line="480" w:lineRule="atLeast"/>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7. 养护期间，乙方应定期对移植树木进行浇水、施肥、修剪、病虫害防治等养护工作，确保树木成活并健康生长。</w:t>
      </w:r>
    </w:p>
    <w:p w14:paraId="104C73D2">
      <w:pPr>
        <w:pStyle w:val="11"/>
        <w:rPr>
          <w:rFonts w:hint="default"/>
          <w:color w:val="auto"/>
          <w:highlight w:val="none"/>
          <w:lang w:val="en-US" w:eastAsia="zh-CN"/>
        </w:rPr>
      </w:pPr>
      <w:r>
        <w:rPr>
          <w:rFonts w:hint="eastAsia" w:ascii="仿宋" w:hAnsi="仿宋" w:eastAsia="仿宋" w:cs="仿宋"/>
          <w:bCs/>
          <w:color w:val="auto"/>
          <w:sz w:val="24"/>
          <w:szCs w:val="24"/>
          <w:highlight w:val="none"/>
          <w:lang w:val="en-US" w:eastAsia="zh-CN"/>
        </w:rPr>
        <w:t>8.</w:t>
      </w:r>
      <w:r>
        <w:rPr>
          <w:rFonts w:hint="eastAsia" w:ascii="仿宋" w:hAnsi="仿宋" w:eastAsia="仿宋" w:cs="仿宋"/>
          <w:b w:val="0"/>
          <w:bCs w:val="0"/>
          <w:color w:val="auto"/>
          <w:kern w:val="0"/>
          <w:sz w:val="24"/>
          <w:szCs w:val="24"/>
          <w:highlight w:val="none"/>
          <w:lang w:val="en-US" w:eastAsia="zh-CN" w:bidi="ar-SA"/>
        </w:rPr>
        <w:t>乙方完成移植后，须对甲方项目用地上挖掘的地面进行回填平整。</w:t>
      </w:r>
    </w:p>
    <w:p w14:paraId="4D91154C">
      <w:pPr>
        <w:pStyle w:val="10"/>
        <w:pageBreakBefore w:val="0"/>
        <w:widowControl w:val="0"/>
        <w:tabs>
          <w:tab w:val="left" w:pos="312"/>
        </w:tabs>
        <w:kinsoku/>
        <w:wordWrap/>
        <w:topLinePunct w:val="0"/>
        <w:bidi w:val="0"/>
        <w:snapToGrid w:val="0"/>
        <w:spacing w:line="480" w:lineRule="atLeast"/>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（三）技术要求</w:t>
      </w:r>
    </w:p>
    <w:p w14:paraId="7FFD36E6">
      <w:pPr>
        <w:keepNext w:val="0"/>
        <w:keepLines w:val="0"/>
        <w:pageBreakBefore w:val="0"/>
        <w:widowControl w:val="0"/>
        <w:kinsoku/>
        <w:wordWrap/>
        <w:overflowPunct/>
        <w:topLinePunct w:val="0"/>
        <w:autoSpaceDE/>
        <w:autoSpaceDN/>
        <w:bidi w:val="0"/>
        <w:adjustRightInd/>
        <w:snapToGrid/>
        <w:spacing w:line="480" w:lineRule="exact"/>
        <w:ind w:leftChars="0" w:firstLine="480" w:firstLineChars="200"/>
        <w:jc w:val="both"/>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rPr>
        <w:t xml:space="preserve">1. </w:t>
      </w:r>
      <w:r>
        <w:rPr>
          <w:rFonts w:hint="eastAsia" w:ascii="仿宋" w:hAnsi="仿宋" w:eastAsia="仿宋" w:cs="仿宋"/>
          <w:b w:val="0"/>
          <w:bCs w:val="0"/>
          <w:color w:val="auto"/>
          <w:kern w:val="0"/>
          <w:sz w:val="24"/>
          <w:szCs w:val="24"/>
          <w:highlight w:val="none"/>
          <w:lang w:val="en-US" w:eastAsia="zh-CN" w:bidi="ar-SA"/>
        </w:rPr>
        <w:t>依照《园林绿化工程项目规范》《园林树木移栽技术规范》《大树移植技术规程》等现行国家、行业及地方规范实施移栽工程，确保移植成活率达到100%。</w:t>
      </w:r>
    </w:p>
    <w:p w14:paraId="701AA06D">
      <w:pPr>
        <w:keepNext w:val="0"/>
        <w:keepLines w:val="0"/>
        <w:pageBreakBefore w:val="0"/>
        <w:widowControl w:val="0"/>
        <w:kinsoku/>
        <w:wordWrap/>
        <w:overflowPunct/>
        <w:topLinePunct w:val="0"/>
        <w:autoSpaceDE/>
        <w:autoSpaceDN/>
        <w:bidi w:val="0"/>
        <w:adjustRightInd/>
        <w:snapToGrid/>
        <w:spacing w:line="480" w:lineRule="exact"/>
        <w:ind w:leftChars="0" w:firstLine="480" w:firstLineChars="200"/>
        <w:jc w:val="both"/>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2.大树移植后必须进行树体固定，一般采用三柱支架固定法，将树牢固支撑，确保大树稳固。</w:t>
      </w:r>
    </w:p>
    <w:p w14:paraId="638BA1F7">
      <w:pPr>
        <w:keepNext w:val="0"/>
        <w:keepLines w:val="0"/>
        <w:pageBreakBefore w:val="0"/>
        <w:widowControl w:val="0"/>
        <w:kinsoku/>
        <w:wordWrap/>
        <w:overflowPunct/>
        <w:topLinePunct w:val="0"/>
        <w:autoSpaceDE/>
        <w:autoSpaceDN/>
        <w:bidi w:val="0"/>
        <w:adjustRightInd/>
        <w:snapToGrid/>
        <w:spacing w:line="480" w:lineRule="exact"/>
        <w:ind w:leftChars="0" w:firstLine="480" w:firstLineChars="200"/>
        <w:jc w:val="both"/>
        <w:textAlignment w:val="auto"/>
        <w:rPr>
          <w:rFonts w:hint="default"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3.移植施工质量须符合国家、地方及行业现行的相关规范、标准。</w:t>
      </w:r>
    </w:p>
    <w:p w14:paraId="5BE61B9B">
      <w:pPr>
        <w:pStyle w:val="10"/>
        <w:pageBreakBefore w:val="0"/>
        <w:widowControl w:val="0"/>
        <w:tabs>
          <w:tab w:val="left" w:pos="312"/>
        </w:tabs>
        <w:kinsoku/>
        <w:wordWrap/>
        <w:topLinePunct w:val="0"/>
        <w:bidi w:val="0"/>
        <w:snapToGrid w:val="0"/>
        <w:spacing w:line="480" w:lineRule="atLeast"/>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四</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lang w:val="en-US" w:eastAsia="zh-CN"/>
        </w:rPr>
        <w:t>供应商资格要求</w:t>
      </w:r>
      <w:r>
        <w:rPr>
          <w:rFonts w:hint="eastAsia" w:ascii="仿宋" w:hAnsi="仿宋" w:eastAsia="仿宋" w:cs="仿宋"/>
          <w:b/>
          <w:bCs w:val="0"/>
          <w:color w:val="auto"/>
          <w:sz w:val="24"/>
          <w:szCs w:val="24"/>
          <w:highlight w:val="none"/>
          <w:lang w:val="en-US" w:eastAsia="zh-CN"/>
        </w:rPr>
        <w:t>（满足以下全部）</w:t>
      </w:r>
    </w:p>
    <w:p w14:paraId="3B717739">
      <w:pPr>
        <w:pStyle w:val="10"/>
        <w:pageBreakBefore w:val="0"/>
        <w:widowControl w:val="0"/>
        <w:tabs>
          <w:tab w:val="left" w:pos="312"/>
        </w:tabs>
        <w:kinsoku/>
        <w:wordWrap/>
        <w:topLinePunct w:val="0"/>
        <w:bidi w:val="0"/>
        <w:snapToGrid w:val="0"/>
        <w:spacing w:line="480" w:lineRule="atLeast"/>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1. 供应商应为中华人民共和国境内注册的具有独立法人资格的法人或其他组织，提供有效的营业执照，经营范围</w:t>
      </w:r>
      <w:r>
        <w:rPr>
          <w:rFonts w:hint="eastAsia" w:ascii="仿宋" w:hAnsi="仿宋" w:eastAsia="仿宋" w:cs="仿宋"/>
          <w:b w:val="0"/>
          <w:bCs w:val="0"/>
          <w:color w:val="auto"/>
          <w:kern w:val="0"/>
          <w:sz w:val="24"/>
          <w:szCs w:val="24"/>
          <w:highlight w:val="none"/>
          <w:lang w:val="en-US" w:eastAsia="zh-CN" w:bidi="ar-SA"/>
        </w:rPr>
        <w:t>包含从事树木移植服务所需的资质</w:t>
      </w:r>
      <w:r>
        <w:rPr>
          <w:rFonts w:hint="eastAsia" w:ascii="仿宋" w:hAnsi="仿宋" w:eastAsia="仿宋" w:cs="仿宋"/>
          <w:bCs/>
          <w:color w:val="auto"/>
          <w:sz w:val="24"/>
          <w:szCs w:val="24"/>
          <w:highlight w:val="none"/>
          <w:lang w:val="en-US" w:eastAsia="zh-CN"/>
        </w:rPr>
        <w:t>。</w:t>
      </w:r>
    </w:p>
    <w:p w14:paraId="490F99CA">
      <w:pPr>
        <w:pStyle w:val="10"/>
        <w:pageBreakBefore w:val="0"/>
        <w:widowControl w:val="0"/>
        <w:tabs>
          <w:tab w:val="left" w:pos="312"/>
        </w:tabs>
        <w:kinsoku/>
        <w:wordWrap/>
        <w:topLinePunct w:val="0"/>
        <w:bidi w:val="0"/>
        <w:snapToGrid w:val="0"/>
        <w:spacing w:line="480" w:lineRule="atLeast"/>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2. 具有良好的商业信誉和健全的财务会计制度。</w:t>
      </w:r>
    </w:p>
    <w:p w14:paraId="63D749D6">
      <w:pPr>
        <w:pStyle w:val="10"/>
        <w:pageBreakBefore w:val="0"/>
        <w:widowControl w:val="0"/>
        <w:tabs>
          <w:tab w:val="left" w:pos="312"/>
        </w:tabs>
        <w:kinsoku/>
        <w:wordWrap/>
        <w:topLinePunct w:val="0"/>
        <w:bidi w:val="0"/>
        <w:snapToGrid w:val="0"/>
        <w:spacing w:line="480" w:lineRule="atLeast"/>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3. 具有履行合同所必需的设备和专业技术能力。</w:t>
      </w:r>
    </w:p>
    <w:p w14:paraId="008990A5">
      <w:pPr>
        <w:pStyle w:val="10"/>
        <w:pageBreakBefore w:val="0"/>
        <w:widowControl w:val="0"/>
        <w:tabs>
          <w:tab w:val="left" w:pos="312"/>
        </w:tabs>
        <w:kinsoku/>
        <w:wordWrap/>
        <w:topLinePunct w:val="0"/>
        <w:bidi w:val="0"/>
        <w:snapToGrid w:val="0"/>
        <w:spacing w:line="480" w:lineRule="atLeast"/>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4. 有依法缴纳税收和社会保障资金的良好记录。</w:t>
      </w:r>
    </w:p>
    <w:p w14:paraId="4259F798">
      <w:pPr>
        <w:pStyle w:val="10"/>
        <w:pageBreakBefore w:val="0"/>
        <w:widowControl w:val="0"/>
        <w:tabs>
          <w:tab w:val="left" w:pos="312"/>
        </w:tabs>
        <w:kinsoku/>
        <w:wordWrap/>
        <w:topLinePunct w:val="0"/>
        <w:bidi w:val="0"/>
        <w:snapToGrid w:val="0"/>
        <w:spacing w:line="480" w:lineRule="atLeast"/>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5. 参加采购活动近三年（自2023年1月1日至今），在经营活动中没有重大违法记录（含重大税收违法、政府采购严重违法失信行为等）。</w:t>
      </w:r>
    </w:p>
    <w:p w14:paraId="5190A1A8">
      <w:pPr>
        <w:pStyle w:val="10"/>
        <w:pageBreakBefore w:val="0"/>
        <w:widowControl w:val="0"/>
        <w:tabs>
          <w:tab w:val="left" w:pos="312"/>
        </w:tabs>
        <w:kinsoku/>
        <w:wordWrap/>
        <w:topLinePunct w:val="0"/>
        <w:bidi w:val="0"/>
        <w:snapToGrid w:val="0"/>
        <w:spacing w:line="480" w:lineRule="atLeast"/>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6. 供应商未被列入严重违法失信企业名单、企业经营异常名录及政府采购严重违法失信行为记录名单（以采购人或评审委员会在"国家企业信用信息公示系统""信用中国"等官方平台查询结果为准）。</w:t>
      </w:r>
    </w:p>
    <w:p w14:paraId="4A0B796B">
      <w:pPr>
        <w:pStyle w:val="10"/>
        <w:pageBreakBefore w:val="0"/>
        <w:widowControl w:val="0"/>
        <w:tabs>
          <w:tab w:val="left" w:pos="312"/>
        </w:tabs>
        <w:kinsoku/>
        <w:wordWrap/>
        <w:topLinePunct w:val="0"/>
        <w:bidi w:val="0"/>
        <w:snapToGrid w:val="0"/>
        <w:spacing w:line="480" w:lineRule="atLeast"/>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7. 拟派项目负责人应具备园林绿化相关专业中级及以上职称。</w:t>
      </w:r>
    </w:p>
    <w:p w14:paraId="58D2DE38">
      <w:pPr>
        <w:pStyle w:val="10"/>
        <w:pageBreakBefore w:val="0"/>
        <w:widowControl w:val="0"/>
        <w:tabs>
          <w:tab w:val="left" w:pos="312"/>
        </w:tabs>
        <w:kinsoku/>
        <w:wordWrap/>
        <w:topLinePunct w:val="0"/>
        <w:bidi w:val="0"/>
        <w:snapToGrid w:val="0"/>
        <w:spacing w:line="480" w:lineRule="atLeast"/>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8. 本项目不接受联合体投标。</w:t>
      </w:r>
    </w:p>
    <w:p w14:paraId="3586B49D">
      <w:pPr>
        <w:pStyle w:val="10"/>
        <w:pageBreakBefore w:val="0"/>
        <w:widowControl w:val="0"/>
        <w:tabs>
          <w:tab w:val="left" w:pos="312"/>
        </w:tabs>
        <w:kinsoku/>
        <w:wordWrap/>
        <w:topLinePunct w:val="0"/>
        <w:bidi w:val="0"/>
        <w:snapToGrid w:val="0"/>
        <w:spacing w:line="480" w:lineRule="atLeast"/>
        <w:ind w:firstLine="480" w:firstLineChars="200"/>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五、 工期与服务要求</w:t>
      </w:r>
    </w:p>
    <w:p w14:paraId="04638E2A">
      <w:pPr>
        <w:pStyle w:val="10"/>
        <w:pageBreakBefore w:val="0"/>
        <w:widowControl w:val="0"/>
        <w:tabs>
          <w:tab w:val="left" w:pos="312"/>
        </w:tabs>
        <w:kinsoku/>
        <w:wordWrap/>
        <w:topLinePunct w:val="0"/>
        <w:bidi w:val="0"/>
        <w:snapToGrid w:val="0"/>
        <w:spacing w:line="480" w:lineRule="atLeast"/>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1. 自合同签订之日起3</w:t>
      </w:r>
      <w:r>
        <w:rPr>
          <w:rFonts w:hint="eastAsia" w:ascii="仿宋" w:hAnsi="仿宋" w:eastAsia="仿宋" w:cs="仿宋"/>
          <w:bCs/>
          <w:color w:val="auto"/>
          <w:sz w:val="24"/>
          <w:szCs w:val="24"/>
          <w:highlight w:val="none"/>
        </w:rPr>
        <w:t>个日历天内完成全部3棵大树的移植工作</w:t>
      </w:r>
      <w:r>
        <w:rPr>
          <w:rFonts w:hint="eastAsia" w:ascii="仿宋" w:hAnsi="仿宋" w:eastAsia="仿宋" w:cs="仿宋"/>
          <w:bCs/>
          <w:color w:val="auto"/>
          <w:sz w:val="24"/>
          <w:szCs w:val="24"/>
          <w:highlight w:val="none"/>
          <w:lang w:val="en-US" w:eastAsia="zh-CN"/>
        </w:rPr>
        <w:t>及地面平整工作</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lang w:val="en-US" w:eastAsia="zh-CN"/>
        </w:rPr>
        <w:t>因乙方原因逾期完工的，每逾期一日，乙方向甲方支付合同总价</w:t>
      </w:r>
      <w:r>
        <w:rPr>
          <w:rFonts w:hint="eastAsia" w:ascii="仿宋" w:hAnsi="仿宋" w:eastAsia="仿宋" w:cs="仿宋"/>
          <w:b w:val="0"/>
          <w:bCs w:val="0"/>
          <w:color w:val="auto"/>
          <w:sz w:val="24"/>
          <w:szCs w:val="24"/>
          <w:highlight w:val="none"/>
          <w:lang w:val="en-US" w:eastAsia="zh-CN"/>
        </w:rPr>
        <w:t>千分之三</w:t>
      </w:r>
      <w:r>
        <w:rPr>
          <w:rFonts w:hint="eastAsia" w:ascii="仿宋" w:hAnsi="仿宋" w:eastAsia="仿宋" w:cs="仿宋"/>
          <w:bCs/>
          <w:color w:val="auto"/>
          <w:sz w:val="24"/>
          <w:szCs w:val="24"/>
          <w:highlight w:val="none"/>
          <w:lang w:val="en-US" w:eastAsia="zh-CN"/>
        </w:rPr>
        <w:t>的逾期违约金；逾期超过7日，甲方有权单方解除合同并要求乙方赔偿损失。</w:t>
      </w:r>
    </w:p>
    <w:p w14:paraId="5F2B5419">
      <w:pPr>
        <w:pStyle w:val="10"/>
        <w:pageBreakBefore w:val="0"/>
        <w:widowControl w:val="0"/>
        <w:tabs>
          <w:tab w:val="left" w:pos="312"/>
        </w:tabs>
        <w:kinsoku/>
        <w:wordWrap/>
        <w:topLinePunct w:val="0"/>
        <w:bidi w:val="0"/>
        <w:snapToGrid w:val="0"/>
        <w:spacing w:line="480" w:lineRule="atLeast"/>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2. 移植施工质量须符合国家、地方及行业现行的相关规范、标准。树木移植成活率须达到100%。</w:t>
      </w:r>
      <w:r>
        <w:rPr>
          <w:rFonts w:hint="eastAsia" w:ascii="仿宋" w:hAnsi="仿宋" w:eastAsia="仿宋" w:cs="仿宋"/>
          <w:b w:val="0"/>
          <w:bCs w:val="0"/>
          <w:color w:val="auto"/>
          <w:kern w:val="0"/>
          <w:sz w:val="24"/>
          <w:szCs w:val="24"/>
          <w:highlight w:val="none"/>
          <w:lang w:val="en-US" w:eastAsia="zh-CN" w:bidi="ar-SA"/>
        </w:rPr>
        <w:t>养护期不少于一年，自甲方验收合格之日起算，因乙方养护不当导致树木死亡的，乙方应在7日内无偿补种相同品种、相同规格（胸径偏差不超过±5%）的树木，并承担补种所需的全部费用。补种后重新计算养护期。</w:t>
      </w:r>
    </w:p>
    <w:p w14:paraId="0EC546B8">
      <w:pPr>
        <w:pStyle w:val="10"/>
        <w:pageBreakBefore w:val="0"/>
        <w:widowControl w:val="0"/>
        <w:tabs>
          <w:tab w:val="left" w:pos="312"/>
        </w:tabs>
        <w:kinsoku/>
        <w:wordWrap/>
        <w:topLinePunct w:val="0"/>
        <w:bidi w:val="0"/>
        <w:snapToGrid w:val="0"/>
        <w:spacing w:line="480" w:lineRule="atLeast"/>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备注：本采购文件由娄底市中心医院负责解释。如本文件中存在歧义或未尽事宜，以甲方书面解释为准。本文件未尽事宜，按照国家有关法律法规执行。</w:t>
      </w:r>
    </w:p>
    <w:p w14:paraId="7C8E1D4A">
      <w:pPr>
        <w:pStyle w:val="11"/>
        <w:rPr>
          <w:rFonts w:hint="eastAsia"/>
          <w:color w:val="auto"/>
          <w:highlight w:val="none"/>
        </w:rPr>
      </w:pPr>
    </w:p>
    <w:p w14:paraId="32EE4D51">
      <w:pPr>
        <w:pStyle w:val="10"/>
        <w:numPr>
          <w:ilvl w:val="0"/>
          <w:numId w:val="0"/>
        </w:numPr>
        <w:tabs>
          <w:tab w:val="left" w:pos="312"/>
        </w:tabs>
        <w:snapToGrid w:val="0"/>
        <w:spacing w:line="480" w:lineRule="auto"/>
        <w:jc w:val="center"/>
        <w:rPr>
          <w:rFonts w:hint="eastAsia"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第三章 合同</w:t>
      </w:r>
    </w:p>
    <w:p w14:paraId="0497B898">
      <w:pPr>
        <w:jc w:val="center"/>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xml:space="preserve">                            </w:t>
      </w:r>
    </w:p>
    <w:p w14:paraId="02CFA44C">
      <w:pPr>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br w:type="page"/>
      </w:r>
    </w:p>
    <w:p w14:paraId="068562CF">
      <w:pPr>
        <w:keepNext w:val="0"/>
        <w:keepLines w:val="0"/>
        <w:pageBreakBefore w:val="0"/>
        <w:widowControl w:val="0"/>
        <w:kinsoku/>
        <w:wordWrap/>
        <w:overflowPunct/>
        <w:topLinePunct w:val="0"/>
        <w:autoSpaceDE/>
        <w:autoSpaceDN/>
        <w:bidi w:val="0"/>
        <w:adjustRightInd/>
        <w:snapToGrid/>
        <w:spacing w:line="520" w:lineRule="exact"/>
        <w:jc w:val="right"/>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合同编号：</w:t>
      </w:r>
    </w:p>
    <w:p w14:paraId="391F1D6F">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jc w:val="center"/>
        <w:textAlignment w:val="auto"/>
        <w:rPr>
          <w:rFonts w:hint="eastAsia" w:ascii="方正小标宋简体" w:hAnsi="方正小标宋简体" w:eastAsia="方正小标宋简体" w:cs="方正小标宋简体"/>
          <w:b w:val="0"/>
          <w:bCs w:val="0"/>
          <w:color w:val="auto"/>
          <w:sz w:val="36"/>
          <w:szCs w:val="36"/>
          <w:highlight w:val="none"/>
          <w:lang w:val="en-US" w:eastAsia="zh-CN"/>
        </w:rPr>
      </w:pPr>
      <w:r>
        <w:rPr>
          <w:rFonts w:hint="eastAsia" w:ascii="方正小标宋简体" w:hAnsi="方正小标宋简体" w:eastAsia="方正小标宋简体" w:cs="方正小标宋简体"/>
          <w:b w:val="0"/>
          <w:bCs w:val="0"/>
          <w:color w:val="auto"/>
          <w:sz w:val="36"/>
          <w:szCs w:val="36"/>
          <w:highlight w:val="none"/>
          <w:lang w:val="en-US" w:eastAsia="zh-CN"/>
        </w:rPr>
        <w:t>娄底市中心医院</w:t>
      </w:r>
    </w:p>
    <w:p w14:paraId="301FB377">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jc w:val="center"/>
        <w:textAlignment w:val="auto"/>
        <w:rPr>
          <w:rFonts w:hint="eastAsia" w:ascii="方正小标宋简体" w:hAnsi="方正小标宋简体" w:eastAsia="方正小标宋简体" w:cs="方正小标宋简体"/>
          <w:b w:val="0"/>
          <w:bCs w:val="0"/>
          <w:color w:val="auto"/>
          <w:sz w:val="36"/>
          <w:szCs w:val="36"/>
          <w:highlight w:val="none"/>
          <w:lang w:val="en-US" w:eastAsia="zh-CN"/>
        </w:rPr>
      </w:pPr>
      <w:r>
        <w:rPr>
          <w:rFonts w:hint="eastAsia" w:ascii="方正小标宋简体" w:hAnsi="方正小标宋简体" w:eastAsia="方正小标宋简体" w:cs="方正小标宋简体"/>
          <w:b w:val="0"/>
          <w:bCs w:val="0"/>
          <w:color w:val="auto"/>
          <w:sz w:val="36"/>
          <w:szCs w:val="36"/>
          <w:highlight w:val="none"/>
          <w:lang w:val="en-US" w:eastAsia="zh-CN"/>
        </w:rPr>
        <w:t>资源共享中心配套完善及特种治疗安全保障完善项目</w:t>
      </w:r>
    </w:p>
    <w:p w14:paraId="5A739020">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jc w:val="center"/>
        <w:textAlignment w:val="auto"/>
        <w:rPr>
          <w:rFonts w:hint="eastAsia" w:ascii="方正小标宋简体" w:hAnsi="方正小标宋简体" w:eastAsia="方正小标宋简体" w:cs="方正小标宋简体"/>
          <w:b w:val="0"/>
          <w:bCs w:val="0"/>
          <w:color w:val="auto"/>
          <w:sz w:val="36"/>
          <w:szCs w:val="36"/>
          <w:highlight w:val="none"/>
        </w:rPr>
      </w:pPr>
      <w:r>
        <w:rPr>
          <w:rFonts w:hint="eastAsia" w:ascii="方正小标宋简体" w:hAnsi="方正小标宋简体" w:eastAsia="方正小标宋简体" w:cs="方正小标宋简体"/>
          <w:b w:val="0"/>
          <w:bCs w:val="0"/>
          <w:color w:val="auto"/>
          <w:sz w:val="36"/>
          <w:szCs w:val="36"/>
          <w:highlight w:val="none"/>
          <w:lang w:val="en-US" w:eastAsia="zh-CN"/>
        </w:rPr>
        <w:t>场地平整大树移植服务</w:t>
      </w:r>
      <w:r>
        <w:rPr>
          <w:rFonts w:hint="eastAsia" w:ascii="方正小标宋简体" w:hAnsi="方正小标宋简体" w:eastAsia="方正小标宋简体" w:cs="方正小标宋简体"/>
          <w:b w:val="0"/>
          <w:bCs w:val="0"/>
          <w:color w:val="auto"/>
          <w:sz w:val="36"/>
          <w:szCs w:val="36"/>
          <w:highlight w:val="none"/>
        </w:rPr>
        <w:t>合同</w:t>
      </w:r>
    </w:p>
    <w:p w14:paraId="01F23EAD">
      <w:pPr>
        <w:keepNext w:val="0"/>
        <w:keepLines w:val="0"/>
        <w:pageBreakBefore w:val="0"/>
        <w:widowControl w:val="0"/>
        <w:kinsoku/>
        <w:wordWrap/>
        <w:overflowPunct/>
        <w:topLinePunct w:val="0"/>
        <w:autoSpaceDE/>
        <w:autoSpaceDN/>
        <w:bidi w:val="0"/>
        <w:adjustRightInd/>
        <w:snapToGrid/>
        <w:spacing w:line="480" w:lineRule="exact"/>
        <w:jc w:val="right"/>
        <w:textAlignment w:val="auto"/>
        <w:rPr>
          <w:rFonts w:hint="eastAsia" w:ascii="仿宋" w:hAnsi="仿宋" w:eastAsia="仿宋" w:cs="仿宋"/>
          <w:color w:val="auto"/>
          <w:sz w:val="24"/>
          <w:szCs w:val="24"/>
          <w:highlight w:val="none"/>
        </w:rPr>
      </w:pPr>
    </w:p>
    <w:p w14:paraId="539D4863">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甲方（采购方）：娄底市中心医院</w:t>
      </w:r>
    </w:p>
    <w:p w14:paraId="08F943CF">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u w:val="none"/>
        </w:rPr>
        <w:t>法定代表人：</w:t>
      </w:r>
      <w:r>
        <w:rPr>
          <w:rFonts w:hint="eastAsia" w:ascii="仿宋" w:hAnsi="仿宋" w:eastAsia="仿宋" w:cs="仿宋"/>
          <w:b w:val="0"/>
          <w:bCs w:val="0"/>
          <w:color w:val="auto"/>
          <w:sz w:val="24"/>
          <w:szCs w:val="24"/>
          <w:highlight w:val="none"/>
          <w:u w:val="none"/>
          <w:lang w:val="en-US" w:eastAsia="zh-CN"/>
        </w:rPr>
        <w:t>杨吉军</w:t>
      </w:r>
    </w:p>
    <w:p w14:paraId="52340470">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统一社会信用代码：12431300447162073W</w:t>
      </w:r>
    </w:p>
    <w:p w14:paraId="0ED1F0FA">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地址：湖南省娄底市娄星区长青中街51号</w:t>
      </w:r>
    </w:p>
    <w:p w14:paraId="5586182D">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 xml:space="preserve">联系人：聂东庚 </w:t>
      </w:r>
    </w:p>
    <w:p w14:paraId="0618733A">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联系电话：13873869596</w:t>
      </w:r>
    </w:p>
    <w:p w14:paraId="522CBA28">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b w:val="0"/>
          <w:bCs w:val="0"/>
          <w:color w:val="auto"/>
          <w:sz w:val="24"/>
          <w:szCs w:val="24"/>
          <w:highlight w:val="none"/>
        </w:rPr>
      </w:pPr>
    </w:p>
    <w:p w14:paraId="59002E9C">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乙方（服务方）：</w:t>
      </w:r>
      <w:r>
        <w:rPr>
          <w:rFonts w:hint="eastAsia" w:ascii="仿宋" w:hAnsi="仿宋" w:eastAsia="仿宋" w:cs="仿宋"/>
          <w:color w:val="auto"/>
          <w:sz w:val="24"/>
          <w:szCs w:val="24"/>
          <w:highlight w:val="none"/>
          <w:u w:val="single"/>
          <w:lang w:val="en-US" w:eastAsia="zh-CN"/>
        </w:rPr>
        <w:t xml:space="preserve">                             </w:t>
      </w:r>
    </w:p>
    <w:p w14:paraId="0C794D6F">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u w:val="none"/>
        </w:rPr>
        <w:t>法定代表人：</w:t>
      </w:r>
      <w:r>
        <w:rPr>
          <w:rFonts w:hint="eastAsia" w:ascii="仿宋" w:hAnsi="仿宋" w:eastAsia="仿宋" w:cs="仿宋"/>
          <w:color w:val="auto"/>
          <w:sz w:val="24"/>
          <w:szCs w:val="24"/>
          <w:highlight w:val="none"/>
          <w:u w:val="single"/>
          <w:lang w:val="en-US" w:eastAsia="zh-CN"/>
        </w:rPr>
        <w:t xml:space="preserve">                                </w:t>
      </w:r>
    </w:p>
    <w:p w14:paraId="11869F5B">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b w:val="0"/>
          <w:bCs w:val="0"/>
          <w:color w:val="auto"/>
          <w:sz w:val="24"/>
          <w:szCs w:val="24"/>
          <w:highlight w:val="none"/>
          <w:u w:val="single"/>
          <w:lang w:val="en-US" w:eastAsia="zh-CN"/>
        </w:rPr>
      </w:pPr>
      <w:r>
        <w:rPr>
          <w:rFonts w:hint="eastAsia" w:ascii="仿宋" w:hAnsi="仿宋" w:eastAsia="仿宋" w:cs="仿宋"/>
          <w:b w:val="0"/>
          <w:bCs w:val="0"/>
          <w:color w:val="auto"/>
          <w:sz w:val="24"/>
          <w:szCs w:val="24"/>
          <w:highlight w:val="none"/>
          <w:u w:val="none"/>
        </w:rPr>
        <w:t>统一社会信用代码：</w:t>
      </w:r>
      <w:r>
        <w:rPr>
          <w:rFonts w:hint="eastAsia" w:ascii="仿宋" w:hAnsi="仿宋" w:eastAsia="仿宋" w:cs="仿宋"/>
          <w:b w:val="0"/>
          <w:bCs w:val="0"/>
          <w:color w:val="auto"/>
          <w:sz w:val="24"/>
          <w:szCs w:val="24"/>
          <w:highlight w:val="none"/>
          <w:u w:val="single"/>
          <w:lang w:val="en-US" w:eastAsia="zh-CN"/>
        </w:rPr>
        <w:t xml:space="preserve">                            </w:t>
      </w:r>
    </w:p>
    <w:p w14:paraId="611B7571">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b w:val="0"/>
          <w:bCs w:val="0"/>
          <w:color w:val="auto"/>
          <w:sz w:val="24"/>
          <w:szCs w:val="24"/>
          <w:highlight w:val="none"/>
          <w:u w:val="single"/>
          <w:lang w:val="en-US" w:eastAsia="zh-CN"/>
        </w:rPr>
      </w:pPr>
      <w:r>
        <w:rPr>
          <w:rFonts w:hint="eastAsia" w:ascii="仿宋" w:hAnsi="仿宋" w:eastAsia="仿宋" w:cs="仿宋"/>
          <w:b w:val="0"/>
          <w:bCs w:val="0"/>
          <w:color w:val="auto"/>
          <w:sz w:val="24"/>
          <w:szCs w:val="24"/>
          <w:highlight w:val="none"/>
          <w:u w:val="none"/>
        </w:rPr>
        <w:t>地址：</w:t>
      </w:r>
      <w:r>
        <w:rPr>
          <w:rFonts w:hint="eastAsia" w:ascii="仿宋" w:hAnsi="仿宋" w:eastAsia="仿宋" w:cs="仿宋"/>
          <w:b w:val="0"/>
          <w:bCs w:val="0"/>
          <w:color w:val="auto"/>
          <w:sz w:val="24"/>
          <w:szCs w:val="24"/>
          <w:highlight w:val="none"/>
          <w:u w:val="none"/>
          <w:lang w:val="en-US" w:eastAsia="zh-CN"/>
        </w:rPr>
        <w:t xml:space="preserve"> </w:t>
      </w:r>
      <w:r>
        <w:rPr>
          <w:rFonts w:hint="eastAsia" w:ascii="仿宋" w:hAnsi="仿宋" w:eastAsia="仿宋" w:cs="仿宋"/>
          <w:b w:val="0"/>
          <w:bCs w:val="0"/>
          <w:color w:val="auto"/>
          <w:sz w:val="24"/>
          <w:szCs w:val="24"/>
          <w:highlight w:val="none"/>
          <w:u w:val="single"/>
          <w:lang w:val="en-US" w:eastAsia="zh-CN"/>
        </w:rPr>
        <w:t xml:space="preserve">                                        </w:t>
      </w:r>
    </w:p>
    <w:p w14:paraId="3C4221AD">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b w:val="0"/>
          <w:bCs w:val="0"/>
          <w:color w:val="auto"/>
          <w:sz w:val="24"/>
          <w:szCs w:val="24"/>
          <w:highlight w:val="none"/>
          <w:u w:val="single"/>
          <w:lang w:val="en-US" w:eastAsia="zh-CN"/>
        </w:rPr>
      </w:pPr>
      <w:r>
        <w:rPr>
          <w:rFonts w:hint="eastAsia" w:ascii="仿宋" w:hAnsi="仿宋" w:eastAsia="仿宋" w:cs="仿宋"/>
          <w:b w:val="0"/>
          <w:bCs w:val="0"/>
          <w:color w:val="auto"/>
          <w:sz w:val="24"/>
          <w:szCs w:val="24"/>
          <w:highlight w:val="none"/>
          <w:u w:val="none"/>
        </w:rPr>
        <w:t>联系人：</w:t>
      </w:r>
      <w:r>
        <w:rPr>
          <w:rFonts w:hint="eastAsia" w:ascii="仿宋" w:hAnsi="仿宋" w:eastAsia="仿宋" w:cs="仿宋"/>
          <w:b w:val="0"/>
          <w:bCs w:val="0"/>
          <w:color w:val="auto"/>
          <w:sz w:val="24"/>
          <w:szCs w:val="24"/>
          <w:highlight w:val="none"/>
          <w:u w:val="single"/>
          <w:lang w:val="en-US" w:eastAsia="zh-CN"/>
        </w:rPr>
        <w:t xml:space="preserve">                                   </w:t>
      </w:r>
    </w:p>
    <w:p w14:paraId="32D73593">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b w:val="0"/>
          <w:bCs w:val="0"/>
          <w:color w:val="auto"/>
          <w:sz w:val="24"/>
          <w:szCs w:val="24"/>
          <w:highlight w:val="none"/>
          <w:u w:val="single"/>
          <w:lang w:val="en-US" w:eastAsia="zh-CN"/>
        </w:rPr>
      </w:pPr>
      <w:r>
        <w:rPr>
          <w:rFonts w:hint="eastAsia" w:ascii="仿宋" w:hAnsi="仿宋" w:eastAsia="仿宋" w:cs="仿宋"/>
          <w:b w:val="0"/>
          <w:bCs w:val="0"/>
          <w:color w:val="auto"/>
          <w:sz w:val="24"/>
          <w:szCs w:val="24"/>
          <w:highlight w:val="none"/>
          <w:u w:val="none"/>
        </w:rPr>
        <w:t>联系电话：</w:t>
      </w:r>
      <w:r>
        <w:rPr>
          <w:rFonts w:hint="eastAsia" w:ascii="仿宋" w:hAnsi="仿宋" w:eastAsia="仿宋" w:cs="仿宋"/>
          <w:b w:val="0"/>
          <w:bCs w:val="0"/>
          <w:color w:val="auto"/>
          <w:sz w:val="24"/>
          <w:szCs w:val="24"/>
          <w:highlight w:val="none"/>
          <w:u w:val="single"/>
          <w:lang w:val="en-US" w:eastAsia="zh-CN"/>
        </w:rPr>
        <w:t xml:space="preserve">                                    </w:t>
      </w:r>
    </w:p>
    <w:p w14:paraId="16A68BD6">
      <w:pPr>
        <w:keepNext w:val="0"/>
        <w:keepLines w:val="0"/>
        <w:pageBreakBefore w:val="0"/>
        <w:widowControl w:val="0"/>
        <w:kinsoku/>
        <w:wordWrap/>
        <w:overflowPunct/>
        <w:topLinePunct w:val="0"/>
        <w:autoSpaceDE/>
        <w:autoSpaceDN/>
        <w:bidi w:val="0"/>
        <w:adjustRightInd/>
        <w:snapToGrid/>
        <w:spacing w:line="480" w:lineRule="exact"/>
        <w:ind w:leftChars="0" w:firstLine="480" w:firstLineChars="200"/>
        <w:jc w:val="both"/>
        <w:textAlignment w:val="auto"/>
        <w:rPr>
          <w:rFonts w:hint="eastAsia" w:ascii="仿宋" w:hAnsi="仿宋" w:eastAsia="仿宋" w:cs="仿宋"/>
          <w:b w:val="0"/>
          <w:bCs w:val="0"/>
          <w:color w:val="auto"/>
          <w:sz w:val="24"/>
          <w:szCs w:val="24"/>
          <w:highlight w:val="none"/>
          <w:u w:val="single"/>
          <w:lang w:val="en-US" w:eastAsia="zh-CN"/>
        </w:rPr>
      </w:pPr>
    </w:p>
    <w:p w14:paraId="1DA71CD8">
      <w:pPr>
        <w:pStyle w:val="10"/>
        <w:keepNext w:val="0"/>
        <w:keepLines w:val="0"/>
        <w:pageBreakBefore w:val="0"/>
        <w:widowControl w:val="0"/>
        <w:tabs>
          <w:tab w:val="left" w:pos="312"/>
        </w:tabs>
        <w:kinsoku/>
        <w:wordWrap/>
        <w:overflowPunct/>
        <w:topLinePunct w:val="0"/>
        <w:autoSpaceDE/>
        <w:autoSpaceDN/>
        <w:bidi w:val="0"/>
        <w:snapToGrid w:val="0"/>
        <w:spacing w:line="480" w:lineRule="exact"/>
        <w:ind w:leftChars="0" w:firstLine="480" w:firstLineChars="200"/>
        <w:jc w:val="both"/>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甲方通过医院院内议价方式采购娄底市中心医院资源共享中心配套完善及特种治疗安全保障完善项目场地平整大树移植服务，乙方为中标/中选供应商。根据《中华人民共和国民法典》《中华人民共和国政府采购法》《中华人民共和国招标投标法》《城市绿化条例》等相关法律规定，甲乙双方在采购项目确定的基础上，就采购场地平整树木移植服务相关事宜平等、自愿、公平、诚信协商，达成一致，特订立本合同，以资共同遵守。</w:t>
      </w:r>
    </w:p>
    <w:p w14:paraId="1F016AE0">
      <w:pPr>
        <w:pStyle w:val="10"/>
        <w:keepNext w:val="0"/>
        <w:keepLines w:val="0"/>
        <w:pageBreakBefore w:val="0"/>
        <w:widowControl w:val="0"/>
        <w:numPr>
          <w:ilvl w:val="0"/>
          <w:numId w:val="0"/>
        </w:numPr>
        <w:tabs>
          <w:tab w:val="left" w:pos="312"/>
        </w:tabs>
        <w:kinsoku/>
        <w:wordWrap/>
        <w:overflowPunct/>
        <w:topLinePunct w:val="0"/>
        <w:autoSpaceDE/>
        <w:autoSpaceDN/>
        <w:bidi w:val="0"/>
        <w:snapToGrid w:val="0"/>
        <w:spacing w:line="480" w:lineRule="exact"/>
        <w:ind w:leftChars="0" w:firstLine="482" w:firstLineChars="200"/>
        <w:jc w:val="both"/>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bCs/>
          <w:color w:val="auto"/>
          <w:kern w:val="0"/>
          <w:sz w:val="24"/>
          <w:szCs w:val="24"/>
          <w:highlight w:val="none"/>
          <w:lang w:val="en-US" w:eastAsia="zh-CN" w:bidi="ar-SA"/>
        </w:rPr>
        <w:t xml:space="preserve">第一条 </w:t>
      </w:r>
      <w:r>
        <w:rPr>
          <w:rFonts w:hint="default" w:ascii="仿宋" w:hAnsi="仿宋" w:eastAsia="仿宋" w:cs="仿宋"/>
          <w:b/>
          <w:bCs/>
          <w:color w:val="auto"/>
          <w:kern w:val="0"/>
          <w:sz w:val="24"/>
          <w:szCs w:val="24"/>
          <w:highlight w:val="none"/>
          <w:lang w:val="en-US" w:eastAsia="zh-CN" w:bidi="ar-SA"/>
        </w:rPr>
        <w:t>采购内容及服务要求</w:t>
      </w:r>
    </w:p>
    <w:p w14:paraId="62A256B8">
      <w:pPr>
        <w:keepNext w:val="0"/>
        <w:keepLines w:val="0"/>
        <w:pageBreakBefore w:val="0"/>
        <w:widowControl w:val="0"/>
        <w:kinsoku/>
        <w:wordWrap/>
        <w:overflowPunct/>
        <w:topLinePunct w:val="0"/>
        <w:autoSpaceDE/>
        <w:autoSpaceDN/>
        <w:bidi w:val="0"/>
        <w:adjustRightInd/>
        <w:snapToGrid/>
        <w:spacing w:line="480" w:lineRule="exact"/>
        <w:ind w:leftChars="0" w:firstLine="480" w:firstLineChars="200"/>
        <w:jc w:val="both"/>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1.1乙方须对甲方项目用地上的3棵大树进行移植（两棵樟树，一棵石楠）。移植树木基本情况如下：</w:t>
      </w:r>
    </w:p>
    <w:tbl>
      <w:tblPr>
        <w:tblStyle w:val="8"/>
        <w:tblW w:w="85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15"/>
        <w:gridCol w:w="3070"/>
        <w:gridCol w:w="1817"/>
        <w:gridCol w:w="1817"/>
      </w:tblGrid>
      <w:tr w14:paraId="75893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0" w:type="auto"/>
            <w:noWrap w:val="0"/>
            <w:tcMar>
              <w:top w:w="-1" w:type="dxa"/>
              <w:left w:w="-1" w:type="dxa"/>
              <w:bottom w:w="-1" w:type="dxa"/>
              <w:right w:w="-1" w:type="dxa"/>
            </w:tcMar>
            <w:vAlign w:val="center"/>
          </w:tcPr>
          <w:p w14:paraId="6C95E3B7">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both"/>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序号</w:t>
            </w:r>
          </w:p>
        </w:tc>
        <w:tc>
          <w:tcPr>
            <w:tcW w:w="0" w:type="auto"/>
            <w:noWrap w:val="0"/>
            <w:tcMar>
              <w:top w:w="-1" w:type="dxa"/>
              <w:left w:w="-1" w:type="dxa"/>
              <w:bottom w:w="-1" w:type="dxa"/>
              <w:right w:w="-1" w:type="dxa"/>
            </w:tcMar>
            <w:vAlign w:val="center"/>
          </w:tcPr>
          <w:p w14:paraId="21339BF4">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both"/>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树木品种</w:t>
            </w:r>
          </w:p>
        </w:tc>
        <w:tc>
          <w:tcPr>
            <w:tcW w:w="0" w:type="auto"/>
            <w:noWrap w:val="0"/>
            <w:tcMar>
              <w:top w:w="-1" w:type="dxa"/>
              <w:left w:w="-1" w:type="dxa"/>
              <w:bottom w:w="-1" w:type="dxa"/>
              <w:right w:w="-1" w:type="dxa"/>
            </w:tcMar>
            <w:vAlign w:val="center"/>
          </w:tcPr>
          <w:p w14:paraId="4151CF30">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both"/>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数量</w:t>
            </w:r>
          </w:p>
        </w:tc>
        <w:tc>
          <w:tcPr>
            <w:tcW w:w="1817" w:type="dxa"/>
            <w:noWrap w:val="0"/>
            <w:tcMar>
              <w:top w:w="-1" w:type="dxa"/>
              <w:left w:w="-1" w:type="dxa"/>
              <w:bottom w:w="-1" w:type="dxa"/>
              <w:right w:w="-1" w:type="dxa"/>
            </w:tcMar>
            <w:vAlign w:val="center"/>
          </w:tcPr>
          <w:p w14:paraId="256AD32A">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both"/>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备注</w:t>
            </w:r>
          </w:p>
        </w:tc>
      </w:tr>
      <w:tr w14:paraId="0E48E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noWrap w:val="0"/>
            <w:tcMar>
              <w:top w:w="-1" w:type="dxa"/>
              <w:left w:w="-1" w:type="dxa"/>
              <w:bottom w:w="-1" w:type="dxa"/>
              <w:right w:w="-1" w:type="dxa"/>
            </w:tcMar>
            <w:vAlign w:val="center"/>
          </w:tcPr>
          <w:p w14:paraId="63D607CC">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both"/>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1</w:t>
            </w:r>
          </w:p>
        </w:tc>
        <w:tc>
          <w:tcPr>
            <w:tcW w:w="0" w:type="auto"/>
            <w:noWrap w:val="0"/>
            <w:tcMar>
              <w:top w:w="-1" w:type="dxa"/>
              <w:left w:w="-1" w:type="dxa"/>
              <w:bottom w:w="-1" w:type="dxa"/>
              <w:right w:w="-1" w:type="dxa"/>
            </w:tcMar>
            <w:vAlign w:val="center"/>
          </w:tcPr>
          <w:p w14:paraId="74370527">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both"/>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樟树</w:t>
            </w:r>
          </w:p>
        </w:tc>
        <w:tc>
          <w:tcPr>
            <w:tcW w:w="0" w:type="auto"/>
            <w:noWrap w:val="0"/>
            <w:tcMar>
              <w:top w:w="-1" w:type="dxa"/>
              <w:left w:w="-1" w:type="dxa"/>
              <w:bottom w:w="-1" w:type="dxa"/>
              <w:right w:w="-1" w:type="dxa"/>
            </w:tcMar>
            <w:vAlign w:val="center"/>
          </w:tcPr>
          <w:p w14:paraId="25D8F077">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both"/>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2棵</w:t>
            </w:r>
          </w:p>
        </w:tc>
        <w:tc>
          <w:tcPr>
            <w:tcW w:w="1817" w:type="dxa"/>
            <w:noWrap w:val="0"/>
            <w:tcMar>
              <w:top w:w="-1" w:type="dxa"/>
              <w:left w:w="-1" w:type="dxa"/>
              <w:bottom w:w="-1" w:type="dxa"/>
              <w:right w:w="-1" w:type="dxa"/>
            </w:tcMar>
            <w:vAlign w:val="center"/>
          </w:tcPr>
          <w:p w14:paraId="6F9E1D73">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both"/>
              <w:textAlignment w:val="auto"/>
              <w:rPr>
                <w:rFonts w:hint="eastAsia" w:ascii="仿宋" w:hAnsi="仿宋" w:eastAsia="仿宋" w:cs="仿宋"/>
                <w:b w:val="0"/>
                <w:bCs w:val="0"/>
                <w:color w:val="auto"/>
                <w:kern w:val="0"/>
                <w:sz w:val="24"/>
                <w:szCs w:val="24"/>
                <w:highlight w:val="none"/>
                <w:lang w:val="en-US" w:eastAsia="zh-CN" w:bidi="ar-SA"/>
              </w:rPr>
            </w:pPr>
          </w:p>
        </w:tc>
      </w:tr>
      <w:tr w14:paraId="2C5BA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815" w:type="dxa"/>
            <w:noWrap w:val="0"/>
            <w:tcMar>
              <w:top w:w="-1" w:type="dxa"/>
              <w:left w:w="-1" w:type="dxa"/>
              <w:bottom w:w="-1" w:type="dxa"/>
              <w:right w:w="-1" w:type="dxa"/>
            </w:tcMar>
            <w:vAlign w:val="center"/>
          </w:tcPr>
          <w:p w14:paraId="5A32B3AA">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both"/>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 xml:space="preserve">2 </w:t>
            </w:r>
          </w:p>
        </w:tc>
        <w:tc>
          <w:tcPr>
            <w:tcW w:w="3070" w:type="dxa"/>
            <w:noWrap w:val="0"/>
            <w:tcMar>
              <w:top w:w="-1" w:type="dxa"/>
              <w:left w:w="-1" w:type="dxa"/>
              <w:bottom w:w="-1" w:type="dxa"/>
              <w:right w:w="-1" w:type="dxa"/>
            </w:tcMar>
            <w:vAlign w:val="center"/>
          </w:tcPr>
          <w:p w14:paraId="3225D785">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both"/>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石楠</w:t>
            </w:r>
          </w:p>
        </w:tc>
        <w:tc>
          <w:tcPr>
            <w:tcW w:w="1817" w:type="dxa"/>
            <w:noWrap w:val="0"/>
            <w:tcMar>
              <w:top w:w="-1" w:type="dxa"/>
              <w:left w:w="-1" w:type="dxa"/>
              <w:bottom w:w="-1" w:type="dxa"/>
              <w:right w:w="-1" w:type="dxa"/>
            </w:tcMar>
            <w:vAlign w:val="center"/>
          </w:tcPr>
          <w:p w14:paraId="6A0DF140">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both"/>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1棵</w:t>
            </w:r>
          </w:p>
        </w:tc>
        <w:tc>
          <w:tcPr>
            <w:tcW w:w="1817" w:type="dxa"/>
            <w:noWrap w:val="0"/>
            <w:tcMar>
              <w:top w:w="-1" w:type="dxa"/>
              <w:left w:w="-1" w:type="dxa"/>
              <w:bottom w:w="-1" w:type="dxa"/>
              <w:right w:w="-1" w:type="dxa"/>
            </w:tcMar>
            <w:vAlign w:val="center"/>
          </w:tcPr>
          <w:p w14:paraId="47D3CB7B">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both"/>
              <w:textAlignment w:val="auto"/>
              <w:rPr>
                <w:rFonts w:hint="eastAsia" w:ascii="仿宋" w:hAnsi="仿宋" w:eastAsia="仿宋" w:cs="仿宋"/>
                <w:b w:val="0"/>
                <w:bCs w:val="0"/>
                <w:color w:val="auto"/>
                <w:kern w:val="0"/>
                <w:sz w:val="24"/>
                <w:szCs w:val="24"/>
                <w:highlight w:val="none"/>
                <w:lang w:val="en-US" w:eastAsia="zh-CN" w:bidi="ar-SA"/>
              </w:rPr>
            </w:pPr>
          </w:p>
        </w:tc>
      </w:tr>
    </w:tbl>
    <w:p w14:paraId="731F1BD1">
      <w:pPr>
        <w:keepNext w:val="0"/>
        <w:keepLines w:val="0"/>
        <w:pageBreakBefore w:val="0"/>
        <w:widowControl w:val="0"/>
        <w:kinsoku/>
        <w:wordWrap/>
        <w:overflowPunct/>
        <w:topLinePunct w:val="0"/>
        <w:autoSpaceDE/>
        <w:autoSpaceDN/>
        <w:bidi w:val="0"/>
        <w:adjustRightInd/>
        <w:snapToGrid/>
        <w:spacing w:line="480" w:lineRule="exact"/>
        <w:ind w:leftChars="0" w:firstLine="480" w:firstLineChars="200"/>
        <w:jc w:val="both"/>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1.2服务内容</w:t>
      </w:r>
    </w:p>
    <w:p w14:paraId="1F10C450">
      <w:pPr>
        <w:keepNext w:val="0"/>
        <w:keepLines w:val="0"/>
        <w:pageBreakBefore w:val="0"/>
        <w:widowControl w:val="0"/>
        <w:kinsoku/>
        <w:wordWrap/>
        <w:overflowPunct/>
        <w:topLinePunct w:val="0"/>
        <w:autoSpaceDE/>
        <w:autoSpaceDN/>
        <w:bidi w:val="0"/>
        <w:adjustRightInd/>
        <w:snapToGrid/>
        <w:spacing w:line="480" w:lineRule="exact"/>
        <w:ind w:leftChars="0" w:firstLine="480" w:firstLineChars="200"/>
        <w:jc w:val="both"/>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1.2.1 乙方负责对甲方指定的3棵大树进行挖掘、包扎、吊运、栽植、养护及对挖掘后的地面进行平整等一系列移植服务。</w:t>
      </w:r>
    </w:p>
    <w:p w14:paraId="26983C60">
      <w:pPr>
        <w:keepNext w:val="0"/>
        <w:keepLines w:val="0"/>
        <w:pageBreakBefore w:val="0"/>
        <w:widowControl w:val="0"/>
        <w:kinsoku/>
        <w:wordWrap/>
        <w:overflowPunct/>
        <w:topLinePunct w:val="0"/>
        <w:autoSpaceDE/>
        <w:autoSpaceDN/>
        <w:bidi w:val="0"/>
        <w:adjustRightInd/>
        <w:snapToGrid/>
        <w:spacing w:line="480" w:lineRule="exact"/>
        <w:ind w:leftChars="0" w:firstLine="480" w:firstLineChars="200"/>
        <w:jc w:val="both"/>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1.2.2 乙方负责自行寻找合适的移栽地点（移栽地点须符合城市绿化规划要求，不得妨碍公共设施及相邻权），并负责树木移植后的养护管理，养护期不少于一年（自移植验收合格之日起算），养护期内确保树木正常存活。</w:t>
      </w:r>
    </w:p>
    <w:p w14:paraId="73BE3534">
      <w:pPr>
        <w:keepNext w:val="0"/>
        <w:keepLines w:val="0"/>
        <w:pageBreakBefore w:val="0"/>
        <w:widowControl w:val="0"/>
        <w:kinsoku/>
        <w:wordWrap/>
        <w:overflowPunct/>
        <w:topLinePunct w:val="0"/>
        <w:autoSpaceDE/>
        <w:autoSpaceDN/>
        <w:bidi w:val="0"/>
        <w:adjustRightInd/>
        <w:snapToGrid/>
        <w:spacing w:line="480" w:lineRule="exact"/>
        <w:ind w:leftChars="0" w:firstLine="480" w:firstLineChars="200"/>
        <w:jc w:val="both"/>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1.2.3 在挖掘过程中，乙方应采取必要的措施确保树木根系完整，尽量减少对树木的损伤。</w:t>
      </w:r>
    </w:p>
    <w:p w14:paraId="0425C814">
      <w:pPr>
        <w:keepNext w:val="0"/>
        <w:keepLines w:val="0"/>
        <w:pageBreakBefore w:val="0"/>
        <w:widowControl w:val="0"/>
        <w:kinsoku/>
        <w:wordWrap/>
        <w:overflowPunct/>
        <w:topLinePunct w:val="0"/>
        <w:autoSpaceDE/>
        <w:autoSpaceDN/>
        <w:bidi w:val="0"/>
        <w:adjustRightInd/>
        <w:snapToGrid/>
        <w:spacing w:line="480" w:lineRule="exact"/>
        <w:ind w:leftChars="0" w:firstLine="480" w:firstLineChars="200"/>
        <w:jc w:val="both"/>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1.2.4 包扎时，应使用专业的材料对树木根系和树干进行妥善包裹，防止在吊运过程中受到损伤。</w:t>
      </w:r>
    </w:p>
    <w:p w14:paraId="73616B96">
      <w:pPr>
        <w:keepNext w:val="0"/>
        <w:keepLines w:val="0"/>
        <w:pageBreakBefore w:val="0"/>
        <w:widowControl w:val="0"/>
        <w:kinsoku/>
        <w:wordWrap/>
        <w:overflowPunct/>
        <w:topLinePunct w:val="0"/>
        <w:autoSpaceDE/>
        <w:autoSpaceDN/>
        <w:bidi w:val="0"/>
        <w:adjustRightInd/>
        <w:snapToGrid/>
        <w:spacing w:line="480" w:lineRule="exact"/>
        <w:ind w:leftChars="0" w:firstLine="480" w:firstLineChars="200"/>
        <w:jc w:val="both"/>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1.2.5 吊运过程中，乙方应选用合适的吊运设备和工具，确保树木安全吊运至移植目的地。</w:t>
      </w:r>
    </w:p>
    <w:p w14:paraId="07C5AC5C">
      <w:pPr>
        <w:keepNext w:val="0"/>
        <w:keepLines w:val="0"/>
        <w:pageBreakBefore w:val="0"/>
        <w:widowControl w:val="0"/>
        <w:kinsoku/>
        <w:wordWrap/>
        <w:overflowPunct/>
        <w:topLinePunct w:val="0"/>
        <w:autoSpaceDE/>
        <w:autoSpaceDN/>
        <w:bidi w:val="0"/>
        <w:adjustRightInd/>
        <w:snapToGrid/>
        <w:spacing w:line="480" w:lineRule="exact"/>
        <w:ind w:leftChars="0" w:firstLine="480" w:firstLineChars="200"/>
        <w:jc w:val="both"/>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1.2.6 栽植时，乙方应按照规范的操作流程进行，确保树木栽植深度适宜、土壤压实，并浇足定根水。</w:t>
      </w:r>
    </w:p>
    <w:p w14:paraId="45F55846">
      <w:pPr>
        <w:keepNext w:val="0"/>
        <w:keepLines w:val="0"/>
        <w:pageBreakBefore w:val="0"/>
        <w:widowControl w:val="0"/>
        <w:kinsoku/>
        <w:wordWrap/>
        <w:overflowPunct/>
        <w:topLinePunct w:val="0"/>
        <w:autoSpaceDE/>
        <w:autoSpaceDN/>
        <w:bidi w:val="0"/>
        <w:adjustRightInd/>
        <w:snapToGrid/>
        <w:spacing w:line="480" w:lineRule="exact"/>
        <w:ind w:leftChars="0" w:firstLine="480" w:firstLineChars="200"/>
        <w:jc w:val="both"/>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1.2.7 养护期间，乙方应定期对移植树木进行浇水、施肥、修剪、病虫害防治等养护工作，确保树木成活并健康生长。</w:t>
      </w:r>
    </w:p>
    <w:p w14:paraId="7B4501D4">
      <w:pPr>
        <w:keepNext w:val="0"/>
        <w:keepLines w:val="0"/>
        <w:pageBreakBefore w:val="0"/>
        <w:widowControl w:val="0"/>
        <w:kinsoku/>
        <w:wordWrap/>
        <w:overflowPunct/>
        <w:topLinePunct w:val="0"/>
        <w:autoSpaceDE/>
        <w:autoSpaceDN/>
        <w:bidi w:val="0"/>
        <w:adjustRightInd/>
        <w:snapToGrid/>
        <w:spacing w:line="480" w:lineRule="exact"/>
        <w:ind w:leftChars="0" w:firstLine="480" w:firstLineChars="200"/>
        <w:jc w:val="both"/>
        <w:textAlignment w:val="auto"/>
        <w:rPr>
          <w:rFonts w:hint="default"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1.2.8 乙方完成移植后，须对甲方项目用地上挖掘的地面进行回填平整。</w:t>
      </w:r>
    </w:p>
    <w:p w14:paraId="080E1009">
      <w:pPr>
        <w:pStyle w:val="10"/>
        <w:keepNext w:val="0"/>
        <w:keepLines w:val="0"/>
        <w:pageBreakBefore w:val="0"/>
        <w:widowControl w:val="0"/>
        <w:numPr>
          <w:ilvl w:val="0"/>
          <w:numId w:val="0"/>
        </w:numPr>
        <w:tabs>
          <w:tab w:val="left" w:pos="312"/>
        </w:tabs>
        <w:kinsoku/>
        <w:wordWrap/>
        <w:overflowPunct/>
        <w:topLinePunct w:val="0"/>
        <w:autoSpaceDE/>
        <w:autoSpaceDN/>
        <w:bidi w:val="0"/>
        <w:snapToGrid w:val="0"/>
        <w:spacing w:line="480" w:lineRule="exact"/>
        <w:ind w:leftChars="0" w:firstLine="482" w:firstLineChars="200"/>
        <w:jc w:val="both"/>
        <w:textAlignment w:val="auto"/>
        <w:rPr>
          <w:rFonts w:hint="eastAsia" w:ascii="仿宋" w:hAnsi="仿宋" w:eastAsia="仿宋" w:cs="仿宋"/>
          <w:b/>
          <w:bCs/>
          <w:color w:val="auto"/>
          <w:kern w:val="0"/>
          <w:sz w:val="24"/>
          <w:szCs w:val="24"/>
          <w:highlight w:val="none"/>
          <w:lang w:val="en-US" w:eastAsia="zh-CN" w:bidi="ar-SA"/>
        </w:rPr>
      </w:pPr>
      <w:r>
        <w:rPr>
          <w:rFonts w:hint="eastAsia" w:ascii="仿宋" w:hAnsi="仿宋" w:eastAsia="仿宋" w:cs="仿宋"/>
          <w:b/>
          <w:bCs/>
          <w:color w:val="auto"/>
          <w:kern w:val="0"/>
          <w:sz w:val="24"/>
          <w:szCs w:val="24"/>
          <w:highlight w:val="none"/>
          <w:lang w:val="en-US" w:eastAsia="zh-CN" w:bidi="ar-SA"/>
        </w:rPr>
        <w:t>第二条技术要求与质量标准</w:t>
      </w:r>
    </w:p>
    <w:p w14:paraId="5C9D8D6E">
      <w:pPr>
        <w:keepNext w:val="0"/>
        <w:keepLines w:val="0"/>
        <w:pageBreakBefore w:val="0"/>
        <w:widowControl w:val="0"/>
        <w:kinsoku/>
        <w:wordWrap/>
        <w:overflowPunct/>
        <w:topLinePunct w:val="0"/>
        <w:autoSpaceDE/>
        <w:autoSpaceDN/>
        <w:bidi w:val="0"/>
        <w:adjustRightInd/>
        <w:snapToGrid/>
        <w:spacing w:line="480" w:lineRule="exact"/>
        <w:ind w:leftChars="0" w:firstLine="480" w:firstLineChars="200"/>
        <w:jc w:val="both"/>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2.1 乙方应依照《园林绿化工程项目规范》《园林树木移栽技术规范》《大树移植技术规程》等现行国家、行业及地方规范实施移栽工程，确保移植成活率达到100%。</w:t>
      </w:r>
    </w:p>
    <w:p w14:paraId="67D217FD">
      <w:pPr>
        <w:keepNext w:val="0"/>
        <w:keepLines w:val="0"/>
        <w:pageBreakBefore w:val="0"/>
        <w:widowControl w:val="0"/>
        <w:kinsoku/>
        <w:wordWrap/>
        <w:overflowPunct/>
        <w:topLinePunct w:val="0"/>
        <w:autoSpaceDE/>
        <w:autoSpaceDN/>
        <w:bidi w:val="0"/>
        <w:adjustRightInd/>
        <w:snapToGrid/>
        <w:spacing w:line="480" w:lineRule="exact"/>
        <w:ind w:leftChars="0" w:firstLine="480" w:firstLineChars="200"/>
        <w:jc w:val="both"/>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2.2 大树移植后必须进行树体固定，一般采用三柱支架固定法，将树牢固支撑，确保大树稳固。</w:t>
      </w:r>
    </w:p>
    <w:p w14:paraId="6EE21B8B">
      <w:pPr>
        <w:keepNext w:val="0"/>
        <w:keepLines w:val="0"/>
        <w:pageBreakBefore w:val="0"/>
        <w:widowControl w:val="0"/>
        <w:kinsoku/>
        <w:wordWrap/>
        <w:overflowPunct/>
        <w:topLinePunct w:val="0"/>
        <w:autoSpaceDE/>
        <w:autoSpaceDN/>
        <w:bidi w:val="0"/>
        <w:adjustRightInd/>
        <w:snapToGrid/>
        <w:spacing w:line="480" w:lineRule="exact"/>
        <w:ind w:leftChars="0" w:firstLine="480" w:firstLineChars="200"/>
        <w:jc w:val="both"/>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2.3 移植施工质量须符合国家、地方及行业现行的相关规范、标准。</w:t>
      </w:r>
    </w:p>
    <w:p w14:paraId="79C7EF5E">
      <w:pPr>
        <w:pStyle w:val="12"/>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firstLine="482" w:firstLineChars="200"/>
        <w:jc w:val="both"/>
        <w:textAlignment w:val="auto"/>
        <w:rPr>
          <w:rFonts w:hint="default"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第三条 合同工期及验收</w:t>
      </w:r>
    </w:p>
    <w:p w14:paraId="1A395EA3">
      <w:pPr>
        <w:keepNext w:val="0"/>
        <w:keepLines w:val="0"/>
        <w:pageBreakBefore w:val="0"/>
        <w:widowControl w:val="0"/>
        <w:kinsoku/>
        <w:wordWrap/>
        <w:overflowPunct/>
        <w:topLinePunct w:val="0"/>
        <w:autoSpaceDE/>
        <w:autoSpaceDN/>
        <w:bidi w:val="0"/>
        <w:adjustRightInd/>
        <w:snapToGrid/>
        <w:spacing w:line="480" w:lineRule="exact"/>
        <w:ind w:leftChars="0" w:firstLine="482" w:firstLineChars="200"/>
        <w:jc w:val="both"/>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Cs/>
          <w:color w:val="auto"/>
          <w:sz w:val="24"/>
          <w:szCs w:val="24"/>
          <w:highlight w:val="none"/>
        </w:rPr>
        <w:t>3.1 合同工期：自本合同生效之日起</w:t>
      </w:r>
      <w:r>
        <w:rPr>
          <w:rFonts w:hint="eastAsia" w:ascii="仿宋" w:hAnsi="仿宋" w:eastAsia="仿宋" w:cs="仿宋"/>
          <w:bCs/>
          <w:color w:val="auto"/>
          <w:sz w:val="24"/>
          <w:szCs w:val="24"/>
          <w:highlight w:val="none"/>
          <w:lang w:val="en-US" w:eastAsia="zh-CN"/>
        </w:rPr>
        <w:t>3</w:t>
      </w:r>
      <w:r>
        <w:rPr>
          <w:rFonts w:hint="eastAsia" w:ascii="仿宋" w:hAnsi="仿宋" w:eastAsia="仿宋" w:cs="仿宋"/>
          <w:bCs/>
          <w:color w:val="auto"/>
          <w:sz w:val="24"/>
          <w:szCs w:val="24"/>
          <w:highlight w:val="none"/>
        </w:rPr>
        <w:t>个日历天内完成全部3棵大树的移植工作</w:t>
      </w:r>
      <w:r>
        <w:rPr>
          <w:rFonts w:hint="eastAsia" w:ascii="仿宋" w:hAnsi="仿宋" w:eastAsia="仿宋" w:cs="仿宋"/>
          <w:bCs/>
          <w:color w:val="auto"/>
          <w:sz w:val="24"/>
          <w:szCs w:val="24"/>
          <w:highlight w:val="none"/>
          <w:lang w:val="en-US" w:eastAsia="zh-CN"/>
        </w:rPr>
        <w:t>及地面平整工作</w:t>
      </w:r>
      <w:r>
        <w:rPr>
          <w:rFonts w:hint="eastAsia" w:ascii="仿宋" w:hAnsi="仿宋" w:eastAsia="仿宋" w:cs="仿宋"/>
          <w:bCs/>
          <w:color w:val="auto"/>
          <w:sz w:val="24"/>
          <w:szCs w:val="24"/>
          <w:highlight w:val="none"/>
        </w:rPr>
        <w:t>。</w:t>
      </w:r>
    </w:p>
    <w:p w14:paraId="2273F8A1">
      <w:pPr>
        <w:keepNext w:val="0"/>
        <w:keepLines w:val="0"/>
        <w:pageBreakBefore w:val="0"/>
        <w:widowControl w:val="0"/>
        <w:kinsoku/>
        <w:wordWrap/>
        <w:overflowPunct/>
        <w:topLinePunct w:val="0"/>
        <w:autoSpaceDE/>
        <w:autoSpaceDN/>
        <w:bidi w:val="0"/>
        <w:adjustRightInd/>
        <w:snapToGrid/>
        <w:spacing w:line="480" w:lineRule="exact"/>
        <w:ind w:leftChars="0" w:firstLine="480" w:firstLineChars="200"/>
        <w:jc w:val="both"/>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3.2. 如遇不可抗力或甲方原因导致工期延误的，工期顺延。</w:t>
      </w:r>
    </w:p>
    <w:p w14:paraId="1D9E6521">
      <w:pPr>
        <w:keepNext w:val="0"/>
        <w:keepLines w:val="0"/>
        <w:pageBreakBefore w:val="0"/>
        <w:widowControl w:val="0"/>
        <w:kinsoku/>
        <w:wordWrap/>
        <w:overflowPunct/>
        <w:topLinePunct w:val="0"/>
        <w:autoSpaceDE/>
        <w:autoSpaceDN/>
        <w:bidi w:val="0"/>
        <w:adjustRightInd/>
        <w:snapToGrid/>
        <w:spacing w:line="480" w:lineRule="exact"/>
        <w:ind w:leftChars="0" w:firstLine="480" w:firstLineChars="200"/>
        <w:jc w:val="both"/>
        <w:textAlignment w:val="auto"/>
        <w:rPr>
          <w:rFonts w:hint="default"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3.3 验收：乙方完工后书面通知甲方验收，甲方应在接到通知后3个工作日内组织验收。验收合格的，双方签署验收单；验收不合格的，乙方须按甲方要求整改直至合格。</w:t>
      </w:r>
    </w:p>
    <w:p w14:paraId="5FEF3A0D">
      <w:pPr>
        <w:keepNext w:val="0"/>
        <w:keepLines w:val="0"/>
        <w:pageBreakBefore w:val="0"/>
        <w:widowControl w:val="0"/>
        <w:kinsoku/>
        <w:wordWrap/>
        <w:overflowPunct/>
        <w:topLinePunct w:val="0"/>
        <w:autoSpaceDE/>
        <w:autoSpaceDN/>
        <w:bidi w:val="0"/>
        <w:adjustRightInd/>
        <w:snapToGrid/>
        <w:spacing w:line="480" w:lineRule="exact"/>
        <w:ind w:leftChars="0" w:firstLine="482" w:firstLineChars="200"/>
        <w:jc w:val="both"/>
        <w:textAlignment w:val="auto"/>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第四条 合同价款及支付方式</w:t>
      </w:r>
    </w:p>
    <w:p w14:paraId="10227E8C">
      <w:pPr>
        <w:pStyle w:val="10"/>
        <w:keepNext w:val="0"/>
        <w:keepLines w:val="0"/>
        <w:pageBreakBefore w:val="0"/>
        <w:widowControl w:val="0"/>
        <w:tabs>
          <w:tab w:val="left" w:pos="312"/>
        </w:tabs>
        <w:kinsoku/>
        <w:wordWrap/>
        <w:overflowPunct/>
        <w:topLinePunct w:val="0"/>
        <w:autoSpaceDE/>
        <w:autoSpaceDN/>
        <w:bidi w:val="0"/>
        <w:snapToGrid w:val="0"/>
        <w:spacing w:line="480" w:lineRule="exact"/>
        <w:ind w:leftChars="0" w:firstLine="480" w:firstLineChars="200"/>
        <w:jc w:val="both"/>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4.1 合同总价款：人民币________元（大写：________元整）。此价格为固定包干总价，含树木移植费、运输费、人工费、材料费、机械设备费、</w:t>
      </w:r>
      <w:r>
        <w:rPr>
          <w:rFonts w:hint="eastAsia" w:ascii="仿宋" w:hAnsi="仿宋" w:eastAsia="仿宋" w:cs="仿宋"/>
          <w:bCs/>
          <w:color w:val="auto"/>
          <w:sz w:val="24"/>
          <w:szCs w:val="24"/>
          <w:highlight w:val="none"/>
          <w:lang w:val="en-US" w:eastAsia="zh-CN"/>
        </w:rPr>
        <w:t>栽植场地处置费、</w:t>
      </w:r>
      <w:r>
        <w:rPr>
          <w:rFonts w:hint="eastAsia" w:ascii="仿宋" w:hAnsi="仿宋" w:eastAsia="仿宋" w:cs="仿宋"/>
          <w:b w:val="0"/>
          <w:bCs w:val="0"/>
          <w:color w:val="auto"/>
          <w:kern w:val="0"/>
          <w:sz w:val="24"/>
          <w:szCs w:val="24"/>
          <w:highlight w:val="none"/>
          <w:lang w:val="en-US" w:eastAsia="zh-CN" w:bidi="ar-SA"/>
        </w:rPr>
        <w:t>安全文明施工费、行政审批费、养护费、补种费、保险费、税费及其他全部相关费用。合同签订后不因任何因素调整（甲方书面确认的工程变更除外）。</w:t>
      </w:r>
    </w:p>
    <w:p w14:paraId="693822CA">
      <w:pPr>
        <w:keepNext w:val="0"/>
        <w:keepLines w:val="0"/>
        <w:pageBreakBefore w:val="0"/>
        <w:widowControl w:val="0"/>
        <w:kinsoku/>
        <w:wordWrap/>
        <w:overflowPunct/>
        <w:topLinePunct w:val="0"/>
        <w:autoSpaceDE/>
        <w:autoSpaceDN/>
        <w:bidi w:val="0"/>
        <w:adjustRightInd/>
        <w:snapToGrid/>
        <w:spacing w:line="480" w:lineRule="exact"/>
        <w:ind w:leftChars="0" w:firstLine="480" w:firstLineChars="200"/>
        <w:jc w:val="both"/>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4.2 支付方式：乙方树木移植完成并经甲方验收合格之日起30个工作日内，甲方向乙方支付合同总价款。</w:t>
      </w:r>
    </w:p>
    <w:p w14:paraId="38A7710D">
      <w:pPr>
        <w:keepNext w:val="0"/>
        <w:keepLines w:val="0"/>
        <w:pageBreakBefore w:val="0"/>
        <w:widowControl w:val="0"/>
        <w:kinsoku/>
        <w:wordWrap/>
        <w:overflowPunct/>
        <w:topLinePunct w:val="0"/>
        <w:autoSpaceDE/>
        <w:autoSpaceDN/>
        <w:bidi w:val="0"/>
        <w:adjustRightInd/>
        <w:snapToGrid/>
        <w:spacing w:line="480" w:lineRule="exact"/>
        <w:ind w:leftChars="0" w:firstLine="480" w:firstLineChars="200"/>
        <w:jc w:val="both"/>
        <w:textAlignment w:val="auto"/>
        <w:rPr>
          <w:rFonts w:hint="default"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 xml:space="preserve">4.3 </w:t>
      </w:r>
      <w:r>
        <w:rPr>
          <w:rFonts w:hint="eastAsia" w:ascii="仿宋" w:hAnsi="仿宋" w:eastAsia="仿宋" w:cs="仿宋"/>
          <w:b w:val="0"/>
          <w:bCs w:val="0"/>
          <w:color w:val="auto"/>
          <w:sz w:val="24"/>
          <w:szCs w:val="24"/>
          <w:highlight w:val="none"/>
          <w:lang w:val="en-US" w:eastAsia="zh-CN"/>
        </w:rPr>
        <w:t xml:space="preserve"> </w:t>
      </w:r>
      <w:r>
        <w:rPr>
          <w:rFonts w:hint="eastAsia" w:ascii="仿宋" w:hAnsi="仿宋" w:eastAsia="仿宋" w:cs="仿宋"/>
          <w:b w:val="0"/>
          <w:bCs w:val="0"/>
          <w:color w:val="auto"/>
          <w:sz w:val="24"/>
          <w:szCs w:val="24"/>
          <w:highlight w:val="none"/>
        </w:rPr>
        <w:t>甲方通过银行转账方式向乙方指定银行账户支付款项。乙方指定收款银行账户的开户名：</w:t>
      </w:r>
      <w:r>
        <w:rPr>
          <w:rFonts w:hint="eastAsia" w:ascii="仿宋" w:hAnsi="仿宋" w:eastAsia="仿宋" w:cs="仿宋"/>
          <w:b w:val="0"/>
          <w:bCs w:val="0"/>
          <w:color w:val="auto"/>
          <w:sz w:val="24"/>
          <w:szCs w:val="24"/>
          <w:highlight w:val="none"/>
          <w:u w:val="single"/>
        </w:rPr>
        <w:t xml:space="preserve">           </w:t>
      </w:r>
      <w:r>
        <w:rPr>
          <w:rFonts w:hint="eastAsia" w:ascii="仿宋" w:hAnsi="仿宋" w:eastAsia="仿宋" w:cs="仿宋"/>
          <w:b w:val="0"/>
          <w:bCs w:val="0"/>
          <w:color w:val="auto"/>
          <w:sz w:val="24"/>
          <w:szCs w:val="24"/>
          <w:highlight w:val="none"/>
          <w:u w:val="single"/>
          <w:lang w:val="en-US" w:eastAsia="zh-CN"/>
        </w:rPr>
        <w:t xml:space="preserve"> </w:t>
      </w:r>
      <w:r>
        <w:rPr>
          <w:rFonts w:hint="eastAsia" w:ascii="仿宋" w:hAnsi="仿宋" w:eastAsia="仿宋" w:cs="仿宋"/>
          <w:b w:val="0"/>
          <w:bCs w:val="0"/>
          <w:color w:val="auto"/>
          <w:sz w:val="24"/>
          <w:szCs w:val="24"/>
          <w:highlight w:val="none"/>
          <w:u w:val="single"/>
        </w:rPr>
        <w:t xml:space="preserve">        </w:t>
      </w:r>
      <w:r>
        <w:rPr>
          <w:rFonts w:hint="eastAsia" w:ascii="仿宋" w:hAnsi="仿宋" w:eastAsia="仿宋" w:cs="仿宋"/>
          <w:b w:val="0"/>
          <w:bCs w:val="0"/>
          <w:color w:val="auto"/>
          <w:sz w:val="24"/>
          <w:szCs w:val="24"/>
          <w:highlight w:val="none"/>
        </w:rPr>
        <w:t>；开户银行：</w:t>
      </w:r>
      <w:r>
        <w:rPr>
          <w:rFonts w:hint="eastAsia" w:ascii="仿宋" w:hAnsi="仿宋" w:eastAsia="仿宋" w:cs="仿宋"/>
          <w:b w:val="0"/>
          <w:bCs w:val="0"/>
          <w:color w:val="auto"/>
          <w:sz w:val="24"/>
          <w:szCs w:val="24"/>
          <w:highlight w:val="none"/>
          <w:u w:val="single"/>
        </w:rPr>
        <w:t xml:space="preserve"> </w:t>
      </w:r>
      <w:r>
        <w:rPr>
          <w:rFonts w:hint="eastAsia" w:ascii="仿宋" w:hAnsi="仿宋" w:eastAsia="仿宋" w:cs="仿宋"/>
          <w:b w:val="0"/>
          <w:bCs w:val="0"/>
          <w:color w:val="auto"/>
          <w:sz w:val="24"/>
          <w:szCs w:val="24"/>
          <w:highlight w:val="none"/>
          <w:u w:val="single"/>
          <w:lang w:val="en-US" w:eastAsia="zh-CN"/>
        </w:rPr>
        <w:t xml:space="preserve">  </w:t>
      </w:r>
      <w:r>
        <w:rPr>
          <w:rFonts w:hint="eastAsia" w:ascii="仿宋" w:hAnsi="仿宋" w:eastAsia="仿宋" w:cs="仿宋"/>
          <w:b w:val="0"/>
          <w:bCs w:val="0"/>
          <w:color w:val="auto"/>
          <w:sz w:val="24"/>
          <w:szCs w:val="24"/>
          <w:highlight w:val="none"/>
          <w:u w:val="single"/>
        </w:rPr>
        <w:t xml:space="preserve">  </w:t>
      </w:r>
      <w:r>
        <w:rPr>
          <w:rFonts w:hint="eastAsia" w:ascii="仿宋" w:hAnsi="仿宋" w:eastAsia="仿宋" w:cs="仿宋"/>
          <w:b w:val="0"/>
          <w:bCs w:val="0"/>
          <w:color w:val="auto"/>
          <w:sz w:val="24"/>
          <w:szCs w:val="24"/>
          <w:highlight w:val="none"/>
          <w:u w:val="single"/>
          <w:lang w:val="en-US" w:eastAsia="zh-CN"/>
        </w:rPr>
        <w:t xml:space="preserve">   </w:t>
      </w:r>
      <w:r>
        <w:rPr>
          <w:rFonts w:hint="eastAsia" w:ascii="仿宋" w:hAnsi="仿宋" w:eastAsia="仿宋" w:cs="仿宋"/>
          <w:b w:val="0"/>
          <w:bCs w:val="0"/>
          <w:color w:val="auto"/>
          <w:sz w:val="24"/>
          <w:szCs w:val="24"/>
          <w:highlight w:val="none"/>
          <w:u w:val="single"/>
        </w:rPr>
        <w:t xml:space="preserve">   </w:t>
      </w:r>
      <w:r>
        <w:rPr>
          <w:rFonts w:hint="eastAsia" w:ascii="仿宋" w:hAnsi="仿宋" w:eastAsia="仿宋" w:cs="仿宋"/>
          <w:b w:val="0"/>
          <w:bCs w:val="0"/>
          <w:color w:val="auto"/>
          <w:sz w:val="24"/>
          <w:szCs w:val="24"/>
          <w:highlight w:val="none"/>
          <w:u w:val="single"/>
          <w:lang w:val="en-US" w:eastAsia="zh-CN"/>
        </w:rPr>
        <w:t xml:space="preserve">  </w:t>
      </w:r>
      <w:r>
        <w:rPr>
          <w:rFonts w:hint="eastAsia" w:ascii="仿宋" w:hAnsi="仿宋" w:eastAsia="仿宋" w:cs="仿宋"/>
          <w:b w:val="0"/>
          <w:bCs w:val="0"/>
          <w:color w:val="auto"/>
          <w:sz w:val="24"/>
          <w:szCs w:val="24"/>
          <w:highlight w:val="none"/>
          <w:u w:val="single"/>
        </w:rPr>
        <w:t xml:space="preserve">      </w:t>
      </w:r>
      <w:r>
        <w:rPr>
          <w:rFonts w:hint="eastAsia" w:ascii="仿宋" w:hAnsi="仿宋" w:eastAsia="仿宋" w:cs="仿宋"/>
          <w:b w:val="0"/>
          <w:bCs w:val="0"/>
          <w:color w:val="auto"/>
          <w:sz w:val="24"/>
          <w:szCs w:val="24"/>
          <w:highlight w:val="none"/>
        </w:rPr>
        <w:t>；账号：</w:t>
      </w:r>
      <w:r>
        <w:rPr>
          <w:rFonts w:hint="eastAsia" w:ascii="仿宋" w:hAnsi="仿宋" w:eastAsia="仿宋" w:cs="仿宋"/>
          <w:b w:val="0"/>
          <w:bCs w:val="0"/>
          <w:color w:val="auto"/>
          <w:sz w:val="24"/>
          <w:szCs w:val="24"/>
          <w:highlight w:val="none"/>
          <w:u w:val="single"/>
        </w:rPr>
        <w:t xml:space="preserve">           </w:t>
      </w:r>
      <w:r>
        <w:rPr>
          <w:rFonts w:hint="eastAsia" w:ascii="仿宋" w:hAnsi="仿宋" w:eastAsia="仿宋" w:cs="仿宋"/>
          <w:b w:val="0"/>
          <w:bCs w:val="0"/>
          <w:color w:val="auto"/>
          <w:sz w:val="24"/>
          <w:szCs w:val="24"/>
          <w:highlight w:val="none"/>
          <w:u w:val="single"/>
          <w:lang w:val="en-US" w:eastAsia="zh-CN"/>
        </w:rPr>
        <w:t xml:space="preserve">  </w:t>
      </w:r>
      <w:r>
        <w:rPr>
          <w:rFonts w:hint="eastAsia" w:ascii="仿宋" w:hAnsi="仿宋" w:eastAsia="仿宋" w:cs="仿宋"/>
          <w:b w:val="0"/>
          <w:bCs w:val="0"/>
          <w:color w:val="auto"/>
          <w:sz w:val="24"/>
          <w:szCs w:val="24"/>
          <w:highlight w:val="none"/>
          <w:u w:val="single"/>
        </w:rPr>
        <w:t xml:space="preserve">           </w:t>
      </w:r>
      <w:r>
        <w:rPr>
          <w:rFonts w:hint="eastAsia" w:ascii="仿宋" w:hAnsi="仿宋" w:eastAsia="仿宋" w:cs="仿宋"/>
          <w:b w:val="0"/>
          <w:bCs w:val="0"/>
          <w:color w:val="auto"/>
          <w:sz w:val="24"/>
          <w:szCs w:val="24"/>
          <w:highlight w:val="none"/>
        </w:rPr>
        <w:t>。</w:t>
      </w:r>
    </w:p>
    <w:p w14:paraId="46C15E8F">
      <w:pPr>
        <w:keepNext w:val="0"/>
        <w:keepLines w:val="0"/>
        <w:pageBreakBefore w:val="0"/>
        <w:widowControl w:val="0"/>
        <w:kinsoku/>
        <w:wordWrap/>
        <w:overflowPunct/>
        <w:topLinePunct w:val="0"/>
        <w:autoSpaceDE/>
        <w:autoSpaceDN/>
        <w:bidi w:val="0"/>
        <w:adjustRightInd/>
        <w:snapToGrid/>
        <w:spacing w:line="480" w:lineRule="exact"/>
        <w:ind w:leftChars="0" w:firstLine="480" w:firstLineChars="200"/>
        <w:jc w:val="both"/>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4.4 乙方应在甲方付款前，向甲方提供以乙方名义开具的价税合计金额与本合同总价款等额的增值税普通发票。如乙方未按前述约定及时提供合规发票，甲方有权拒绝付款且不视为逾期付款，由此产生的责任均由乙方自行承担。</w:t>
      </w:r>
    </w:p>
    <w:p w14:paraId="01198094">
      <w:pPr>
        <w:pStyle w:val="12"/>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firstLine="482" w:firstLineChars="200"/>
        <w:jc w:val="both"/>
        <w:textAlignment w:val="auto"/>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第五条 甲方、乙方权利义务</w:t>
      </w:r>
    </w:p>
    <w:p w14:paraId="4B3A8D69">
      <w:pPr>
        <w:keepNext w:val="0"/>
        <w:keepLines w:val="0"/>
        <w:pageBreakBefore w:val="0"/>
        <w:widowControl w:val="0"/>
        <w:kinsoku/>
        <w:wordWrap/>
        <w:overflowPunct/>
        <w:topLinePunct w:val="0"/>
        <w:autoSpaceDE/>
        <w:autoSpaceDN/>
        <w:bidi w:val="0"/>
        <w:adjustRightInd/>
        <w:snapToGrid/>
        <w:spacing w:line="480" w:lineRule="exact"/>
        <w:ind w:leftChars="0" w:firstLine="482" w:firstLineChars="200"/>
        <w:jc w:val="both"/>
        <w:textAlignment w:val="auto"/>
        <w:rPr>
          <w:rFonts w:hint="eastAsia" w:ascii="仿宋" w:hAnsi="仿宋" w:eastAsia="仿宋" w:cs="仿宋"/>
          <w:b/>
          <w:bCs/>
          <w:color w:val="auto"/>
          <w:kern w:val="0"/>
          <w:sz w:val="24"/>
          <w:szCs w:val="24"/>
          <w:highlight w:val="none"/>
          <w:lang w:val="en-US" w:eastAsia="zh-CN" w:bidi="ar-SA"/>
        </w:rPr>
      </w:pPr>
      <w:r>
        <w:rPr>
          <w:rFonts w:hint="eastAsia" w:ascii="仿宋" w:hAnsi="仿宋" w:eastAsia="仿宋" w:cs="仿宋"/>
          <w:b/>
          <w:bCs/>
          <w:color w:val="auto"/>
          <w:kern w:val="0"/>
          <w:sz w:val="24"/>
          <w:szCs w:val="24"/>
          <w:highlight w:val="none"/>
          <w:lang w:val="en-US" w:eastAsia="zh-CN" w:bidi="ar-SA"/>
        </w:rPr>
        <w:t>5.1甲方</w:t>
      </w:r>
      <w:r>
        <w:rPr>
          <w:rFonts w:hint="eastAsia" w:ascii="仿宋" w:hAnsi="仿宋" w:eastAsia="仿宋" w:cs="仿宋"/>
          <w:b/>
          <w:bCs/>
          <w:color w:val="auto"/>
          <w:kern w:val="2"/>
          <w:sz w:val="24"/>
          <w:szCs w:val="24"/>
          <w:highlight w:val="none"/>
          <w:lang w:val="en-US" w:eastAsia="zh-CN" w:bidi="ar-SA"/>
        </w:rPr>
        <w:t>权利义务</w:t>
      </w:r>
    </w:p>
    <w:p w14:paraId="6C509B79">
      <w:pPr>
        <w:keepNext w:val="0"/>
        <w:keepLines w:val="0"/>
        <w:pageBreakBefore w:val="0"/>
        <w:widowControl w:val="0"/>
        <w:kinsoku/>
        <w:wordWrap/>
        <w:overflowPunct/>
        <w:topLinePunct w:val="0"/>
        <w:autoSpaceDE/>
        <w:autoSpaceDN/>
        <w:bidi w:val="0"/>
        <w:adjustRightInd/>
        <w:snapToGrid/>
        <w:spacing w:line="480" w:lineRule="exact"/>
        <w:ind w:leftChars="0" w:firstLine="480" w:firstLineChars="200"/>
        <w:jc w:val="both"/>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5.1.1 有权要求乙方按照本合同约定的标准和要求进行树木移植服务。</w:t>
      </w:r>
    </w:p>
    <w:p w14:paraId="6FA1A8B5">
      <w:pPr>
        <w:keepNext w:val="0"/>
        <w:keepLines w:val="0"/>
        <w:pageBreakBefore w:val="0"/>
        <w:widowControl w:val="0"/>
        <w:kinsoku/>
        <w:wordWrap/>
        <w:overflowPunct/>
        <w:topLinePunct w:val="0"/>
        <w:autoSpaceDE/>
        <w:autoSpaceDN/>
        <w:bidi w:val="0"/>
        <w:adjustRightInd/>
        <w:snapToGrid/>
        <w:spacing w:line="480" w:lineRule="exact"/>
        <w:ind w:leftChars="0" w:firstLine="480" w:firstLineChars="200"/>
        <w:jc w:val="both"/>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5.1.2 有权对乙方的服务过程进行全过程监督检查，提出整改意见和要求，乙方应在接到书面通知后24小时内予以整改落实。</w:t>
      </w:r>
    </w:p>
    <w:p w14:paraId="6E8688EB">
      <w:pPr>
        <w:keepNext w:val="0"/>
        <w:keepLines w:val="0"/>
        <w:pageBreakBefore w:val="0"/>
        <w:widowControl w:val="0"/>
        <w:kinsoku/>
        <w:wordWrap/>
        <w:overflowPunct/>
        <w:topLinePunct w:val="0"/>
        <w:autoSpaceDE/>
        <w:autoSpaceDN/>
        <w:bidi w:val="0"/>
        <w:adjustRightInd/>
        <w:snapToGrid/>
        <w:spacing w:line="480" w:lineRule="exact"/>
        <w:ind w:leftChars="0" w:firstLine="480" w:firstLineChars="200"/>
        <w:jc w:val="both"/>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5.1.3 在乙方未按照本合同约定履行义务时，有权要求乙方承担违约责任、采取补救措施，并赔偿由此给甲方造成的全部损失（包括但不限于直接损失、间接损失及甲方为实现权利支出的合理费用）。</w:t>
      </w:r>
    </w:p>
    <w:p w14:paraId="6AE167D9">
      <w:pPr>
        <w:keepNext w:val="0"/>
        <w:keepLines w:val="0"/>
        <w:pageBreakBefore w:val="0"/>
        <w:widowControl w:val="0"/>
        <w:kinsoku/>
        <w:wordWrap/>
        <w:overflowPunct/>
        <w:topLinePunct w:val="0"/>
        <w:autoSpaceDE/>
        <w:autoSpaceDN/>
        <w:bidi w:val="0"/>
        <w:adjustRightInd/>
        <w:snapToGrid/>
        <w:spacing w:line="480" w:lineRule="exact"/>
        <w:ind w:leftChars="0" w:firstLine="480" w:firstLineChars="200"/>
        <w:jc w:val="both"/>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5.1.4 向乙方提供准确、详细的树木移植相关信息。</w:t>
      </w:r>
    </w:p>
    <w:p w14:paraId="0C6B9FBD">
      <w:pPr>
        <w:keepNext w:val="0"/>
        <w:keepLines w:val="0"/>
        <w:pageBreakBefore w:val="0"/>
        <w:widowControl w:val="0"/>
        <w:kinsoku/>
        <w:wordWrap/>
        <w:overflowPunct/>
        <w:topLinePunct w:val="0"/>
        <w:autoSpaceDE/>
        <w:autoSpaceDN/>
        <w:bidi w:val="0"/>
        <w:adjustRightInd/>
        <w:snapToGrid/>
        <w:spacing w:line="480" w:lineRule="exact"/>
        <w:ind w:leftChars="0" w:firstLine="480" w:firstLineChars="200"/>
        <w:jc w:val="both"/>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5.1.5 在乙方无违约行为且已履行全部付款前置条件的前提下，按照本合同约定的时间和方式向乙方支付服务费用。</w:t>
      </w:r>
    </w:p>
    <w:p w14:paraId="7A8397CF">
      <w:pPr>
        <w:keepNext w:val="0"/>
        <w:keepLines w:val="0"/>
        <w:pageBreakBefore w:val="0"/>
        <w:widowControl w:val="0"/>
        <w:kinsoku/>
        <w:wordWrap/>
        <w:overflowPunct/>
        <w:topLinePunct w:val="0"/>
        <w:autoSpaceDE/>
        <w:autoSpaceDN/>
        <w:bidi w:val="0"/>
        <w:adjustRightInd/>
        <w:snapToGrid/>
        <w:spacing w:line="480" w:lineRule="exact"/>
        <w:ind w:leftChars="0" w:firstLine="482" w:firstLineChars="200"/>
        <w:jc w:val="both"/>
        <w:textAlignment w:val="auto"/>
        <w:rPr>
          <w:rFonts w:hint="eastAsia" w:ascii="仿宋" w:hAnsi="仿宋" w:eastAsia="仿宋" w:cs="仿宋"/>
          <w:b/>
          <w:bCs/>
          <w:color w:val="auto"/>
          <w:kern w:val="0"/>
          <w:sz w:val="24"/>
          <w:szCs w:val="24"/>
          <w:highlight w:val="none"/>
          <w:lang w:val="en-US" w:eastAsia="zh-CN" w:bidi="ar-SA"/>
        </w:rPr>
      </w:pPr>
      <w:r>
        <w:rPr>
          <w:rFonts w:hint="eastAsia" w:ascii="仿宋" w:hAnsi="仿宋" w:eastAsia="仿宋" w:cs="仿宋"/>
          <w:b/>
          <w:bCs/>
          <w:color w:val="auto"/>
          <w:kern w:val="0"/>
          <w:sz w:val="24"/>
          <w:szCs w:val="24"/>
          <w:highlight w:val="none"/>
          <w:lang w:val="en-US" w:eastAsia="zh-CN" w:bidi="ar-SA"/>
        </w:rPr>
        <w:t>5.2乙方</w:t>
      </w:r>
      <w:r>
        <w:rPr>
          <w:rFonts w:hint="eastAsia" w:ascii="仿宋" w:hAnsi="仿宋" w:eastAsia="仿宋" w:cs="仿宋"/>
          <w:b/>
          <w:bCs/>
          <w:color w:val="auto"/>
          <w:kern w:val="2"/>
          <w:sz w:val="24"/>
          <w:szCs w:val="24"/>
          <w:highlight w:val="none"/>
          <w:lang w:val="en-US" w:eastAsia="zh-CN" w:bidi="ar-SA"/>
        </w:rPr>
        <w:t>权利义务</w:t>
      </w:r>
    </w:p>
    <w:p w14:paraId="213F1EC1">
      <w:pPr>
        <w:keepNext w:val="0"/>
        <w:keepLines w:val="0"/>
        <w:pageBreakBefore w:val="0"/>
        <w:widowControl w:val="0"/>
        <w:kinsoku/>
        <w:wordWrap/>
        <w:overflowPunct/>
        <w:topLinePunct w:val="0"/>
        <w:autoSpaceDE/>
        <w:autoSpaceDN/>
        <w:bidi w:val="0"/>
        <w:adjustRightInd/>
        <w:snapToGrid/>
        <w:spacing w:line="480" w:lineRule="exact"/>
        <w:ind w:leftChars="0" w:firstLine="480" w:firstLineChars="200"/>
        <w:jc w:val="both"/>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5.2.1在按约履行全部合同义务、通过验收并开具合规发票的前提下，有权要求甲方按照本合同约定支付服务费用。</w:t>
      </w:r>
    </w:p>
    <w:p w14:paraId="3A6F79D6">
      <w:pPr>
        <w:keepNext w:val="0"/>
        <w:keepLines w:val="0"/>
        <w:pageBreakBefore w:val="0"/>
        <w:widowControl w:val="0"/>
        <w:kinsoku/>
        <w:wordWrap/>
        <w:overflowPunct/>
        <w:topLinePunct w:val="0"/>
        <w:autoSpaceDE/>
        <w:autoSpaceDN/>
        <w:bidi w:val="0"/>
        <w:spacing w:line="480" w:lineRule="exact"/>
        <w:ind w:leftChars="0" w:firstLine="480" w:firstLineChars="200"/>
        <w:jc w:val="both"/>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bidi="ar-SA"/>
        </w:rPr>
        <w:t>5.2.2具备从事树木移植服务所需的资质和专业能力，并向甲方提供相关证明文件；负责办理相关</w:t>
      </w:r>
      <w:r>
        <w:rPr>
          <w:rFonts w:hint="eastAsia" w:ascii="仿宋" w:hAnsi="仿宋" w:eastAsia="仿宋" w:cs="仿宋"/>
          <w:b w:val="0"/>
          <w:bCs w:val="0"/>
          <w:color w:val="auto"/>
          <w:sz w:val="24"/>
          <w:szCs w:val="24"/>
          <w:highlight w:val="none"/>
          <w:lang w:val="en-US" w:eastAsia="zh-CN"/>
        </w:rPr>
        <w:t>行政许可手续并承担由此产生的费用。</w:t>
      </w:r>
    </w:p>
    <w:p w14:paraId="42D16842">
      <w:pPr>
        <w:keepNext w:val="0"/>
        <w:keepLines w:val="0"/>
        <w:pageBreakBefore w:val="0"/>
        <w:widowControl w:val="0"/>
        <w:kinsoku/>
        <w:wordWrap/>
        <w:overflowPunct/>
        <w:topLinePunct w:val="0"/>
        <w:autoSpaceDE/>
        <w:autoSpaceDN/>
        <w:bidi w:val="0"/>
        <w:adjustRightInd/>
        <w:snapToGrid/>
        <w:spacing w:line="480" w:lineRule="exact"/>
        <w:ind w:leftChars="0" w:firstLine="480" w:firstLineChars="200"/>
        <w:jc w:val="both"/>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5.2.3 按照本合同约定的标准和要求，组织专业人员进行树木移植服务，确保服务质量。</w:t>
      </w:r>
    </w:p>
    <w:p w14:paraId="24DA4EE4">
      <w:pPr>
        <w:pStyle w:val="10"/>
        <w:keepNext w:val="0"/>
        <w:keepLines w:val="0"/>
        <w:pageBreakBefore w:val="0"/>
        <w:widowControl w:val="0"/>
        <w:kinsoku/>
        <w:wordWrap/>
        <w:overflowPunct/>
        <w:topLinePunct w:val="0"/>
        <w:autoSpaceDE/>
        <w:autoSpaceDN/>
        <w:bidi w:val="0"/>
        <w:adjustRightInd/>
        <w:snapToGrid/>
        <w:spacing w:line="480" w:lineRule="exact"/>
        <w:ind w:leftChars="0" w:firstLine="480" w:firstLineChars="200"/>
        <w:jc w:val="both"/>
        <w:textAlignment w:val="auto"/>
        <w:rPr>
          <w:rFonts w:hint="eastAsia" w:ascii="仿宋" w:hAnsi="仿宋" w:eastAsia="仿宋" w:cs="仿宋"/>
          <w:b w:val="0"/>
          <w:bCs w:val="0"/>
          <w:strike/>
          <w:dstrike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5.2.4 乙方应为本项目全体施工人员在施工期间按规范要求购买未购买保险的人员不得进入施工现场。</w:t>
      </w:r>
    </w:p>
    <w:p w14:paraId="17DC54A0">
      <w:pPr>
        <w:keepNext w:val="0"/>
        <w:keepLines w:val="0"/>
        <w:pageBreakBefore w:val="0"/>
        <w:widowControl w:val="0"/>
        <w:kinsoku/>
        <w:wordWrap/>
        <w:overflowPunct/>
        <w:topLinePunct w:val="0"/>
        <w:autoSpaceDE/>
        <w:autoSpaceDN/>
        <w:bidi w:val="0"/>
        <w:adjustRightInd/>
        <w:snapToGrid/>
        <w:spacing w:line="480" w:lineRule="exact"/>
        <w:ind w:leftChars="0" w:firstLine="480" w:firstLineChars="200"/>
        <w:jc w:val="both"/>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5.2.5 在树木移植过程中，严格遵守国家法律法规、安全生产规范及行业技术标准，制定安全施工方案，采取全面的安全防护措施，确保施工安全。因乙方原因造成的安全事故，由乙方承担全部责任及费用。</w:t>
      </w:r>
    </w:p>
    <w:p w14:paraId="7DE4780F">
      <w:pPr>
        <w:keepNext w:val="0"/>
        <w:keepLines w:val="0"/>
        <w:pageBreakBefore w:val="0"/>
        <w:widowControl w:val="0"/>
        <w:kinsoku/>
        <w:wordWrap/>
        <w:overflowPunct/>
        <w:topLinePunct w:val="0"/>
        <w:autoSpaceDE/>
        <w:autoSpaceDN/>
        <w:bidi w:val="0"/>
        <w:adjustRightInd/>
        <w:snapToGrid/>
        <w:spacing w:line="480" w:lineRule="exact"/>
        <w:ind w:leftChars="0" w:firstLine="480" w:firstLineChars="200"/>
        <w:jc w:val="both"/>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5.2.6 本合同养护期不少于一年，自甲方验收合格之日起算，因乙方养护不当导致树木死亡的，乙方应在7日内无偿补种相同品种、相同规格（胸径偏差不超过±5%）的树木，并承担补种所需的全部费用。补种后重新计算养护期。</w:t>
      </w:r>
    </w:p>
    <w:p w14:paraId="57CC8542">
      <w:pPr>
        <w:pStyle w:val="12"/>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firstLine="482" w:firstLineChars="200"/>
        <w:jc w:val="both"/>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第六条 安全责任</w:t>
      </w:r>
    </w:p>
    <w:p w14:paraId="1B3EAA5E">
      <w:pPr>
        <w:keepNext w:val="0"/>
        <w:keepLines w:val="0"/>
        <w:pageBreakBefore w:val="0"/>
        <w:widowControl w:val="0"/>
        <w:kinsoku/>
        <w:wordWrap/>
        <w:overflowPunct/>
        <w:topLinePunct w:val="0"/>
        <w:autoSpaceDE/>
        <w:autoSpaceDN/>
        <w:bidi w:val="0"/>
        <w:adjustRightInd/>
        <w:snapToGrid/>
        <w:spacing w:line="480" w:lineRule="exact"/>
        <w:ind w:leftChars="0" w:firstLine="480" w:firstLineChars="200"/>
        <w:jc w:val="both"/>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6.1 乙方在施工过程中发生的一切安全责任事故（包括但不限于人员伤亡、财产损失等），由乙方全权负责处理并承担全部法律责任及经济赔偿责任。如因此给甲方造成损失或甲方被追偿的，乙方应全额赔偿甲方损失，并承担甲方为此支出的全部费用（含律师费、诉讼费、仲裁费、鉴定费、差旅费等）。甲方因乙方施工行为被第三方索赔的，乙方应无条件承担全部赔偿责任，并负责处理相关纠纷直至终结。</w:t>
      </w:r>
    </w:p>
    <w:p w14:paraId="4797BB94">
      <w:pPr>
        <w:keepNext w:val="0"/>
        <w:keepLines w:val="0"/>
        <w:pageBreakBefore w:val="0"/>
        <w:widowControl w:val="0"/>
        <w:kinsoku/>
        <w:wordWrap/>
        <w:overflowPunct/>
        <w:topLinePunct w:val="0"/>
        <w:autoSpaceDE/>
        <w:autoSpaceDN/>
        <w:bidi w:val="0"/>
        <w:adjustRightInd/>
        <w:snapToGrid/>
        <w:spacing w:line="480" w:lineRule="exact"/>
        <w:ind w:leftChars="0" w:firstLine="480" w:firstLineChars="200"/>
        <w:jc w:val="both"/>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6.2 乙方在施工前须向甲方及相关部门充分了解施工区域内地下管线及设施分布，制定保护性施工方案。施工中不得损坏现有市政管网、电力设施、通信线路及其他管线设施，造成损坏的由乙方负责全额赔偿修复费用，并承担由此造成的全部间接损失。</w:t>
      </w:r>
    </w:p>
    <w:p w14:paraId="7F887BD9">
      <w:pPr>
        <w:keepNext w:val="0"/>
        <w:keepLines w:val="0"/>
        <w:pageBreakBefore w:val="0"/>
        <w:widowControl w:val="0"/>
        <w:kinsoku/>
        <w:wordWrap/>
        <w:overflowPunct/>
        <w:topLinePunct w:val="0"/>
        <w:autoSpaceDE/>
        <w:autoSpaceDN/>
        <w:bidi w:val="0"/>
        <w:adjustRightInd/>
        <w:snapToGrid/>
        <w:spacing w:line="480" w:lineRule="exact"/>
        <w:ind w:leftChars="0" w:firstLine="480" w:firstLineChars="200"/>
        <w:jc w:val="both"/>
        <w:textAlignment w:val="auto"/>
        <w:rPr>
          <w:rFonts w:hint="default"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6.3 如甲方因乙方服务等原因涉及纠纷、诉讼或被处以行政处罚，由乙方承担甲方因纠纷、诉讼、罚款等造成的全部经济损失。</w:t>
      </w:r>
    </w:p>
    <w:p w14:paraId="7D5E2CE4">
      <w:pPr>
        <w:pStyle w:val="12"/>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firstLine="482" w:firstLineChars="200"/>
        <w:jc w:val="both"/>
        <w:textAlignment w:val="auto"/>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第七条 廉洁条款</w:t>
      </w:r>
    </w:p>
    <w:p w14:paraId="21817E1C">
      <w:pPr>
        <w:keepNext w:val="0"/>
        <w:keepLines w:val="0"/>
        <w:pageBreakBefore w:val="0"/>
        <w:widowControl w:val="0"/>
        <w:kinsoku/>
        <w:wordWrap/>
        <w:overflowPunct/>
        <w:topLinePunct w:val="0"/>
        <w:autoSpaceDE/>
        <w:autoSpaceDN/>
        <w:bidi w:val="0"/>
        <w:adjustRightInd/>
        <w:snapToGrid/>
        <w:spacing w:line="480" w:lineRule="exact"/>
        <w:ind w:leftChars="0" w:firstLine="480" w:firstLineChars="200"/>
        <w:jc w:val="both"/>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7.1 乙方应严格遵守国家相关法律法规，涉及合同的有关业务活动必须坚持公开、公平、公正、诚信原则，不得为获取不正当利益，损害国家、集体和甲方利益。乙方须签署《廉洁承诺书》作为本合同附件，与合同具有同等法律效力。</w:t>
      </w:r>
    </w:p>
    <w:p w14:paraId="564D97BB">
      <w:pPr>
        <w:keepNext w:val="0"/>
        <w:keepLines w:val="0"/>
        <w:pageBreakBefore w:val="0"/>
        <w:widowControl w:val="0"/>
        <w:kinsoku/>
        <w:wordWrap/>
        <w:overflowPunct/>
        <w:topLinePunct w:val="0"/>
        <w:autoSpaceDE/>
        <w:autoSpaceDN/>
        <w:bidi w:val="0"/>
        <w:spacing w:line="480" w:lineRule="exact"/>
        <w:ind w:leftChars="0" w:firstLine="482" w:firstLineChars="200"/>
        <w:jc w:val="both"/>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bCs/>
          <w:color w:val="auto"/>
          <w:sz w:val="24"/>
          <w:szCs w:val="24"/>
          <w:highlight w:val="none"/>
          <w:u w:val="single"/>
          <w:lang w:val="en-US" w:eastAsia="zh-CN"/>
        </w:rPr>
        <w:t>7</w:t>
      </w:r>
      <w:r>
        <w:rPr>
          <w:rFonts w:hint="eastAsia" w:ascii="仿宋" w:hAnsi="仿宋" w:eastAsia="仿宋" w:cs="仿宋"/>
          <w:b/>
          <w:bCs/>
          <w:color w:val="auto"/>
          <w:sz w:val="24"/>
          <w:szCs w:val="24"/>
          <w:highlight w:val="none"/>
          <w:u w:val="single"/>
        </w:rPr>
        <w:t>.2 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634FDB02">
      <w:pPr>
        <w:pStyle w:val="12"/>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firstLine="482" w:firstLineChars="200"/>
        <w:jc w:val="both"/>
        <w:textAlignment w:val="auto"/>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第八条 通知与送达</w:t>
      </w:r>
    </w:p>
    <w:p w14:paraId="337C53EB">
      <w:pPr>
        <w:pStyle w:val="12"/>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firstLine="480" w:firstLineChars="200"/>
        <w:jc w:val="both"/>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lang w:val="en-US" w:eastAsia="zh-CN"/>
        </w:rPr>
        <w:t>8</w:t>
      </w:r>
      <w:r>
        <w:rPr>
          <w:rFonts w:hint="eastAsia" w:ascii="仿宋" w:hAnsi="仿宋" w:eastAsia="仿宋" w:cs="仿宋"/>
          <w:b w:val="0"/>
          <w:bCs w:val="0"/>
          <w:color w:val="auto"/>
          <w:sz w:val="24"/>
          <w:szCs w:val="24"/>
          <w:highlight w:val="none"/>
        </w:rPr>
        <w:t>.1 甲乙双方同意，与本合同有关的任何文书，应以书面方式按照本合同约定发送，书面方式包括手机短信、微信、书面函件、电子邮件、电子签章平台等形式。</w:t>
      </w:r>
    </w:p>
    <w:p w14:paraId="7CAC6DE5">
      <w:pPr>
        <w:keepNext w:val="0"/>
        <w:keepLines w:val="0"/>
        <w:pageBreakBefore w:val="0"/>
        <w:widowControl w:val="0"/>
        <w:kinsoku/>
        <w:wordWrap/>
        <w:overflowPunct/>
        <w:topLinePunct w:val="0"/>
        <w:autoSpaceDE/>
        <w:autoSpaceDN/>
        <w:bidi w:val="0"/>
        <w:spacing w:line="480" w:lineRule="exact"/>
        <w:ind w:leftChars="0" w:firstLine="480" w:firstLineChars="200"/>
        <w:jc w:val="both"/>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lang w:val="en-US" w:eastAsia="zh-CN"/>
        </w:rPr>
        <w:t>8</w:t>
      </w:r>
      <w:r>
        <w:rPr>
          <w:rFonts w:hint="eastAsia" w:ascii="仿宋" w:hAnsi="仿宋" w:eastAsia="仿宋" w:cs="仿宋"/>
          <w:b w:val="0"/>
          <w:bCs w:val="0"/>
          <w:color w:val="auto"/>
          <w:sz w:val="24"/>
          <w:szCs w:val="24"/>
          <w:highlight w:val="none"/>
        </w:rPr>
        <w:t>.2 双方确认的文书（包括未来可能发生的诉讼或仲裁活动中法院或仲裁机构的送达法律文书）送达地址：</w:t>
      </w:r>
    </w:p>
    <w:p w14:paraId="698FAFF0">
      <w:pPr>
        <w:pStyle w:val="10"/>
        <w:keepNext w:val="0"/>
        <w:keepLines w:val="0"/>
        <w:pageBreakBefore w:val="0"/>
        <w:widowControl w:val="0"/>
        <w:tabs>
          <w:tab w:val="left" w:pos="312"/>
        </w:tabs>
        <w:kinsoku/>
        <w:wordWrap/>
        <w:overflowPunct/>
        <w:topLinePunct w:val="0"/>
        <w:autoSpaceDE/>
        <w:autoSpaceDN/>
        <w:bidi w:val="0"/>
        <w:snapToGrid w:val="0"/>
        <w:spacing w:line="480" w:lineRule="exact"/>
        <w:ind w:leftChars="0" w:firstLine="480" w:firstLineChars="200"/>
        <w:jc w:val="both"/>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lang w:val="en-US" w:eastAsia="zh-CN"/>
        </w:rPr>
        <w:t>8</w:t>
      </w:r>
      <w:r>
        <w:rPr>
          <w:rFonts w:hint="eastAsia" w:ascii="仿宋" w:hAnsi="仿宋" w:eastAsia="仿宋" w:cs="仿宋"/>
          <w:b w:val="0"/>
          <w:bCs w:val="0"/>
          <w:color w:val="auto"/>
          <w:sz w:val="24"/>
          <w:szCs w:val="24"/>
          <w:highlight w:val="none"/>
        </w:rPr>
        <w:t>.2.1 甲方的联系地址：</w:t>
      </w:r>
      <w:r>
        <w:rPr>
          <w:rFonts w:hint="eastAsia" w:ascii="仿宋" w:hAnsi="仿宋" w:eastAsia="仿宋" w:cs="仿宋"/>
          <w:b w:val="0"/>
          <w:bCs w:val="0"/>
          <w:color w:val="auto"/>
          <w:sz w:val="24"/>
          <w:szCs w:val="24"/>
          <w:highlight w:val="none"/>
          <w:u w:val="single"/>
        </w:rPr>
        <w:t>娄底市娄星区长青中街51号娄底市中心医院建设管理科</w:t>
      </w:r>
      <w:r>
        <w:rPr>
          <w:rFonts w:hint="eastAsia" w:ascii="仿宋" w:hAnsi="仿宋" w:eastAsia="仿宋" w:cs="仿宋"/>
          <w:b w:val="0"/>
          <w:bCs w:val="0"/>
          <w:color w:val="auto"/>
          <w:sz w:val="24"/>
          <w:szCs w:val="24"/>
          <w:highlight w:val="none"/>
        </w:rPr>
        <w:t>，联系人：</w:t>
      </w:r>
      <w:r>
        <w:rPr>
          <w:rFonts w:hint="eastAsia" w:ascii="仿宋" w:hAnsi="仿宋" w:eastAsia="仿宋" w:cs="仿宋"/>
          <w:b w:val="0"/>
          <w:bCs w:val="0"/>
          <w:color w:val="auto"/>
          <w:sz w:val="24"/>
          <w:szCs w:val="24"/>
          <w:highlight w:val="none"/>
          <w:u w:val="single"/>
        </w:rPr>
        <w:t xml:space="preserve"> 聂东庚</w:t>
      </w:r>
      <w:r>
        <w:rPr>
          <w:rFonts w:hint="eastAsia" w:ascii="仿宋" w:hAnsi="仿宋" w:eastAsia="仿宋" w:cs="仿宋"/>
          <w:b w:val="0"/>
          <w:bCs w:val="0"/>
          <w:color w:val="auto"/>
          <w:sz w:val="24"/>
          <w:szCs w:val="24"/>
          <w:highlight w:val="none"/>
        </w:rPr>
        <w:t>，联系电话：</w:t>
      </w:r>
      <w:r>
        <w:rPr>
          <w:rFonts w:hint="eastAsia" w:ascii="仿宋" w:hAnsi="仿宋" w:eastAsia="仿宋" w:cs="仿宋"/>
          <w:b w:val="0"/>
          <w:bCs w:val="0"/>
          <w:color w:val="auto"/>
          <w:kern w:val="2"/>
          <w:sz w:val="24"/>
          <w:szCs w:val="24"/>
          <w:highlight w:val="none"/>
          <w:u w:val="single"/>
        </w:rPr>
        <w:t xml:space="preserve"> </w:t>
      </w:r>
      <w:r>
        <w:rPr>
          <w:rFonts w:hint="eastAsia" w:ascii="仿宋" w:hAnsi="仿宋" w:eastAsia="仿宋" w:cs="仿宋"/>
          <w:b w:val="0"/>
          <w:bCs w:val="0"/>
          <w:color w:val="auto"/>
          <w:sz w:val="24"/>
          <w:szCs w:val="24"/>
          <w:highlight w:val="none"/>
          <w:u w:val="single"/>
        </w:rPr>
        <w:t xml:space="preserve">13873869596 </w:t>
      </w:r>
      <w:r>
        <w:rPr>
          <w:rFonts w:hint="eastAsia" w:ascii="仿宋" w:hAnsi="仿宋" w:eastAsia="仿宋" w:cs="仿宋"/>
          <w:b w:val="0"/>
          <w:bCs w:val="0"/>
          <w:color w:val="auto"/>
          <w:sz w:val="24"/>
          <w:szCs w:val="24"/>
          <w:highlight w:val="none"/>
        </w:rPr>
        <w:t>，邮箱地址：</w:t>
      </w:r>
      <w:r>
        <w:rPr>
          <w:rFonts w:hint="eastAsia" w:ascii="仿宋" w:hAnsi="仿宋" w:eastAsia="仿宋" w:cs="仿宋"/>
          <w:b w:val="0"/>
          <w:bCs w:val="0"/>
          <w:color w:val="auto"/>
          <w:sz w:val="24"/>
          <w:szCs w:val="24"/>
          <w:highlight w:val="none"/>
          <w:u w:val="single"/>
        </w:rPr>
        <w:t>/</w:t>
      </w:r>
      <w:r>
        <w:rPr>
          <w:rFonts w:hint="eastAsia" w:ascii="仿宋" w:hAnsi="仿宋" w:eastAsia="仿宋" w:cs="仿宋"/>
          <w:b w:val="0"/>
          <w:bCs w:val="0"/>
          <w:color w:val="auto"/>
          <w:sz w:val="24"/>
          <w:szCs w:val="24"/>
          <w:highlight w:val="none"/>
        </w:rPr>
        <w:t>，或微信号：</w:t>
      </w:r>
      <w:r>
        <w:rPr>
          <w:rFonts w:hint="eastAsia" w:ascii="仿宋" w:hAnsi="仿宋" w:eastAsia="仿宋" w:cs="仿宋"/>
          <w:b w:val="0"/>
          <w:bCs w:val="0"/>
          <w:color w:val="auto"/>
          <w:sz w:val="24"/>
          <w:szCs w:val="24"/>
          <w:highlight w:val="none"/>
          <w:u w:val="single"/>
        </w:rPr>
        <w:t xml:space="preserve"> </w:t>
      </w:r>
      <w:r>
        <w:rPr>
          <w:rFonts w:hint="eastAsia" w:ascii="仿宋" w:hAnsi="仿宋" w:eastAsia="仿宋" w:cs="仿宋"/>
          <w:b w:val="0"/>
          <w:bCs w:val="0"/>
          <w:color w:val="auto"/>
          <w:kern w:val="2"/>
          <w:sz w:val="24"/>
          <w:szCs w:val="24"/>
          <w:highlight w:val="none"/>
          <w:u w:val="single"/>
        </w:rPr>
        <w:t>13873869596</w:t>
      </w:r>
      <w:r>
        <w:rPr>
          <w:rFonts w:hint="eastAsia" w:ascii="仿宋" w:hAnsi="仿宋" w:eastAsia="仿宋" w:cs="仿宋"/>
          <w:b w:val="0"/>
          <w:bCs w:val="0"/>
          <w:color w:val="auto"/>
          <w:kern w:val="2"/>
          <w:sz w:val="24"/>
          <w:szCs w:val="24"/>
          <w:highlight w:val="none"/>
          <w:u w:val="single"/>
          <w:lang w:val="en-US" w:eastAsia="zh-CN"/>
        </w:rPr>
        <w:t xml:space="preserve"> </w:t>
      </w:r>
      <w:r>
        <w:rPr>
          <w:rFonts w:hint="eastAsia" w:ascii="仿宋" w:hAnsi="仿宋" w:eastAsia="仿宋" w:cs="仿宋"/>
          <w:b w:val="0"/>
          <w:bCs w:val="0"/>
          <w:color w:val="auto"/>
          <w:sz w:val="24"/>
          <w:szCs w:val="24"/>
          <w:highlight w:val="none"/>
        </w:rPr>
        <w:t>。</w:t>
      </w:r>
    </w:p>
    <w:p w14:paraId="7D737A14">
      <w:pPr>
        <w:keepNext w:val="0"/>
        <w:keepLines w:val="0"/>
        <w:pageBreakBefore w:val="0"/>
        <w:widowControl w:val="0"/>
        <w:kinsoku/>
        <w:wordWrap/>
        <w:overflowPunct/>
        <w:topLinePunct w:val="0"/>
        <w:autoSpaceDE/>
        <w:autoSpaceDN/>
        <w:bidi w:val="0"/>
        <w:spacing w:line="480" w:lineRule="exact"/>
        <w:ind w:leftChars="0" w:firstLine="480" w:firstLineChars="200"/>
        <w:jc w:val="both"/>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lang w:val="en-US" w:eastAsia="zh-CN"/>
        </w:rPr>
        <w:t>8</w:t>
      </w:r>
      <w:r>
        <w:rPr>
          <w:rFonts w:hint="eastAsia" w:ascii="仿宋" w:hAnsi="仿宋" w:eastAsia="仿宋" w:cs="仿宋"/>
          <w:b w:val="0"/>
          <w:bCs w:val="0"/>
          <w:color w:val="auto"/>
          <w:sz w:val="24"/>
          <w:szCs w:val="24"/>
          <w:highlight w:val="none"/>
        </w:rPr>
        <w:t xml:space="preserve">.2.2 乙方的联系地址： </w:t>
      </w:r>
      <w:r>
        <w:rPr>
          <w:rFonts w:hint="eastAsia" w:ascii="仿宋" w:hAnsi="仿宋" w:eastAsia="仿宋" w:cs="仿宋"/>
          <w:b w:val="0"/>
          <w:bCs w:val="0"/>
          <w:color w:val="auto"/>
          <w:sz w:val="24"/>
          <w:szCs w:val="24"/>
          <w:highlight w:val="none"/>
          <w:u w:val="single"/>
        </w:rPr>
        <w:t xml:space="preserve">   </w:t>
      </w:r>
      <w:r>
        <w:rPr>
          <w:rFonts w:hint="eastAsia" w:ascii="仿宋" w:hAnsi="仿宋" w:eastAsia="仿宋" w:cs="仿宋"/>
          <w:b w:val="0"/>
          <w:bCs w:val="0"/>
          <w:color w:val="auto"/>
          <w:sz w:val="24"/>
          <w:szCs w:val="24"/>
          <w:highlight w:val="none"/>
          <w:u w:val="single"/>
          <w:lang w:val="en-US" w:eastAsia="zh-CN"/>
        </w:rPr>
        <w:t xml:space="preserve">                 </w:t>
      </w:r>
      <w:r>
        <w:rPr>
          <w:rFonts w:hint="eastAsia" w:ascii="仿宋" w:hAnsi="仿宋" w:eastAsia="仿宋" w:cs="仿宋"/>
          <w:b w:val="0"/>
          <w:bCs w:val="0"/>
          <w:color w:val="auto"/>
          <w:sz w:val="24"/>
          <w:szCs w:val="24"/>
          <w:highlight w:val="none"/>
          <w:u w:val="single"/>
        </w:rPr>
        <w:t xml:space="preserve">      </w:t>
      </w:r>
      <w:r>
        <w:rPr>
          <w:rFonts w:hint="eastAsia" w:ascii="仿宋" w:hAnsi="仿宋" w:eastAsia="仿宋" w:cs="仿宋"/>
          <w:b w:val="0"/>
          <w:bCs w:val="0"/>
          <w:color w:val="auto"/>
          <w:sz w:val="24"/>
          <w:szCs w:val="24"/>
          <w:highlight w:val="none"/>
        </w:rPr>
        <w:t xml:space="preserve"> ，联系人： </w:t>
      </w:r>
      <w:r>
        <w:rPr>
          <w:rFonts w:hint="eastAsia" w:ascii="仿宋" w:hAnsi="仿宋" w:eastAsia="仿宋" w:cs="仿宋"/>
          <w:b w:val="0"/>
          <w:bCs w:val="0"/>
          <w:color w:val="auto"/>
          <w:sz w:val="24"/>
          <w:szCs w:val="24"/>
          <w:highlight w:val="none"/>
          <w:u w:val="single"/>
        </w:rPr>
        <w:t xml:space="preserve">  </w:t>
      </w:r>
      <w:r>
        <w:rPr>
          <w:rFonts w:hint="eastAsia" w:ascii="仿宋" w:hAnsi="仿宋" w:eastAsia="仿宋" w:cs="仿宋"/>
          <w:b w:val="0"/>
          <w:bCs w:val="0"/>
          <w:color w:val="auto"/>
          <w:sz w:val="24"/>
          <w:szCs w:val="24"/>
          <w:highlight w:val="none"/>
          <w:u w:val="single"/>
          <w:lang w:val="en-US" w:eastAsia="zh-CN"/>
        </w:rPr>
        <w:t xml:space="preserve"> </w:t>
      </w:r>
      <w:r>
        <w:rPr>
          <w:rFonts w:hint="eastAsia" w:ascii="仿宋" w:hAnsi="仿宋" w:eastAsia="仿宋" w:cs="仿宋"/>
          <w:b w:val="0"/>
          <w:bCs w:val="0"/>
          <w:color w:val="auto"/>
          <w:sz w:val="24"/>
          <w:szCs w:val="24"/>
          <w:highlight w:val="none"/>
          <w:u w:val="single"/>
        </w:rPr>
        <w:t xml:space="preserve">     </w:t>
      </w:r>
      <w:r>
        <w:rPr>
          <w:rFonts w:hint="eastAsia" w:ascii="仿宋" w:hAnsi="仿宋" w:eastAsia="仿宋" w:cs="仿宋"/>
          <w:b w:val="0"/>
          <w:bCs w:val="0"/>
          <w:color w:val="auto"/>
          <w:sz w:val="24"/>
          <w:szCs w:val="24"/>
          <w:highlight w:val="none"/>
        </w:rPr>
        <w:t>， 联系电话：</w:t>
      </w:r>
      <w:r>
        <w:rPr>
          <w:rFonts w:hint="eastAsia" w:ascii="仿宋" w:hAnsi="仿宋" w:eastAsia="仿宋" w:cs="仿宋"/>
          <w:b w:val="0"/>
          <w:bCs w:val="0"/>
          <w:color w:val="auto"/>
          <w:sz w:val="24"/>
          <w:szCs w:val="24"/>
          <w:highlight w:val="none"/>
          <w:u w:val="single"/>
        </w:rPr>
        <w:t xml:space="preserve">  </w:t>
      </w:r>
      <w:r>
        <w:rPr>
          <w:rFonts w:hint="eastAsia" w:ascii="仿宋" w:hAnsi="仿宋" w:eastAsia="仿宋" w:cs="仿宋"/>
          <w:b w:val="0"/>
          <w:bCs w:val="0"/>
          <w:color w:val="auto"/>
          <w:sz w:val="24"/>
          <w:szCs w:val="24"/>
          <w:highlight w:val="none"/>
          <w:u w:val="single"/>
          <w:lang w:val="en-US" w:eastAsia="zh-CN"/>
        </w:rPr>
        <w:t xml:space="preserve">         </w:t>
      </w:r>
      <w:r>
        <w:rPr>
          <w:rFonts w:hint="eastAsia" w:ascii="仿宋" w:hAnsi="仿宋" w:eastAsia="仿宋" w:cs="仿宋"/>
          <w:b w:val="0"/>
          <w:bCs w:val="0"/>
          <w:color w:val="auto"/>
          <w:sz w:val="24"/>
          <w:szCs w:val="24"/>
          <w:highlight w:val="none"/>
          <w:u w:val="single"/>
        </w:rPr>
        <w:t xml:space="preserve">   </w:t>
      </w:r>
      <w:r>
        <w:rPr>
          <w:rFonts w:hint="eastAsia" w:ascii="仿宋" w:hAnsi="仿宋" w:eastAsia="仿宋" w:cs="仿宋"/>
          <w:b w:val="0"/>
          <w:bCs w:val="0"/>
          <w:color w:val="auto"/>
          <w:sz w:val="24"/>
          <w:szCs w:val="24"/>
          <w:highlight w:val="none"/>
        </w:rPr>
        <w:t>，邮箱地址：</w:t>
      </w:r>
      <w:r>
        <w:rPr>
          <w:rFonts w:hint="eastAsia" w:ascii="仿宋" w:hAnsi="仿宋" w:eastAsia="仿宋" w:cs="仿宋"/>
          <w:b w:val="0"/>
          <w:bCs w:val="0"/>
          <w:color w:val="auto"/>
          <w:sz w:val="24"/>
          <w:szCs w:val="24"/>
          <w:highlight w:val="none"/>
          <w:u w:val="single"/>
        </w:rPr>
        <w:t xml:space="preserve">     </w:t>
      </w:r>
      <w:r>
        <w:rPr>
          <w:rFonts w:hint="eastAsia" w:ascii="仿宋" w:hAnsi="仿宋" w:eastAsia="仿宋" w:cs="仿宋"/>
          <w:b w:val="0"/>
          <w:bCs w:val="0"/>
          <w:color w:val="auto"/>
          <w:sz w:val="24"/>
          <w:szCs w:val="24"/>
          <w:highlight w:val="none"/>
        </w:rPr>
        <w:t xml:space="preserve"> ，或微信号：</w:t>
      </w:r>
      <w:r>
        <w:rPr>
          <w:rFonts w:hint="eastAsia" w:ascii="仿宋" w:hAnsi="仿宋" w:eastAsia="仿宋" w:cs="仿宋"/>
          <w:b w:val="0"/>
          <w:bCs w:val="0"/>
          <w:color w:val="auto"/>
          <w:sz w:val="24"/>
          <w:szCs w:val="24"/>
          <w:highlight w:val="none"/>
          <w:u w:val="single"/>
        </w:rPr>
        <w:t xml:space="preserve">     。</w:t>
      </w:r>
    </w:p>
    <w:p w14:paraId="21111B74">
      <w:pPr>
        <w:keepNext w:val="0"/>
        <w:keepLines w:val="0"/>
        <w:pageBreakBefore w:val="0"/>
        <w:widowControl w:val="0"/>
        <w:kinsoku/>
        <w:wordWrap/>
        <w:overflowPunct/>
        <w:topLinePunct w:val="0"/>
        <w:autoSpaceDE/>
        <w:autoSpaceDN/>
        <w:bidi w:val="0"/>
        <w:spacing w:line="480" w:lineRule="exact"/>
        <w:ind w:leftChars="0" w:firstLine="480" w:firstLineChars="200"/>
        <w:jc w:val="both"/>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lang w:val="en-US" w:eastAsia="zh-CN"/>
        </w:rPr>
        <w:t>8</w:t>
      </w:r>
      <w:r>
        <w:rPr>
          <w:rFonts w:hint="eastAsia" w:ascii="仿宋" w:hAnsi="仿宋" w:eastAsia="仿宋" w:cs="仿宋"/>
          <w:b w:val="0"/>
          <w:bCs w:val="0"/>
          <w:color w:val="auto"/>
          <w:sz w:val="24"/>
          <w:szCs w:val="24"/>
          <w:highlight w:val="none"/>
        </w:rPr>
        <w:t>.3 上述通知应被视为在下列时间送达：以快递或专人发送的，在收件人签收之日或拒收之日；以挂号邮件发出的，在发出之日起7个工作日；以电子邮件发出的，在电子邮件进入收件方电子邮箱服务器之日。</w:t>
      </w:r>
    </w:p>
    <w:p w14:paraId="6293188E">
      <w:pPr>
        <w:keepNext w:val="0"/>
        <w:keepLines w:val="0"/>
        <w:pageBreakBefore w:val="0"/>
        <w:widowControl w:val="0"/>
        <w:kinsoku/>
        <w:wordWrap/>
        <w:overflowPunct/>
        <w:topLinePunct w:val="0"/>
        <w:autoSpaceDE/>
        <w:autoSpaceDN/>
        <w:bidi w:val="0"/>
        <w:spacing w:line="480" w:lineRule="exact"/>
        <w:ind w:leftChars="0" w:firstLine="480" w:firstLineChars="200"/>
        <w:jc w:val="both"/>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lang w:val="en-US" w:eastAsia="zh-CN"/>
        </w:rPr>
        <w:t>8</w:t>
      </w:r>
      <w:r>
        <w:rPr>
          <w:rFonts w:hint="eastAsia" w:ascii="仿宋" w:hAnsi="仿宋" w:eastAsia="仿宋" w:cs="仿宋"/>
          <w:b w:val="0"/>
          <w:bCs w:val="0"/>
          <w:color w:val="auto"/>
          <w:sz w:val="24"/>
          <w:szCs w:val="24"/>
          <w:highlight w:val="none"/>
        </w:rPr>
        <w:t>.4 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采用电子数据方式送达的，以数据电文进入对方指定或约定接收系统之日视为送达。</w:t>
      </w:r>
    </w:p>
    <w:p w14:paraId="2D02BE0D">
      <w:pPr>
        <w:pStyle w:val="12"/>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firstLine="482" w:firstLineChars="200"/>
        <w:jc w:val="both"/>
        <w:textAlignment w:val="auto"/>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第九条 合同的变更、解除</w:t>
      </w:r>
    </w:p>
    <w:p w14:paraId="5684C6B6">
      <w:pPr>
        <w:keepNext w:val="0"/>
        <w:keepLines w:val="0"/>
        <w:pageBreakBefore w:val="0"/>
        <w:widowControl w:val="0"/>
        <w:kinsoku/>
        <w:wordWrap/>
        <w:overflowPunct/>
        <w:topLinePunct w:val="0"/>
        <w:autoSpaceDE/>
        <w:autoSpaceDN/>
        <w:bidi w:val="0"/>
        <w:spacing w:line="480" w:lineRule="exact"/>
        <w:ind w:leftChars="0" w:firstLine="480" w:firstLineChars="200"/>
        <w:jc w:val="both"/>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9.1 本合同经双方协商一致后可以变更，双方应另行签订补充协议。</w:t>
      </w:r>
    </w:p>
    <w:p w14:paraId="1C196DA1">
      <w:pPr>
        <w:keepNext w:val="0"/>
        <w:keepLines w:val="0"/>
        <w:pageBreakBefore w:val="0"/>
        <w:widowControl w:val="0"/>
        <w:kinsoku/>
        <w:wordWrap/>
        <w:overflowPunct/>
        <w:topLinePunct w:val="0"/>
        <w:autoSpaceDE/>
        <w:autoSpaceDN/>
        <w:bidi w:val="0"/>
        <w:spacing w:line="480" w:lineRule="exact"/>
        <w:ind w:leftChars="0" w:firstLine="480" w:firstLineChars="200"/>
        <w:jc w:val="both"/>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9.2 乙方出现以下违约情形之一的，甲方有权单方解除合同：</w:t>
      </w:r>
    </w:p>
    <w:p w14:paraId="45CD884E">
      <w:pPr>
        <w:keepNext w:val="0"/>
        <w:keepLines w:val="0"/>
        <w:pageBreakBefore w:val="0"/>
        <w:widowControl w:val="0"/>
        <w:kinsoku/>
        <w:wordWrap/>
        <w:overflowPunct/>
        <w:topLinePunct w:val="0"/>
        <w:autoSpaceDE/>
        <w:autoSpaceDN/>
        <w:bidi w:val="0"/>
        <w:spacing w:line="480" w:lineRule="exact"/>
        <w:ind w:leftChars="0" w:firstLine="480" w:firstLineChars="200"/>
        <w:jc w:val="both"/>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9.2.1乙方将本合同权利义务全部或部分转让给第三方；</w:t>
      </w:r>
    </w:p>
    <w:p w14:paraId="1359D016">
      <w:pPr>
        <w:keepNext w:val="0"/>
        <w:keepLines w:val="0"/>
        <w:pageBreakBefore w:val="0"/>
        <w:widowControl w:val="0"/>
        <w:kinsoku/>
        <w:wordWrap/>
        <w:overflowPunct/>
        <w:topLinePunct w:val="0"/>
        <w:autoSpaceDE/>
        <w:autoSpaceDN/>
        <w:bidi w:val="0"/>
        <w:spacing w:line="480" w:lineRule="exact"/>
        <w:ind w:leftChars="0" w:firstLine="480" w:firstLineChars="200"/>
        <w:jc w:val="both"/>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9.2.2 其他根本违约的情形，包括但不限于：（1）逾期完工超过7日的；（2）树木移植成活率低于100%且在规定期限内未完成补种的；（3）违反廉洁条款的；（4）因乙方原因导致甲方被行政处罚或承担民事责任的；（5）擅自更换项目负责人或关键施工人员的；（6）未取得必要行政许可或违反城市绿化管理相关法规的。</w:t>
      </w:r>
    </w:p>
    <w:p w14:paraId="16A12521">
      <w:pPr>
        <w:pStyle w:val="10"/>
        <w:keepNext w:val="0"/>
        <w:keepLines w:val="0"/>
        <w:pageBreakBefore w:val="0"/>
        <w:widowControl w:val="0"/>
        <w:kinsoku/>
        <w:wordWrap/>
        <w:overflowPunct/>
        <w:topLinePunct w:val="0"/>
        <w:autoSpaceDE/>
        <w:autoSpaceDN/>
        <w:bidi w:val="0"/>
        <w:spacing w:line="480" w:lineRule="exact"/>
        <w:ind w:leftChars="0" w:firstLine="480" w:firstLineChars="200"/>
        <w:jc w:val="both"/>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9.2.3 甲方依据本条行使单方解除权的，应书面通知乙方。合同自解除通知送达乙方之日起解除，乙方应在收到通知后3日内撤场并移交相关资料。</w:t>
      </w:r>
    </w:p>
    <w:p w14:paraId="6083F164">
      <w:pPr>
        <w:pStyle w:val="12"/>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firstLine="482" w:firstLineChars="200"/>
        <w:jc w:val="both"/>
        <w:textAlignment w:val="auto"/>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第十条 违约责任</w:t>
      </w:r>
    </w:p>
    <w:p w14:paraId="03611D25">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firstLine="480" w:firstLineChars="200"/>
        <w:jc w:val="both"/>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10.1 甲、乙双方应严格按本合同约定履行合同。如乙方违约，甲方有权视违约情节采取以下一项或多项措施：（1）要求乙方限期整改；（2）扣除相应违约金；（3）暂停支付合同款项；（4）单方解除合同；（5）乙方应赔偿因其违约给甲方造成的全部损失（包括但不限于因诉讼产生的诉讼费、律师费、保全费、鉴定费、差旅费等）。</w:t>
      </w:r>
    </w:p>
    <w:p w14:paraId="42474874">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firstLine="480" w:firstLineChars="200"/>
        <w:jc w:val="both"/>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10.2 如因乙方原因导致移植树木在养护期内死亡的，乙方应按照本合同第5.2.6条的约定承担违约违规责任。</w:t>
      </w:r>
    </w:p>
    <w:p w14:paraId="219DB5A0">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firstLine="480" w:firstLineChars="200"/>
        <w:jc w:val="both"/>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10.3 如乙方未在本合同约定期限内完成服务或未通过甲方验收或未按时补种的，每逾期一日，应按本合同总价款的千分之三向甲方支付违约金。</w:t>
      </w:r>
    </w:p>
    <w:p w14:paraId="79FBFB52">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firstLine="480" w:firstLineChars="200"/>
        <w:jc w:val="both"/>
        <w:textAlignment w:val="auto"/>
        <w:rPr>
          <w:rFonts w:hint="default"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10.4 如乙方单方解除合同或甲方因9.2情形解除合同，乙方应赔偿甲方由此造成的全部经济损失，并按本合同总价款的30%向甲方支付违约金。</w:t>
      </w:r>
    </w:p>
    <w:p w14:paraId="0402F3C0">
      <w:pPr>
        <w:keepNext w:val="0"/>
        <w:keepLines w:val="0"/>
        <w:pageBreakBefore w:val="0"/>
        <w:widowControl w:val="0"/>
        <w:kinsoku/>
        <w:wordWrap/>
        <w:overflowPunct/>
        <w:topLinePunct w:val="0"/>
        <w:autoSpaceDE/>
        <w:autoSpaceDN/>
        <w:bidi w:val="0"/>
        <w:adjustRightInd/>
        <w:snapToGrid/>
        <w:spacing w:line="480" w:lineRule="exact"/>
        <w:ind w:leftChars="0" w:firstLine="482" w:firstLineChars="200"/>
        <w:jc w:val="both"/>
        <w:textAlignment w:val="auto"/>
        <w:outlineLvl w:val="9"/>
        <w:rPr>
          <w:rFonts w:hint="eastAsia" w:ascii="仿宋" w:hAnsi="仿宋" w:eastAsia="仿宋" w:cs="仿宋"/>
          <w:b/>
          <w:bCs/>
          <w:color w:val="auto"/>
          <w:sz w:val="24"/>
          <w:szCs w:val="24"/>
          <w:highlight w:val="none"/>
          <w:u w:val="single"/>
          <w:lang w:val="en-US" w:eastAsia="zh-CN"/>
        </w:rPr>
      </w:pPr>
      <w:r>
        <w:rPr>
          <w:rFonts w:hint="eastAsia" w:ascii="仿宋" w:hAnsi="仿宋" w:eastAsia="仿宋" w:cs="仿宋"/>
          <w:b/>
          <w:bCs/>
          <w:color w:val="auto"/>
          <w:sz w:val="24"/>
          <w:szCs w:val="24"/>
          <w:highlight w:val="none"/>
          <w:u w:val="single"/>
          <w:lang w:val="en-US" w:eastAsia="zh-CN"/>
        </w:rPr>
        <w:t>10.5 无论甲方在任意时候（不限于本合同履行期间）发现存在违反本合同廉洁条款的行为，乙方均须向甲方一次性支付惩罚性违约金，金额为合同总价的10%。如乙方除需承担违反廉洁条款的违约责任外，同时存在其他违约行为，乙方仍须就其他违约行为承担相应违约责任。</w:t>
      </w:r>
    </w:p>
    <w:p w14:paraId="4AB3A937">
      <w:pPr>
        <w:keepNext w:val="0"/>
        <w:keepLines w:val="0"/>
        <w:pageBreakBefore w:val="0"/>
        <w:widowControl w:val="0"/>
        <w:kinsoku/>
        <w:wordWrap/>
        <w:overflowPunct/>
        <w:topLinePunct w:val="0"/>
        <w:autoSpaceDE/>
        <w:autoSpaceDN/>
        <w:bidi w:val="0"/>
        <w:adjustRightInd/>
        <w:snapToGrid/>
        <w:spacing w:line="480" w:lineRule="exact"/>
        <w:ind w:leftChars="0" w:firstLine="482" w:firstLineChars="200"/>
        <w:jc w:val="both"/>
        <w:textAlignment w:val="auto"/>
        <w:outlineLvl w:val="9"/>
        <w:rPr>
          <w:rFonts w:hint="eastAsia" w:ascii="仿宋" w:hAnsi="仿宋" w:eastAsia="仿宋" w:cs="仿宋"/>
          <w:b/>
          <w:bCs/>
          <w:color w:val="auto"/>
          <w:sz w:val="24"/>
          <w:szCs w:val="24"/>
          <w:highlight w:val="none"/>
          <w:u w:val="single"/>
          <w:lang w:val="en-US" w:eastAsia="zh-CN"/>
        </w:rPr>
      </w:pPr>
      <w:r>
        <w:rPr>
          <w:rFonts w:hint="eastAsia" w:ascii="仿宋" w:hAnsi="仿宋" w:eastAsia="仿宋" w:cs="仿宋"/>
          <w:b/>
          <w:bCs/>
          <w:color w:val="auto"/>
          <w:sz w:val="24"/>
          <w:szCs w:val="24"/>
          <w:highlight w:val="none"/>
          <w:u w:val="single"/>
          <w:lang w:val="en-US" w:eastAsia="zh-CN"/>
        </w:rPr>
        <w:t>10.6 依据本合同约定乙方应支付给甲方的违约金，甲方有权在应支付给乙方的任意价款中直接予以扣除，如扣除部分不足，乙方应在接到甲方通知后3日内补足。</w:t>
      </w:r>
    </w:p>
    <w:p w14:paraId="14935C5A">
      <w:pPr>
        <w:pStyle w:val="12"/>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firstLine="482" w:firstLineChars="200"/>
        <w:jc w:val="both"/>
        <w:textAlignment w:val="auto"/>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第十一条 争议解决</w:t>
      </w:r>
    </w:p>
    <w:p w14:paraId="79B5BAE4">
      <w:pPr>
        <w:keepNext w:val="0"/>
        <w:keepLines w:val="0"/>
        <w:pageBreakBefore w:val="0"/>
        <w:widowControl w:val="0"/>
        <w:kinsoku/>
        <w:wordWrap/>
        <w:overflowPunct/>
        <w:topLinePunct w:val="0"/>
        <w:autoSpaceDE/>
        <w:autoSpaceDN/>
        <w:bidi w:val="0"/>
        <w:spacing w:line="480" w:lineRule="exact"/>
        <w:ind w:leftChars="0" w:firstLine="480" w:firstLineChars="200"/>
        <w:jc w:val="both"/>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11.1 本合同适用中华人民共和国法律，并按其解释。</w:t>
      </w:r>
    </w:p>
    <w:p w14:paraId="4DA51CF6">
      <w:pPr>
        <w:keepNext w:val="0"/>
        <w:keepLines w:val="0"/>
        <w:pageBreakBefore w:val="0"/>
        <w:widowControl w:val="0"/>
        <w:kinsoku/>
        <w:wordWrap/>
        <w:overflowPunct/>
        <w:topLinePunct w:val="0"/>
        <w:autoSpaceDE/>
        <w:autoSpaceDN/>
        <w:bidi w:val="0"/>
        <w:spacing w:line="480" w:lineRule="exact"/>
        <w:ind w:leftChars="0" w:firstLine="480" w:firstLineChars="200"/>
        <w:jc w:val="both"/>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11.2 如双方在履行本合同过程中发生争议，双方应先协商解决，协商解决不成的，任一方均可向甲方所在地有管辖权的人民法院提起诉讼解决。</w:t>
      </w:r>
    </w:p>
    <w:p w14:paraId="6F04A69E">
      <w:pPr>
        <w:keepNext w:val="0"/>
        <w:keepLines w:val="0"/>
        <w:pageBreakBefore w:val="0"/>
        <w:widowControl w:val="0"/>
        <w:kinsoku/>
        <w:wordWrap/>
        <w:overflowPunct/>
        <w:topLinePunct w:val="0"/>
        <w:autoSpaceDE/>
        <w:autoSpaceDN/>
        <w:bidi w:val="0"/>
        <w:spacing w:line="480" w:lineRule="exact"/>
        <w:ind w:leftChars="0" w:firstLine="482" w:firstLineChars="200"/>
        <w:jc w:val="both"/>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第十二条 附则</w:t>
      </w:r>
    </w:p>
    <w:p w14:paraId="62A0103A">
      <w:pPr>
        <w:keepNext w:val="0"/>
        <w:keepLines w:val="0"/>
        <w:pageBreakBefore w:val="0"/>
        <w:widowControl w:val="0"/>
        <w:kinsoku/>
        <w:wordWrap/>
        <w:overflowPunct/>
        <w:topLinePunct w:val="0"/>
        <w:autoSpaceDE/>
        <w:autoSpaceDN/>
        <w:bidi w:val="0"/>
        <w:spacing w:line="480" w:lineRule="exact"/>
        <w:ind w:leftChars="0" w:firstLine="480" w:firstLineChars="200"/>
        <w:jc w:val="both"/>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12.1 本合同组成文件和优先解释顺序：乙方在履行本合同中作出的书面承诺；本合同补充协议；本合同及附件；中标通知书/成交通知书/议价结果公示/成交公告；投标文件/响应文件；招标文件/采购文件/采购需求；其他与本合同有关的资料。</w:t>
      </w:r>
    </w:p>
    <w:p w14:paraId="5E75E847">
      <w:pPr>
        <w:keepNext w:val="0"/>
        <w:keepLines w:val="0"/>
        <w:pageBreakBefore w:val="0"/>
        <w:widowControl w:val="0"/>
        <w:kinsoku/>
        <w:wordWrap/>
        <w:overflowPunct/>
        <w:topLinePunct w:val="0"/>
        <w:autoSpaceDE/>
        <w:autoSpaceDN/>
        <w:bidi w:val="0"/>
        <w:spacing w:line="480" w:lineRule="exact"/>
        <w:ind w:leftChars="0" w:firstLine="480" w:firstLineChars="200"/>
        <w:jc w:val="both"/>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12.2 本合同一式陆份，甲方执叁份、乙方执叁份，自双方签字并盖章后生效。</w:t>
      </w:r>
    </w:p>
    <w:p w14:paraId="56B4EB96">
      <w:pPr>
        <w:keepNext w:val="0"/>
        <w:keepLines w:val="0"/>
        <w:pageBreakBefore w:val="0"/>
        <w:widowControl w:val="0"/>
        <w:kinsoku/>
        <w:wordWrap/>
        <w:overflowPunct/>
        <w:topLinePunct w:val="0"/>
        <w:autoSpaceDE/>
        <w:autoSpaceDN/>
        <w:bidi w:val="0"/>
        <w:adjustRightInd/>
        <w:snapToGrid/>
        <w:spacing w:line="520" w:lineRule="exact"/>
        <w:ind w:firstLine="480" w:firstLineChars="200"/>
        <w:jc w:val="both"/>
        <w:textAlignment w:val="auto"/>
        <w:rPr>
          <w:rFonts w:hint="eastAsia" w:ascii="仿宋" w:hAnsi="仿宋" w:eastAsia="仿宋" w:cs="仿宋"/>
          <w:b w:val="0"/>
          <w:bCs w:val="0"/>
          <w:color w:val="auto"/>
          <w:sz w:val="24"/>
          <w:szCs w:val="24"/>
          <w:highlight w:val="none"/>
          <w:lang w:val="en-US" w:eastAsia="zh-CN"/>
        </w:rPr>
      </w:pPr>
    </w:p>
    <w:p w14:paraId="587C522F">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 xml:space="preserve">甲方（盖章）：娄底市中心医院     </w:t>
      </w:r>
      <w:r>
        <w:rPr>
          <w:rFonts w:hint="eastAsia" w:ascii="仿宋" w:hAnsi="仿宋" w:eastAsia="仿宋" w:cs="仿宋"/>
          <w:b w:val="0"/>
          <w:bCs w:val="0"/>
          <w:color w:val="auto"/>
          <w:sz w:val="24"/>
          <w:szCs w:val="24"/>
          <w:highlight w:val="none"/>
          <w:lang w:val="en-US" w:eastAsia="zh-CN"/>
        </w:rPr>
        <w:t xml:space="preserve">  </w:t>
      </w:r>
      <w:r>
        <w:rPr>
          <w:rFonts w:hint="eastAsia" w:ascii="仿宋" w:hAnsi="仿宋" w:eastAsia="仿宋" w:cs="仿宋"/>
          <w:b w:val="0"/>
          <w:bCs w:val="0"/>
          <w:color w:val="auto"/>
          <w:sz w:val="24"/>
          <w:szCs w:val="24"/>
          <w:highlight w:val="none"/>
        </w:rPr>
        <w:t>乙方（盖章）：</w:t>
      </w:r>
    </w:p>
    <w:p w14:paraId="725AF39B">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b w:val="0"/>
          <w:bCs w:val="0"/>
          <w:color w:val="auto"/>
          <w:sz w:val="24"/>
          <w:szCs w:val="24"/>
          <w:highlight w:val="none"/>
        </w:rPr>
      </w:pPr>
    </w:p>
    <w:p w14:paraId="25243AA2">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 xml:space="preserve">法定代表人（签字）：               法定代表人（签字）：  </w:t>
      </w:r>
    </w:p>
    <w:p w14:paraId="52E8ACD4">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b w:val="0"/>
          <w:bCs w:val="0"/>
          <w:color w:val="auto"/>
          <w:sz w:val="24"/>
          <w:szCs w:val="24"/>
          <w:highlight w:val="none"/>
        </w:rPr>
      </w:pPr>
    </w:p>
    <w:p w14:paraId="275CF64F">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 xml:space="preserve">或委托代理人（签字）：           </w:t>
      </w:r>
      <w:r>
        <w:rPr>
          <w:rFonts w:hint="eastAsia" w:ascii="仿宋" w:hAnsi="仿宋" w:eastAsia="仿宋" w:cs="仿宋"/>
          <w:b w:val="0"/>
          <w:bCs w:val="0"/>
          <w:color w:val="auto"/>
          <w:sz w:val="24"/>
          <w:szCs w:val="24"/>
          <w:highlight w:val="none"/>
          <w:lang w:val="en-US" w:eastAsia="zh-CN"/>
        </w:rPr>
        <w:t xml:space="preserve">  </w:t>
      </w:r>
      <w:r>
        <w:rPr>
          <w:rFonts w:hint="eastAsia" w:ascii="仿宋" w:hAnsi="仿宋" w:eastAsia="仿宋" w:cs="仿宋"/>
          <w:b w:val="0"/>
          <w:bCs w:val="0"/>
          <w:color w:val="auto"/>
          <w:sz w:val="24"/>
          <w:szCs w:val="24"/>
          <w:highlight w:val="none"/>
        </w:rPr>
        <w:t>委托代理人（签字）：</w:t>
      </w:r>
    </w:p>
    <w:p w14:paraId="76C7BAF1">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b w:val="0"/>
          <w:bCs w:val="0"/>
          <w:color w:val="auto"/>
          <w:sz w:val="24"/>
          <w:szCs w:val="24"/>
          <w:highlight w:val="none"/>
        </w:rPr>
      </w:pPr>
    </w:p>
    <w:p w14:paraId="410DE5C0">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 xml:space="preserve">合同签订地履行地：娄底市娄星区  </w:t>
      </w:r>
      <w:r>
        <w:rPr>
          <w:rFonts w:hint="eastAsia" w:ascii="仿宋" w:hAnsi="仿宋" w:eastAsia="仿宋" w:cs="仿宋"/>
          <w:b w:val="0"/>
          <w:bCs w:val="0"/>
          <w:color w:val="auto"/>
          <w:sz w:val="24"/>
          <w:szCs w:val="24"/>
          <w:highlight w:val="none"/>
          <w:lang w:val="en-US" w:eastAsia="zh-CN"/>
        </w:rPr>
        <w:t xml:space="preserve">    </w:t>
      </w:r>
      <w:r>
        <w:rPr>
          <w:rFonts w:hint="eastAsia" w:ascii="仿宋" w:hAnsi="仿宋" w:eastAsia="仿宋" w:cs="仿宋"/>
          <w:b w:val="0"/>
          <w:bCs w:val="0"/>
          <w:color w:val="auto"/>
          <w:sz w:val="24"/>
          <w:szCs w:val="24"/>
          <w:highlight w:val="none"/>
        </w:rPr>
        <w:t xml:space="preserve">签订时间：  </w:t>
      </w:r>
      <w:r>
        <w:rPr>
          <w:rFonts w:hint="eastAsia" w:ascii="仿宋" w:hAnsi="仿宋" w:eastAsia="仿宋" w:cs="仿宋"/>
          <w:b w:val="0"/>
          <w:bCs w:val="0"/>
          <w:color w:val="auto"/>
          <w:sz w:val="24"/>
          <w:szCs w:val="24"/>
          <w:highlight w:val="none"/>
          <w:lang w:val="en-US" w:eastAsia="zh-CN"/>
        </w:rPr>
        <w:t xml:space="preserve">  </w:t>
      </w:r>
      <w:r>
        <w:rPr>
          <w:rFonts w:hint="eastAsia" w:ascii="仿宋" w:hAnsi="仿宋" w:eastAsia="仿宋" w:cs="仿宋"/>
          <w:b w:val="0"/>
          <w:bCs w:val="0"/>
          <w:color w:val="auto"/>
          <w:sz w:val="24"/>
          <w:szCs w:val="24"/>
          <w:highlight w:val="none"/>
        </w:rPr>
        <w:t xml:space="preserve">年  </w:t>
      </w:r>
      <w:r>
        <w:rPr>
          <w:rFonts w:hint="eastAsia" w:ascii="仿宋" w:hAnsi="仿宋" w:eastAsia="仿宋" w:cs="仿宋"/>
          <w:b w:val="0"/>
          <w:bCs w:val="0"/>
          <w:color w:val="auto"/>
          <w:sz w:val="24"/>
          <w:szCs w:val="24"/>
          <w:highlight w:val="none"/>
          <w:lang w:val="en-US" w:eastAsia="zh-CN"/>
        </w:rPr>
        <w:t xml:space="preserve"> </w:t>
      </w:r>
      <w:r>
        <w:rPr>
          <w:rFonts w:hint="eastAsia" w:ascii="仿宋" w:hAnsi="仿宋" w:eastAsia="仿宋" w:cs="仿宋"/>
          <w:b w:val="0"/>
          <w:bCs w:val="0"/>
          <w:color w:val="auto"/>
          <w:sz w:val="24"/>
          <w:szCs w:val="24"/>
          <w:highlight w:val="none"/>
        </w:rPr>
        <w:t xml:space="preserve">月  </w:t>
      </w:r>
      <w:r>
        <w:rPr>
          <w:rFonts w:hint="eastAsia" w:ascii="仿宋" w:hAnsi="仿宋" w:eastAsia="仿宋" w:cs="仿宋"/>
          <w:b w:val="0"/>
          <w:bCs w:val="0"/>
          <w:color w:val="auto"/>
          <w:sz w:val="24"/>
          <w:szCs w:val="24"/>
          <w:highlight w:val="none"/>
          <w:lang w:val="en-US" w:eastAsia="zh-CN"/>
        </w:rPr>
        <w:t xml:space="preserve"> </w:t>
      </w:r>
      <w:r>
        <w:rPr>
          <w:rFonts w:hint="eastAsia" w:ascii="仿宋" w:hAnsi="仿宋" w:eastAsia="仿宋" w:cs="仿宋"/>
          <w:b w:val="0"/>
          <w:bCs w:val="0"/>
          <w:color w:val="auto"/>
          <w:sz w:val="24"/>
          <w:szCs w:val="24"/>
          <w:highlight w:val="none"/>
        </w:rPr>
        <w:t>日</w:t>
      </w:r>
    </w:p>
    <w:p w14:paraId="2B9A81D2">
      <w:pPr>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br w:type="page"/>
      </w:r>
    </w:p>
    <w:p w14:paraId="1D6A4988">
      <w:pPr>
        <w:pStyle w:val="10"/>
        <w:numPr>
          <w:ilvl w:val="0"/>
          <w:numId w:val="0"/>
        </w:numPr>
        <w:tabs>
          <w:tab w:val="left" w:pos="312"/>
        </w:tabs>
        <w:snapToGrid w:val="0"/>
        <w:spacing w:line="480" w:lineRule="auto"/>
        <w:jc w:val="center"/>
        <w:rPr>
          <w:rFonts w:hint="eastAsia"/>
          <w:color w:val="auto"/>
          <w:highlight w:val="none"/>
          <w:lang w:eastAsia="zh-CN"/>
        </w:rPr>
      </w:pPr>
      <w:r>
        <w:rPr>
          <w:rFonts w:hint="eastAsia" w:ascii="仿宋" w:hAnsi="仿宋" w:eastAsia="仿宋" w:cs="仿宋"/>
          <w:b/>
          <w:bCs/>
          <w:color w:val="auto"/>
          <w:sz w:val="32"/>
          <w:szCs w:val="32"/>
          <w:highlight w:val="none"/>
          <w:lang w:val="en-US" w:eastAsia="zh-CN"/>
        </w:rPr>
        <w:t>第四章 报价单</w:t>
      </w:r>
    </w:p>
    <w:p w14:paraId="38FC3F95">
      <w:pPr>
        <w:pStyle w:val="11"/>
        <w:rPr>
          <w:rFonts w:hint="eastAsia" w:ascii="仿宋" w:hAnsi="仿宋" w:eastAsia="仿宋" w:cs="仿宋"/>
          <w:b/>
          <w:bCs/>
          <w:color w:val="auto"/>
          <w:sz w:val="32"/>
          <w:szCs w:val="32"/>
          <w:highlight w:val="none"/>
          <w:lang w:val="en-US" w:eastAsia="zh-CN"/>
        </w:rPr>
      </w:pPr>
    </w:p>
    <w:p w14:paraId="00AE3E02">
      <w:pPr>
        <w:pStyle w:val="6"/>
        <w:rPr>
          <w:rFonts w:hint="eastAsia"/>
          <w:color w:val="auto"/>
          <w:highlight w:val="none"/>
          <w:lang w:eastAsia="zh-CN"/>
        </w:rPr>
      </w:pPr>
    </w:p>
    <w:tbl>
      <w:tblPr>
        <w:tblStyle w:val="7"/>
        <w:tblW w:w="88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8"/>
        <w:gridCol w:w="1802"/>
        <w:gridCol w:w="1080"/>
        <w:gridCol w:w="1920"/>
        <w:gridCol w:w="3384"/>
      </w:tblGrid>
      <w:tr w14:paraId="45EE2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698" w:type="dxa"/>
            <w:tcBorders>
              <w:tl2br w:val="nil"/>
              <w:tr2bl w:val="nil"/>
            </w:tcBorders>
            <w:shd w:val="clear" w:color="auto" w:fill="auto"/>
            <w:noWrap w:val="0"/>
            <w:vAlign w:val="center"/>
          </w:tcPr>
          <w:p w14:paraId="4878EDDC">
            <w:pPr>
              <w:pageBreakBefore w:val="0"/>
              <w:widowControl w:val="0"/>
              <w:kinsoku/>
              <w:wordWrap/>
              <w:overflowPunct/>
              <w:topLinePunct w:val="0"/>
              <w:bidi w:val="0"/>
              <w:snapToGrid w:val="0"/>
              <w:spacing w:line="240" w:lineRule="auto"/>
              <w:ind w:left="0" w:leftChars="0" w:right="0" w:rightChars="0" w:firstLine="0" w:firstLineChars="0"/>
              <w:jc w:val="center"/>
              <w:rPr>
                <w:rFonts w:hint="eastAsia" w:ascii="仿宋" w:hAnsi="仿宋" w:eastAsia="仿宋" w:cs="仿宋"/>
                <w:b/>
                <w:bCs w:val="0"/>
                <w:color w:val="auto"/>
                <w:sz w:val="24"/>
                <w:szCs w:val="24"/>
                <w:highlight w:val="none"/>
                <w:lang w:val="en-US" w:eastAsia="zh-CN"/>
              </w:rPr>
            </w:pPr>
            <w:r>
              <w:rPr>
                <w:rFonts w:hint="eastAsia" w:ascii="仿宋" w:hAnsi="仿宋" w:eastAsia="仿宋" w:cs="仿宋"/>
                <w:b/>
                <w:bCs w:val="0"/>
                <w:color w:val="auto"/>
                <w:sz w:val="24"/>
                <w:szCs w:val="24"/>
                <w:highlight w:val="none"/>
                <w:lang w:val="en-US" w:eastAsia="zh-CN"/>
              </w:rPr>
              <w:t>序号</w:t>
            </w:r>
          </w:p>
        </w:tc>
        <w:tc>
          <w:tcPr>
            <w:tcW w:w="1802" w:type="dxa"/>
            <w:tcBorders>
              <w:tl2br w:val="nil"/>
              <w:tr2bl w:val="nil"/>
            </w:tcBorders>
            <w:shd w:val="clear" w:color="auto" w:fill="auto"/>
            <w:noWrap w:val="0"/>
            <w:vAlign w:val="center"/>
          </w:tcPr>
          <w:p w14:paraId="1FF405C0">
            <w:pPr>
              <w:pageBreakBefore w:val="0"/>
              <w:widowControl w:val="0"/>
              <w:kinsoku/>
              <w:wordWrap/>
              <w:overflowPunct/>
              <w:topLinePunct w:val="0"/>
              <w:bidi w:val="0"/>
              <w:snapToGrid w:val="0"/>
              <w:spacing w:line="240" w:lineRule="auto"/>
              <w:ind w:left="0" w:leftChars="0" w:right="0" w:rightChars="0" w:firstLine="0" w:firstLineChars="0"/>
              <w:jc w:val="center"/>
              <w:rPr>
                <w:rFonts w:hint="eastAsia" w:ascii="仿宋" w:hAnsi="仿宋" w:eastAsia="仿宋" w:cs="仿宋"/>
                <w:b/>
                <w:bCs w:val="0"/>
                <w:color w:val="auto"/>
                <w:sz w:val="24"/>
                <w:szCs w:val="24"/>
                <w:highlight w:val="none"/>
                <w:lang w:val="en-US" w:eastAsia="zh-CN"/>
              </w:rPr>
            </w:pPr>
            <w:r>
              <w:rPr>
                <w:rFonts w:hint="eastAsia" w:ascii="仿宋" w:hAnsi="仿宋" w:eastAsia="仿宋" w:cs="仿宋"/>
                <w:b/>
                <w:bCs w:val="0"/>
                <w:color w:val="auto"/>
                <w:sz w:val="24"/>
                <w:szCs w:val="24"/>
                <w:highlight w:val="none"/>
                <w:lang w:val="en-US" w:eastAsia="zh-CN"/>
              </w:rPr>
              <w:t>树木品种</w:t>
            </w:r>
          </w:p>
        </w:tc>
        <w:tc>
          <w:tcPr>
            <w:tcW w:w="1080" w:type="dxa"/>
            <w:tcBorders>
              <w:tl2br w:val="nil"/>
              <w:tr2bl w:val="nil"/>
            </w:tcBorders>
            <w:shd w:val="clear" w:color="auto" w:fill="auto"/>
            <w:noWrap w:val="0"/>
            <w:vAlign w:val="center"/>
          </w:tcPr>
          <w:p w14:paraId="203DEA1C">
            <w:pPr>
              <w:pageBreakBefore w:val="0"/>
              <w:widowControl w:val="0"/>
              <w:kinsoku/>
              <w:wordWrap/>
              <w:overflowPunct/>
              <w:topLinePunct w:val="0"/>
              <w:bidi w:val="0"/>
              <w:snapToGrid w:val="0"/>
              <w:spacing w:line="240" w:lineRule="auto"/>
              <w:ind w:left="0" w:leftChars="0" w:right="0" w:rightChars="0" w:firstLine="0" w:firstLineChars="0"/>
              <w:jc w:val="center"/>
              <w:rPr>
                <w:rFonts w:hint="eastAsia" w:ascii="仿宋" w:hAnsi="仿宋" w:eastAsia="仿宋" w:cs="仿宋"/>
                <w:b/>
                <w:bCs w:val="0"/>
                <w:color w:val="auto"/>
                <w:sz w:val="24"/>
                <w:szCs w:val="24"/>
                <w:highlight w:val="none"/>
                <w:lang w:val="en-US" w:eastAsia="zh-CN"/>
              </w:rPr>
            </w:pPr>
            <w:r>
              <w:rPr>
                <w:rFonts w:hint="eastAsia" w:ascii="仿宋" w:hAnsi="仿宋" w:eastAsia="仿宋" w:cs="仿宋"/>
                <w:b/>
                <w:bCs w:val="0"/>
                <w:color w:val="auto"/>
                <w:sz w:val="24"/>
                <w:szCs w:val="24"/>
                <w:highlight w:val="none"/>
                <w:lang w:val="en-US" w:eastAsia="zh-CN"/>
              </w:rPr>
              <w:t>数量</w:t>
            </w:r>
          </w:p>
        </w:tc>
        <w:tc>
          <w:tcPr>
            <w:tcW w:w="1920" w:type="dxa"/>
            <w:tcBorders>
              <w:tl2br w:val="nil"/>
              <w:tr2bl w:val="nil"/>
            </w:tcBorders>
            <w:shd w:val="clear" w:color="auto" w:fill="auto"/>
            <w:noWrap w:val="0"/>
            <w:vAlign w:val="center"/>
          </w:tcPr>
          <w:p w14:paraId="18CD03CE">
            <w:pPr>
              <w:pageBreakBefore w:val="0"/>
              <w:widowControl w:val="0"/>
              <w:kinsoku/>
              <w:wordWrap/>
              <w:overflowPunct/>
              <w:topLinePunct w:val="0"/>
              <w:bidi w:val="0"/>
              <w:snapToGrid w:val="0"/>
              <w:spacing w:line="240" w:lineRule="auto"/>
              <w:ind w:left="0" w:leftChars="0" w:right="0" w:rightChars="0" w:firstLine="0" w:firstLineChars="0"/>
              <w:jc w:val="center"/>
              <w:rPr>
                <w:rFonts w:hint="eastAsia" w:ascii="仿宋" w:hAnsi="仿宋" w:eastAsia="仿宋" w:cs="仿宋"/>
                <w:b/>
                <w:bCs w:val="0"/>
                <w:color w:val="auto"/>
                <w:sz w:val="24"/>
                <w:szCs w:val="24"/>
                <w:highlight w:val="none"/>
                <w:lang w:val="en-US" w:eastAsia="zh-CN"/>
              </w:rPr>
            </w:pPr>
            <w:r>
              <w:rPr>
                <w:rFonts w:hint="eastAsia" w:ascii="仿宋" w:hAnsi="仿宋" w:eastAsia="仿宋" w:cs="仿宋"/>
                <w:b/>
                <w:bCs w:val="0"/>
                <w:color w:val="auto"/>
                <w:sz w:val="24"/>
                <w:szCs w:val="24"/>
                <w:highlight w:val="none"/>
                <w:lang w:val="en-US" w:eastAsia="zh-CN"/>
              </w:rPr>
              <w:t>固定包干总价（元）</w:t>
            </w:r>
          </w:p>
        </w:tc>
        <w:tc>
          <w:tcPr>
            <w:tcW w:w="3384" w:type="dxa"/>
            <w:tcBorders>
              <w:tl2br w:val="nil"/>
              <w:tr2bl w:val="nil"/>
            </w:tcBorders>
            <w:shd w:val="clear" w:color="auto" w:fill="auto"/>
            <w:noWrap w:val="0"/>
            <w:vAlign w:val="center"/>
          </w:tcPr>
          <w:p w14:paraId="735E4152">
            <w:pPr>
              <w:pageBreakBefore w:val="0"/>
              <w:widowControl w:val="0"/>
              <w:kinsoku/>
              <w:wordWrap/>
              <w:overflowPunct/>
              <w:topLinePunct w:val="0"/>
              <w:bidi w:val="0"/>
              <w:snapToGrid w:val="0"/>
              <w:spacing w:line="240" w:lineRule="auto"/>
              <w:ind w:left="0" w:leftChars="0" w:right="0" w:rightChars="0" w:firstLine="0" w:firstLineChars="0"/>
              <w:jc w:val="center"/>
              <w:rPr>
                <w:rFonts w:hint="eastAsia" w:ascii="仿宋" w:hAnsi="仿宋" w:eastAsia="仿宋" w:cs="仿宋"/>
                <w:b/>
                <w:bCs w:val="0"/>
                <w:color w:val="auto"/>
                <w:sz w:val="24"/>
                <w:szCs w:val="24"/>
                <w:highlight w:val="none"/>
                <w:lang w:val="en-US" w:eastAsia="zh-CN"/>
              </w:rPr>
            </w:pPr>
            <w:r>
              <w:rPr>
                <w:rFonts w:hint="eastAsia" w:ascii="仿宋" w:hAnsi="仿宋" w:eastAsia="仿宋" w:cs="仿宋"/>
                <w:b/>
                <w:bCs w:val="0"/>
                <w:color w:val="auto"/>
                <w:sz w:val="24"/>
                <w:szCs w:val="24"/>
                <w:highlight w:val="none"/>
                <w:lang w:val="en-US" w:eastAsia="zh-CN"/>
              </w:rPr>
              <w:t>备注</w:t>
            </w:r>
          </w:p>
        </w:tc>
      </w:tr>
      <w:tr w14:paraId="7F38A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8" w:hRule="atLeast"/>
          <w:jc w:val="center"/>
        </w:trPr>
        <w:tc>
          <w:tcPr>
            <w:tcW w:w="698" w:type="dxa"/>
            <w:tcBorders>
              <w:tl2br w:val="nil"/>
              <w:tr2bl w:val="nil"/>
            </w:tcBorders>
            <w:shd w:val="clear" w:color="auto" w:fill="auto"/>
            <w:noWrap w:val="0"/>
            <w:vAlign w:val="center"/>
          </w:tcPr>
          <w:p w14:paraId="5C509FC3">
            <w:pPr>
              <w:pageBreakBefore w:val="0"/>
              <w:widowControl w:val="0"/>
              <w:kinsoku/>
              <w:wordWrap/>
              <w:overflowPunct/>
              <w:topLinePunct w:val="0"/>
              <w:bidi w:val="0"/>
              <w:snapToGrid w:val="0"/>
              <w:spacing w:line="240" w:lineRule="auto"/>
              <w:ind w:left="0" w:leftChars="0" w:right="0" w:rightChars="0" w:firstLine="0" w:firstLineChars="0"/>
              <w:jc w:val="center"/>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val="en-US" w:eastAsia="zh-CN"/>
              </w:rPr>
              <w:t>1</w:t>
            </w:r>
          </w:p>
        </w:tc>
        <w:tc>
          <w:tcPr>
            <w:tcW w:w="1802" w:type="dxa"/>
            <w:tcBorders>
              <w:tl2br w:val="nil"/>
              <w:tr2bl w:val="nil"/>
            </w:tcBorders>
            <w:shd w:val="clear" w:color="auto" w:fill="auto"/>
            <w:noWrap w:val="0"/>
            <w:vAlign w:val="center"/>
          </w:tcPr>
          <w:p w14:paraId="7998E4BD">
            <w:pPr>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jc w:val="center"/>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樟树</w:t>
            </w:r>
          </w:p>
        </w:tc>
        <w:tc>
          <w:tcPr>
            <w:tcW w:w="1080" w:type="dxa"/>
            <w:tcBorders>
              <w:tl2br w:val="nil"/>
              <w:tr2bl w:val="nil"/>
            </w:tcBorders>
            <w:shd w:val="clear" w:color="auto" w:fill="auto"/>
            <w:noWrap w:val="0"/>
            <w:vAlign w:val="center"/>
          </w:tcPr>
          <w:p w14:paraId="13088A81">
            <w:pPr>
              <w:pageBreakBefore w:val="0"/>
              <w:widowControl w:val="0"/>
              <w:kinsoku/>
              <w:wordWrap/>
              <w:overflowPunct/>
              <w:topLinePunct w:val="0"/>
              <w:bidi w:val="0"/>
              <w:snapToGrid w:val="0"/>
              <w:spacing w:line="240" w:lineRule="auto"/>
              <w:ind w:left="0" w:leftChars="0" w:right="0" w:rightChars="0" w:firstLine="0" w:firstLineChars="0"/>
              <w:jc w:val="center"/>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2棵</w:t>
            </w:r>
          </w:p>
        </w:tc>
        <w:tc>
          <w:tcPr>
            <w:tcW w:w="1920" w:type="dxa"/>
            <w:vMerge w:val="restart"/>
            <w:tcBorders>
              <w:tl2br w:val="nil"/>
              <w:tr2bl w:val="nil"/>
            </w:tcBorders>
            <w:shd w:val="clear" w:color="auto" w:fill="auto"/>
            <w:noWrap w:val="0"/>
            <w:vAlign w:val="center"/>
          </w:tcPr>
          <w:p w14:paraId="0487C2BF">
            <w:pPr>
              <w:pageBreakBefore w:val="0"/>
              <w:widowControl w:val="0"/>
              <w:kinsoku/>
              <w:wordWrap/>
              <w:overflowPunct/>
              <w:topLinePunct w:val="0"/>
              <w:bidi w:val="0"/>
              <w:snapToGrid w:val="0"/>
              <w:spacing w:line="240" w:lineRule="auto"/>
              <w:ind w:left="0" w:leftChars="0" w:right="0" w:rightChars="0" w:firstLine="0" w:firstLineChars="0"/>
              <w:jc w:val="center"/>
              <w:rPr>
                <w:rFonts w:hint="default" w:ascii="仿宋" w:hAnsi="仿宋" w:eastAsia="仿宋" w:cs="仿宋"/>
                <w:b w:val="0"/>
                <w:bCs w:val="0"/>
                <w:color w:val="auto"/>
                <w:sz w:val="24"/>
                <w:szCs w:val="24"/>
                <w:highlight w:val="none"/>
                <w:lang w:val="en-US" w:eastAsia="zh-CN"/>
              </w:rPr>
            </w:pPr>
          </w:p>
        </w:tc>
        <w:tc>
          <w:tcPr>
            <w:tcW w:w="3384" w:type="dxa"/>
            <w:vMerge w:val="restart"/>
            <w:tcBorders>
              <w:tl2br w:val="nil"/>
              <w:tr2bl w:val="nil"/>
            </w:tcBorders>
            <w:shd w:val="clear" w:color="auto" w:fill="auto"/>
            <w:noWrap w:val="0"/>
            <w:vAlign w:val="center"/>
          </w:tcPr>
          <w:p w14:paraId="574D6FDF">
            <w:pPr>
              <w:pStyle w:val="10"/>
              <w:keepNext w:val="0"/>
              <w:keepLines w:val="0"/>
              <w:pageBreakBefore w:val="0"/>
              <w:widowControl w:val="0"/>
              <w:numPr>
                <w:ilvl w:val="0"/>
                <w:numId w:val="0"/>
              </w:numPr>
              <w:tabs>
                <w:tab w:val="left" w:pos="312"/>
              </w:tabs>
              <w:kinsoku/>
              <w:wordWrap/>
              <w:overflowPunct/>
              <w:topLinePunct w:val="0"/>
              <w:autoSpaceDE/>
              <w:autoSpaceDN/>
              <w:bidi w:val="0"/>
              <w:snapToGrid w:val="0"/>
              <w:spacing w:line="480" w:lineRule="exact"/>
              <w:jc w:val="both"/>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 xml:space="preserve">供应商须对招标人项目用地上的3棵大树进行挖掘、包扎、吊运、栽植、养护及对挖掘后的地面进行平整等一系列移植服务，详见合同“第一条 </w:t>
            </w:r>
            <w:r>
              <w:rPr>
                <w:rFonts w:hint="default" w:ascii="仿宋" w:hAnsi="仿宋" w:eastAsia="仿宋" w:cs="仿宋"/>
                <w:b w:val="0"/>
                <w:bCs w:val="0"/>
                <w:color w:val="auto"/>
                <w:kern w:val="0"/>
                <w:sz w:val="24"/>
                <w:szCs w:val="24"/>
                <w:highlight w:val="none"/>
                <w:lang w:val="en-US" w:eastAsia="zh-CN" w:bidi="ar-SA"/>
              </w:rPr>
              <w:t>采购内容及服务要求</w:t>
            </w:r>
            <w:r>
              <w:rPr>
                <w:rFonts w:hint="eastAsia" w:ascii="仿宋" w:hAnsi="仿宋" w:eastAsia="仿宋" w:cs="仿宋"/>
                <w:b w:val="0"/>
                <w:bCs w:val="0"/>
                <w:color w:val="auto"/>
                <w:kern w:val="0"/>
                <w:sz w:val="24"/>
                <w:szCs w:val="24"/>
                <w:highlight w:val="none"/>
                <w:lang w:val="en-US" w:eastAsia="zh-CN" w:bidi="ar-SA"/>
              </w:rPr>
              <w:t>”</w:t>
            </w:r>
          </w:p>
          <w:p w14:paraId="1B21BED0">
            <w:pPr>
              <w:pageBreakBefore w:val="0"/>
              <w:widowControl w:val="0"/>
              <w:kinsoku/>
              <w:wordWrap/>
              <w:overflowPunct/>
              <w:topLinePunct w:val="0"/>
              <w:bidi w:val="0"/>
              <w:snapToGrid w:val="0"/>
              <w:spacing w:line="240" w:lineRule="auto"/>
              <w:ind w:left="0" w:leftChars="0" w:right="0" w:rightChars="0" w:firstLine="0" w:firstLineChars="0"/>
              <w:jc w:val="center"/>
              <w:rPr>
                <w:rFonts w:hint="eastAsia" w:ascii="仿宋" w:hAnsi="仿宋" w:eastAsia="仿宋" w:cs="仿宋"/>
                <w:b w:val="0"/>
                <w:bCs w:val="0"/>
                <w:color w:val="auto"/>
                <w:sz w:val="24"/>
                <w:szCs w:val="24"/>
                <w:highlight w:val="none"/>
                <w:lang w:eastAsia="zh-CN"/>
              </w:rPr>
            </w:pPr>
          </w:p>
        </w:tc>
      </w:tr>
      <w:tr w14:paraId="42888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8" w:hRule="atLeast"/>
          <w:jc w:val="center"/>
        </w:trPr>
        <w:tc>
          <w:tcPr>
            <w:tcW w:w="698" w:type="dxa"/>
            <w:tcBorders>
              <w:tl2br w:val="nil"/>
              <w:tr2bl w:val="nil"/>
            </w:tcBorders>
            <w:shd w:val="clear" w:color="auto" w:fill="auto"/>
            <w:noWrap w:val="0"/>
            <w:vAlign w:val="center"/>
          </w:tcPr>
          <w:p w14:paraId="405CCDA6">
            <w:pPr>
              <w:pageBreakBefore w:val="0"/>
              <w:widowControl w:val="0"/>
              <w:kinsoku/>
              <w:wordWrap/>
              <w:overflowPunct/>
              <w:topLinePunct w:val="0"/>
              <w:bidi w:val="0"/>
              <w:snapToGrid w:val="0"/>
              <w:spacing w:line="240" w:lineRule="auto"/>
              <w:ind w:left="0" w:leftChars="0" w:right="0" w:rightChars="0" w:firstLine="0" w:firstLineChars="0"/>
              <w:jc w:val="center"/>
              <w:rPr>
                <w:rFonts w:hint="default"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w:t>
            </w:r>
          </w:p>
        </w:tc>
        <w:tc>
          <w:tcPr>
            <w:tcW w:w="1802" w:type="dxa"/>
            <w:tcBorders>
              <w:tl2br w:val="nil"/>
              <w:tr2bl w:val="nil"/>
            </w:tcBorders>
            <w:shd w:val="clear" w:color="auto" w:fill="auto"/>
            <w:noWrap w:val="0"/>
            <w:vAlign w:val="center"/>
          </w:tcPr>
          <w:p w14:paraId="2AB37824">
            <w:pPr>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jc w:val="center"/>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石楠</w:t>
            </w:r>
          </w:p>
        </w:tc>
        <w:tc>
          <w:tcPr>
            <w:tcW w:w="1080" w:type="dxa"/>
            <w:tcBorders>
              <w:tl2br w:val="nil"/>
              <w:tr2bl w:val="nil"/>
            </w:tcBorders>
            <w:shd w:val="clear" w:color="auto" w:fill="auto"/>
            <w:noWrap w:val="0"/>
            <w:vAlign w:val="center"/>
          </w:tcPr>
          <w:p w14:paraId="710DE254">
            <w:pPr>
              <w:pageBreakBefore w:val="0"/>
              <w:widowControl w:val="0"/>
              <w:kinsoku/>
              <w:wordWrap/>
              <w:overflowPunct/>
              <w:topLinePunct w:val="0"/>
              <w:bidi w:val="0"/>
              <w:snapToGrid w:val="0"/>
              <w:spacing w:line="240" w:lineRule="auto"/>
              <w:ind w:left="0" w:leftChars="0" w:right="0" w:rightChars="0" w:firstLine="0" w:firstLineChars="0"/>
              <w:jc w:val="center"/>
              <w:rPr>
                <w:rFonts w:hint="default"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1棵</w:t>
            </w:r>
          </w:p>
        </w:tc>
        <w:tc>
          <w:tcPr>
            <w:tcW w:w="1920" w:type="dxa"/>
            <w:vMerge w:val="continue"/>
            <w:tcBorders>
              <w:tl2br w:val="nil"/>
              <w:tr2bl w:val="nil"/>
            </w:tcBorders>
            <w:shd w:val="clear" w:color="auto" w:fill="auto"/>
            <w:noWrap w:val="0"/>
            <w:vAlign w:val="center"/>
          </w:tcPr>
          <w:p w14:paraId="61F2EACF">
            <w:pPr>
              <w:pageBreakBefore w:val="0"/>
              <w:widowControl w:val="0"/>
              <w:kinsoku/>
              <w:wordWrap/>
              <w:overflowPunct/>
              <w:topLinePunct w:val="0"/>
              <w:bidi w:val="0"/>
              <w:snapToGrid w:val="0"/>
              <w:spacing w:line="240" w:lineRule="auto"/>
              <w:ind w:left="0" w:leftChars="0" w:right="0" w:rightChars="0" w:firstLine="0" w:firstLineChars="0"/>
              <w:jc w:val="center"/>
              <w:rPr>
                <w:rFonts w:hint="default" w:ascii="仿宋" w:hAnsi="仿宋" w:eastAsia="仿宋" w:cs="仿宋"/>
                <w:b w:val="0"/>
                <w:bCs w:val="0"/>
                <w:color w:val="auto"/>
                <w:sz w:val="24"/>
                <w:szCs w:val="24"/>
                <w:highlight w:val="none"/>
                <w:lang w:val="en-US" w:eastAsia="zh-CN"/>
              </w:rPr>
            </w:pPr>
          </w:p>
        </w:tc>
        <w:tc>
          <w:tcPr>
            <w:tcW w:w="3384" w:type="dxa"/>
            <w:vMerge w:val="continue"/>
            <w:tcBorders>
              <w:tl2br w:val="nil"/>
              <w:tr2bl w:val="nil"/>
            </w:tcBorders>
            <w:shd w:val="clear" w:color="auto" w:fill="auto"/>
            <w:noWrap w:val="0"/>
            <w:vAlign w:val="center"/>
          </w:tcPr>
          <w:p w14:paraId="1D9F3230">
            <w:pPr>
              <w:pageBreakBefore w:val="0"/>
              <w:widowControl w:val="0"/>
              <w:kinsoku/>
              <w:wordWrap/>
              <w:overflowPunct/>
              <w:topLinePunct w:val="0"/>
              <w:bidi w:val="0"/>
              <w:snapToGrid w:val="0"/>
              <w:spacing w:line="240" w:lineRule="auto"/>
              <w:ind w:left="0" w:leftChars="0" w:right="0" w:rightChars="0" w:firstLine="0" w:firstLineChars="0"/>
              <w:jc w:val="center"/>
              <w:rPr>
                <w:rFonts w:hint="eastAsia" w:ascii="仿宋" w:hAnsi="仿宋" w:eastAsia="仿宋" w:cs="仿宋"/>
                <w:b w:val="0"/>
                <w:bCs w:val="0"/>
                <w:color w:val="auto"/>
                <w:kern w:val="0"/>
                <w:sz w:val="24"/>
                <w:szCs w:val="24"/>
                <w:highlight w:val="none"/>
                <w:lang w:val="en-US" w:eastAsia="zh-CN" w:bidi="ar-SA"/>
              </w:rPr>
            </w:pPr>
          </w:p>
        </w:tc>
      </w:tr>
    </w:tbl>
    <w:p w14:paraId="334B2584">
      <w:pPr>
        <w:pStyle w:val="10"/>
        <w:tabs>
          <w:tab w:val="left" w:pos="312"/>
        </w:tabs>
        <w:snapToGrid w:val="0"/>
        <w:spacing w:line="480" w:lineRule="auto"/>
        <w:ind w:firstLine="480" w:firstLineChars="200"/>
        <w:rPr>
          <w:rFonts w:hint="default" w:ascii="仿宋" w:hAnsi="仿宋" w:eastAsia="仿宋" w:cs="仿宋"/>
          <w:color w:val="auto"/>
          <w:sz w:val="24"/>
          <w:szCs w:val="24"/>
          <w:highlight w:val="none"/>
          <w:lang w:val="en-US" w:eastAsia="zh-CN"/>
        </w:rPr>
      </w:pPr>
    </w:p>
    <w:p w14:paraId="7CC806E9">
      <w:pPr>
        <w:pStyle w:val="11"/>
        <w:rPr>
          <w:rFonts w:hint="default" w:ascii="仿宋" w:hAnsi="仿宋" w:eastAsia="仿宋" w:cs="仿宋"/>
          <w:color w:val="auto"/>
          <w:sz w:val="24"/>
          <w:szCs w:val="24"/>
          <w:highlight w:val="none"/>
          <w:lang w:val="en-US" w:eastAsia="zh-CN"/>
        </w:rPr>
      </w:pPr>
    </w:p>
    <w:p w14:paraId="53776CB5">
      <w:pPr>
        <w:pStyle w:val="10"/>
        <w:tabs>
          <w:tab w:val="left" w:pos="312"/>
        </w:tabs>
        <w:snapToGrid w:val="0"/>
        <w:spacing w:line="480" w:lineRule="auto"/>
        <w:ind w:firstLine="482"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注：</w:t>
      </w:r>
      <w:r>
        <w:rPr>
          <w:rFonts w:hint="eastAsia" w:ascii="仿宋" w:hAnsi="仿宋" w:eastAsia="仿宋" w:cs="仿宋"/>
          <w:color w:val="auto"/>
          <w:sz w:val="24"/>
          <w:szCs w:val="24"/>
          <w:highlight w:val="none"/>
          <w:lang w:val="en-US" w:eastAsia="zh-CN"/>
        </w:rPr>
        <w:t>报价单中的固定</w:t>
      </w:r>
      <w:r>
        <w:rPr>
          <w:rFonts w:hint="eastAsia" w:ascii="仿宋" w:hAnsi="仿宋" w:eastAsia="仿宋" w:cs="仿宋"/>
          <w:b w:val="0"/>
          <w:bCs w:val="0"/>
          <w:color w:val="auto"/>
          <w:kern w:val="0"/>
          <w:sz w:val="24"/>
          <w:szCs w:val="24"/>
          <w:highlight w:val="none"/>
          <w:lang w:val="en-US" w:eastAsia="zh-CN" w:bidi="ar-SA"/>
        </w:rPr>
        <w:t>包干总价，含树木移植费、运输费、人工费、材料费、机械设备费、</w:t>
      </w:r>
      <w:r>
        <w:rPr>
          <w:rFonts w:hint="eastAsia" w:ascii="仿宋" w:hAnsi="仿宋" w:eastAsia="仿宋" w:cs="仿宋"/>
          <w:bCs/>
          <w:color w:val="auto"/>
          <w:sz w:val="24"/>
          <w:szCs w:val="24"/>
          <w:highlight w:val="none"/>
          <w:lang w:val="en-US" w:eastAsia="zh-CN"/>
        </w:rPr>
        <w:t>栽植场地处置费、</w:t>
      </w:r>
      <w:r>
        <w:rPr>
          <w:rFonts w:hint="eastAsia" w:ascii="仿宋" w:hAnsi="仿宋" w:eastAsia="仿宋" w:cs="仿宋"/>
          <w:b w:val="0"/>
          <w:bCs w:val="0"/>
          <w:color w:val="auto"/>
          <w:kern w:val="0"/>
          <w:sz w:val="24"/>
          <w:szCs w:val="24"/>
          <w:highlight w:val="none"/>
          <w:lang w:val="en-US" w:eastAsia="zh-CN" w:bidi="ar-SA"/>
        </w:rPr>
        <w:t>安全文明施工费、行政审批费、养护费、补种费、保险费、税费及其他全部相关费用。</w:t>
      </w:r>
      <w:r>
        <w:rPr>
          <w:rFonts w:hint="eastAsia" w:ascii="仿宋" w:hAnsi="仿宋" w:eastAsia="仿宋" w:cs="仿宋"/>
          <w:color w:val="auto"/>
          <w:sz w:val="24"/>
          <w:szCs w:val="24"/>
          <w:highlight w:val="none"/>
          <w:lang w:val="en-US" w:eastAsia="zh-CN"/>
        </w:rPr>
        <w:t>且不因人工、材料等市场价格波动进行任何调整。</w:t>
      </w:r>
    </w:p>
    <w:p w14:paraId="42EB0EDA">
      <w:pPr>
        <w:pStyle w:val="11"/>
        <w:rPr>
          <w:rFonts w:hint="eastAsia"/>
          <w:color w:val="auto"/>
          <w:highlight w:val="none"/>
          <w:lang w:val="en-US" w:eastAsia="zh-CN"/>
        </w:rPr>
      </w:pPr>
    </w:p>
    <w:p w14:paraId="21794586">
      <w:pPr>
        <w:pStyle w:val="10"/>
        <w:pageBreakBefore w:val="0"/>
        <w:widowControl w:val="0"/>
        <w:tabs>
          <w:tab w:val="left" w:pos="312"/>
        </w:tabs>
        <w:kinsoku/>
        <w:wordWrap/>
        <w:overflowPunct/>
        <w:topLinePunct w:val="0"/>
        <w:bidi w:val="0"/>
        <w:snapToGrid w:val="0"/>
        <w:spacing w:line="480" w:lineRule="exact"/>
        <w:ind w:firstLine="480" w:firstLineChars="200"/>
        <w:rPr>
          <w:rFonts w:hint="eastAsia" w:ascii="仿宋" w:hAnsi="仿宋" w:eastAsia="仿宋" w:cs="仿宋"/>
          <w:bCs/>
          <w:color w:val="auto"/>
          <w:sz w:val="24"/>
          <w:szCs w:val="24"/>
          <w:highlight w:val="none"/>
          <w:lang w:val="en-US" w:eastAsia="zh-CN"/>
        </w:rPr>
      </w:pPr>
    </w:p>
    <w:p w14:paraId="41608108">
      <w:pPr>
        <w:ind w:left="0" w:leftChars="0" w:firstLine="0" w:firstLineChars="0"/>
        <w:jc w:val="both"/>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报价人（法定代表人）：</w:t>
      </w:r>
    </w:p>
    <w:p w14:paraId="1573569A">
      <w:pP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 </w:t>
      </w:r>
    </w:p>
    <w:p w14:paraId="61E49520">
      <w:pPr>
        <w:rPr>
          <w:rFonts w:hint="eastAsia" w:ascii="仿宋" w:hAnsi="仿宋" w:eastAsia="仿宋" w:cs="仿宋"/>
          <w:color w:val="auto"/>
          <w:sz w:val="24"/>
          <w:szCs w:val="24"/>
          <w:highlight w:val="none"/>
          <w:lang w:val="en-US" w:eastAsia="zh-CN"/>
        </w:rPr>
      </w:pPr>
    </w:p>
    <w:p w14:paraId="41331E99">
      <w:pPr>
        <w:ind w:left="0" w:leftChars="0" w:firstLine="0" w:firstLineChars="0"/>
        <w:rPr>
          <w:rFonts w:hint="eastAsia" w:ascii="仿宋" w:hAnsi="仿宋" w:eastAsia="仿宋" w:cs="仿宋"/>
          <w:color w:val="auto"/>
          <w:sz w:val="24"/>
          <w:szCs w:val="24"/>
          <w:highlight w:val="none"/>
          <w:lang w:val="en-US" w:eastAsia="zh-CN"/>
        </w:rPr>
      </w:pPr>
    </w:p>
    <w:p w14:paraId="274AE436">
      <w:pPr>
        <w:ind w:left="0" w:leftChars="0" w:firstLine="0" w:firstLineChars="0"/>
        <w:rPr>
          <w:rFonts w:hint="eastAsia" w:ascii="仿宋" w:hAnsi="仿宋" w:eastAsia="仿宋" w:cs="仿宋"/>
          <w:b w:val="0"/>
          <w:bCs w:val="0"/>
          <w:color w:val="auto"/>
          <w:sz w:val="24"/>
          <w:szCs w:val="24"/>
          <w:highlight w:val="none"/>
        </w:rPr>
      </w:pPr>
      <w:r>
        <w:rPr>
          <w:rFonts w:hint="eastAsia" w:ascii="仿宋" w:hAnsi="仿宋" w:eastAsia="仿宋" w:cs="仿宋"/>
          <w:color w:val="auto"/>
          <w:sz w:val="24"/>
          <w:szCs w:val="24"/>
          <w:highlight w:val="none"/>
        </w:rPr>
        <w:t>报价单位：（盖</w:t>
      </w:r>
      <w:r>
        <w:rPr>
          <w:rFonts w:hint="eastAsia" w:ascii="仿宋" w:hAnsi="仿宋" w:eastAsia="仿宋" w:cs="仿宋"/>
          <w:color w:val="auto"/>
          <w:sz w:val="24"/>
          <w:szCs w:val="24"/>
          <w:highlight w:val="none"/>
          <w:lang w:eastAsia="zh-CN"/>
        </w:rPr>
        <w:t>公</w:t>
      </w:r>
      <w:r>
        <w:rPr>
          <w:rFonts w:hint="eastAsia" w:ascii="仿宋" w:hAnsi="仿宋" w:eastAsia="仿宋" w:cs="仿宋"/>
          <w:color w:val="auto"/>
          <w:sz w:val="24"/>
          <w:szCs w:val="24"/>
          <w:highlight w:val="none"/>
        </w:rPr>
        <w:t>章）</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  期：</w:t>
      </w:r>
    </w:p>
    <w:p w14:paraId="5359C1B7">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b w:val="0"/>
          <w:bCs w:val="0"/>
          <w:color w:val="auto"/>
          <w:sz w:val="24"/>
          <w:szCs w:val="24"/>
          <w:highlight w:val="none"/>
        </w:rPr>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2"/>
      </w:pPr>
      <w:r>
        <w:separator/>
      </w:r>
    </w:p>
  </w:endnote>
  <w:endnote w:type="continuationSeparator" w:id="1">
    <w:p>
      <w:pPr>
        <w:spacing w:line="240" w:lineRule="auto"/>
        <w:ind w:firstLine="56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2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A4FB5B27-6B41-47CA-A606-F49B63507C56}"/>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2" w:fontKey="{78B5C40A-0C2D-48A4-A762-E529EDB6A86A}"/>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embedRegular r:id="rId3" w:fontKey="{9E19880A-1334-4D67-8E62-81B4B15F54DD}"/>
  </w:font>
  <w:font w:name="方正小标宋简体">
    <w:panose1 w:val="02000000000000000000"/>
    <w:charset w:val="86"/>
    <w:family w:val="auto"/>
    <w:pitch w:val="default"/>
    <w:sig w:usb0="00000001" w:usb1="08000000" w:usb2="00000000" w:usb3="00000000" w:csb0="00040000" w:csb1="00000000"/>
    <w:embedRegular r:id="rId4" w:fontKey="{3AC357FF-5FDC-4030-B8D4-2C54F97EF6B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E01945">
    <w:pPr>
      <w:pStyle w:val="4"/>
      <w:ind w:firstLine="361"/>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5AFACC">
                          <w:pPr>
                            <w:pStyle w:val="4"/>
                            <w:ind w:firstLine="361"/>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0D5AFACC">
                    <w:pPr>
                      <w:pStyle w:val="4"/>
                      <w:ind w:firstLine="361"/>
                    </w:pPr>
                    <w:r>
                      <w:fldChar w:fldCharType="begin"/>
                    </w:r>
                    <w:r>
                      <w:instrText xml:space="preserve"> PAGE  \* MERGEFORMAT </w:instrText>
                    </w:r>
                    <w:r>
                      <w:fldChar w:fldCharType="separate"/>
                    </w:r>
                    <w:r>
                      <w:t>6</w:t>
                    </w:r>
                    <w:r>
                      <w:fldChar w:fldCharType="end"/>
                    </w:r>
                  </w:p>
                </w:txbxContent>
              </v:textbox>
            </v:shape>
          </w:pict>
        </mc:Fallback>
      </mc:AlternateContent>
    </w:r>
    <w:r>
      <w:rPr>
        <w:rFonts w:hint="eastAsia"/>
      </w:rPr>
      <w:t xml:space="preserve">                                                                                                 </w:t>
    </w:r>
  </w:p>
  <w:p w14:paraId="54285B0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5DBB6">
    <w:pPr>
      <w:pStyle w:val="4"/>
      <w:ind w:firstLine="36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E574A0">
    <w:pPr>
      <w:pStyle w:val="4"/>
      <w:ind w:firstLine="36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2"/>
      </w:pPr>
      <w:r>
        <w:separator/>
      </w:r>
    </w:p>
  </w:footnote>
  <w:footnote w:type="continuationSeparator" w:id="1">
    <w:p>
      <w:pPr>
        <w:spacing w:line="240" w:lineRule="auto"/>
        <w:ind w:firstLine="56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E97938">
    <w:pPr>
      <w:pStyle w:val="5"/>
      <w:ind w:firstLine="361"/>
    </w:pPr>
    <w:r>
      <w:rPr>
        <w:rFonts w:hint="eastAsia"/>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121BD5">
    <w:pPr>
      <w:pStyle w:val="5"/>
      <w:ind w:firstLine="36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4A6F5B">
    <w:pPr>
      <w:pStyle w:val="5"/>
      <w:ind w:firstLine="3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3CE6CFC"/>
    <w:multiLevelType w:val="singleLevel"/>
    <w:tmpl w:val="63CE6CFC"/>
    <w:lvl w:ilvl="0" w:tentative="0">
      <w:start w:val="2"/>
      <w:numFmt w:val="chineseCounting"/>
      <w:suff w:val="space"/>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924827"/>
    <w:rsid w:val="02864AC8"/>
    <w:rsid w:val="04924827"/>
    <w:rsid w:val="05860158"/>
    <w:rsid w:val="05B12815"/>
    <w:rsid w:val="10066209"/>
    <w:rsid w:val="13B373BD"/>
    <w:rsid w:val="15C763E7"/>
    <w:rsid w:val="20144886"/>
    <w:rsid w:val="2CEB52FA"/>
    <w:rsid w:val="30113E94"/>
    <w:rsid w:val="313D0C17"/>
    <w:rsid w:val="322F3987"/>
    <w:rsid w:val="36F45348"/>
    <w:rsid w:val="389B4202"/>
    <w:rsid w:val="38A0218C"/>
    <w:rsid w:val="3FCA52FB"/>
    <w:rsid w:val="522A0079"/>
    <w:rsid w:val="562F77DE"/>
    <w:rsid w:val="62116A72"/>
    <w:rsid w:val="66B65CE2"/>
    <w:rsid w:val="69D76646"/>
    <w:rsid w:val="6D771D3A"/>
    <w:rsid w:val="6E79280D"/>
    <w:rsid w:val="70B84386"/>
    <w:rsid w:val="731059AA"/>
    <w:rsid w:val="77144185"/>
    <w:rsid w:val="783B08AC"/>
    <w:rsid w:val="7BDD2B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40" w:lineRule="exact"/>
      <w:ind w:firstLine="562" w:firstLineChars="200"/>
      <w:jc w:val="both"/>
    </w:pPr>
    <w:rPr>
      <w:rFonts w:ascii="宋体" w:hAnsi="宋体" w:eastAsia="宋体" w:cs="宋体"/>
      <w:b/>
      <w:bCs/>
      <w:color w:val="000000" w:themeColor="text1"/>
      <w:kern w:val="2"/>
      <w:sz w:val="28"/>
      <w:szCs w:val="24"/>
      <w:lang w:val="en-US" w:eastAsia="zh-CN" w:bidi="ar-SA"/>
      <w14:textFill>
        <w14:solidFill>
          <w14:schemeClr w14:val="tx1"/>
        </w14:solidFill>
      </w14:textFill>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val="0"/>
      <w:kern w:val="44"/>
      <w:sz w:val="44"/>
      <w:szCs w:val="20"/>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Indent"/>
    <w:basedOn w:val="1"/>
    <w:unhideWhenUsed/>
    <w:qFormat/>
    <w:uiPriority w:val="99"/>
    <w:pPr>
      <w:spacing w:after="120"/>
      <w:ind w:left="420" w:leftChars="200"/>
    </w:pPr>
  </w:style>
  <w:style w:type="paragraph" w:styleId="4">
    <w:name w:val="footer"/>
    <w:basedOn w:val="1"/>
    <w:qFormat/>
    <w:uiPriority w:val="0"/>
    <w:pPr>
      <w:tabs>
        <w:tab w:val="center" w:pos="4153"/>
        <w:tab w:val="right" w:pos="8306"/>
      </w:tabs>
      <w:snapToGrid w:val="0"/>
      <w:jc w:val="left"/>
    </w:pPr>
    <w:rPr>
      <w:kern w:val="0"/>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Body Text First Indent 2"/>
    <w:basedOn w:val="3"/>
    <w:qFormat/>
    <w:uiPriority w:val="0"/>
    <w:pPr>
      <w:overflowPunct w:val="0"/>
      <w:adjustRightInd w:val="0"/>
      <w:spacing w:after="0" w:line="500" w:lineRule="exact"/>
      <w:ind w:left="630" w:leftChars="0" w:firstLine="420"/>
      <w:textAlignment w:val="baseline"/>
    </w:pPr>
    <w:rPr>
      <w:rFonts w:ascii="楷体_GB2312" w:eastAsia="仿宋_GB2312"/>
      <w:kern w:val="28"/>
      <w:szCs w:val="30"/>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Default"/>
    <w:next w:val="11"/>
    <w:qFormat/>
    <w:uiPriority w:val="0"/>
    <w:pPr>
      <w:widowControl w:val="0"/>
      <w:autoSpaceDE w:val="0"/>
      <w:autoSpaceDN w:val="0"/>
      <w:adjustRightInd w:val="0"/>
    </w:pPr>
    <w:rPr>
      <w:rFonts w:ascii="仿宋_GB2312" w:hAnsi="Times New Roman" w:eastAsia="仿宋_GB2312" w:cs="仿宋_GB2312"/>
      <w:color w:val="000000"/>
      <w:kern w:val="0"/>
      <w:sz w:val="24"/>
      <w:szCs w:val="24"/>
      <w:lang w:val="en-US" w:eastAsia="zh-CN" w:bidi="ar-SA"/>
    </w:rPr>
  </w:style>
  <w:style w:type="paragraph" w:customStyle="1" w:styleId="11">
    <w:name w:val="大标题"/>
    <w:basedOn w:val="1"/>
    <w:next w:val="6"/>
    <w:qFormat/>
    <w:uiPriority w:val="0"/>
    <w:pPr>
      <w:ind w:firstLine="560"/>
      <w:jc w:val="left"/>
    </w:pPr>
    <w:rPr>
      <w:rFonts w:ascii="Arial" w:hAnsi="Arial"/>
      <w:b w:val="0"/>
    </w:rPr>
  </w:style>
  <w:style w:type="paragraph" w:customStyle="1" w:styleId="12">
    <w:name w:val="List Paragraph"/>
    <w:basedOn w:val="1"/>
    <w:qFormat/>
    <w:uiPriority w:val="34"/>
    <w:pPr>
      <w:ind w:firstLine="42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3223</Words>
  <Characters>3348</Characters>
  <Lines>0</Lines>
  <Paragraphs>0</Paragraphs>
  <TotalTime>1</TotalTime>
  <ScaleCrop>false</ScaleCrop>
  <LinksUpToDate>false</LinksUpToDate>
  <CharactersWithSpaces>3622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2026-07-06T08:34:00Z</dcterms:created>
  <dc:creator>青吖纸</dc:creator>
  <cp:lastModifiedBy>青吖纸</cp:lastModifiedBy>
  <cp:lastPrinted>2026-08-14T08:26:00Z</cp:lastPrinted>
  <dcterms:modified xsi:type="dcterms:W3CDTF">2026-09-01T00:39:03Z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CC20D584619946D795DF4CF617AD2512_13</vt:lpwstr>
  </property>
  <property fmtid="{D5CDD505-2E9C-101B-9397-08002B2CF9AE}" pid="4" name="KSOTemplateDocerSaveRecord">
    <vt:lpwstr>eyJoZGlkIjoiYmQ0NDc3MjJjMTA5NTMxNjlhM2U5ZjZiODc4MjQ3ZDIiLCJ1c2VySWQiOiIyNTU1MzQzODcifQ==</vt:lpwstr>
  </property>
  <property fmtid="{D5CDD505-2E9C-101B-9397-08002B2CF9AE}" pid="5" name="AIGC">
    <vt:lpwstr>{"Label":"1","ContentProducer":"001191440300708461136T1WFUO","ProduceID":"932b4f2c3778720d734088180cd9c21b-5aHK","ReservedCode1":"{\"Type\":\" TC260PG\",\"Version\":1,\"Bindings\":[{\"Type\":\"soft\",\"AlgID\":\"sm3\",\"Value\":\"0f7e8fb6b1f13d49cbefa99ff64f88f799495aae1814accf82668a1d5d033bbb\"},{\"Type\":\"hash\",\"AlgID\":\"sm3\",\"Value\":\"1dd0634ac370d28adccefa0af4ecffaf7178223d48729706ef1ac3346439d1b2\"}],\"PubSD\":[{\"Type\":\"DS\",\"AlgID\":\"sm2\",\"TBSData\":{\"Type\":\"Binding\",\"BType\":\"hash\"},\"Signature\":\"30450220438269f09ff691e71966416cd8dbe713375e8ba8c8efc9adc20010160eae5b3002210081e20a19786de09dff6e470accb390d32c798dbf749f8af3ab242c68e3971b5a\"},{\"Type\":\"PubKey\",\"AlgID\":\"sm2\",\"KeyValue\":\"0407f79b28a17a752b3aae4305c98b48978213832729a2571850b1310b2bc9fe8fee039ccf25ebfeac27502414d9fcef792d777183c98893d226171c2f7a3289a2\"}],\"Extension\":{\"Timestamp\":1786975662,\"KeyVersion\":\"v1-TxLeOmf7bqU223\"}}","ContentPropagator":"001191440300708461136T1WFUO","PropagateID":"932b4f2c3778720d734088180cd9c21b-5aHK","ReservedCode2":"{\"Type\":\" TC260PG\",\"Version\":1,\"Bindings\":[{\"Type\":\"soft\",\"AlgID\":\"sm3\",\"Value\":\"0f7e8fb6b1f13d49cbefa99ff64f88f799495aae1814accf82668a1d5d033bbb\"},{\"Type\":\"hash\",\"AlgID\":\"sm3\",\"Value\":\"1dd0634ac370d28adccefa0af4ecffaf7178223d48729706ef1ac3346439d1b2\"}],\"PubSD\":[{\"Type\":\"DS\",\"AlgID\":\"sm2\",\"TBSData\":{\"Type\":\"Binding\",\"BType\":\"hash\"},\"Signature\":\"304602210089bb7b8037c851c8b21fadcb0c17bf0de6146f29d27392e572af898f3da49545022100b31130f27edd7f6efe41bc6b0e195156ca645c83690a9e54b62641c562fa9b33\"},{\"Type\":\"PubKey\",\"AlgID\":\"sm2\",\"KeyValue\":\"0407f79b28a17a752b3aae4305c98b48978213832729a2571850b1310b2bc9fe8fee039ccf25ebfeac27502414d9fcef792d777183c98893d226171c2f7a3289a2\"}],\"Extension\":{\"Timestamp\":1786975662,\"KeyVersion\":\"v1-TxLeOmf7bqU223\"}}"}</vt:lpwstr>
  </property>
</Properties>
</file>