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（脉动真空灭菌器医院公开挂网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九</w:t>
      </w:r>
      <w:r>
        <w:rPr>
          <w:rFonts w:hint="eastAsia" w:ascii="宋体" w:hAnsi="宋体" w:cs="宋体"/>
          <w:bCs/>
          <w:sz w:val="32"/>
          <w:szCs w:val="32"/>
        </w:rPr>
        <w:t>月</w:t>
      </w:r>
    </w:p>
    <w:p w14:paraId="4F5472A4">
      <w:pPr>
        <w:pStyle w:val="4"/>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脉动真空灭菌器</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脉动真空灭菌器</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FF0000"/>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831"/>
        <w:gridCol w:w="2676"/>
        <w:gridCol w:w="1486"/>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脉动真空灭菌器</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45.5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1D1C05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华文宋体" w:hAnsi="华文宋体" w:eastAsia="华文宋体" w:cs="华文宋体"/>
          <w:b w:val="0"/>
          <w:bCs w:val="0"/>
          <w:color w:val="000000"/>
          <w:kern w:val="2"/>
          <w:sz w:val="24"/>
          <w:szCs w:val="24"/>
          <w:lang w:val="en-US" w:eastAsia="zh-CN" w:bidi="ar-SA"/>
        </w:rPr>
      </w:pPr>
      <w:r>
        <w:rPr>
          <w:rFonts w:hint="eastAsia" w:ascii="华文宋体" w:hAnsi="华文宋体" w:eastAsia="华文宋体" w:cs="华文宋体"/>
          <w:b w:val="0"/>
          <w:bCs w:val="0"/>
          <w:color w:val="000000"/>
          <w:kern w:val="2"/>
          <w:sz w:val="24"/>
          <w:szCs w:val="24"/>
          <w:lang w:val="en-US" w:eastAsia="zh-CN" w:bidi="ar-SA"/>
        </w:rPr>
        <w:t>（一）技术参数</w:t>
      </w:r>
    </w:p>
    <w:p w14:paraId="5EB3A151">
      <w:pPr>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snapToGrid/>
          <w:color w:val="auto"/>
          <w:sz w:val="24"/>
          <w:szCs w:val="24"/>
          <w:highlight w:val="none"/>
          <w:lang w:eastAsia="zh-CN"/>
        </w:rPr>
      </w:pPr>
      <w:r>
        <w:rPr>
          <w:rFonts w:hint="eastAsia" w:ascii="华文宋体" w:hAnsi="华文宋体" w:eastAsia="华文宋体" w:cs="华文宋体"/>
          <w:snapToGrid/>
          <w:color w:val="auto"/>
          <w:sz w:val="24"/>
          <w:szCs w:val="24"/>
          <w:highlight w:val="none"/>
          <w:lang w:eastAsia="zh-CN"/>
        </w:rPr>
        <w:t>主要用途：对耐热、耐湿器械、器具等物品进行高温高压蒸汽灭菌处理。</w:t>
      </w:r>
    </w:p>
    <w:p w14:paraId="71A2EB77">
      <w:pPr>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snapToGrid/>
          <w:color w:val="auto"/>
          <w:sz w:val="24"/>
          <w:szCs w:val="24"/>
          <w:highlight w:val="none"/>
          <w:lang w:val="en-US" w:eastAsia="zh-CN"/>
        </w:rPr>
      </w:pPr>
      <w:r>
        <w:rPr>
          <w:rFonts w:hint="eastAsia" w:ascii="华文宋体" w:hAnsi="华文宋体" w:eastAsia="华文宋体" w:cs="华文宋体"/>
          <w:snapToGrid/>
          <w:color w:val="auto"/>
          <w:sz w:val="24"/>
          <w:szCs w:val="24"/>
          <w:highlight w:val="none"/>
          <w:lang w:eastAsia="zh-CN"/>
        </w:rPr>
        <w:t>★设备整体要求：</w:t>
      </w:r>
      <w:r>
        <w:rPr>
          <w:rFonts w:hint="eastAsia" w:ascii="华文宋体" w:hAnsi="华文宋体" w:eastAsia="华文宋体" w:cs="华文宋体"/>
          <w:snapToGrid/>
          <w:color w:val="auto"/>
          <w:sz w:val="24"/>
          <w:szCs w:val="24"/>
          <w:highlight w:val="none"/>
          <w:lang w:val="en-US" w:eastAsia="zh-CN"/>
        </w:rPr>
        <w:t>平移门，地上安装，</w:t>
      </w:r>
      <w:r>
        <w:rPr>
          <w:rFonts w:hint="eastAsia" w:ascii="华文宋体" w:hAnsi="华文宋体" w:eastAsia="华文宋体" w:cs="华文宋体"/>
          <w:snapToGrid/>
          <w:color w:val="auto"/>
          <w:sz w:val="24"/>
          <w:szCs w:val="24"/>
          <w:highlight w:val="none"/>
          <w:lang w:eastAsia="zh-CN"/>
        </w:rPr>
        <w:t>容积≥1</w:t>
      </w:r>
      <w:r>
        <w:rPr>
          <w:rFonts w:hint="eastAsia" w:ascii="华文宋体" w:hAnsi="华文宋体" w:eastAsia="华文宋体" w:cs="华文宋体"/>
          <w:snapToGrid/>
          <w:color w:val="auto"/>
          <w:sz w:val="24"/>
          <w:szCs w:val="24"/>
          <w:highlight w:val="none"/>
          <w:lang w:val="en-US" w:eastAsia="zh-CN"/>
        </w:rPr>
        <w:t>5</w:t>
      </w:r>
      <w:r>
        <w:rPr>
          <w:rFonts w:hint="eastAsia" w:ascii="华文宋体" w:hAnsi="华文宋体" w:eastAsia="华文宋体" w:cs="华文宋体"/>
          <w:snapToGrid/>
          <w:color w:val="auto"/>
          <w:sz w:val="24"/>
          <w:szCs w:val="24"/>
          <w:highlight w:val="none"/>
          <w:lang w:eastAsia="zh-CN"/>
        </w:rPr>
        <w:t>00升，</w:t>
      </w:r>
      <w:r>
        <w:rPr>
          <w:rFonts w:hint="eastAsia" w:ascii="华文宋体" w:hAnsi="华文宋体" w:eastAsia="华文宋体" w:cs="华文宋体"/>
          <w:snapToGrid/>
          <w:color w:val="auto"/>
          <w:sz w:val="24"/>
          <w:szCs w:val="24"/>
          <w:highlight w:val="none"/>
          <w:lang w:val="en-US" w:eastAsia="zh-CN"/>
        </w:rPr>
        <w:t>外接</w:t>
      </w:r>
      <w:r>
        <w:rPr>
          <w:rFonts w:hint="eastAsia" w:ascii="华文宋体" w:hAnsi="华文宋体" w:eastAsia="华文宋体" w:cs="华文宋体"/>
          <w:snapToGrid/>
          <w:color w:val="auto"/>
          <w:sz w:val="24"/>
          <w:szCs w:val="24"/>
          <w:highlight w:val="none"/>
          <w:lang w:eastAsia="zh-CN"/>
        </w:rPr>
        <w:t>蒸汽，使用寿命</w:t>
      </w:r>
      <w:r>
        <w:rPr>
          <w:rFonts w:hint="eastAsia" w:ascii="华文宋体" w:hAnsi="华文宋体" w:eastAsia="华文宋体" w:cs="华文宋体"/>
          <w:snapToGrid/>
          <w:color w:val="auto"/>
          <w:sz w:val="24"/>
          <w:szCs w:val="24"/>
          <w:highlight w:val="none"/>
          <w:lang w:val="en-US" w:eastAsia="zh-CN"/>
        </w:rPr>
        <w:t>≥</w:t>
      </w:r>
      <w:r>
        <w:rPr>
          <w:rFonts w:hint="eastAsia" w:ascii="华文宋体" w:hAnsi="华文宋体" w:eastAsia="华文宋体" w:cs="华文宋体"/>
          <w:snapToGrid/>
          <w:color w:val="auto"/>
          <w:sz w:val="24"/>
          <w:szCs w:val="24"/>
          <w:highlight w:val="none"/>
          <w:lang w:eastAsia="zh-CN"/>
        </w:rPr>
        <w:t>1</w:t>
      </w:r>
      <w:r>
        <w:rPr>
          <w:rFonts w:hint="eastAsia" w:ascii="华文宋体" w:hAnsi="华文宋体" w:eastAsia="华文宋体" w:cs="华文宋体"/>
          <w:snapToGrid/>
          <w:color w:val="auto"/>
          <w:sz w:val="24"/>
          <w:szCs w:val="24"/>
          <w:highlight w:val="none"/>
          <w:lang w:val="en-US" w:eastAsia="zh-CN"/>
        </w:rPr>
        <w:t>5</w:t>
      </w:r>
      <w:r>
        <w:rPr>
          <w:rFonts w:hint="eastAsia" w:ascii="华文宋体" w:hAnsi="华文宋体" w:eastAsia="华文宋体" w:cs="华文宋体"/>
          <w:snapToGrid/>
          <w:color w:val="auto"/>
          <w:sz w:val="24"/>
          <w:szCs w:val="24"/>
          <w:highlight w:val="none"/>
          <w:lang w:eastAsia="zh-CN"/>
        </w:rPr>
        <w:t>年</w:t>
      </w:r>
      <w:r>
        <w:rPr>
          <w:rFonts w:hint="eastAsia" w:ascii="华文宋体" w:hAnsi="华文宋体" w:eastAsia="华文宋体" w:cs="华文宋体"/>
          <w:snapToGrid/>
          <w:color w:val="auto"/>
          <w:sz w:val="24"/>
          <w:szCs w:val="24"/>
          <w:highlight w:val="none"/>
          <w:lang w:val="en-US" w:eastAsia="zh-CN"/>
        </w:rPr>
        <w:t>或30000次灭菌循环；</w:t>
      </w:r>
      <w:r>
        <w:rPr>
          <w:rFonts w:hint="eastAsia" w:ascii="华文宋体" w:hAnsi="华文宋体" w:eastAsia="华文宋体" w:cs="华文宋体"/>
          <w:snapToGrid/>
          <w:color w:val="auto"/>
          <w:sz w:val="24"/>
          <w:szCs w:val="24"/>
          <w:highlight w:val="none"/>
          <w:lang w:eastAsia="zh-CN"/>
        </w:rPr>
        <w:t>配置要求：</w:t>
      </w:r>
      <w:r>
        <w:rPr>
          <w:rFonts w:hint="eastAsia" w:ascii="华文宋体" w:hAnsi="华文宋体" w:eastAsia="华文宋体" w:cs="华文宋体"/>
          <w:snapToGrid/>
          <w:color w:val="auto"/>
          <w:sz w:val="24"/>
          <w:szCs w:val="24"/>
          <w:highlight w:val="none"/>
          <w:lang w:val="en-US" w:eastAsia="zh-CN"/>
        </w:rPr>
        <w:t>每台包括：</w:t>
      </w:r>
      <w:r>
        <w:rPr>
          <w:rFonts w:hint="eastAsia" w:ascii="华文宋体" w:hAnsi="华文宋体" w:eastAsia="华文宋体" w:cs="华文宋体"/>
          <w:snapToGrid/>
          <w:color w:val="auto"/>
          <w:sz w:val="24"/>
          <w:szCs w:val="24"/>
          <w:highlight w:val="none"/>
          <w:lang w:eastAsia="zh-CN"/>
        </w:rPr>
        <w:t>主机1台、外搬运车</w:t>
      </w:r>
      <w:r>
        <w:rPr>
          <w:rFonts w:hint="eastAsia" w:ascii="华文宋体" w:hAnsi="华文宋体" w:eastAsia="华文宋体" w:cs="华文宋体"/>
          <w:snapToGrid/>
          <w:color w:val="auto"/>
          <w:sz w:val="24"/>
          <w:szCs w:val="24"/>
          <w:highlight w:val="none"/>
          <w:lang w:val="en-US" w:eastAsia="zh-CN"/>
        </w:rPr>
        <w:t>2</w:t>
      </w:r>
      <w:r>
        <w:rPr>
          <w:rFonts w:hint="eastAsia" w:ascii="华文宋体" w:hAnsi="华文宋体" w:eastAsia="华文宋体" w:cs="华文宋体"/>
          <w:snapToGrid/>
          <w:color w:val="auto"/>
          <w:sz w:val="24"/>
          <w:szCs w:val="24"/>
          <w:highlight w:val="none"/>
          <w:lang w:eastAsia="zh-CN"/>
        </w:rPr>
        <w:t>辆、内消毒车</w:t>
      </w:r>
      <w:r>
        <w:rPr>
          <w:rFonts w:hint="eastAsia" w:ascii="华文宋体" w:hAnsi="华文宋体" w:eastAsia="华文宋体" w:cs="华文宋体"/>
          <w:snapToGrid/>
          <w:color w:val="auto"/>
          <w:sz w:val="24"/>
          <w:szCs w:val="24"/>
          <w:highlight w:val="none"/>
          <w:lang w:val="en-US" w:eastAsia="zh-CN"/>
        </w:rPr>
        <w:t>2</w:t>
      </w:r>
      <w:r>
        <w:rPr>
          <w:rFonts w:hint="eastAsia" w:ascii="华文宋体" w:hAnsi="华文宋体" w:eastAsia="华文宋体" w:cs="华文宋体"/>
          <w:snapToGrid/>
          <w:color w:val="auto"/>
          <w:sz w:val="24"/>
          <w:szCs w:val="24"/>
          <w:highlight w:val="none"/>
          <w:lang w:eastAsia="zh-CN"/>
        </w:rPr>
        <w:t>辆。</w:t>
      </w:r>
    </w:p>
    <w:p w14:paraId="0CF9AF4F">
      <w:pPr>
        <w:pageBreakBefore w:val="0"/>
        <w:widowControl w:val="0"/>
        <w:numPr>
          <w:ilvl w:val="0"/>
          <w:numId w:val="3"/>
        </w:numPr>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snapToGrid/>
          <w:color w:val="auto"/>
          <w:sz w:val="24"/>
          <w:szCs w:val="24"/>
          <w:highlight w:val="none"/>
          <w:lang w:val="en-US" w:eastAsia="zh-CN"/>
        </w:rPr>
      </w:pPr>
      <w:r>
        <w:rPr>
          <w:rFonts w:hint="eastAsia" w:ascii="华文宋体" w:hAnsi="华文宋体" w:eastAsia="华文宋体" w:cs="华文宋体"/>
          <w:snapToGrid/>
          <w:color w:val="auto"/>
          <w:sz w:val="24"/>
          <w:szCs w:val="24"/>
          <w:highlight w:val="none"/>
          <w:lang w:eastAsia="zh-CN"/>
        </w:rPr>
        <w:t>主体结构：环形加强筋结构，环形加强筋个数≥6个，多点进汽，进汽口数量≥6个。</w:t>
      </w:r>
    </w:p>
    <w:p w14:paraId="23030647">
      <w:pPr>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sz w:val="24"/>
          <w:szCs w:val="24"/>
          <w:lang w:val="en-US" w:eastAsia="zh-CN"/>
        </w:rPr>
      </w:pPr>
      <w:r>
        <w:rPr>
          <w:rFonts w:hint="eastAsia" w:ascii="华文宋体" w:hAnsi="华文宋体" w:eastAsia="华文宋体" w:cs="华文宋体"/>
          <w:snapToGrid/>
          <w:color w:val="auto"/>
          <w:sz w:val="24"/>
          <w:szCs w:val="24"/>
          <w:highlight w:val="none"/>
          <w:lang w:val="en-US" w:eastAsia="zh-CN"/>
        </w:rPr>
        <w:t>4、焊接工艺：</w:t>
      </w:r>
      <w:r>
        <w:rPr>
          <w:rFonts w:hint="eastAsia" w:ascii="华文宋体" w:hAnsi="华文宋体" w:eastAsia="华文宋体" w:cs="华文宋体"/>
          <w:snapToGrid/>
          <w:color w:val="auto"/>
          <w:sz w:val="24"/>
          <w:szCs w:val="24"/>
          <w:highlight w:val="none"/>
          <w:lang w:eastAsia="zh-CN"/>
        </w:rPr>
        <w:t>采用全自动焊接机器人焊接保证焊缝质量；避免人工焊接造成的焊缝出现焊渣，气孔等现象，极大地延长使用寿命。</w:t>
      </w:r>
    </w:p>
    <w:p w14:paraId="246E3682">
      <w:pPr>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snapToGrid/>
          <w:color w:val="auto"/>
          <w:sz w:val="24"/>
          <w:szCs w:val="24"/>
          <w:highlight w:val="none"/>
          <w:lang w:val="en-US" w:eastAsia="zh-CN"/>
        </w:rPr>
        <w:t>5、</w:t>
      </w:r>
      <w:r>
        <w:rPr>
          <w:rFonts w:hint="eastAsia" w:ascii="华文宋体" w:hAnsi="华文宋体" w:eastAsia="华文宋体" w:cs="华文宋体"/>
          <w:snapToGrid/>
          <w:color w:val="auto"/>
          <w:sz w:val="24"/>
          <w:szCs w:val="24"/>
          <w:highlight w:val="none"/>
          <w:lang w:eastAsia="zh-CN"/>
        </w:rPr>
        <w:t>▲材质：夹层、内室材质均为全</w:t>
      </w:r>
      <w:r>
        <w:rPr>
          <w:rFonts w:hint="eastAsia" w:ascii="华文宋体" w:hAnsi="华文宋体" w:eastAsia="华文宋体" w:cs="华文宋体"/>
          <w:snapToGrid/>
          <w:color w:val="auto"/>
          <w:sz w:val="24"/>
          <w:szCs w:val="24"/>
          <w:highlight w:val="none"/>
          <w:lang w:val="en-US" w:eastAsia="zh-CN"/>
        </w:rPr>
        <w:t>316L</w:t>
      </w:r>
      <w:r>
        <w:rPr>
          <w:rFonts w:hint="eastAsia" w:ascii="华文宋体" w:hAnsi="华文宋体" w:eastAsia="华文宋体" w:cs="华文宋体"/>
          <w:snapToGrid/>
          <w:color w:val="auto"/>
          <w:sz w:val="24"/>
          <w:szCs w:val="24"/>
          <w:highlight w:val="none"/>
          <w:lang w:eastAsia="zh-CN"/>
        </w:rPr>
        <w:t>不锈钢，夹层、内室</w:t>
      </w:r>
      <w:r>
        <w:rPr>
          <w:rFonts w:hint="eastAsia" w:ascii="华文宋体" w:hAnsi="华文宋体" w:eastAsia="华文宋体" w:cs="华文宋体"/>
          <w:b w:val="0"/>
          <w:bCs w:val="0"/>
          <w:snapToGrid/>
          <w:color w:val="auto"/>
          <w:kern w:val="2"/>
          <w:sz w:val="24"/>
          <w:szCs w:val="24"/>
          <w:highlight w:val="none"/>
          <w:lang w:val="en-US" w:eastAsia="zh-CN" w:bidi="ar-SA"/>
        </w:rPr>
        <w:t>厚度均需≥6mm，提供产品质量证明书中的《固定式压力容器产品数据表》复印件并加盖制造商公章。</w:t>
      </w:r>
    </w:p>
    <w:p w14:paraId="68206885">
      <w:pPr>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6、安全余量：设计压力区间为-0.1～0.3Mpa，设计温度≥144℃，设计压力温度远高于工作压力温度，充分保留安全余量，保证操作人员的安全。</w:t>
      </w:r>
    </w:p>
    <w:p w14:paraId="616DBED0">
      <w:pPr>
        <w:pStyle w:val="5"/>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7、门：前后双门，门胶条安装在设备主体上并非在门板上且门板厚度≥10mm，门板材料同内室需均为316L不锈钢材料，门板背面焊接加强筋，加强筋数量≥3个。</w:t>
      </w:r>
    </w:p>
    <w:p w14:paraId="0995A687">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8、门动力方式：电机带轮通过同步带驱动门板左右平移，全过程自动完成。</w:t>
      </w:r>
    </w:p>
    <w:p w14:paraId="21CDB1CD">
      <w:pPr>
        <w:pStyle w:val="5"/>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9、门胶条：为保证设备密封性能，要求为圆形门胶圈，医用透明高抗撕硅橡胶材质，压缩气密封。</w:t>
      </w:r>
    </w:p>
    <w:p w14:paraId="3A863DC0">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10、两种门模式：隔离门模式：日常工作时使用，前后门不能同时打开，有效保证无菌物品存放区与检查包装区的隔离；维护门模式：在设备维护或检查检修时由专业工程师使用。</w:t>
      </w:r>
    </w:p>
    <w:p w14:paraId="4723EB14">
      <w:pPr>
        <w:pStyle w:val="5"/>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11、管路材质：不锈钢卫生级管路，卡箍连接且管路上都具有保温棉。</w:t>
      </w:r>
    </w:p>
    <w:p w14:paraId="38A8962B">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12、真空泵：采用单级直连式水环真空泵，配合板式换热器，减轻真空泵负载。</w:t>
      </w:r>
    </w:p>
    <w:p w14:paraId="11348472">
      <w:pPr>
        <w:pStyle w:val="5"/>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13、无压排水降噪系统：低温无压排水真空系统，可达到节水降噪功能。</w:t>
      </w:r>
    </w:p>
    <w:p w14:paraId="554996FD">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14、控制方式：采用工业PLC控制系统，非单片机控制模式，PLC控制系统稳定性高，适合在恶劣的工业环境中使用，而非安卓等民用系统；</w:t>
      </w:r>
    </w:p>
    <w:p w14:paraId="29D3439E">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15、为方便科室使用，屏幕尺寸需≥10英寸，提供屏幕测量照片并加盖制造商公章。</w:t>
      </w:r>
    </w:p>
    <w:p w14:paraId="4EA4829E">
      <w:pPr>
        <w:pStyle w:val="5"/>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16、记录方式与内容：要求同时具备触摸屏记录和热敏打印机记录两种记录方式。</w:t>
      </w:r>
    </w:p>
    <w:p w14:paraId="4F956459">
      <w:pPr>
        <w:pStyle w:val="5"/>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b w:val="0"/>
          <w:bCs w:val="0"/>
          <w:snapToGrid/>
          <w:color w:val="auto"/>
          <w:kern w:val="2"/>
          <w:sz w:val="24"/>
          <w:szCs w:val="24"/>
          <w:highlight w:val="none"/>
          <w:lang w:val="en-US" w:eastAsia="zh-CN" w:bidi="ar-SA"/>
        </w:rPr>
      </w:pPr>
      <w:r>
        <w:rPr>
          <w:rFonts w:hint="eastAsia" w:ascii="华文宋体" w:hAnsi="华文宋体" w:eastAsia="华文宋体" w:cs="华文宋体"/>
          <w:b w:val="0"/>
          <w:bCs w:val="0"/>
          <w:snapToGrid/>
          <w:color w:val="auto"/>
          <w:kern w:val="2"/>
          <w:sz w:val="24"/>
          <w:szCs w:val="24"/>
          <w:highlight w:val="none"/>
          <w:lang w:val="en-US" w:eastAsia="zh-CN" w:bidi="ar-SA"/>
        </w:rPr>
        <w:t>17、▲程序种类及数量：灭菌类程序：≥32套可供科室人员选择，标准循环: ≤55分钟。</w:t>
      </w:r>
    </w:p>
    <w:p w14:paraId="7C9B86CE">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华文宋体" w:hAnsi="华文宋体" w:eastAsia="华文宋体" w:cs="华文宋体"/>
          <w:snapToGrid/>
          <w:color w:val="auto"/>
          <w:sz w:val="24"/>
          <w:szCs w:val="24"/>
          <w:highlight w:val="none"/>
          <w:lang w:eastAsia="zh-CN"/>
        </w:rPr>
      </w:pPr>
      <w:r>
        <w:rPr>
          <w:rFonts w:hint="eastAsia" w:ascii="华文宋体" w:hAnsi="华文宋体" w:eastAsia="华文宋体" w:cs="华文宋体"/>
          <w:b w:val="0"/>
          <w:bCs w:val="0"/>
          <w:snapToGrid/>
          <w:color w:val="auto"/>
          <w:kern w:val="2"/>
          <w:sz w:val="24"/>
          <w:szCs w:val="24"/>
          <w:highlight w:val="none"/>
          <w:lang w:val="en-US" w:eastAsia="zh-CN" w:bidi="ar-SA"/>
        </w:rPr>
        <w:t>18、▲权限管理：用户分级权限管理，至少分三级权限：完善的用户</w:t>
      </w:r>
      <w:r>
        <w:rPr>
          <w:rFonts w:hint="eastAsia" w:ascii="华文宋体" w:hAnsi="华文宋体" w:eastAsia="华文宋体" w:cs="华文宋体"/>
          <w:snapToGrid/>
          <w:color w:val="auto"/>
          <w:sz w:val="24"/>
          <w:szCs w:val="24"/>
          <w:highlight w:val="none"/>
          <w:lang w:eastAsia="zh-CN"/>
        </w:rPr>
        <w:t>管理系统，安全可靠。</w:t>
      </w:r>
    </w:p>
    <w:p w14:paraId="1C804CE9">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华文宋体" w:hAnsi="华文宋体" w:eastAsia="华文宋体" w:cs="华文宋体"/>
          <w:snapToGrid/>
          <w:color w:val="auto"/>
          <w:sz w:val="24"/>
          <w:szCs w:val="24"/>
          <w:highlight w:val="none"/>
          <w:lang w:eastAsia="zh-CN"/>
        </w:rPr>
      </w:pPr>
      <w:r>
        <w:rPr>
          <w:rFonts w:hint="eastAsia" w:ascii="华文宋体" w:hAnsi="华文宋体" w:eastAsia="华文宋体" w:cs="华文宋体"/>
          <w:snapToGrid/>
          <w:color w:val="auto"/>
          <w:sz w:val="24"/>
          <w:szCs w:val="24"/>
          <w:highlight w:val="none"/>
          <w:lang w:val="en-US" w:eastAsia="zh-CN"/>
        </w:rPr>
        <w:t>19、</w:t>
      </w:r>
      <w:r>
        <w:rPr>
          <w:rFonts w:hint="eastAsia" w:ascii="华文宋体" w:hAnsi="华文宋体" w:eastAsia="华文宋体" w:cs="华文宋体"/>
          <w:snapToGrid/>
          <w:color w:val="auto"/>
          <w:sz w:val="24"/>
          <w:szCs w:val="24"/>
          <w:highlight w:val="none"/>
          <w:lang w:eastAsia="zh-CN"/>
        </w:rPr>
        <w:t>根据医院需</w:t>
      </w:r>
      <w:r>
        <w:rPr>
          <w:rFonts w:hint="eastAsia" w:ascii="华文宋体" w:hAnsi="华文宋体" w:eastAsia="华文宋体" w:cs="华文宋体"/>
          <w:snapToGrid/>
          <w:color w:val="auto"/>
          <w:sz w:val="24"/>
          <w:szCs w:val="24"/>
          <w:highlight w:val="none"/>
          <w:lang w:val="en-US" w:eastAsia="zh-CN"/>
        </w:rPr>
        <w:t>求</w:t>
      </w:r>
      <w:r>
        <w:rPr>
          <w:rFonts w:hint="eastAsia" w:ascii="华文宋体" w:hAnsi="华文宋体" w:eastAsia="华文宋体" w:cs="华文宋体"/>
          <w:snapToGrid/>
          <w:color w:val="auto"/>
          <w:sz w:val="24"/>
          <w:szCs w:val="24"/>
          <w:highlight w:val="none"/>
          <w:lang w:eastAsia="zh-CN"/>
        </w:rPr>
        <w:t>免费开放设备接口，方便医院连接信息追溯系统，</w:t>
      </w:r>
      <w:r>
        <w:rPr>
          <w:rFonts w:hint="eastAsia" w:ascii="华文宋体" w:hAnsi="华文宋体" w:eastAsia="华文宋体" w:cs="华文宋体"/>
          <w:snapToGrid/>
          <w:color w:val="auto"/>
          <w:sz w:val="24"/>
          <w:szCs w:val="24"/>
          <w:highlight w:val="none"/>
          <w:lang w:val="en-US" w:eastAsia="zh-CN"/>
        </w:rPr>
        <w:t>并由中标方承担设备与科室追溯系统的连接费用</w:t>
      </w:r>
      <w:r>
        <w:rPr>
          <w:rFonts w:hint="eastAsia" w:ascii="华文宋体" w:hAnsi="华文宋体" w:eastAsia="华文宋体" w:cs="华文宋体"/>
          <w:snapToGrid/>
          <w:color w:val="auto"/>
          <w:sz w:val="24"/>
          <w:szCs w:val="24"/>
          <w:highlight w:val="none"/>
          <w:lang w:eastAsia="zh-CN"/>
        </w:rPr>
        <w:t>。</w:t>
      </w:r>
    </w:p>
    <w:p w14:paraId="27A336FF">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华文宋体" w:hAnsi="华文宋体" w:eastAsia="华文宋体" w:cs="华文宋体"/>
          <w:snapToGrid/>
          <w:color w:val="auto"/>
          <w:sz w:val="24"/>
          <w:szCs w:val="24"/>
          <w:highlight w:val="none"/>
          <w:lang w:eastAsia="zh-CN"/>
        </w:rPr>
      </w:pPr>
      <w:r>
        <w:rPr>
          <w:rFonts w:hint="eastAsia" w:ascii="华文宋体" w:hAnsi="华文宋体" w:eastAsia="华文宋体" w:cs="华文宋体"/>
          <w:snapToGrid/>
          <w:color w:val="auto"/>
          <w:sz w:val="24"/>
          <w:szCs w:val="24"/>
          <w:highlight w:val="none"/>
          <w:lang w:val="en-US" w:eastAsia="zh-CN"/>
        </w:rPr>
        <w:t>20、</w:t>
      </w:r>
      <w:r>
        <w:rPr>
          <w:rFonts w:hint="eastAsia" w:ascii="华文宋体" w:hAnsi="华文宋体" w:eastAsia="华文宋体" w:cs="华文宋体"/>
          <w:snapToGrid/>
          <w:color w:val="auto"/>
          <w:sz w:val="24"/>
          <w:szCs w:val="24"/>
          <w:highlight w:val="none"/>
          <w:lang w:eastAsia="zh-CN"/>
        </w:rPr>
        <w:t>▲灭菌能力：134℃最短灭菌时间≤5分钟，提供全国消毒产品网上备案信息服务平台备案的检测报告。</w:t>
      </w:r>
    </w:p>
    <w:p w14:paraId="534B0806">
      <w:pPr>
        <w:pageBreakBefore w:val="0"/>
        <w:kinsoku/>
        <w:wordWrap/>
        <w:topLinePunct w:val="0"/>
        <w:autoSpaceDE/>
        <w:autoSpaceDN/>
        <w:bidi w:val="0"/>
        <w:ind w:firstLine="480" w:firstLineChars="200"/>
        <w:rPr>
          <w:rFonts w:hint="eastAsia" w:ascii="华文宋体" w:hAnsi="华文宋体" w:eastAsia="华文宋体" w:cs="华文宋体"/>
          <w:snapToGrid/>
          <w:color w:val="auto"/>
          <w:sz w:val="24"/>
          <w:szCs w:val="24"/>
          <w:highlight w:val="none"/>
          <w:lang w:eastAsia="zh-CN"/>
        </w:rPr>
      </w:pPr>
    </w:p>
    <w:p w14:paraId="6334204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79" w:leftChars="228" w:firstLine="0" w:firstLineChars="0"/>
        <w:textAlignment w:val="auto"/>
        <w:rPr>
          <w:rFonts w:hint="eastAsia" w:ascii="华文宋体" w:hAnsi="华文宋体" w:eastAsia="华文宋体" w:cs="华文宋体"/>
          <w:b w:val="0"/>
          <w:bCs w:val="0"/>
          <w:color w:val="000000"/>
          <w:kern w:val="2"/>
          <w:sz w:val="24"/>
          <w:szCs w:val="24"/>
          <w:lang w:val="en-US" w:eastAsia="zh-CN" w:bidi="ar-SA"/>
        </w:rPr>
      </w:pPr>
      <w:r>
        <w:rPr>
          <w:rFonts w:hint="eastAsia" w:ascii="华文宋体" w:hAnsi="华文宋体" w:eastAsia="华文宋体" w:cs="华文宋体"/>
          <w:b w:val="0"/>
          <w:bCs w:val="0"/>
          <w:color w:val="000000"/>
          <w:kern w:val="2"/>
          <w:sz w:val="24"/>
          <w:szCs w:val="24"/>
          <w:lang w:val="en-US" w:eastAsia="zh-CN" w:bidi="ar-SA"/>
        </w:rPr>
        <w:t>商务参数</w:t>
      </w:r>
    </w:p>
    <w:p w14:paraId="438746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华文宋体" w:hAnsi="华文宋体" w:eastAsia="华文宋体" w:cs="华文宋体"/>
          <w:color w:val="auto"/>
          <w:sz w:val="24"/>
          <w:szCs w:val="24"/>
          <w:lang w:val="en-US" w:eastAsia="zh-CN"/>
        </w:rPr>
      </w:pPr>
      <w:r>
        <w:rPr>
          <w:rFonts w:hint="eastAsia" w:ascii="华文宋体" w:hAnsi="华文宋体" w:eastAsia="华文宋体" w:cs="华文宋体"/>
          <w:color w:val="auto"/>
          <w:sz w:val="24"/>
          <w:szCs w:val="24"/>
        </w:rPr>
        <w:t>★1、运输、装卸、培</w:t>
      </w:r>
      <w:r>
        <w:rPr>
          <w:rFonts w:hint="eastAsia" w:ascii="华文宋体" w:hAnsi="华文宋体" w:eastAsia="华文宋体" w:cs="华文宋体"/>
          <w:color w:val="auto"/>
          <w:sz w:val="24"/>
          <w:szCs w:val="24"/>
          <w:highlight w:val="none"/>
        </w:rPr>
        <w:t>训、安装调试：由中标人负责承担，最终通过使用科室、设备科及相关部门确认验收交付使用</w:t>
      </w:r>
      <w:r>
        <w:rPr>
          <w:rFonts w:hint="eastAsia" w:ascii="华文宋体" w:hAnsi="华文宋体" w:eastAsia="华文宋体" w:cs="华文宋体"/>
          <w:color w:val="auto"/>
          <w:sz w:val="24"/>
          <w:szCs w:val="24"/>
          <w:highlight w:val="none"/>
          <w:lang w:eastAsia="zh-CN"/>
        </w:rPr>
        <w:t>。</w:t>
      </w:r>
      <w:r>
        <w:rPr>
          <w:rFonts w:hint="eastAsia" w:ascii="华文宋体" w:hAnsi="华文宋体" w:eastAsia="华文宋体" w:cs="华文宋体"/>
          <w:color w:val="auto"/>
          <w:sz w:val="24"/>
          <w:szCs w:val="24"/>
          <w:highlight w:val="none"/>
          <w:lang w:val="en-US" w:eastAsia="zh-CN"/>
        </w:rPr>
        <w:t>国产设备交付，设备必须为6个月内生产的产品；进口设备交付，设备必须为一年内生产的产品</w:t>
      </w:r>
      <w:r>
        <w:rPr>
          <w:rFonts w:hint="eastAsia" w:ascii="华文宋体" w:hAnsi="华文宋体" w:eastAsia="华文宋体" w:cs="华文宋体"/>
          <w:color w:val="auto"/>
          <w:sz w:val="24"/>
          <w:szCs w:val="24"/>
        </w:rPr>
        <w:t>。</w:t>
      </w:r>
      <w:r>
        <w:rPr>
          <w:rFonts w:hint="eastAsia" w:ascii="华文宋体" w:hAnsi="华文宋体" w:eastAsia="华文宋体" w:cs="华文宋体"/>
          <w:color w:val="auto"/>
          <w:sz w:val="24"/>
          <w:szCs w:val="24"/>
        </w:rPr>
        <w:cr/>
      </w:r>
      <w:r>
        <w:rPr>
          <w:rFonts w:hint="eastAsia" w:ascii="华文宋体" w:hAnsi="华文宋体" w:eastAsia="华文宋体" w:cs="华文宋体"/>
          <w:color w:val="auto"/>
          <w:sz w:val="24"/>
          <w:szCs w:val="24"/>
          <w:lang w:val="en-US" w:eastAsia="zh-CN"/>
        </w:rPr>
        <w:t xml:space="preserve">   </w:t>
      </w:r>
      <w:r>
        <w:rPr>
          <w:rFonts w:hint="eastAsia" w:ascii="华文宋体" w:hAnsi="华文宋体" w:eastAsia="华文宋体" w:cs="华文宋体"/>
          <w:color w:val="auto"/>
          <w:sz w:val="24"/>
          <w:szCs w:val="24"/>
        </w:rPr>
        <w:t>★2、交货时间：按</w:t>
      </w:r>
      <w:r>
        <w:rPr>
          <w:rFonts w:hint="eastAsia" w:ascii="华文宋体" w:hAnsi="华文宋体" w:eastAsia="华文宋体" w:cs="华文宋体"/>
          <w:color w:val="auto"/>
          <w:sz w:val="24"/>
          <w:szCs w:val="24"/>
          <w:lang w:val="en-US" w:eastAsia="zh-CN"/>
        </w:rPr>
        <w:t>合同约定的日期交货。</w:t>
      </w:r>
    </w:p>
    <w:p w14:paraId="5FF3A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华文宋体" w:hAnsi="华文宋体" w:eastAsia="华文宋体" w:cs="华文宋体"/>
          <w:color w:val="auto"/>
          <w:sz w:val="24"/>
          <w:szCs w:val="24"/>
          <w:lang w:val="en-US" w:eastAsia="zh-CN"/>
        </w:rPr>
      </w:pPr>
      <w:r>
        <w:rPr>
          <w:rFonts w:hint="eastAsia" w:ascii="华文宋体" w:hAnsi="华文宋体" w:eastAsia="华文宋体" w:cs="华文宋体"/>
          <w:color w:val="auto"/>
          <w:sz w:val="24"/>
          <w:szCs w:val="24"/>
        </w:rPr>
        <w:t>★</w:t>
      </w:r>
      <w:r>
        <w:rPr>
          <w:rFonts w:hint="eastAsia" w:ascii="华文宋体" w:hAnsi="华文宋体" w:eastAsia="华文宋体" w:cs="华文宋体"/>
          <w:color w:val="auto"/>
          <w:sz w:val="24"/>
          <w:szCs w:val="24"/>
          <w:lang w:val="en-US" w:eastAsia="zh-CN"/>
        </w:rPr>
        <w:t>3</w:t>
      </w:r>
      <w:r>
        <w:rPr>
          <w:rFonts w:hint="eastAsia" w:ascii="华文宋体" w:hAnsi="华文宋体" w:eastAsia="华文宋体" w:cs="华文宋体"/>
          <w:color w:val="auto"/>
          <w:sz w:val="24"/>
          <w:szCs w:val="24"/>
        </w:rPr>
        <w:t>、交货地点：娄底市中心医院</w:t>
      </w:r>
      <w:r>
        <w:rPr>
          <w:rFonts w:hint="eastAsia" w:ascii="华文宋体" w:hAnsi="华文宋体" w:eastAsia="华文宋体" w:cs="华文宋体"/>
          <w:color w:val="auto"/>
          <w:sz w:val="24"/>
          <w:szCs w:val="24"/>
          <w:lang w:val="en-US" w:eastAsia="zh-CN"/>
        </w:rPr>
        <w:t>指定地点</w:t>
      </w:r>
      <w:r>
        <w:rPr>
          <w:rFonts w:hint="eastAsia" w:ascii="华文宋体" w:hAnsi="华文宋体" w:eastAsia="华文宋体" w:cs="华文宋体"/>
          <w:color w:val="auto"/>
          <w:sz w:val="24"/>
          <w:szCs w:val="24"/>
        </w:rPr>
        <w:t>。</w:t>
      </w:r>
    </w:p>
    <w:p w14:paraId="2102653D">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firstLine="480" w:firstLineChars="200"/>
        <w:textAlignment w:val="auto"/>
        <w:rPr>
          <w:rFonts w:hint="eastAsia" w:ascii="华文宋体" w:hAnsi="华文宋体" w:eastAsia="华文宋体" w:cs="华文宋体"/>
          <w:sz w:val="24"/>
          <w:szCs w:val="24"/>
          <w:lang w:val="en-US" w:eastAsia="zh-CN"/>
        </w:rPr>
      </w:pPr>
      <w:r>
        <w:rPr>
          <w:rFonts w:hint="eastAsia" w:ascii="华文宋体" w:hAnsi="华文宋体" w:eastAsia="华文宋体" w:cs="华文宋体"/>
          <w:color w:val="auto"/>
          <w:sz w:val="24"/>
          <w:szCs w:val="24"/>
        </w:rPr>
        <w:t>★</w:t>
      </w:r>
      <w:r>
        <w:rPr>
          <w:rFonts w:hint="eastAsia" w:ascii="华文宋体" w:hAnsi="华文宋体" w:eastAsia="华文宋体" w:cs="华文宋体"/>
          <w:color w:val="auto"/>
          <w:sz w:val="24"/>
          <w:szCs w:val="24"/>
          <w:lang w:val="en-US" w:eastAsia="zh-CN"/>
        </w:rPr>
        <w:t>4</w:t>
      </w:r>
      <w:r>
        <w:rPr>
          <w:rFonts w:hint="eastAsia" w:ascii="华文宋体" w:hAnsi="华文宋体" w:eastAsia="华文宋体" w:cs="华文宋体"/>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华文宋体" w:hAnsi="华文宋体" w:eastAsia="华文宋体" w:cs="华文宋体"/>
          <w:color w:val="auto"/>
          <w:sz w:val="24"/>
          <w:szCs w:val="24"/>
          <w:lang w:val="en-US" w:eastAsia="zh-CN"/>
        </w:rPr>
        <w:t>且质保期届满</w:t>
      </w:r>
      <w:r>
        <w:rPr>
          <w:rFonts w:hint="eastAsia" w:ascii="华文宋体" w:hAnsi="华文宋体" w:eastAsia="华文宋体" w:cs="华文宋体"/>
          <w:color w:val="auto"/>
          <w:sz w:val="24"/>
          <w:szCs w:val="24"/>
        </w:rPr>
        <w:t>后支付10%余款给乙方。</w:t>
      </w:r>
      <w:r>
        <w:rPr>
          <w:rFonts w:hint="eastAsia" w:ascii="华文宋体" w:hAnsi="华文宋体" w:eastAsia="华文宋体" w:cs="华文宋体"/>
          <w:color w:val="auto"/>
          <w:sz w:val="24"/>
          <w:szCs w:val="24"/>
        </w:rPr>
        <w:cr/>
      </w:r>
      <w:r>
        <w:rPr>
          <w:rFonts w:hint="eastAsia" w:ascii="华文宋体" w:hAnsi="华文宋体" w:eastAsia="华文宋体" w:cs="华文宋体"/>
          <w:color w:val="auto"/>
          <w:sz w:val="24"/>
          <w:szCs w:val="24"/>
          <w:lang w:val="en-US" w:eastAsia="zh-CN"/>
        </w:rPr>
        <w:t xml:space="preserve">    </w:t>
      </w:r>
      <w:r>
        <w:rPr>
          <w:rFonts w:hint="eastAsia" w:ascii="华文宋体" w:hAnsi="华文宋体" w:eastAsia="华文宋体" w:cs="华文宋体"/>
          <w:color w:val="auto"/>
          <w:sz w:val="24"/>
          <w:szCs w:val="24"/>
        </w:rPr>
        <w:t>★5、质保与售后：整机保修</w:t>
      </w:r>
      <w:r>
        <w:rPr>
          <w:rFonts w:hint="eastAsia" w:ascii="华文宋体" w:hAnsi="华文宋体" w:eastAsia="华文宋体" w:cs="华文宋体"/>
          <w:color w:val="auto"/>
          <w:sz w:val="24"/>
          <w:szCs w:val="24"/>
          <w:lang w:val="en-US" w:eastAsia="zh-CN"/>
        </w:rPr>
        <w:t>3</w:t>
      </w:r>
      <w:r>
        <w:rPr>
          <w:rFonts w:hint="eastAsia" w:ascii="华文宋体" w:hAnsi="华文宋体" w:eastAsia="华文宋体" w:cs="华文宋体"/>
          <w:color w:val="auto"/>
          <w:sz w:val="24"/>
          <w:szCs w:val="24"/>
        </w:rPr>
        <w:t>年，终身维修。</w:t>
      </w:r>
      <w:r>
        <w:rPr>
          <w:rFonts w:hint="eastAsia" w:ascii="华文宋体" w:hAnsi="华文宋体" w:eastAsia="华文宋体" w:cs="华文宋体"/>
          <w:color w:val="auto"/>
          <w:sz w:val="24"/>
          <w:szCs w:val="24"/>
          <w:lang w:val="en-US" w:eastAsia="zh-CN"/>
        </w:rPr>
        <w:t>验收时</w:t>
      </w:r>
      <w:r>
        <w:rPr>
          <w:rFonts w:hint="eastAsia" w:ascii="华文宋体" w:hAnsi="华文宋体" w:eastAsia="华文宋体" w:cs="华文宋体"/>
          <w:color w:val="auto"/>
          <w:sz w:val="24"/>
          <w:szCs w:val="24"/>
        </w:rPr>
        <w:t>出具原厂售后质保承诺书，质保期内每年巡检</w:t>
      </w:r>
      <w:r>
        <w:rPr>
          <w:rFonts w:hint="eastAsia" w:ascii="华文宋体" w:hAnsi="华文宋体" w:eastAsia="华文宋体" w:cs="华文宋体"/>
          <w:color w:val="auto"/>
          <w:sz w:val="24"/>
          <w:szCs w:val="24"/>
          <w:lang w:val="en-US" w:eastAsia="zh-CN"/>
        </w:rPr>
        <w:t>一</w:t>
      </w:r>
      <w:r>
        <w:rPr>
          <w:rFonts w:hint="eastAsia" w:ascii="华文宋体" w:hAnsi="华文宋体" w:eastAsia="华文宋体" w:cs="华文宋体"/>
          <w:color w:val="auto"/>
          <w:sz w:val="24"/>
          <w:szCs w:val="24"/>
        </w:rPr>
        <w:t>次</w:t>
      </w:r>
      <w:r>
        <w:rPr>
          <w:rFonts w:hint="eastAsia" w:ascii="华文宋体" w:hAnsi="华文宋体" w:eastAsia="华文宋体" w:cs="华文宋体"/>
          <w:color w:val="auto"/>
          <w:sz w:val="24"/>
          <w:szCs w:val="24"/>
          <w:lang w:eastAsia="zh-CN"/>
        </w:rPr>
        <w:t>，</w:t>
      </w:r>
      <w:r>
        <w:rPr>
          <w:rFonts w:hint="eastAsia" w:ascii="华文宋体" w:hAnsi="华文宋体" w:eastAsia="华文宋体" w:cs="华文宋体"/>
          <w:color w:val="auto"/>
          <w:sz w:val="24"/>
          <w:szCs w:val="24"/>
          <w:lang w:val="en-US" w:eastAsia="zh-CN"/>
        </w:rPr>
        <w:t>并提交巡检记录</w:t>
      </w:r>
      <w:r>
        <w:rPr>
          <w:rFonts w:hint="eastAsia" w:ascii="华文宋体" w:hAnsi="华文宋体" w:eastAsia="华文宋体" w:cs="华文宋体"/>
          <w:color w:val="auto"/>
          <w:sz w:val="24"/>
          <w:szCs w:val="24"/>
        </w:rPr>
        <w:t>。</w:t>
      </w:r>
      <w:r>
        <w:rPr>
          <w:rFonts w:hint="eastAsia" w:ascii="华文宋体" w:hAnsi="华文宋体" w:eastAsia="华文宋体" w:cs="华文宋体"/>
          <w:color w:val="auto"/>
          <w:sz w:val="24"/>
          <w:szCs w:val="24"/>
          <w:lang w:val="zh-CN" w:eastAsia="zh-CN"/>
        </w:rPr>
        <w:t>质保期内</w:t>
      </w:r>
      <w:r>
        <w:rPr>
          <w:rFonts w:hint="eastAsia" w:ascii="华文宋体" w:hAnsi="华文宋体" w:eastAsia="华文宋体" w:cs="华文宋体"/>
          <w:color w:val="auto"/>
          <w:sz w:val="24"/>
          <w:szCs w:val="24"/>
          <w:lang w:val="en-US" w:eastAsia="zh-CN"/>
        </w:rPr>
        <w:t>出现故障，1小时响应，响应后24小时上门服务。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华文宋体" w:hAnsi="华文宋体" w:eastAsia="华文宋体" w:cs="华文宋体"/>
          <w:color w:val="auto"/>
          <w:sz w:val="24"/>
          <w:szCs w:val="24"/>
          <w:lang w:val="en-US" w:eastAsia="zh-CN"/>
        </w:rPr>
      </w:pPr>
      <w:r>
        <w:rPr>
          <w:rFonts w:hint="eastAsia" w:ascii="华文宋体" w:hAnsi="华文宋体" w:eastAsia="华文宋体" w:cs="华文宋体"/>
          <w:color w:val="auto"/>
          <w:sz w:val="24"/>
          <w:szCs w:val="24"/>
          <w:lang w:val="en-US" w:eastAsia="zh-CN"/>
        </w:rPr>
        <w:t>★6、在投标文件中必须提供相关技术资料并加盖投标人公章（如技术参数、技术白皮书、说明书、彩页等），并在响应表中对“★”、“▲”以及要求提供佐证材料的条款备注该条参数响应或正偏离的佐证资料所在页码。</w:t>
      </w:r>
    </w:p>
    <w:p w14:paraId="62AC2B5D">
      <w:pPr>
        <w:pageBreakBefore w:val="0"/>
        <w:kinsoku/>
        <w:wordWrap/>
        <w:topLinePunct w:val="0"/>
        <w:autoSpaceDE/>
        <w:autoSpaceDN/>
        <w:bidi w:val="0"/>
        <w:ind w:firstLine="480" w:firstLineChars="200"/>
        <w:jc w:val="both"/>
        <w:rPr>
          <w:rFonts w:hint="eastAsia" w:ascii="华文宋体" w:hAnsi="华文宋体" w:eastAsia="华文宋体" w:cs="华文宋体"/>
          <w:color w:val="auto"/>
          <w:sz w:val="24"/>
          <w:szCs w:val="24"/>
          <w:lang w:val="en-US" w:eastAsia="zh-CN"/>
        </w:rPr>
      </w:pPr>
      <w:r>
        <w:rPr>
          <w:rFonts w:hint="eastAsia" w:ascii="华文宋体" w:hAnsi="华文宋体" w:eastAsia="华文宋体" w:cs="华文宋体"/>
          <w:color w:val="auto"/>
          <w:sz w:val="24"/>
          <w:szCs w:val="24"/>
          <w:lang w:val="en-US" w:eastAsia="zh-CN"/>
        </w:rPr>
        <w:t>★7、设备如涉及网络接口费用，由中标人承担，采购人不再出具任何费用。</w:t>
      </w:r>
    </w:p>
    <w:p w14:paraId="731DFEBE">
      <w:pPr>
        <w:pStyle w:val="2"/>
        <w:pageBreakBefore w:val="0"/>
        <w:kinsoku/>
        <w:wordWrap/>
        <w:topLinePunct w:val="0"/>
        <w:autoSpaceDE/>
        <w:autoSpaceDN/>
        <w:bidi w:val="0"/>
        <w:ind w:left="0" w:leftChars="0" w:firstLine="480" w:firstLineChars="200"/>
        <w:rPr>
          <w:rFonts w:hint="eastAsia" w:ascii="华文宋体" w:hAnsi="华文宋体" w:eastAsia="华文宋体" w:cs="华文宋体"/>
          <w:color w:val="auto"/>
          <w:sz w:val="24"/>
          <w:szCs w:val="24"/>
          <w:lang w:val="en-US" w:eastAsia="zh-CN"/>
        </w:rPr>
      </w:pPr>
      <w:r>
        <w:rPr>
          <w:rFonts w:hint="eastAsia" w:ascii="华文宋体" w:hAnsi="华文宋体" w:eastAsia="华文宋体" w:cs="华文宋体"/>
          <w:color w:val="auto"/>
          <w:sz w:val="24"/>
          <w:szCs w:val="24"/>
          <w:lang w:val="en-US" w:eastAsia="zh-CN"/>
        </w:rPr>
        <w:t>★8、由中标方提供设备安装、使用登记证的办理、质保期内安全阀压力表的校检及首次使用前的验证报告，采购人不再出具任何费用。</w:t>
      </w:r>
    </w:p>
    <w:p w14:paraId="2272CE34">
      <w:pPr>
        <w:pStyle w:val="2"/>
        <w:pageBreakBefore w:val="0"/>
        <w:kinsoku/>
        <w:wordWrap/>
        <w:topLinePunct w:val="0"/>
        <w:autoSpaceDE/>
        <w:autoSpaceDN/>
        <w:bidi w:val="0"/>
        <w:ind w:left="0" w:leftChars="0" w:firstLine="480" w:firstLineChars="200"/>
        <w:rPr>
          <w:rFonts w:hint="eastAsia" w:ascii="华文宋体" w:hAnsi="华文宋体" w:eastAsia="华文宋体" w:cs="华文宋体"/>
          <w:color w:val="auto"/>
          <w:sz w:val="24"/>
          <w:szCs w:val="24"/>
          <w:lang w:val="en-US" w:eastAsia="zh-CN"/>
        </w:rPr>
      </w:pPr>
      <w:r>
        <w:rPr>
          <w:rFonts w:hint="eastAsia" w:ascii="华文宋体" w:hAnsi="华文宋体" w:eastAsia="华文宋体" w:cs="华文宋体"/>
          <w:color w:val="auto"/>
          <w:sz w:val="24"/>
          <w:szCs w:val="24"/>
          <w:lang w:val="en-US" w:eastAsia="zh-CN"/>
        </w:rPr>
        <w:t>★9、设备安装过程中需要拆墙、补墙和旧设备拆卸并将旧设备放置指定位置等均由中标人承担，采购人不再出具任何费用。</w:t>
      </w:r>
    </w:p>
    <w:p w14:paraId="39A2526E">
      <w:pPr>
        <w:keepNext w:val="0"/>
        <w:keepLines w:val="0"/>
        <w:pageBreakBefore w:val="0"/>
        <w:widowControl/>
        <w:kinsoku/>
        <w:wordWrap/>
        <w:overflowPunct/>
        <w:topLinePunct w:val="0"/>
        <w:autoSpaceDE/>
        <w:autoSpaceDN/>
        <w:bidi w:val="0"/>
        <w:adjustRightInd w:val="0"/>
        <w:snapToGrid w:val="0"/>
        <w:spacing w:line="360" w:lineRule="auto"/>
        <w:ind w:firstLine="723" w:firstLineChars="200"/>
        <w:textAlignment w:val="auto"/>
        <w:rPr>
          <w:rFonts w:hint="eastAsia" w:hAnsi="Times New Roman" w:eastAsia="宋体" w:cs="Times New Roman"/>
          <w:b/>
          <w:bCs/>
          <w:sz w:val="36"/>
          <w:szCs w:val="36"/>
          <w:lang w:val="en-US" w:eastAsia="zh-CN"/>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AB10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w:t>
      </w:r>
      <w:r>
        <w:rPr>
          <w:rFonts w:hint="eastAsia" w:asciiTheme="minorEastAsia" w:hAnsiTheme="minorEastAsia" w:eastAsiaTheme="minorEastAsia" w:cstheme="minorEastAsia"/>
          <w:bCs/>
          <w:color w:val="FF0000"/>
          <w:kern w:val="0"/>
          <w:sz w:val="24"/>
          <w:szCs w:val="24"/>
          <w:lang w:val="en-US" w:eastAsia="zh-CN" w:bidi="ar-SA"/>
        </w:rPr>
        <w:t>特定资格条件：经销商需“三证合一”或“五证合一”营业执照、医疗器械经营许可证或医疗器械经营备案凭证，设备制造商须具备符合国家规定的特种设备设计许可证及制造许可证、医疗器械生产许可证、所投产品医疗器械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2FC76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234014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76A698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脉动真空灭菌器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脉动真空灭菌器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0"/>
        <w:gridCol w:w="817"/>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20"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817"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20"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脉动真空灭菌器</w:t>
            </w:r>
          </w:p>
        </w:tc>
        <w:tc>
          <w:tcPr>
            <w:tcW w:w="817"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本合同约定价格为（□固定总价☑固定单价），不因物价、市场波动变更，约定价格包括</w:t>
      </w:r>
      <w:r>
        <w:rPr>
          <w:rFonts w:hint="eastAsia" w:ascii="宋体" w:hAnsi="宋体" w:eastAsia="宋体" w:cs="宋体"/>
          <w:color w:val="auto"/>
          <w:sz w:val="24"/>
          <w:szCs w:val="24"/>
          <w:highlight w:val="none"/>
          <w:lang w:val="en-US" w:eastAsia="zh-CN"/>
        </w:rPr>
        <w:t>且不限于设计费、材料费、人工费、安装费、包装费、运输费、装卸费、调试费、接口费、检测费、</w:t>
      </w:r>
      <w:r>
        <w:rPr>
          <w:rFonts w:hint="eastAsia" w:ascii="宋体" w:hAnsi="宋体" w:cs="宋体"/>
          <w:color w:val="auto"/>
          <w:sz w:val="24"/>
          <w:szCs w:val="24"/>
          <w:highlight w:val="none"/>
          <w:lang w:val="en-US" w:eastAsia="zh-CN"/>
        </w:rPr>
        <w:t>办证费、校验费、验证报告费、拆墙费、补墙费、旧设备拆卸搬运费、</w:t>
      </w:r>
      <w:r>
        <w:rPr>
          <w:rFonts w:hint="eastAsia" w:ascii="宋体" w:hAnsi="宋体" w:eastAsia="宋体" w:cs="宋体"/>
          <w:color w:val="auto"/>
          <w:sz w:val="24"/>
          <w:szCs w:val="24"/>
          <w:highlight w:val="none"/>
          <w:lang w:val="en-US" w:eastAsia="zh-CN"/>
        </w:rPr>
        <w:t xml:space="preserve">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1.3 □</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07397F66">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 乙方负责办理设备安装、使用登记证，质保期内安全阀压力表的校检及出具首次使用前的验证报告，由此产生的所有费用由乙方承担。</w:t>
      </w:r>
    </w:p>
    <w:p w14:paraId="1793833E">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480" w:firstLineChars="200"/>
        <w:textAlignment w:val="auto"/>
        <w:rPr>
          <w:rFonts w:hint="eastAsia"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1.5 设备安装过程中，拆墙费、补墙费、旧设备拆卸费、旧设备放置到指定位置的搬运费等所有费用均由乙方承担。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交货时间：乙方应在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将设备运至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w:t>
      </w:r>
      <w:r>
        <w:rPr>
          <w:rFonts w:hint="eastAsia" w:ascii="宋体" w:hAnsi="宋体" w:eastAsia="宋体" w:cs="宋体"/>
          <w:color w:val="auto"/>
          <w:sz w:val="24"/>
          <w:highlight w:val="none"/>
          <w:lang w:val="en-US" w:eastAsia="zh-CN"/>
        </w:rPr>
        <w:t>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u w:val="single"/>
          <w:lang w:val="en-US" w:eastAsia="zh-CN"/>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11.3 </w:t>
      </w:r>
      <w:r>
        <w:rPr>
          <w:rFonts w:hint="eastAsia" w:ascii="宋体" w:hAnsi="宋体" w:eastAsia="宋体" w:cs="宋体"/>
          <w:color w:val="auto"/>
          <w:sz w:val="24"/>
          <w:highlight w:val="none"/>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乙方逾期</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 乙方提供的设备质量不符合国家标准、本合同标准或</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 乙方将</w:t>
      </w:r>
      <w:r>
        <w:rPr>
          <w:rFonts w:hint="eastAsia" w:ascii="宋体" w:hAnsi="宋体" w:eastAsia="宋体" w:cs="宋体"/>
          <w:color w:val="auto"/>
          <w:sz w:val="24"/>
          <w:highlight w:val="none"/>
          <w:lang w:val="en-US" w:eastAsia="zh-CN"/>
        </w:rPr>
        <w:t>本合同权利义务全部或部分转让给</w:t>
      </w:r>
      <w:r>
        <w:rPr>
          <w:rFonts w:hint="eastAsia" w:ascii="宋体" w:hAnsi="宋体" w:eastAsia="宋体" w:cs="宋体"/>
          <w:color w:val="auto"/>
          <w:sz w:val="24"/>
          <w:highlight w:val="none"/>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eastAsia="宋体" w:cs="宋体"/>
          <w:b/>
          <w:bCs/>
          <w:color w:val="auto"/>
          <w:sz w:val="24"/>
          <w:highlight w:val="none"/>
          <w:lang w:eastAsia="zh-CN"/>
        </w:rPr>
        <w:t>十</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 xml:space="preserve">.1 </w:t>
      </w:r>
      <w:r>
        <w:rPr>
          <w:rFonts w:hint="eastAsia" w:ascii="宋体" w:hAnsi="宋体" w:eastAsia="宋体" w:cs="宋体"/>
          <w:color w:val="auto"/>
          <w:sz w:val="24"/>
          <w:highlight w:val="none"/>
          <w:lang w:eastAsia="zh-CN"/>
        </w:rPr>
        <w:t>甲方因</w:t>
      </w:r>
      <w:r>
        <w:rPr>
          <w:rFonts w:hint="eastAsia" w:ascii="宋体" w:hAnsi="宋体" w:eastAsia="宋体" w:cs="宋体"/>
          <w:color w:val="auto"/>
          <w:sz w:val="24"/>
          <w:highlight w:val="none"/>
          <w:lang w:val="en-US" w:eastAsia="zh-CN"/>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.2 如乙方未在本合同约定时间内将验收合格的</w:t>
      </w:r>
      <w:r>
        <w:rPr>
          <w:rFonts w:hint="eastAsia" w:ascii="宋体" w:hAnsi="宋体" w:eastAsia="宋体" w:cs="宋体"/>
          <w:color w:val="auto"/>
          <w:sz w:val="24"/>
          <w:highlight w:val="none"/>
          <w:lang w:val="en-US" w:eastAsia="zh-CN"/>
        </w:rPr>
        <w:t>设备</w:t>
      </w:r>
      <w:r>
        <w:rPr>
          <w:rFonts w:hint="eastAsia" w:ascii="宋体" w:hAnsi="宋体" w:eastAsia="宋体" w:cs="宋体"/>
          <w:color w:val="auto"/>
          <w:sz w:val="24"/>
          <w:highlight w:val="none"/>
        </w:rPr>
        <w:t>交付给甲方使用，除应赔偿甲方因此造成的损失外，每逾期一日，按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本合同约定总价款的</w:t>
      </w:r>
      <w:r>
        <w:rPr>
          <w:rFonts w:hint="eastAsia" w:ascii="宋体" w:hAnsi="宋体" w:eastAsia="宋体" w:cs="宋体"/>
          <w:color w:val="auto"/>
          <w:sz w:val="24"/>
          <w:highlight w:val="none"/>
          <w:u w:val="none"/>
          <w:lang w:eastAsia="zh-CN"/>
        </w:rPr>
        <w:t>千分之一</w:t>
      </w:r>
      <w:r>
        <w:rPr>
          <w:rFonts w:hint="eastAsia" w:ascii="宋体" w:hAnsi="宋体" w:eastAsia="宋体" w:cs="宋体"/>
          <w:color w:val="auto"/>
          <w:sz w:val="24"/>
          <w:highlight w:val="none"/>
          <w:lang w:eastAsia="zh-CN"/>
        </w:rPr>
        <w:t>）标准</w:t>
      </w:r>
      <w:r>
        <w:rPr>
          <w:rFonts w:hint="eastAsia" w:ascii="宋体" w:hAnsi="宋体" w:eastAsia="宋体" w:cs="宋体"/>
          <w:color w:val="auto"/>
          <w:sz w:val="24"/>
          <w:highlight w:val="none"/>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.3 如乙方单方解除合同或甲方因</w:t>
      </w:r>
      <w:r>
        <w:rPr>
          <w:rFonts w:hint="eastAsia" w:ascii="宋体" w:hAnsi="宋体" w:eastAsia="宋体" w:cs="宋体"/>
          <w:color w:val="auto"/>
          <w:sz w:val="24"/>
          <w:highlight w:val="none"/>
          <w:lang w:val="en-US" w:eastAsia="zh-CN"/>
        </w:rPr>
        <w:t>11.3情形</w:t>
      </w:r>
      <w:r>
        <w:rPr>
          <w:rFonts w:hint="eastAsia" w:ascii="宋体" w:hAnsi="宋体" w:eastAsia="宋体" w:cs="宋体"/>
          <w:color w:val="auto"/>
          <w:sz w:val="24"/>
          <w:highlight w:val="none"/>
        </w:rPr>
        <w:t>解除合同，乙方应赔偿给甲方造成的全部经济损失，并按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本合同总价款30%</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rPr>
        <w:t>标准</w:t>
      </w:r>
      <w:r>
        <w:rPr>
          <w:rFonts w:hint="eastAsia" w:ascii="宋体" w:hAnsi="宋体" w:eastAsia="宋体" w:cs="宋体"/>
          <w:color w:val="auto"/>
          <w:sz w:val="24"/>
          <w:highlight w:val="none"/>
          <w:lang w:val="en-US" w:eastAsia="zh-CN"/>
        </w:rPr>
        <w:t>向</w:t>
      </w:r>
      <w:r>
        <w:rPr>
          <w:rFonts w:hint="eastAsia" w:ascii="宋体" w:hAnsi="宋体" w:eastAsia="宋体" w:cs="宋体"/>
          <w:color w:val="auto"/>
          <w:sz w:val="24"/>
          <w:highlight w:val="none"/>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u w:val="single"/>
          <w:lang w:val="en-US" w:eastAsia="zh-CN"/>
        </w:rPr>
        <w:t>12.4 无论甲方在任意时候（不限于本合同履行期间）发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u w:val="single"/>
          <w:lang w:val="en-US" w:eastAsia="zh-CN"/>
        </w:rPr>
      </w:pPr>
      <w:r>
        <w:rPr>
          <w:rFonts w:hint="eastAsia" w:ascii="宋体" w:hAnsi="宋体" w:eastAsia="宋体" w:cs="宋体"/>
          <w:b/>
          <w:bCs/>
          <w:color w:val="auto"/>
          <w:sz w:val="24"/>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cs="宋体"/>
          <w:b/>
          <w:bCs/>
          <w:color w:val="auto"/>
          <w:sz w:val="24"/>
          <w:highlight w:val="none"/>
          <w:lang w:val="en-US" w:eastAsia="zh-CN"/>
        </w:rPr>
        <w:t>十三</w:t>
      </w:r>
      <w:r>
        <w:rPr>
          <w:rFonts w:hint="eastAsia" w:ascii="宋体" w:hAnsi="宋体" w:eastAsia="宋体" w:cs="宋体"/>
          <w:b/>
          <w:bCs/>
          <w:color w:val="auto"/>
          <w:sz w:val="24"/>
          <w:highlight w:val="none"/>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13.2 </w:t>
      </w:r>
      <w:r>
        <w:rPr>
          <w:rFonts w:hint="eastAsia" w:ascii="宋体" w:hAnsi="宋体" w:eastAsia="宋体" w:cs="宋体"/>
          <w:color w:val="auto"/>
          <w:sz w:val="24"/>
          <w:highlight w:val="none"/>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第十</w:t>
      </w: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本合同组成文件和优先解释顺序：</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highlight w:val="none"/>
        </w:rPr>
        <w:t>本合同补充协议；本合同及附件；</w:t>
      </w:r>
      <w:r>
        <w:rPr>
          <w:rFonts w:hint="eastAsia" w:ascii="宋体" w:hAnsi="宋体" w:eastAsia="宋体" w:cs="宋体"/>
          <w:color w:val="auto"/>
          <w:sz w:val="24"/>
          <w:highlight w:val="none"/>
          <w:lang w:eastAsia="zh-CN"/>
        </w:rPr>
        <w:t>中标通知书</w:t>
      </w:r>
      <w:r>
        <w:rPr>
          <w:rFonts w:hint="eastAsia" w:ascii="宋体" w:hAnsi="宋体" w:eastAsia="宋体" w:cs="宋体"/>
          <w:color w:val="auto"/>
          <w:sz w:val="24"/>
          <w:highlight w:val="none"/>
          <w:lang w:val="en-US" w:eastAsia="zh-CN"/>
        </w:rPr>
        <w:t>/成交通知书/</w:t>
      </w:r>
      <w:r>
        <w:rPr>
          <w:rFonts w:hint="eastAsia" w:ascii="宋体" w:hAnsi="宋体" w:eastAsia="宋体" w:cs="宋体"/>
          <w:color w:val="auto"/>
          <w:sz w:val="24"/>
          <w:highlight w:val="none"/>
        </w:rPr>
        <w:t>议</w:t>
      </w:r>
      <w:r>
        <w:rPr>
          <w:rFonts w:hint="eastAsia" w:ascii="宋体" w:hAnsi="宋体" w:eastAsia="宋体" w:cs="宋体"/>
          <w:color w:val="000000" w:themeColor="text1"/>
          <w:sz w:val="24"/>
          <w:highlight w:val="none"/>
          <w14:textFill>
            <w14:solidFill>
              <w14:schemeClr w14:val="tx1"/>
            </w14:solidFill>
          </w14:textFill>
        </w:rPr>
        <w:t>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A1429B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F1F52F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C88E5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E6FB09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CE8FA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147AAB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996C00F">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6438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58AA685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CAE61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A637C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p w14:paraId="59A182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5A564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D5D3C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0288"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w:t>
            </w:r>
            <w:r>
              <w:rPr>
                <w:rFonts w:hint="eastAsia" w:ascii="仿宋" w:hAnsi="仿宋" w:eastAsia="仿宋" w:cs="仿宋"/>
                <w:sz w:val="24"/>
                <w:szCs w:val="24"/>
                <w:lang w:eastAsia="zh-CN"/>
              </w:rPr>
              <w:t>“</w:t>
            </w:r>
            <w:r>
              <w:rPr>
                <w:rFonts w:hint="eastAsia" w:ascii="华文宋体" w:hAnsi="华文宋体" w:eastAsia="华文宋体" w:cs="华文宋体"/>
                <w:color w:val="auto"/>
                <w:sz w:val="24"/>
                <w:szCs w:val="24"/>
                <w:lang w:val="en-US" w:eastAsia="zh-CN"/>
              </w:rPr>
              <w:t>★</w:t>
            </w:r>
            <w:r>
              <w:rPr>
                <w:rFonts w:hint="eastAsia" w:ascii="仿宋" w:hAnsi="仿宋" w:eastAsia="仿宋" w:cs="仿宋"/>
                <w:sz w:val="24"/>
                <w:szCs w:val="24"/>
                <w:lang w:eastAsia="zh-CN"/>
              </w:rPr>
              <w:t>”</w:t>
            </w:r>
            <w:r>
              <w:rPr>
                <w:rFonts w:hint="eastAsia" w:ascii="仿宋" w:hAnsi="仿宋" w:eastAsia="仿宋" w:cs="仿宋"/>
                <w:sz w:val="24"/>
                <w:szCs w:val="24"/>
              </w:rPr>
              <w:t>技术参数以及技术规格中要求该项参数提供有关</w:t>
            </w:r>
            <w:bookmarkStart w:id="5" w:name="_GoBack"/>
            <w:bookmarkEnd w:id="5"/>
            <w:r>
              <w:rPr>
                <w:rFonts w:hint="eastAsia" w:ascii="仿宋" w:hAnsi="仿宋" w:eastAsia="仿宋" w:cs="仿宋"/>
                <w:sz w:val="24"/>
                <w:szCs w:val="24"/>
              </w:rPr>
              <w:t>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4"/>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458FA5C7">
      <w:pPr>
        <w:pStyle w:val="6"/>
        <w:keepLines w:val="0"/>
        <w:snapToGrid w:val="0"/>
        <w:spacing w:before="0" w:after="0" w:line="520" w:lineRule="exact"/>
        <w:jc w:val="left"/>
        <w:rPr>
          <w:rFonts w:hint="eastAsia" w:ascii="宋体" w:hAnsi="宋体" w:cs="宋体"/>
          <w:b w:val="0"/>
          <w:color w:val="auto"/>
          <w:sz w:val="24"/>
          <w:szCs w:val="24"/>
          <w:lang w:bidi="zh-CN"/>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投标公司的营业执照及生产厂家</w:t>
      </w:r>
      <w:r>
        <w:rPr>
          <w:rFonts w:hint="eastAsia" w:ascii="宋体" w:hAnsi="宋体" w:cs="宋体"/>
          <w:b w:val="0"/>
          <w:color w:val="auto"/>
          <w:sz w:val="24"/>
          <w:szCs w:val="24"/>
          <w:lang w:val="en-US" w:bidi="zh-CN"/>
        </w:rPr>
        <w:t>特定资格要求的证明材料，提供信用中国网页查询截图，</w:t>
      </w:r>
      <w:r>
        <w:rPr>
          <w:rFonts w:hint="eastAsia" w:ascii="宋体" w:hAnsi="宋体" w:cs="宋体"/>
          <w:b w:val="0"/>
          <w:color w:val="auto"/>
          <w:sz w:val="24"/>
          <w:szCs w:val="24"/>
          <w:lang w:bidi="zh-CN"/>
        </w:rPr>
        <w:t>并加盖单位公章（按顺序装订）。</w:t>
      </w:r>
    </w:p>
    <w:p w14:paraId="675A77B9">
      <w:pPr>
        <w:pStyle w:val="6"/>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DEE619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0"/>
      <w:rPr>
        <w:rFonts w:hint="eastAsia" w:ascii="仿宋_GB2312" w:eastAsia="仿宋_GB2312"/>
        <w:bCs/>
        <w:u w:val="single"/>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3AA76F3"/>
    <w:multiLevelType w:val="singleLevel"/>
    <w:tmpl w:val="E3AA76F3"/>
    <w:lvl w:ilvl="0" w:tentative="0">
      <w:start w:val="1"/>
      <w:numFmt w:val="decimal"/>
      <w:suff w:val="nothing"/>
      <w:lvlText w:val="%1、"/>
      <w:lvlJc w:val="left"/>
    </w:lvl>
  </w:abstractNum>
  <w:abstractNum w:abstractNumId="2">
    <w:nsid w:val="EB67FE42"/>
    <w:multiLevelType w:val="singleLevel"/>
    <w:tmpl w:val="EB67FE42"/>
    <w:lvl w:ilvl="0" w:tentative="0">
      <w:start w:val="1"/>
      <w:numFmt w:val="decimal"/>
      <w:suff w:val="nothing"/>
      <w:lvlText w:val="%1、"/>
      <w:lvlJc w:val="left"/>
    </w:lvl>
  </w:abstractNum>
  <w:abstractNum w:abstractNumId="3">
    <w:nsid w:val="74C45638"/>
    <w:multiLevelType w:val="singleLevel"/>
    <w:tmpl w:val="74C45638"/>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691323B"/>
    <w:rsid w:val="17756E0B"/>
    <w:rsid w:val="17E51656"/>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1D8C"/>
    <w:rsid w:val="1FDFE26B"/>
    <w:rsid w:val="1FE73549"/>
    <w:rsid w:val="1FFF6652"/>
    <w:rsid w:val="2038045E"/>
    <w:rsid w:val="209055C8"/>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C77C2"/>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3FFBF02C"/>
    <w:rsid w:val="403B4B34"/>
    <w:rsid w:val="4140452A"/>
    <w:rsid w:val="414D7889"/>
    <w:rsid w:val="41BB0BAE"/>
    <w:rsid w:val="425629F5"/>
    <w:rsid w:val="4284152B"/>
    <w:rsid w:val="429A4992"/>
    <w:rsid w:val="42FF3888"/>
    <w:rsid w:val="435B161D"/>
    <w:rsid w:val="43B25DAC"/>
    <w:rsid w:val="44771DFD"/>
    <w:rsid w:val="45D569C3"/>
    <w:rsid w:val="46C011EB"/>
    <w:rsid w:val="475F9F54"/>
    <w:rsid w:val="479B74B7"/>
    <w:rsid w:val="48368581"/>
    <w:rsid w:val="48735221"/>
    <w:rsid w:val="49E92B05"/>
    <w:rsid w:val="4A354E62"/>
    <w:rsid w:val="4AEE1A11"/>
    <w:rsid w:val="4B7F39F4"/>
    <w:rsid w:val="4B9387EE"/>
    <w:rsid w:val="4BAE646F"/>
    <w:rsid w:val="4CAC1559"/>
    <w:rsid w:val="4D1D09A0"/>
    <w:rsid w:val="4D754257"/>
    <w:rsid w:val="4DCD6AB3"/>
    <w:rsid w:val="4E334DF1"/>
    <w:rsid w:val="4EE7662F"/>
    <w:rsid w:val="4F9F8553"/>
    <w:rsid w:val="50216DCD"/>
    <w:rsid w:val="50540C20"/>
    <w:rsid w:val="506258C6"/>
    <w:rsid w:val="51AC28BD"/>
    <w:rsid w:val="52183ACC"/>
    <w:rsid w:val="5275566D"/>
    <w:rsid w:val="52950FA7"/>
    <w:rsid w:val="531356F0"/>
    <w:rsid w:val="53238E8B"/>
    <w:rsid w:val="537E2BE5"/>
    <w:rsid w:val="53B55872"/>
    <w:rsid w:val="544055F2"/>
    <w:rsid w:val="54AD4386"/>
    <w:rsid w:val="55D8243C"/>
    <w:rsid w:val="575FAF7E"/>
    <w:rsid w:val="581A7C72"/>
    <w:rsid w:val="583A4BD7"/>
    <w:rsid w:val="59C74B1F"/>
    <w:rsid w:val="5A886F59"/>
    <w:rsid w:val="5BDF167E"/>
    <w:rsid w:val="5E9BBF88"/>
    <w:rsid w:val="5EBFE873"/>
    <w:rsid w:val="5F153ADC"/>
    <w:rsid w:val="5FBFAB6E"/>
    <w:rsid w:val="604D5946"/>
    <w:rsid w:val="611B6B1B"/>
    <w:rsid w:val="61FF68C0"/>
    <w:rsid w:val="62C222C2"/>
    <w:rsid w:val="632D7C40"/>
    <w:rsid w:val="63F39F53"/>
    <w:rsid w:val="64133D6A"/>
    <w:rsid w:val="64245572"/>
    <w:rsid w:val="653D36B9"/>
    <w:rsid w:val="65824D95"/>
    <w:rsid w:val="674A3DD5"/>
    <w:rsid w:val="678E4F5D"/>
    <w:rsid w:val="67F3562A"/>
    <w:rsid w:val="67FFBBE3"/>
    <w:rsid w:val="680E122C"/>
    <w:rsid w:val="6A4E1D63"/>
    <w:rsid w:val="6C486FE4"/>
    <w:rsid w:val="6CA409DF"/>
    <w:rsid w:val="6D9F787E"/>
    <w:rsid w:val="6DBC6A8E"/>
    <w:rsid w:val="6DBE71AC"/>
    <w:rsid w:val="6DE375E4"/>
    <w:rsid w:val="6DFF0C8E"/>
    <w:rsid w:val="6E8E5287"/>
    <w:rsid w:val="6EEFE731"/>
    <w:rsid w:val="6EF17664"/>
    <w:rsid w:val="6F6E499D"/>
    <w:rsid w:val="6F8D6265"/>
    <w:rsid w:val="6FAC3B48"/>
    <w:rsid w:val="6FAD463B"/>
    <w:rsid w:val="6FB7ACDA"/>
    <w:rsid w:val="6FBE332C"/>
    <w:rsid w:val="6FD61CE4"/>
    <w:rsid w:val="6FDBE144"/>
    <w:rsid w:val="6FFF67CC"/>
    <w:rsid w:val="70CE0BC9"/>
    <w:rsid w:val="71554367"/>
    <w:rsid w:val="71584067"/>
    <w:rsid w:val="71F26E91"/>
    <w:rsid w:val="71F8DB24"/>
    <w:rsid w:val="72CE2295"/>
    <w:rsid w:val="72FB9D37"/>
    <w:rsid w:val="735201FF"/>
    <w:rsid w:val="737B50A4"/>
    <w:rsid w:val="73E260E8"/>
    <w:rsid w:val="73F40E72"/>
    <w:rsid w:val="74566F5C"/>
    <w:rsid w:val="750117A8"/>
    <w:rsid w:val="755B2270"/>
    <w:rsid w:val="75E27514"/>
    <w:rsid w:val="7617FFB0"/>
    <w:rsid w:val="762BE131"/>
    <w:rsid w:val="76920D75"/>
    <w:rsid w:val="76C47877"/>
    <w:rsid w:val="76FC90CC"/>
    <w:rsid w:val="76FF6CFD"/>
    <w:rsid w:val="77423DFF"/>
    <w:rsid w:val="77D7BAEA"/>
    <w:rsid w:val="77EE6ED4"/>
    <w:rsid w:val="77FD832A"/>
    <w:rsid w:val="783B5EA9"/>
    <w:rsid w:val="78B114A6"/>
    <w:rsid w:val="79C6FDAF"/>
    <w:rsid w:val="79E039F1"/>
    <w:rsid w:val="79EB699D"/>
    <w:rsid w:val="79FFEA3A"/>
    <w:rsid w:val="7A3E5854"/>
    <w:rsid w:val="7ABA298D"/>
    <w:rsid w:val="7B0620DE"/>
    <w:rsid w:val="7B7D7C18"/>
    <w:rsid w:val="7BBF44BB"/>
    <w:rsid w:val="7BF15CE4"/>
    <w:rsid w:val="7C3A27E5"/>
    <w:rsid w:val="7C5533D1"/>
    <w:rsid w:val="7D9727DD"/>
    <w:rsid w:val="7D9F76F5"/>
    <w:rsid w:val="7DDF8A36"/>
    <w:rsid w:val="7DFE74A2"/>
    <w:rsid w:val="7DFF061C"/>
    <w:rsid w:val="7E2117BD"/>
    <w:rsid w:val="7E8BAD0B"/>
    <w:rsid w:val="7ED7DBED"/>
    <w:rsid w:val="7EDE63C5"/>
    <w:rsid w:val="7EF7B2A4"/>
    <w:rsid w:val="7EFB4F6E"/>
    <w:rsid w:val="7F164138"/>
    <w:rsid w:val="7F1A5E95"/>
    <w:rsid w:val="7F3B676F"/>
    <w:rsid w:val="7FA75B91"/>
    <w:rsid w:val="7FB1DF06"/>
    <w:rsid w:val="7FBC7699"/>
    <w:rsid w:val="7FCFF1E1"/>
    <w:rsid w:val="7FFB0877"/>
    <w:rsid w:val="7FFDFA69"/>
    <w:rsid w:val="7FFE88A1"/>
    <w:rsid w:val="7FFFD909"/>
    <w:rsid w:val="87EFD207"/>
    <w:rsid w:val="8B7D3439"/>
    <w:rsid w:val="8EFAA180"/>
    <w:rsid w:val="8EFE3913"/>
    <w:rsid w:val="8FCFBFEF"/>
    <w:rsid w:val="9EFF74B7"/>
    <w:rsid w:val="9F670A24"/>
    <w:rsid w:val="A4FC5874"/>
    <w:rsid w:val="A99BC227"/>
    <w:rsid w:val="ABFF86F2"/>
    <w:rsid w:val="ADFDDBA5"/>
    <w:rsid w:val="AFDF5C35"/>
    <w:rsid w:val="AFEFD62F"/>
    <w:rsid w:val="B7FBACA6"/>
    <w:rsid w:val="BBDFF490"/>
    <w:rsid w:val="BCD519AA"/>
    <w:rsid w:val="BF59071B"/>
    <w:rsid w:val="BF7D9491"/>
    <w:rsid w:val="BFF77D2B"/>
    <w:rsid w:val="C3FEA355"/>
    <w:rsid w:val="CDFF7760"/>
    <w:rsid w:val="CFFF8E32"/>
    <w:rsid w:val="D5BCDEB3"/>
    <w:rsid w:val="D6D5AD7C"/>
    <w:rsid w:val="D7D36704"/>
    <w:rsid w:val="DBDE3CFA"/>
    <w:rsid w:val="DFAD8580"/>
    <w:rsid w:val="DFBFCC3A"/>
    <w:rsid w:val="DFF97BBC"/>
    <w:rsid w:val="DFFA836E"/>
    <w:rsid w:val="DFFEDE01"/>
    <w:rsid w:val="DFFF05F4"/>
    <w:rsid w:val="E6D3FB51"/>
    <w:rsid w:val="E6F7C8DE"/>
    <w:rsid w:val="E87AC6AD"/>
    <w:rsid w:val="E9FE6660"/>
    <w:rsid w:val="EADE7AA2"/>
    <w:rsid w:val="ED6D9162"/>
    <w:rsid w:val="EF7B1925"/>
    <w:rsid w:val="EFECA95C"/>
    <w:rsid w:val="EFF91F3A"/>
    <w:rsid w:val="EFFF278C"/>
    <w:rsid w:val="F1347A70"/>
    <w:rsid w:val="F1F77FE9"/>
    <w:rsid w:val="F76D9192"/>
    <w:rsid w:val="F7AF362D"/>
    <w:rsid w:val="F7D57869"/>
    <w:rsid w:val="F91F5623"/>
    <w:rsid w:val="F99F179C"/>
    <w:rsid w:val="FA5EB7BF"/>
    <w:rsid w:val="FAC9F970"/>
    <w:rsid w:val="FB6F87D3"/>
    <w:rsid w:val="FB7D52BD"/>
    <w:rsid w:val="FBBD03F1"/>
    <w:rsid w:val="FBF3B75B"/>
    <w:rsid w:val="FCEB7648"/>
    <w:rsid w:val="FDF7EAA8"/>
    <w:rsid w:val="FDFF9C76"/>
    <w:rsid w:val="FEAFF452"/>
    <w:rsid w:val="FED7AE9E"/>
    <w:rsid w:val="FEE34724"/>
    <w:rsid w:val="FF1EFC35"/>
    <w:rsid w:val="FF477DD4"/>
    <w:rsid w:val="FF5F7F20"/>
    <w:rsid w:val="FF7B9B69"/>
    <w:rsid w:val="FF7D155A"/>
    <w:rsid w:val="FFAFFB84"/>
    <w:rsid w:val="FFBF9032"/>
    <w:rsid w:val="FFC8EF32"/>
    <w:rsid w:val="FFD76697"/>
    <w:rsid w:val="FFDE8306"/>
    <w:rsid w:val="FFDF81E1"/>
    <w:rsid w:val="FFE13652"/>
    <w:rsid w:val="FFE14F02"/>
    <w:rsid w:val="FFECE770"/>
    <w:rsid w:val="FFEFBF13"/>
    <w:rsid w:val="FFF3DD05"/>
    <w:rsid w:val="FFF7161B"/>
    <w:rsid w:val="FFFDE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2"/>
    <w:basedOn w:val="1"/>
    <w:next w:val="1"/>
    <w:qFormat/>
    <w:uiPriority w:val="0"/>
    <w:pPr>
      <w:keepNext/>
      <w:keepLines/>
      <w:spacing w:line="360" w:lineRule="auto"/>
      <w:outlineLvl w:val="1"/>
    </w:pPr>
    <w:rPr>
      <w:b/>
      <w:bCs/>
      <w:sz w:val="24"/>
      <w:szCs w:val="32"/>
    </w:rPr>
  </w:style>
  <w:style w:type="paragraph" w:styleId="6">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7">
    <w:name w:val="Normal Indent"/>
    <w:basedOn w:val="1"/>
    <w:qFormat/>
    <w:uiPriority w:val="0"/>
    <w:pPr>
      <w:widowControl/>
      <w:ind w:firstLine="420"/>
      <w:jc w:val="left"/>
    </w:pPr>
    <w:rPr>
      <w:kern w:val="0"/>
      <w:sz w:val="20"/>
      <w:szCs w:val="20"/>
    </w:rPr>
  </w:style>
  <w:style w:type="paragraph" w:styleId="8">
    <w:name w:val="annotation text"/>
    <w:basedOn w:val="1"/>
    <w:qFormat/>
    <w:uiPriority w:val="0"/>
    <w:pPr>
      <w:jc w:val="left"/>
    </w:pPr>
  </w:style>
  <w:style w:type="paragraph" w:styleId="9">
    <w:name w:val="Date"/>
    <w:basedOn w:val="1"/>
    <w:next w:val="1"/>
    <w:qFormat/>
    <w:uiPriority w:val="0"/>
    <w:rPr>
      <w:color w:val="000000"/>
      <w:kern w:val="0"/>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10286</Words>
  <Characters>10724</Characters>
  <Lines>0</Lines>
  <Paragraphs>0</Paragraphs>
  <TotalTime>0</TotalTime>
  <ScaleCrop>false</ScaleCrop>
  <LinksUpToDate>false</LinksUpToDate>
  <CharactersWithSpaces>11702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2023-07-29T17:45:00Z</dcterms:created>
  <dc:creator>是小豹子</dc:creator>
  <cp:lastModifiedBy>沁sqr</cp:lastModifiedBy>
  <dcterms:modified xsi:type="dcterms:W3CDTF">2026-09-07T09:14:14Z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6B09268C0C7441EF98B7B6DC64DF57DD_13</vt:lpwstr>
  </property>
  <property fmtid="{D5CDD505-2E9C-101B-9397-08002B2CF9AE}" pid="4" name="KSOTemplateDocerSaveRecord">
    <vt:lpwstr>eyJoZGlkIjoiMWVhNWM2ZGQ3MWRjMzJkNGQ4ZWY1M2EwNzNkYzdhMTgiLCJ1c2VySWQiOiIyMTU3ODkwMjUifQ==</vt:lpwstr>
  </property>
</Properties>
</file>