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9" w:name="_GoBack"/>
      <w:bookmarkEnd w:id="9"/>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3"/>
        <w:rPr>
          <w:rFonts w:ascii="Arial" w:hAnsi="Arial" w:cs="Arial"/>
          <w:sz w:val="32"/>
          <w:szCs w:val="32"/>
        </w:rPr>
      </w:pPr>
    </w:p>
    <w:p w14:paraId="790E99FE">
      <w:pPr>
        <w:pStyle w:val="13"/>
        <w:rPr>
          <w:rFonts w:ascii="Arial" w:hAnsi="Arial" w:cs="Arial"/>
          <w:sz w:val="32"/>
          <w:szCs w:val="32"/>
        </w:rPr>
      </w:pPr>
    </w:p>
    <w:p w14:paraId="6D6CF557">
      <w:pPr>
        <w:pStyle w:val="13"/>
        <w:rPr>
          <w:rFonts w:ascii="Arial" w:hAnsi="Arial" w:cs="Arial"/>
          <w:sz w:val="32"/>
          <w:szCs w:val="32"/>
        </w:rPr>
      </w:pPr>
    </w:p>
    <w:p w14:paraId="77BABE1C">
      <w:pPr>
        <w:pStyle w:val="13"/>
        <w:rPr>
          <w:rFonts w:ascii="Arial" w:hAnsi="Arial" w:cs="Arial"/>
          <w:sz w:val="32"/>
          <w:szCs w:val="32"/>
        </w:rPr>
      </w:pPr>
    </w:p>
    <w:p w14:paraId="1C0FB295">
      <w:pPr>
        <w:pStyle w:val="13"/>
        <w:rPr>
          <w:rFonts w:ascii="Arial" w:hAnsi="Arial" w:cs="Arial"/>
          <w:sz w:val="32"/>
          <w:szCs w:val="32"/>
        </w:rPr>
      </w:pPr>
    </w:p>
    <w:p w14:paraId="4C96CB97">
      <w:pPr>
        <w:pStyle w:val="13"/>
        <w:rPr>
          <w:rFonts w:ascii="Arial" w:hAnsi="Arial" w:cs="Arial"/>
          <w:sz w:val="32"/>
          <w:szCs w:val="32"/>
        </w:rPr>
      </w:pPr>
    </w:p>
    <w:p w14:paraId="1825AAC5">
      <w:pPr>
        <w:pStyle w:val="13"/>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default" w:cs="Times New Roman"/>
          <w:b/>
          <w:bCs/>
          <w:kern w:val="44"/>
          <w:sz w:val="32"/>
          <w:szCs w:val="32"/>
          <w:lang w:val="en-US" w:eastAsia="zh-CN" w:bidi="ar-SA"/>
        </w:rPr>
        <w:t>前列腺癌PSA快速筛查仪</w:t>
      </w:r>
      <w:r>
        <w:rPr>
          <w:rFonts w:hint="eastAsia" w:cs="Times New Roman"/>
          <w:b/>
          <w:bCs/>
          <w:kern w:val="44"/>
          <w:sz w:val="32"/>
          <w:szCs w:val="32"/>
          <w:lang w:val="en-US" w:eastAsia="zh-CN" w:bidi="ar-SA"/>
        </w:rPr>
        <w:t xml:space="preserve">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default" w:asciiTheme="minorEastAsia" w:hAnsiTheme="minorEastAsia" w:eastAsiaTheme="minorEastAsia" w:cstheme="minorEastAsia"/>
          <w:bCs/>
          <w:color w:val="auto"/>
          <w:sz w:val="24"/>
          <w:szCs w:val="24"/>
          <w:u w:val="single"/>
          <w:lang w:val="en-US" w:eastAsia="zh-CN"/>
        </w:rPr>
        <w:t>前列腺癌PSA快速筛查仪</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default" w:asciiTheme="minorEastAsia" w:hAnsiTheme="minorEastAsia" w:eastAsiaTheme="minorEastAsia" w:cstheme="minorEastAsia"/>
          <w:b w:val="0"/>
          <w:bCs/>
          <w:color w:val="auto"/>
          <w:sz w:val="24"/>
          <w:szCs w:val="24"/>
          <w:u w:val="single"/>
          <w:lang w:val="en-US" w:eastAsia="zh-CN"/>
        </w:rPr>
        <w:t>前列腺癌PSA快速筛查仪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534"/>
        <w:gridCol w:w="1501"/>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53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50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53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5F7944E">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免疫荧光检测仪</w:t>
            </w:r>
          </w:p>
          <w:p w14:paraId="5679EF7F">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150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6</w:t>
            </w:r>
          </w:p>
        </w:tc>
        <w:tc>
          <w:tcPr>
            <w:tcW w:w="2310" w:type="dxa"/>
            <w:vMerge w:val="restart"/>
            <w:tcBorders>
              <w:top w:val="single" w:color="000000" w:sz="6" w:space="0"/>
              <w:left w:val="single" w:color="000000" w:sz="6" w:space="0"/>
              <w:right w:val="single" w:color="auto" w:sz="4" w:space="0"/>
            </w:tcBorders>
            <w:shd w:val="clear" w:color="auto" w:fill="auto"/>
            <w:tcMar>
              <w:top w:w="75" w:type="dxa"/>
              <w:left w:w="150" w:type="dxa"/>
              <w:bottom w:w="75" w:type="dxa"/>
              <w:right w:w="150" w:type="dxa"/>
            </w:tcMar>
            <w:vAlign w:val="center"/>
          </w:tcPr>
          <w:p w14:paraId="0C6B59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46AF0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8D4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53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CF0166">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干式荧光免疫分析仪</w:t>
            </w:r>
          </w:p>
        </w:tc>
        <w:tc>
          <w:tcPr>
            <w:tcW w:w="150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D11C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2</w:t>
            </w:r>
          </w:p>
        </w:tc>
        <w:tc>
          <w:tcPr>
            <w:tcW w:w="2310" w:type="dxa"/>
            <w:vMerge w:val="continue"/>
            <w:tcBorders>
              <w:left w:val="single" w:color="000000" w:sz="6" w:space="0"/>
              <w:right w:val="single" w:color="auto" w:sz="4" w:space="0"/>
            </w:tcBorders>
            <w:shd w:val="clear" w:color="auto" w:fill="auto"/>
            <w:tcMar>
              <w:top w:w="75" w:type="dxa"/>
              <w:left w:w="150" w:type="dxa"/>
              <w:bottom w:w="75" w:type="dxa"/>
              <w:right w:w="150" w:type="dxa"/>
            </w:tcMar>
            <w:vAlign w:val="center"/>
          </w:tcPr>
          <w:p w14:paraId="46147B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2A2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AFC2B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FB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3</w:t>
            </w:r>
          </w:p>
        </w:tc>
        <w:tc>
          <w:tcPr>
            <w:tcW w:w="253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0AEA8B">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全自动化学发光免疫分析仪</w:t>
            </w:r>
          </w:p>
        </w:tc>
        <w:tc>
          <w:tcPr>
            <w:tcW w:w="150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673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1</w:t>
            </w:r>
          </w:p>
        </w:tc>
        <w:tc>
          <w:tcPr>
            <w:tcW w:w="2310" w:type="dxa"/>
            <w:vMerge w:val="continue"/>
            <w:tcBorders>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F4B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6C62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24DAD46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（一）免疫荧光检测仪（6台）技术参数</w:t>
      </w:r>
    </w:p>
    <w:p w14:paraId="4DBD387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1、方法学：荧光免疫法</w:t>
      </w:r>
    </w:p>
    <w:p w14:paraId="1257196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2、工作模式：快速检测模式、标准检测模式（机内、机外双反应模式）</w:t>
      </w:r>
    </w:p>
    <w:p w14:paraId="728B3A8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3、检测通道：单通道</w:t>
      </w:r>
    </w:p>
    <w:p w14:paraId="4EF4E10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▲4、样本量：</w:t>
      </w:r>
      <w:r>
        <w:rPr>
          <w:rFonts w:hint="eastAsia" w:asciiTheme="minorEastAsia" w:hAnsiTheme="minorEastAsia" w:eastAsiaTheme="minorEastAsia" w:cstheme="minorEastAsia"/>
          <w:bCs/>
          <w:color w:val="auto"/>
          <w:kern w:val="0"/>
          <w:sz w:val="24"/>
          <w:szCs w:val="24"/>
          <w:lang w:val="en-US" w:eastAsia="zh-Hans" w:bidi="ar-SA"/>
        </w:rPr>
        <w:t>5</w:t>
      </w:r>
      <w:r>
        <w:rPr>
          <w:rFonts w:hint="eastAsia" w:asciiTheme="minorEastAsia" w:hAnsiTheme="minorEastAsia" w:eastAsiaTheme="minorEastAsia" w:cstheme="minorEastAsia"/>
          <w:bCs/>
          <w:color w:val="auto"/>
          <w:kern w:val="0"/>
          <w:sz w:val="24"/>
          <w:szCs w:val="24"/>
          <w:lang w:val="en-US" w:eastAsia="zh-CN" w:bidi="ar-SA"/>
        </w:rPr>
        <w:t>μl- 100μl</w:t>
      </w:r>
    </w:p>
    <w:p w14:paraId="1191E42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▲5.温控：带有温控模块，保证检测结果稳定性</w:t>
      </w:r>
    </w:p>
    <w:p w14:paraId="2303EDC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6、结果数据管理：可存储结果数据</w:t>
      </w:r>
      <w:r>
        <w:rPr>
          <w:rFonts w:hint="default"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CN" w:bidi="ar-SA"/>
        </w:rPr>
        <w:t>50000条，可智能选择结果查询时间区间进行结果管理</w:t>
      </w:r>
    </w:p>
    <w:p w14:paraId="7C600B6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7、打印系统：内置热敏打印机，可外接USB扫描仪，打印机</w:t>
      </w:r>
    </w:p>
    <w:p w14:paraId="52E8FA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8、通讯硬件接口：RS232、USB、以太网络</w:t>
      </w:r>
    </w:p>
    <w:p w14:paraId="5A7F97A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9、通讯支持：支持LIS连接、电脑连接、外置扫描仪连接、外置打印机连接</w:t>
      </w:r>
    </w:p>
    <w:p w14:paraId="6875653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10、电源输入接口：电源适配器；</w:t>
      </w:r>
      <w:r>
        <w:rPr>
          <w:rFonts w:hint="eastAsia" w:asciiTheme="minorEastAsia" w:hAnsiTheme="minorEastAsia" w:eastAsiaTheme="minorEastAsia" w:cstheme="minorEastAsia"/>
          <w:bCs/>
          <w:color w:val="auto"/>
          <w:kern w:val="0"/>
          <w:sz w:val="24"/>
          <w:szCs w:val="24"/>
          <w:lang w:val="en-US" w:eastAsia="zh-Hans" w:bidi="ar-SA"/>
        </w:rPr>
        <w:t>具有内置电池，可不接通电源检测</w:t>
      </w:r>
    </w:p>
    <w:p w14:paraId="4C78BDA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11、操作温度：10℃-30℃</w:t>
      </w:r>
    </w:p>
    <w:p w14:paraId="795BE40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12、储存温度：-10℃-50℃</w:t>
      </w:r>
    </w:p>
    <w:p w14:paraId="2FE6FF0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13、储存相对环境湿度：10%-80%</w:t>
      </w:r>
    </w:p>
    <w:p w14:paraId="5EE7E97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14、ID芯片：匹配测试卡的批号和条形码识别，进行具体校准</w:t>
      </w:r>
    </w:p>
    <w:p w14:paraId="09E1CBE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15、试剂卡质量控制：有内部标准作为试剂卡内部质控</w:t>
      </w:r>
    </w:p>
    <w:p w14:paraId="021C644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▲16、试剂卡效期：</w:t>
      </w:r>
      <w:bookmarkStart w:id="1" w:name="_Hlk206687261"/>
      <w:r>
        <w:rPr>
          <w:rFonts w:hint="eastAsia" w:asciiTheme="minorEastAsia" w:hAnsiTheme="minorEastAsia" w:eastAsiaTheme="minorEastAsia" w:cstheme="minorEastAsia"/>
          <w:bCs/>
          <w:color w:val="auto"/>
          <w:kern w:val="0"/>
          <w:sz w:val="24"/>
          <w:szCs w:val="24"/>
          <w:lang w:val="en-US" w:eastAsia="zh-CN" w:bidi="ar-SA"/>
        </w:rPr>
        <w:t>≥24个月</w:t>
      </w:r>
      <w:bookmarkEnd w:id="1"/>
    </w:p>
    <w:p w14:paraId="7BEB1ED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 标本类型：</w:t>
      </w:r>
      <w:bookmarkStart w:id="2" w:name="_Hlk206687250"/>
      <w:r>
        <w:rPr>
          <w:rFonts w:hint="eastAsia" w:asciiTheme="minorEastAsia" w:hAnsiTheme="minorEastAsia" w:eastAsiaTheme="minorEastAsia" w:cstheme="minorEastAsia"/>
          <w:bCs/>
          <w:color w:val="auto"/>
          <w:kern w:val="0"/>
          <w:sz w:val="24"/>
          <w:szCs w:val="24"/>
          <w:lang w:val="en-US" w:eastAsia="zh-CN" w:bidi="ar-SA"/>
        </w:rPr>
        <w:t>支持全血、血清、血浆和尿液</w:t>
      </w:r>
      <w:bookmarkEnd w:id="2"/>
    </w:p>
    <w:p w14:paraId="6883557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18、检测时间：3-15min获得结果</w:t>
      </w:r>
    </w:p>
    <w:p w14:paraId="2A32C1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（二）干式荧光免疫分析仪（2台）技术参数</w:t>
      </w:r>
    </w:p>
    <w:p w14:paraId="7DA043A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1、方法学：荧光免疫法</w:t>
      </w:r>
    </w:p>
    <w:p w14:paraId="0850C08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2、光源：LED蓝光</w:t>
      </w:r>
    </w:p>
    <w:p w14:paraId="66DBA5F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▲3、测试速率：约200个测试/小时</w:t>
      </w:r>
    </w:p>
    <w:p w14:paraId="137AE40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▲4、检测通道：</w:t>
      </w:r>
      <w:r>
        <w:rPr>
          <w:rFonts w:hint="default"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CN" w:bidi="ar-SA"/>
        </w:rPr>
        <w:t>20个检测通道</w:t>
      </w:r>
    </w:p>
    <w:p w14:paraId="775AD43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5、样本量：用血量≤75μl</w:t>
      </w:r>
    </w:p>
    <w:p w14:paraId="23A72D6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▲6、温控：带有温控模块，保证检测结果稳定性</w:t>
      </w:r>
    </w:p>
    <w:p w14:paraId="77461AA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7、结果数据管理：可存储结果数据</w:t>
      </w:r>
      <w:r>
        <w:rPr>
          <w:rFonts w:hint="default"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CN" w:bidi="ar-SA"/>
        </w:rPr>
        <w:t>20000条，可智能选择结果查询时间区间进行结果管理</w:t>
      </w:r>
    </w:p>
    <w:p w14:paraId="5778EED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8、打印系统：内置热敏打印机，可外接USB扫描仪，打印机</w:t>
      </w:r>
    </w:p>
    <w:p w14:paraId="557002F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9、通讯硬件接口：USB接口、以太网络接口、COM接口、VGA接口</w:t>
      </w:r>
    </w:p>
    <w:p w14:paraId="452F0C3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10、通讯支持：支持LIS连接、电脑连接、外置扫描仪连接、外置打印机连接</w:t>
      </w:r>
    </w:p>
    <w:p w14:paraId="2F80604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11、操作温度：10℃-30℃</w:t>
      </w:r>
    </w:p>
    <w:p w14:paraId="6AFA0D2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12、操作相对环境湿度：30%-70%</w:t>
      </w:r>
    </w:p>
    <w:p w14:paraId="15D7AC6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13、储存温度：-10℃-50℃</w:t>
      </w:r>
    </w:p>
    <w:p w14:paraId="0DFE6C8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14、储存相对环境湿度：20%~90%</w:t>
      </w:r>
    </w:p>
    <w:p w14:paraId="4CFEEA8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15、ID芯片：匹配测试卡的批号和条形码识别，进行具体校准</w:t>
      </w:r>
    </w:p>
    <w:p w14:paraId="6A78870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16、试剂卡质量控制：有内部标准作为试剂卡内部质控</w:t>
      </w:r>
    </w:p>
    <w:p w14:paraId="2CE1CC2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17、试剂卡效期：</w:t>
      </w:r>
      <w:bookmarkStart w:id="3" w:name="_Hlk206687606"/>
      <w:r>
        <w:rPr>
          <w:rFonts w:hint="eastAsia" w:asciiTheme="minorEastAsia" w:hAnsiTheme="minorEastAsia" w:eastAsiaTheme="minorEastAsia" w:cstheme="minorEastAsia"/>
          <w:bCs/>
          <w:color w:val="auto"/>
          <w:kern w:val="0"/>
          <w:sz w:val="24"/>
          <w:szCs w:val="24"/>
          <w:lang w:val="en-US" w:eastAsia="zh-CN" w:bidi="ar-SA"/>
        </w:rPr>
        <w:t>≥24个月</w:t>
      </w:r>
      <w:bookmarkEnd w:id="3"/>
    </w:p>
    <w:p w14:paraId="6D6294A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18、标本类型：</w:t>
      </w:r>
      <w:bookmarkStart w:id="4" w:name="_Hlk206687617"/>
      <w:r>
        <w:rPr>
          <w:rFonts w:hint="eastAsia" w:asciiTheme="minorEastAsia" w:hAnsiTheme="minorEastAsia" w:eastAsiaTheme="minorEastAsia" w:cstheme="minorEastAsia"/>
          <w:bCs/>
          <w:color w:val="auto"/>
          <w:kern w:val="0"/>
          <w:sz w:val="24"/>
          <w:szCs w:val="24"/>
          <w:lang w:val="en-US" w:eastAsia="zh-CN" w:bidi="ar-SA"/>
        </w:rPr>
        <w:t>支持全血、血清、血浆和尿液</w:t>
      </w:r>
      <w:bookmarkEnd w:id="4"/>
    </w:p>
    <w:p w14:paraId="6CF33B1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19、检测时间：3-15min获得结果</w:t>
      </w:r>
    </w:p>
    <w:p w14:paraId="55057B5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（三）全自动化学发光免疫分析仪（1台）技术参数</w:t>
      </w:r>
    </w:p>
    <w:p w14:paraId="4347A3D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首样本出结果时间≤12min</w:t>
      </w:r>
    </w:p>
    <w:p w14:paraId="2E645D8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屏幕显示器：≥15英寸彩色触摸，同步支持外接键盘鼠标操作</w:t>
      </w:r>
    </w:p>
    <w:p w14:paraId="5B6493E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3</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样本类型：至少包含人体的血清、血浆、全血、尿液和脑脊液样本</w:t>
      </w:r>
    </w:p>
    <w:p w14:paraId="3C8BD86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4</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上样本方式：钢针自动加样</w:t>
      </w:r>
    </w:p>
    <w:p w14:paraId="5BFA5B3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5</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分析通量：测试速度≥200 T/H</w:t>
      </w:r>
    </w:p>
    <w:p w14:paraId="2E8AE8E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▲6</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坪效比≥300</w:t>
      </w:r>
    </w:p>
    <w:p w14:paraId="2215090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7</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试剂位≥25个</w:t>
      </w:r>
    </w:p>
    <w:p w14:paraId="1C07629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8</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Hans" w:bidi="ar-SA"/>
        </w:rPr>
        <w:t>≥</w:t>
      </w:r>
      <w:r>
        <w:rPr>
          <w:rFonts w:hint="eastAsia" w:asciiTheme="minorEastAsia" w:hAnsiTheme="minorEastAsia" w:eastAsiaTheme="minorEastAsia" w:cstheme="minorEastAsia"/>
          <w:bCs/>
          <w:color w:val="auto"/>
          <w:kern w:val="0"/>
          <w:sz w:val="24"/>
          <w:szCs w:val="24"/>
          <w:lang w:val="en-US" w:eastAsia="zh-Hans" w:bidi="ar-SA"/>
        </w:rPr>
        <w:t>60个样本位</w:t>
      </w:r>
    </w:p>
    <w:p w14:paraId="625D7AD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▲9</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急诊模式：设置独立急诊通道，支持急诊优先，急诊样本优先加样</w:t>
      </w:r>
    </w:p>
    <w:p w14:paraId="373F6BD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10</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试剂冷藏：24小时不间断冷藏，试剂盘冷藏温度2℃～8℃</w:t>
      </w:r>
    </w:p>
    <w:p w14:paraId="1719051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11</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仪器噪声：≤300（暗计数）</w:t>
      </w:r>
    </w:p>
    <w:p w14:paraId="35E582C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12</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最大可容纳反应杯500个</w:t>
      </w:r>
    </w:p>
    <w:p w14:paraId="40D7A97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13</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支持在线试剂耗材装载</w:t>
      </w:r>
    </w:p>
    <w:p w14:paraId="2C8D46D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default" w:asciiTheme="minorEastAsia" w:hAnsiTheme="minorEastAsia" w:eastAsiaTheme="minorEastAsia" w:cstheme="minorEastAsia"/>
          <w:bCs/>
          <w:color w:val="auto"/>
          <w:kern w:val="0"/>
          <w:sz w:val="24"/>
          <w:szCs w:val="24"/>
          <w:lang w:val="en-US" w:eastAsia="zh-Hans" w:bidi="ar-SA"/>
        </w:rPr>
        <w:t>14</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Hans" w:bidi="ar-SA"/>
        </w:rPr>
        <w:t>支持RFID功能</w:t>
      </w:r>
      <w:r>
        <w:rPr>
          <w:rFonts w:hint="eastAsia" w:asciiTheme="minorEastAsia" w:hAnsiTheme="minorEastAsia" w:eastAsiaTheme="minorEastAsia" w:cstheme="minorEastAsia"/>
          <w:bCs/>
          <w:color w:val="auto"/>
          <w:kern w:val="0"/>
          <w:sz w:val="24"/>
          <w:szCs w:val="24"/>
          <w:lang w:val="en-US" w:eastAsia="zh-Hans" w:bidi="ar-SA"/>
        </w:rPr>
        <w:t>，试剂盘内自动识别试剂项目参数、批次、校准等信息</w:t>
      </w:r>
    </w:p>
    <w:p w14:paraId="42E4B08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15</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采样针具有液面检测，防撞检测，堵针检测等功能</w:t>
      </w:r>
    </w:p>
    <w:p w14:paraId="5A550AE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16</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支持单双向LIS，支持自动识别样本条码</w:t>
      </w:r>
    </w:p>
    <w:p w14:paraId="0B8F196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17</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支持样本自动稀释功能</w:t>
      </w:r>
    </w:p>
    <w:p w14:paraId="0BCF539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18</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采样针采用双向正负压结合环绕式真空冲洗</w:t>
      </w:r>
    </w:p>
    <w:p w14:paraId="2BC5F43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19</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混匀模块采用非接触式偏心涡旋混匀</w:t>
      </w:r>
    </w:p>
    <w:p w14:paraId="643786B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20</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孵育盘采用恒温槽固体直热，日常免维护保养</w:t>
      </w:r>
    </w:p>
    <w:p w14:paraId="41385AB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21</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可同时上机两瓶底物，支持底物自动切换，支持不停机装载底物</w:t>
      </w:r>
    </w:p>
    <w:p w14:paraId="29FE2EA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22</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支持不停机装载清洗液</w:t>
      </w:r>
    </w:p>
    <w:p w14:paraId="273B566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23</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支持耗材不足预警功能</w:t>
      </w:r>
    </w:p>
    <w:p w14:paraId="3314F24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24</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支持自动重测功能，可设定危急值重测规则或设定参考范围重测规则</w:t>
      </w:r>
    </w:p>
    <w:p w14:paraId="2AC927A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Hans" w:bidi="ar-SA"/>
        </w:rPr>
      </w:pPr>
      <w:r>
        <w:rPr>
          <w:rFonts w:hint="eastAsia" w:asciiTheme="minorEastAsia" w:hAnsiTheme="minorEastAsia" w:eastAsiaTheme="minorEastAsia" w:cstheme="minorEastAsia"/>
          <w:bCs/>
          <w:color w:val="auto"/>
          <w:kern w:val="0"/>
          <w:sz w:val="24"/>
          <w:szCs w:val="24"/>
          <w:lang w:val="en-US" w:eastAsia="zh-Hans" w:bidi="ar-SA"/>
        </w:rPr>
        <w:t>25</w:t>
      </w:r>
      <w:r>
        <w:rPr>
          <w:rFonts w:hint="eastAsia" w:asciiTheme="minorEastAsia" w:hAnsiTheme="minorEastAsia" w:eastAsiaTheme="minorEastAsia" w:cstheme="minorEastAsia"/>
          <w:bCs/>
          <w:color w:val="auto"/>
          <w:kern w:val="0"/>
          <w:sz w:val="24"/>
          <w:szCs w:val="24"/>
          <w:lang w:val="en-US" w:eastAsia="zh-CN" w:bidi="ar-SA"/>
        </w:rPr>
        <w:t>、</w:t>
      </w:r>
      <w:r>
        <w:rPr>
          <w:rFonts w:hint="eastAsia" w:asciiTheme="minorEastAsia" w:hAnsiTheme="minorEastAsia" w:eastAsiaTheme="minorEastAsia" w:cstheme="minorEastAsia"/>
          <w:bCs/>
          <w:color w:val="auto"/>
          <w:kern w:val="0"/>
          <w:sz w:val="24"/>
          <w:szCs w:val="24"/>
          <w:lang w:val="en-US" w:eastAsia="zh-Hans" w:bidi="ar-SA"/>
        </w:rPr>
        <w:t>仪器平台上有注册证项目≥80项，可开展肿瘤标记物、甲状腺、心脏标记物、炎症等检测</w:t>
      </w:r>
    </w:p>
    <w:p w14:paraId="5535D99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（四）配套耗材限价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2716"/>
        <w:gridCol w:w="1653"/>
        <w:gridCol w:w="1653"/>
      </w:tblGrid>
      <w:tr w14:paraId="04D0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3" w:type="dxa"/>
            <w:vAlign w:val="bottom"/>
          </w:tcPr>
          <w:p w14:paraId="3F66F07F">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设备名称</w:t>
            </w:r>
          </w:p>
        </w:tc>
        <w:tc>
          <w:tcPr>
            <w:tcW w:w="2716" w:type="dxa"/>
            <w:vAlign w:val="bottom"/>
          </w:tcPr>
          <w:p w14:paraId="42FC86F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耗材名称</w:t>
            </w:r>
          </w:p>
        </w:tc>
        <w:tc>
          <w:tcPr>
            <w:tcW w:w="1653" w:type="dxa"/>
            <w:vAlign w:val="bottom"/>
          </w:tcPr>
          <w:p w14:paraId="0C1C5807">
            <w:pPr>
              <w:keepNext w:val="0"/>
              <w:keepLines w:val="0"/>
              <w:pageBreakBefore w:val="0"/>
              <w:kinsoku/>
              <w:wordWrap/>
              <w:overflowPunct/>
              <w:topLinePunct w:val="0"/>
              <w:autoSpaceDE/>
              <w:autoSpaceDN/>
              <w:bidi w:val="0"/>
              <w:adjustRightInd/>
              <w:snapToGrid/>
              <w:spacing w:line="360" w:lineRule="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最高限价</w:t>
            </w:r>
          </w:p>
        </w:tc>
        <w:tc>
          <w:tcPr>
            <w:tcW w:w="1653" w:type="dxa"/>
            <w:vAlign w:val="bottom"/>
          </w:tcPr>
          <w:p w14:paraId="1D66EC0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备注</w:t>
            </w:r>
          </w:p>
        </w:tc>
      </w:tr>
      <w:tr w14:paraId="7519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2803" w:type="dxa"/>
            <w:vAlign w:val="bottom"/>
          </w:tcPr>
          <w:p w14:paraId="12ECA84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免疫荧光检测仪</w:t>
            </w:r>
          </w:p>
        </w:tc>
        <w:tc>
          <w:tcPr>
            <w:tcW w:w="2716" w:type="dxa"/>
            <w:vMerge w:val="restart"/>
            <w:vAlign w:val="bottom"/>
          </w:tcPr>
          <w:p w14:paraId="62B3B2E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前列腺特异性抗原（PSA）测定试剂（荧光免疫层析法）</w:t>
            </w:r>
          </w:p>
        </w:tc>
        <w:tc>
          <w:tcPr>
            <w:tcW w:w="1653" w:type="dxa"/>
            <w:vMerge w:val="restart"/>
            <w:vAlign w:val="center"/>
          </w:tcPr>
          <w:p w14:paraId="6DF96072">
            <w:pPr>
              <w:keepNext w:val="0"/>
              <w:keepLines w:val="0"/>
              <w:pageBreakBefore w:val="0"/>
              <w:kinsoku/>
              <w:wordWrap/>
              <w:overflowPunct/>
              <w:topLinePunct w:val="0"/>
              <w:autoSpaceDE/>
              <w:autoSpaceDN/>
              <w:bidi w:val="0"/>
              <w:adjustRightInd/>
              <w:snapToGrid/>
              <w:spacing w:line="360" w:lineRule="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13元/人份</w:t>
            </w:r>
          </w:p>
        </w:tc>
        <w:tc>
          <w:tcPr>
            <w:tcW w:w="1653" w:type="dxa"/>
            <w:vMerge w:val="restart"/>
            <w:vAlign w:val="center"/>
          </w:tcPr>
          <w:p w14:paraId="77B11040">
            <w:pPr>
              <w:keepNext w:val="0"/>
              <w:keepLines w:val="0"/>
              <w:pageBreakBefore w:val="0"/>
              <w:kinsoku/>
              <w:wordWrap/>
              <w:overflowPunct/>
              <w:topLinePunct w:val="0"/>
              <w:autoSpaceDE/>
              <w:autoSpaceDN/>
              <w:bidi w:val="0"/>
              <w:adjustRightInd/>
              <w:snapToGrid/>
              <w:spacing w:line="360" w:lineRule="auto"/>
              <w:rPr>
                <w:rFonts w:hint="eastAsia" w:asciiTheme="minorEastAsia" w:hAnsiTheme="minorEastAsia" w:eastAsiaTheme="minorEastAsia" w:cstheme="minorEastAsia"/>
                <w:bCs/>
                <w:color w:val="auto"/>
                <w:kern w:val="0"/>
                <w:sz w:val="24"/>
                <w:szCs w:val="24"/>
                <w:lang w:val="en-US" w:eastAsia="zh-CN" w:bidi="ar-SA"/>
              </w:rPr>
            </w:pPr>
            <w:r>
              <w:rPr>
                <w:rFonts w:hint="eastAsia"/>
                <w:sz w:val="24"/>
                <w:szCs w:val="24"/>
                <w:vertAlign w:val="baseline"/>
                <w:lang w:val="en-US" w:eastAsia="zh-CN"/>
              </w:rPr>
              <w:t>不得高于湖南省药品和医用耗材招采管理子系统中标价</w:t>
            </w:r>
          </w:p>
        </w:tc>
      </w:tr>
      <w:tr w14:paraId="054F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2803" w:type="dxa"/>
            <w:vAlign w:val="bottom"/>
          </w:tcPr>
          <w:p w14:paraId="36139CFA">
            <w:pPr>
              <w:keepNext w:val="0"/>
              <w:keepLines w:val="0"/>
              <w:pageBreakBefore w:val="0"/>
              <w:kinsoku/>
              <w:wordWrap/>
              <w:overflowPunct/>
              <w:topLinePunct w:val="0"/>
              <w:autoSpaceDE/>
              <w:autoSpaceDN/>
              <w:bidi w:val="0"/>
              <w:adjustRightInd/>
              <w:snapToGrid/>
              <w:spacing w:line="360" w:lineRule="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干式荧光免疫分析仪</w:t>
            </w:r>
          </w:p>
        </w:tc>
        <w:tc>
          <w:tcPr>
            <w:tcW w:w="2716" w:type="dxa"/>
            <w:vMerge w:val="continue"/>
            <w:vAlign w:val="bottom"/>
          </w:tcPr>
          <w:p w14:paraId="19572CF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tc>
        <w:tc>
          <w:tcPr>
            <w:tcW w:w="1653" w:type="dxa"/>
            <w:vMerge w:val="continue"/>
            <w:vAlign w:val="center"/>
          </w:tcPr>
          <w:p w14:paraId="77D4994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tc>
        <w:tc>
          <w:tcPr>
            <w:tcW w:w="1653" w:type="dxa"/>
            <w:vMerge w:val="continue"/>
            <w:vAlign w:val="center"/>
          </w:tcPr>
          <w:p w14:paraId="0D059B7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tc>
      </w:tr>
      <w:tr w14:paraId="019B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2803" w:type="dxa"/>
            <w:vAlign w:val="bottom"/>
          </w:tcPr>
          <w:p w14:paraId="262C93B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全自动化学发光免疫分析仪</w:t>
            </w:r>
          </w:p>
        </w:tc>
        <w:tc>
          <w:tcPr>
            <w:tcW w:w="2716" w:type="dxa"/>
            <w:vAlign w:val="bottom"/>
          </w:tcPr>
          <w:p w14:paraId="25D1CB92">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总前列腺特异性抗原测定试剂盒（化学发光免疫分析法）</w:t>
            </w:r>
          </w:p>
        </w:tc>
        <w:tc>
          <w:tcPr>
            <w:tcW w:w="1653" w:type="dxa"/>
            <w:vMerge w:val="continue"/>
            <w:vAlign w:val="center"/>
          </w:tcPr>
          <w:p w14:paraId="5D02FA77">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tc>
        <w:tc>
          <w:tcPr>
            <w:tcW w:w="1653" w:type="dxa"/>
            <w:vMerge w:val="continue"/>
            <w:vAlign w:val="center"/>
          </w:tcPr>
          <w:p w14:paraId="16FEC1FF">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tc>
      </w:tr>
    </w:tbl>
    <w:p w14:paraId="7F493AA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30"/>
          <w:szCs w:val="30"/>
          <w:lang w:val="en-US" w:eastAsia="zh-CN"/>
        </w:rPr>
        <w:t>（五）商务参数</w:t>
      </w:r>
      <w:r>
        <w:rPr>
          <w:rStyle w:val="22"/>
          <w:rFonts w:hint="eastAsia" w:ascii="宋体" w:hAnsi="宋体"/>
          <w:b/>
          <w:color w:val="auto"/>
          <w:sz w:val="36"/>
          <w:lang w:val="en-US" w:eastAsia="zh-CN"/>
        </w:rPr>
        <w:cr/>
      </w:r>
      <w:r>
        <w:rPr>
          <w:rFonts w:hint="eastAsia" w:ascii="宋体" w:hAnsi="宋体" w:eastAsia="宋体" w:cs="宋体"/>
          <w:color w:val="auto"/>
          <w:sz w:val="24"/>
          <w:szCs w:val="24"/>
        </w:rPr>
        <w:t>★1、运输、装卸、培训、安装调试：由中标人负责承担，最终通过使用科室、设备科及相关部门确</w:t>
      </w:r>
      <w:r>
        <w:rPr>
          <w:rFonts w:hint="eastAsia" w:ascii="宋体" w:hAnsi="宋体" w:eastAsia="宋体" w:cs="宋体"/>
          <w:color w:val="000000" w:themeColor="text1"/>
          <w:sz w:val="24"/>
          <w:szCs w:val="24"/>
          <w:highlight w:val="none"/>
          <w14:textFill>
            <w14:solidFill>
              <w14:schemeClr w14:val="tx1"/>
            </w14:solidFill>
          </w14:textFill>
        </w:rPr>
        <w:t>认验收交付使用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国产设备交付，设备必须为6个月内生产的产品；进口设备交付，设备必须为一年内生产的产品</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cr/>
      </w:r>
      <w:r>
        <w:rPr>
          <w:rFonts w:hint="eastAsia" w:ascii="宋体" w:hAnsi="宋体" w:eastAsia="宋体" w:cs="宋体"/>
          <w:color w:val="000000" w:themeColor="text1"/>
          <w:sz w:val="24"/>
          <w:szCs w:val="24"/>
          <w:highlight w:val="none"/>
          <w14:textFill>
            <w14:solidFill>
              <w14:schemeClr w14:val="tx1"/>
            </w14:solidFill>
          </w14:textFill>
        </w:rPr>
        <w:t>★2、交货时间：按</w:t>
      </w:r>
      <w:r>
        <w:rPr>
          <w:rFonts w:hint="eastAsia" w:ascii="宋体" w:hAnsi="宋体" w:cs="宋体"/>
          <w:color w:val="000000" w:themeColor="text1"/>
          <w:sz w:val="24"/>
          <w:szCs w:val="24"/>
          <w:highlight w:val="none"/>
          <w:lang w:val="en-US" w:eastAsia="zh-CN"/>
          <w14:textFill>
            <w14:solidFill>
              <w14:schemeClr w14:val="tx1"/>
            </w14:solidFill>
          </w14:textFill>
        </w:rPr>
        <w:t>合同约定的日期交货。</w:t>
      </w:r>
    </w:p>
    <w:p w14:paraId="4D0ECA9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、交货地点：娄底</w:t>
      </w:r>
      <w:r>
        <w:rPr>
          <w:rFonts w:hint="eastAsia" w:ascii="宋体" w:hAnsi="宋体" w:eastAsia="宋体" w:cs="宋体"/>
          <w:color w:val="auto"/>
          <w:sz w:val="24"/>
          <w:szCs w:val="24"/>
        </w:rPr>
        <w:t>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0827F6E7">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宋体" w:hAnsi="宋体" w:cs="宋体"/>
          <w:color w:val="auto"/>
          <w:sz w:val="24"/>
          <w:szCs w:val="24"/>
          <w:lang w:val="en-US" w:eastAsia="zh-CN"/>
        </w:rPr>
        <w:t>且质保期届满</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0948AE9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55D7C332">
      <w:pPr>
        <w:numPr>
          <w:ilvl w:val="0"/>
          <w:numId w:val="0"/>
        </w:numPr>
        <w:jc w:val="both"/>
        <w:rPr>
          <w:rFonts w:hint="eastAsia" w:ascii="黑体" w:hAnsi="黑体" w:eastAsia="黑体" w:cs="黑体"/>
          <w:b/>
          <w:bCs/>
          <w:spacing w:val="-21"/>
          <w:sz w:val="32"/>
          <w:szCs w:val="32"/>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5ED7C7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FC454BF">
      <w:pPr>
        <w:keepNext w:val="0"/>
        <w:keepLines w:val="0"/>
        <w:pageBreakBefore w:val="0"/>
        <w:widowControl w:val="0"/>
        <w:kinsoku/>
        <w:wordWrap/>
        <w:overflowPunct/>
        <w:topLinePunct w:val="0"/>
        <w:autoSpaceDE/>
        <w:autoSpaceDN/>
        <w:bidi w:val="0"/>
        <w:adjustRightInd/>
        <w:snapToGrid/>
        <w:spacing w:line="520" w:lineRule="exact"/>
        <w:ind w:firstLine="6960" w:firstLineChars="29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39FB78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5D378FB4">
      <w:pPr>
        <w:spacing w:line="480" w:lineRule="exact"/>
        <w:rPr>
          <w:rFonts w:hint="eastAsia" w:ascii="宋体" w:hAnsi="宋体" w:eastAsia="宋体" w:cs="宋体"/>
          <w:b/>
          <w:bCs/>
          <w:sz w:val="24"/>
        </w:rPr>
      </w:pPr>
    </w:p>
    <w:p w14:paraId="14979B5C">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C2967C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03F54E4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5F97ABB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3D7B3D4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1ACF494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0A86576D">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26447B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3677F3B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6BD321B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1F5E969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BDA41F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644DE78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5D120A1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前列腺癌PSA快速筛查仪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前列腺癌PSA快速筛查仪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5F34FB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7AC4C17">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6B4F109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4"/>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7106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5FC6CC21">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3906D334">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335C508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060DBAF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660BDA72">
            <w:pPr>
              <w:widowControl/>
              <w:spacing w:line="480" w:lineRule="exac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r>
              <w:rPr>
                <w:rFonts w:hint="eastAsia" w:ascii="宋体" w:hAnsi="宋体" w:cs="宋体"/>
                <w:color w:val="000000" w:themeColor="text1"/>
                <w:kern w:val="0"/>
                <w:sz w:val="24"/>
                <w:lang w:eastAsia="zh-CN"/>
                <w14:textFill>
                  <w14:solidFill>
                    <w14:schemeClr w14:val="tx1"/>
                  </w14:solidFill>
                </w14:textFill>
              </w:rPr>
              <w:t>（台）</w:t>
            </w:r>
          </w:p>
        </w:tc>
        <w:tc>
          <w:tcPr>
            <w:tcW w:w="1388" w:type="dxa"/>
            <w:vAlign w:val="center"/>
          </w:tcPr>
          <w:p w14:paraId="3C483D18">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6BA0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8FC4EAC">
            <w:pPr>
              <w:widowControl/>
              <w:spacing w:line="320" w:lineRule="exact"/>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全自动化学发光免疫分析仪</w:t>
            </w:r>
          </w:p>
        </w:tc>
        <w:tc>
          <w:tcPr>
            <w:tcW w:w="1500" w:type="dxa"/>
            <w:vAlign w:val="center"/>
          </w:tcPr>
          <w:p w14:paraId="4B48B60F">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10A3091D">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19E52CC3">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1E84D76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p>
        </w:tc>
        <w:tc>
          <w:tcPr>
            <w:tcW w:w="1388" w:type="dxa"/>
            <w:vAlign w:val="center"/>
          </w:tcPr>
          <w:p w14:paraId="0D599BEE">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379B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726" w:type="dxa"/>
            <w:vAlign w:val="center"/>
          </w:tcPr>
          <w:p w14:paraId="1F369ACC">
            <w:pPr>
              <w:widowControl/>
              <w:spacing w:line="320" w:lineRule="exact"/>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免疫荧光检测仪</w:t>
            </w:r>
          </w:p>
        </w:tc>
        <w:tc>
          <w:tcPr>
            <w:tcW w:w="1500" w:type="dxa"/>
            <w:vAlign w:val="center"/>
          </w:tcPr>
          <w:p w14:paraId="3F8F7208">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299364CF">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7372C8B2">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82B44E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6</w:t>
            </w:r>
          </w:p>
        </w:tc>
        <w:tc>
          <w:tcPr>
            <w:tcW w:w="1388" w:type="dxa"/>
            <w:vAlign w:val="center"/>
          </w:tcPr>
          <w:p w14:paraId="6A6AB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022E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7040174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干式荧光免疫分析仪</w:t>
            </w:r>
          </w:p>
        </w:tc>
        <w:tc>
          <w:tcPr>
            <w:tcW w:w="1500" w:type="dxa"/>
            <w:vAlign w:val="center"/>
          </w:tcPr>
          <w:p w14:paraId="569EFA24">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6D680DE0">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7CAEC9A8">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1E233F3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2</w:t>
            </w:r>
          </w:p>
        </w:tc>
        <w:tc>
          <w:tcPr>
            <w:tcW w:w="1388" w:type="dxa"/>
            <w:vAlign w:val="center"/>
          </w:tcPr>
          <w:p w14:paraId="72C04329">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06D1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1D08994E">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607D045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76E11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6664F0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61717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4A2C0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41C8B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6DFA5C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3BC85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3620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693761F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30E895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4"/>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4622920B">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2A3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33DE4E4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1E893745">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2CE7BBE8">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80C4">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7EF5">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CD45896">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59B514A2">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0EE3">
            <w:pPr>
              <w:spacing w:beforeLines="0" w:afterLines="0"/>
              <w:jc w:val="both"/>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前列腺特异性抗原（PSA）测定试剂（荧光免疫层析法）</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210E60">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5C560C6D">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7B07">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E98D">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594E037">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172E">
            <w:pPr>
              <w:spacing w:beforeLines="0" w:afterLines="0"/>
              <w:jc w:val="both"/>
              <w:rPr>
                <w:rFonts w:hint="eastAsia" w:ascii="宋体" w:hAnsi="宋体" w:cstheme="minorBidi"/>
                <w:color w:val="000000"/>
                <w:kern w:val="2"/>
                <w:sz w:val="18"/>
                <w:szCs w:val="18"/>
                <w:lang w:val="en-US" w:eastAsia="zh-CN" w:bidi="ar-SA"/>
              </w:rPr>
            </w:pPr>
            <w:r>
              <w:rPr>
                <w:rFonts w:hint="eastAsia" w:eastAsiaTheme="minorHAnsi"/>
                <w:szCs w:val="21"/>
                <w:lang w:val="en-US" w:eastAsia="zh-CN"/>
              </w:rPr>
              <w:t>总前列腺特异性抗原测定试剂盒（化学发光免疫分析法）</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6D7CE067">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26AF54C">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C989">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F0BB">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39647921">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前列腺癌PSA快速筛查仪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5536CAC6">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2710A0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3EC22607">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18B73EA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72A460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6190530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29046A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760C9FB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0CFFB8E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2B1B8D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5097E4F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51DBB46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75966D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7C01E46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6A0D09C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6C4D251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0BD7708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0494A65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52C37D7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64DC2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2727300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72DF5CD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2F7E349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6ACA512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530F63D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466A691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0007C43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721C80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07BEE21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159DE1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0F11C08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51CEF98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62D018F7">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C7CA0C6">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50F079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1CF064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C63E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C6286E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6A80C95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4DCAD65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195359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202583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172A4E9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084E80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1E8206F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62E2D54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12541E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3AFEE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28A1016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3E7513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2BDC5C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5245412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6012456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132BEE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1D7DDD3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0A0C3E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4EDE4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5D3893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28B409A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317B11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113ADD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44B958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64BF0DA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2251A5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226AF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45F0C1C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53B55B7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34408C0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05CA8A8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4A1036D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4BD65FB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22F0F5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3E1134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8F4563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1B46D85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6635CE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78889E7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666336B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5B6D1B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50989F7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1F1534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18A30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3104D77">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65B60C4A">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BB73B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35F5024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033617C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59AF1BD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2D468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6205191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5CE725C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28A04B3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03301D9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135EB1B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6DAC594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2486441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1D514A6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16C0FE8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7EE980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37A62DCD">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0B5DA52C">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62245866">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44226F89">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黑体" w:hAnsi="黑体" w:eastAsia="黑体" w:cs="黑体"/>
          <w:sz w:val="32"/>
          <w:szCs w:val="32"/>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C851682">
      <w:pPr>
        <w:spacing w:line="480" w:lineRule="exact"/>
        <w:rPr>
          <w:rFonts w:hint="eastAsia" w:ascii="黑体" w:hAnsi="黑体" w:eastAsia="黑体" w:cs="黑体"/>
          <w:sz w:val="32"/>
          <w:szCs w:val="32"/>
        </w:rPr>
      </w:pPr>
    </w:p>
    <w:p w14:paraId="3BF8961A">
      <w:pPr>
        <w:spacing w:line="480" w:lineRule="exact"/>
        <w:rPr>
          <w:rFonts w:hint="eastAsia" w:ascii="黑体" w:hAnsi="黑体" w:eastAsia="黑体" w:cs="黑体"/>
          <w:sz w:val="32"/>
          <w:szCs w:val="32"/>
        </w:rPr>
      </w:pPr>
    </w:p>
    <w:p w14:paraId="7884D0C3">
      <w:pPr>
        <w:spacing w:line="480" w:lineRule="exact"/>
        <w:rPr>
          <w:rFonts w:hint="eastAsia" w:ascii="黑体" w:hAnsi="黑体" w:eastAsia="黑体" w:cs="黑体"/>
          <w:sz w:val="32"/>
          <w:szCs w:val="32"/>
        </w:rPr>
      </w:pPr>
    </w:p>
    <w:p w14:paraId="6F2B6D3E">
      <w:pPr>
        <w:spacing w:line="480" w:lineRule="exact"/>
        <w:rPr>
          <w:rFonts w:hint="eastAsia" w:ascii="黑体" w:hAnsi="黑体" w:eastAsia="黑体" w:cs="黑体"/>
          <w:sz w:val="32"/>
          <w:szCs w:val="32"/>
        </w:rPr>
      </w:pPr>
    </w:p>
    <w:p w14:paraId="2CA3B433">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5" w:name="_Toc16523574"/>
      <w:r>
        <w:rPr>
          <w:rFonts w:hint="eastAsia" w:ascii="方正小标宋简体" w:hAnsi="方正小标宋简体" w:eastAsia="方正小标宋简体" w:cs="方正小标宋简体"/>
          <w:color w:val="auto"/>
          <w:sz w:val="44"/>
          <w:szCs w:val="44"/>
          <w:lang w:val="en-US" w:eastAsia="zh-CN"/>
        </w:rPr>
        <w:t>第三章</w:t>
      </w:r>
      <w:bookmarkStart w:id="6"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6"/>
    </w:p>
    <w:p w14:paraId="6BB3978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5E83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11A08B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32FC829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E7C4B3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E40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03041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E5B0D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CD61DC">
            <w:pPr>
              <w:jc w:val="center"/>
              <w:rPr>
                <w:rFonts w:hint="eastAsia" w:ascii="仿宋" w:hAnsi="仿宋" w:eastAsia="仿宋" w:cs="仿宋"/>
                <w:sz w:val="24"/>
                <w:szCs w:val="24"/>
              </w:rPr>
            </w:pPr>
            <w:r>
              <w:rPr>
                <w:rFonts w:hint="eastAsia" w:ascii="仿宋" w:hAnsi="仿宋" w:eastAsia="仿宋" w:cs="仿宋"/>
                <w:sz w:val="24"/>
                <w:szCs w:val="24"/>
              </w:rPr>
              <w:t>50%（</w:t>
            </w:r>
            <w:r>
              <w:rPr>
                <w:rFonts w:hint="eastAsia" w:ascii="仿宋" w:hAnsi="仿宋" w:eastAsia="仿宋" w:cs="仿宋"/>
                <w:color w:val="FF0000"/>
                <w:sz w:val="24"/>
                <w:szCs w:val="24"/>
              </w:rPr>
              <w:t>设备</w:t>
            </w:r>
            <w:r>
              <w:rPr>
                <w:rFonts w:hint="eastAsia" w:ascii="仿宋" w:hAnsi="仿宋" w:eastAsia="仿宋" w:cs="仿宋"/>
                <w:color w:val="FF0000"/>
                <w:sz w:val="24"/>
                <w:szCs w:val="24"/>
                <w:lang w:val="en-US" w:eastAsia="zh-CN"/>
              </w:rPr>
              <w:t>30</w:t>
            </w:r>
            <w:r>
              <w:rPr>
                <w:rFonts w:hint="eastAsia" w:ascii="仿宋" w:hAnsi="仿宋" w:eastAsia="仿宋" w:cs="仿宋"/>
                <w:color w:val="FF0000"/>
                <w:sz w:val="24"/>
                <w:szCs w:val="24"/>
              </w:rPr>
              <w:t>%+专机耗材</w:t>
            </w:r>
            <w:r>
              <w:rPr>
                <w:rFonts w:hint="eastAsia" w:ascii="仿宋" w:hAnsi="仿宋" w:eastAsia="仿宋" w:cs="仿宋"/>
                <w:color w:val="FF0000"/>
                <w:sz w:val="24"/>
                <w:szCs w:val="24"/>
                <w:lang w:val="en-US" w:eastAsia="zh-CN"/>
              </w:rPr>
              <w:t>20</w:t>
            </w:r>
            <w:r>
              <w:rPr>
                <w:rFonts w:hint="eastAsia" w:ascii="仿宋" w:hAnsi="仿宋" w:eastAsia="仿宋" w:cs="仿宋"/>
                <w:color w:val="FF0000"/>
                <w:sz w:val="24"/>
                <w:szCs w:val="24"/>
              </w:rPr>
              <w:t>%</w:t>
            </w:r>
            <w:r>
              <w:rPr>
                <w:rFonts w:hint="eastAsia" w:ascii="仿宋" w:hAnsi="仿宋" w:eastAsia="仿宋" w:cs="仿宋"/>
                <w:sz w:val="24"/>
                <w:szCs w:val="24"/>
              </w:rPr>
              <w:t>）</w:t>
            </w:r>
          </w:p>
        </w:tc>
      </w:tr>
      <w:tr w14:paraId="3D8FD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7EC499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105BC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A6814C5">
            <w:pPr>
              <w:jc w:val="center"/>
              <w:rPr>
                <w:rFonts w:hint="eastAsia" w:ascii="仿宋" w:hAnsi="仿宋" w:eastAsia="仿宋" w:cs="仿宋"/>
                <w:sz w:val="24"/>
                <w:szCs w:val="24"/>
              </w:rPr>
            </w:pPr>
            <w:r>
              <w:rPr>
                <w:rFonts w:hint="eastAsia" w:ascii="仿宋" w:hAnsi="仿宋" w:eastAsia="仿宋" w:cs="仿宋"/>
                <w:sz w:val="24"/>
                <w:szCs w:val="24"/>
              </w:rPr>
              <w:t>40%</w:t>
            </w:r>
          </w:p>
        </w:tc>
      </w:tr>
      <w:tr w14:paraId="08265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39F7A2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C9FEB0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BDF92C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8AEB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C8DD14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762A933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74128E9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75DDC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E93CB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7022934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37483CF0">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AD30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B7BF88D">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DC1D78A">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E17972E">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E0DFD2F">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w:t>
            </w:r>
            <w:r>
              <w:rPr>
                <w:rFonts w:hint="eastAsia" w:ascii="仿宋" w:hAnsi="仿宋" w:eastAsia="仿宋" w:cs="仿宋"/>
                <w:sz w:val="24"/>
                <w:szCs w:val="24"/>
                <w:lang w:val="en-US" w:eastAsia="zh-CN"/>
              </w:rPr>
              <w:t>30</w:t>
            </w:r>
            <w:r>
              <w:rPr>
                <w:rFonts w:hint="eastAsia" w:ascii="仿宋" w:hAnsi="仿宋" w:eastAsia="仿宋" w:cs="仿宋"/>
                <w:sz w:val="24"/>
                <w:szCs w:val="24"/>
              </w:rPr>
              <w:t>%，专机专用耗材价格权值占比为</w:t>
            </w:r>
            <w:r>
              <w:rPr>
                <w:rFonts w:hint="eastAsia" w:ascii="仿宋" w:hAnsi="仿宋" w:eastAsia="仿宋" w:cs="仿宋"/>
                <w:sz w:val="24"/>
                <w:szCs w:val="24"/>
                <w:lang w:val="en-US" w:eastAsia="zh-CN"/>
              </w:rPr>
              <w:t>20</w:t>
            </w:r>
            <w:r>
              <w:rPr>
                <w:rFonts w:hint="eastAsia" w:ascii="仿宋" w:hAnsi="仿宋" w:eastAsia="仿宋" w:cs="仿宋"/>
                <w:sz w:val="24"/>
                <w:szCs w:val="24"/>
              </w:rPr>
              <w:t>%；报价总分＝设备报价得分＋专机专用耗材报价得分。投标人的价格分统一按照以下公式计算：</w:t>
            </w:r>
          </w:p>
          <w:p w14:paraId="3199592E">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4B9AECC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1C0BBCE7">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F0CFF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0727BE38">
      <w:pPr>
        <w:jc w:val="center"/>
        <w:rPr>
          <w:rFonts w:hint="eastAsia" w:ascii="仿宋" w:hAnsi="仿宋" w:eastAsia="仿宋" w:cs="仿宋"/>
          <w:sz w:val="24"/>
          <w:szCs w:val="24"/>
        </w:rPr>
      </w:pPr>
    </w:p>
    <w:p w14:paraId="44B6AE09">
      <w:pPr>
        <w:jc w:val="center"/>
        <w:rPr>
          <w:rFonts w:hint="eastAsia" w:ascii="仿宋" w:hAnsi="仿宋" w:eastAsia="仿宋" w:cs="仿宋"/>
          <w:sz w:val="24"/>
          <w:szCs w:val="24"/>
        </w:rPr>
      </w:pPr>
    </w:p>
    <w:p w14:paraId="5AA7DFCF">
      <w:pPr>
        <w:jc w:val="center"/>
        <w:rPr>
          <w:rFonts w:hint="eastAsia" w:ascii="仿宋" w:hAnsi="仿宋" w:eastAsia="仿宋" w:cs="仿宋"/>
          <w:sz w:val="24"/>
          <w:szCs w:val="24"/>
        </w:rPr>
      </w:pPr>
    </w:p>
    <w:p w14:paraId="64289275">
      <w:pPr>
        <w:jc w:val="center"/>
        <w:rPr>
          <w:rFonts w:hint="eastAsia" w:ascii="仿宋" w:hAnsi="仿宋" w:eastAsia="仿宋" w:cs="仿宋"/>
          <w:sz w:val="24"/>
          <w:szCs w:val="24"/>
        </w:rPr>
      </w:pPr>
    </w:p>
    <w:p w14:paraId="34F91219">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5"/>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38271B9E">
      <w:pPr>
        <w:jc w:val="center"/>
        <w:rPr>
          <w:rFonts w:hint="eastAsia"/>
          <w:b/>
          <w:color w:val="FF0000"/>
          <w:sz w:val="24"/>
          <w:lang w:eastAsia="zh-CN"/>
        </w:rPr>
      </w:pPr>
      <w:r>
        <w:rPr>
          <w:rFonts w:hint="eastAsia"/>
          <w:b/>
          <w:color w:val="auto"/>
          <w:sz w:val="24"/>
          <w:lang w:eastAsia="zh-CN"/>
        </w:rPr>
        <w:t>注：此项内容需包含投标商品名称、数量、品牌、型号、单价、总价、等信息。</w:t>
      </w:r>
      <w:r>
        <w:rPr>
          <w:rFonts w:hint="eastAsia"/>
          <w:b/>
          <w:color w:val="FF0000"/>
          <w:sz w:val="24"/>
          <w:lang w:eastAsia="zh-CN"/>
        </w:rPr>
        <w:t>其中：所投设备需分项报价，不得仅列出投标设备总价。</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7" w:name="_Toc476514128"/>
      <w:bookmarkStart w:id="8" w:name="_Toc486424819"/>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7"/>
    <w:bookmarkEnd w:id="8"/>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思源黑体 CN Medium">
    <w:altName w:val="方正黑体_GBK"/>
    <w:panose1 w:val="00000000000000000000"/>
    <w:charset w:val="86"/>
    <w:family w:val="auto"/>
    <w:pitch w:val="default"/>
    <w:sig w:usb0="00000000" w:usb1="00000000" w:usb2="00000016" w:usb3="00000000" w:csb0="60060107"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0BE22C9"/>
    <w:rsid w:val="01350E35"/>
    <w:rsid w:val="01807593"/>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DD5C4C"/>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537177"/>
    <w:rsid w:val="21C61C7A"/>
    <w:rsid w:val="22FE28BC"/>
    <w:rsid w:val="2383771E"/>
    <w:rsid w:val="23F374DB"/>
    <w:rsid w:val="24881A32"/>
    <w:rsid w:val="24E375C9"/>
    <w:rsid w:val="25266F96"/>
    <w:rsid w:val="267547DF"/>
    <w:rsid w:val="26C30DB4"/>
    <w:rsid w:val="272B6E6C"/>
    <w:rsid w:val="27CF2BB7"/>
    <w:rsid w:val="28E81B29"/>
    <w:rsid w:val="28FD390A"/>
    <w:rsid w:val="29B45A41"/>
    <w:rsid w:val="2A174DA9"/>
    <w:rsid w:val="2AB010A8"/>
    <w:rsid w:val="2AC66F99"/>
    <w:rsid w:val="2C0A2E19"/>
    <w:rsid w:val="2C7642D0"/>
    <w:rsid w:val="2CC97A35"/>
    <w:rsid w:val="2CF47F19"/>
    <w:rsid w:val="2DD77C64"/>
    <w:rsid w:val="2DDA1E78"/>
    <w:rsid w:val="2DE00B8C"/>
    <w:rsid w:val="2EAC037F"/>
    <w:rsid w:val="2EB67A5C"/>
    <w:rsid w:val="2F7E3AAD"/>
    <w:rsid w:val="2F9730FD"/>
    <w:rsid w:val="2FF75285"/>
    <w:rsid w:val="2FFC40CD"/>
    <w:rsid w:val="302741D2"/>
    <w:rsid w:val="308B184D"/>
    <w:rsid w:val="309C1E01"/>
    <w:rsid w:val="30BB11DD"/>
    <w:rsid w:val="317E33CA"/>
    <w:rsid w:val="31F17CD1"/>
    <w:rsid w:val="321B02E0"/>
    <w:rsid w:val="324F4D43"/>
    <w:rsid w:val="33384C93"/>
    <w:rsid w:val="340F06E9"/>
    <w:rsid w:val="34C12F54"/>
    <w:rsid w:val="35101668"/>
    <w:rsid w:val="366241E2"/>
    <w:rsid w:val="369029A0"/>
    <w:rsid w:val="36B66AAC"/>
    <w:rsid w:val="36E47928"/>
    <w:rsid w:val="372F7378"/>
    <w:rsid w:val="37B92EA4"/>
    <w:rsid w:val="37BA0809"/>
    <w:rsid w:val="37DE919F"/>
    <w:rsid w:val="38F7D690"/>
    <w:rsid w:val="397348CD"/>
    <w:rsid w:val="39FBA7F3"/>
    <w:rsid w:val="3A8E0AB7"/>
    <w:rsid w:val="3A994AB7"/>
    <w:rsid w:val="3B3B544D"/>
    <w:rsid w:val="3B654F2B"/>
    <w:rsid w:val="3BB72BAE"/>
    <w:rsid w:val="3BCB5B82"/>
    <w:rsid w:val="3BFC7D2B"/>
    <w:rsid w:val="3BFF3C73"/>
    <w:rsid w:val="3C7C799C"/>
    <w:rsid w:val="3C8A61A4"/>
    <w:rsid w:val="3D5E17FF"/>
    <w:rsid w:val="3DF93413"/>
    <w:rsid w:val="3DFD1951"/>
    <w:rsid w:val="3DFFA9CA"/>
    <w:rsid w:val="3DFFD27E"/>
    <w:rsid w:val="3E1F0DA4"/>
    <w:rsid w:val="3E584E51"/>
    <w:rsid w:val="3E62C1E0"/>
    <w:rsid w:val="3E6E70D5"/>
    <w:rsid w:val="3EBE1ADE"/>
    <w:rsid w:val="3F788D05"/>
    <w:rsid w:val="3F865B61"/>
    <w:rsid w:val="3FB7200B"/>
    <w:rsid w:val="3FEF41F9"/>
    <w:rsid w:val="3FF36FC1"/>
    <w:rsid w:val="3FFEF043"/>
    <w:rsid w:val="403B4B34"/>
    <w:rsid w:val="4140452A"/>
    <w:rsid w:val="414D7889"/>
    <w:rsid w:val="41BB0BAE"/>
    <w:rsid w:val="41DE1191"/>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1356F0"/>
    <w:rsid w:val="53238E8B"/>
    <w:rsid w:val="533407C0"/>
    <w:rsid w:val="53B55872"/>
    <w:rsid w:val="53BD1527"/>
    <w:rsid w:val="544055F2"/>
    <w:rsid w:val="54AD4386"/>
    <w:rsid w:val="54EF2D50"/>
    <w:rsid w:val="55D8243C"/>
    <w:rsid w:val="575FAF7E"/>
    <w:rsid w:val="581A7C72"/>
    <w:rsid w:val="583A4BD7"/>
    <w:rsid w:val="59C74B1F"/>
    <w:rsid w:val="5A886F59"/>
    <w:rsid w:val="5B7EE573"/>
    <w:rsid w:val="5BDF167E"/>
    <w:rsid w:val="5DFF97D2"/>
    <w:rsid w:val="5E9BBF88"/>
    <w:rsid w:val="5EBFE873"/>
    <w:rsid w:val="5EF36607"/>
    <w:rsid w:val="5F153ADC"/>
    <w:rsid w:val="5F77574D"/>
    <w:rsid w:val="5FBFAB6E"/>
    <w:rsid w:val="5FFE2CC9"/>
    <w:rsid w:val="5FFED529"/>
    <w:rsid w:val="604D5946"/>
    <w:rsid w:val="611B6B1B"/>
    <w:rsid w:val="61FF68C0"/>
    <w:rsid w:val="62C222C2"/>
    <w:rsid w:val="632D7C40"/>
    <w:rsid w:val="63F39F53"/>
    <w:rsid w:val="64133D6A"/>
    <w:rsid w:val="64245572"/>
    <w:rsid w:val="65824D95"/>
    <w:rsid w:val="674A3DD5"/>
    <w:rsid w:val="678E4F5D"/>
    <w:rsid w:val="67F3562A"/>
    <w:rsid w:val="67FFBBE3"/>
    <w:rsid w:val="680E122C"/>
    <w:rsid w:val="6A4E1D63"/>
    <w:rsid w:val="6BEBF36F"/>
    <w:rsid w:val="6C352415"/>
    <w:rsid w:val="6C486FE4"/>
    <w:rsid w:val="6CA409DF"/>
    <w:rsid w:val="6D1234C8"/>
    <w:rsid w:val="6D9F787E"/>
    <w:rsid w:val="6DE375E4"/>
    <w:rsid w:val="6DFF0C8E"/>
    <w:rsid w:val="6E8E5287"/>
    <w:rsid w:val="6FAC3B48"/>
    <w:rsid w:val="6FAD463B"/>
    <w:rsid w:val="6FB7ACDA"/>
    <w:rsid w:val="6FBE332C"/>
    <w:rsid w:val="6FFF67CC"/>
    <w:rsid w:val="70CE0BC9"/>
    <w:rsid w:val="71554367"/>
    <w:rsid w:val="71584067"/>
    <w:rsid w:val="71F26E91"/>
    <w:rsid w:val="72CE2295"/>
    <w:rsid w:val="72FB9D37"/>
    <w:rsid w:val="735201FF"/>
    <w:rsid w:val="737B50A4"/>
    <w:rsid w:val="73E13BF4"/>
    <w:rsid w:val="73F40E72"/>
    <w:rsid w:val="73FBC60D"/>
    <w:rsid w:val="74566F5C"/>
    <w:rsid w:val="750117A8"/>
    <w:rsid w:val="755B2270"/>
    <w:rsid w:val="75DF80B6"/>
    <w:rsid w:val="75E27514"/>
    <w:rsid w:val="762BE131"/>
    <w:rsid w:val="76920D75"/>
    <w:rsid w:val="76C47877"/>
    <w:rsid w:val="77423DFF"/>
    <w:rsid w:val="77EE092F"/>
    <w:rsid w:val="77EE6ED4"/>
    <w:rsid w:val="77FD832A"/>
    <w:rsid w:val="783B5EA9"/>
    <w:rsid w:val="78B114A6"/>
    <w:rsid w:val="79C6FDAF"/>
    <w:rsid w:val="79EB699D"/>
    <w:rsid w:val="79FEDC19"/>
    <w:rsid w:val="79FFEA3A"/>
    <w:rsid w:val="7A3E5854"/>
    <w:rsid w:val="7A9E79C1"/>
    <w:rsid w:val="7ABA298D"/>
    <w:rsid w:val="7B0620DE"/>
    <w:rsid w:val="7B7D7C18"/>
    <w:rsid w:val="7BBF44BB"/>
    <w:rsid w:val="7BF15CE4"/>
    <w:rsid w:val="7C3A27E5"/>
    <w:rsid w:val="7C5533D1"/>
    <w:rsid w:val="7CD72364"/>
    <w:rsid w:val="7D9727DD"/>
    <w:rsid w:val="7DDF8A36"/>
    <w:rsid w:val="7DEE4013"/>
    <w:rsid w:val="7DFE74A2"/>
    <w:rsid w:val="7E1E913E"/>
    <w:rsid w:val="7E2117BD"/>
    <w:rsid w:val="7E8BAD0B"/>
    <w:rsid w:val="7ED7DBED"/>
    <w:rsid w:val="7EFB4F6E"/>
    <w:rsid w:val="7F164138"/>
    <w:rsid w:val="7F1A5E95"/>
    <w:rsid w:val="7F5FE7A0"/>
    <w:rsid w:val="7FA75B91"/>
    <w:rsid w:val="7FBC7699"/>
    <w:rsid w:val="7FCF301B"/>
    <w:rsid w:val="7FCFF1E1"/>
    <w:rsid w:val="7FE1E359"/>
    <w:rsid w:val="7FEFFD10"/>
    <w:rsid w:val="7FFB0877"/>
    <w:rsid w:val="7FFE88A1"/>
    <w:rsid w:val="87EFD207"/>
    <w:rsid w:val="8B7D3439"/>
    <w:rsid w:val="8EFAA180"/>
    <w:rsid w:val="9A477A34"/>
    <w:rsid w:val="9CDC70F3"/>
    <w:rsid w:val="9FFACD63"/>
    <w:rsid w:val="A4FC5874"/>
    <w:rsid w:val="A99BC227"/>
    <w:rsid w:val="ADFDDBA5"/>
    <w:rsid w:val="AFDF5C35"/>
    <w:rsid w:val="AFEFD62F"/>
    <w:rsid w:val="B2B57420"/>
    <w:rsid w:val="B7FBACA6"/>
    <w:rsid w:val="BBDFF490"/>
    <w:rsid w:val="BF59071B"/>
    <w:rsid w:val="BF7D9491"/>
    <w:rsid w:val="BFF57512"/>
    <w:rsid w:val="BFF77D2B"/>
    <w:rsid w:val="C3FEA355"/>
    <w:rsid w:val="CDFF7760"/>
    <w:rsid w:val="CFFAEB23"/>
    <w:rsid w:val="CFFF8E32"/>
    <w:rsid w:val="D6D5AD7C"/>
    <w:rsid w:val="DBDE3CFA"/>
    <w:rsid w:val="DBEF7DC4"/>
    <w:rsid w:val="DFAD8580"/>
    <w:rsid w:val="DFF97BBC"/>
    <w:rsid w:val="DFFA836E"/>
    <w:rsid w:val="DFFEDE01"/>
    <w:rsid w:val="DFFF05F4"/>
    <w:rsid w:val="E6F7C8DE"/>
    <w:rsid w:val="E9FE6660"/>
    <w:rsid w:val="EAA7D373"/>
    <w:rsid w:val="EADE7AA2"/>
    <w:rsid w:val="ED6D9162"/>
    <w:rsid w:val="EF7B1925"/>
    <w:rsid w:val="EFF91F3A"/>
    <w:rsid w:val="EFFF278C"/>
    <w:rsid w:val="F1347A70"/>
    <w:rsid w:val="F76D9192"/>
    <w:rsid w:val="F7D57869"/>
    <w:rsid w:val="F8C3ACAE"/>
    <w:rsid w:val="F91F5623"/>
    <w:rsid w:val="F97785C4"/>
    <w:rsid w:val="F99F179C"/>
    <w:rsid w:val="FA8DA623"/>
    <w:rsid w:val="FA958AE0"/>
    <w:rsid w:val="FB2B513B"/>
    <w:rsid w:val="FB4ED105"/>
    <w:rsid w:val="FB6F87D3"/>
    <w:rsid w:val="FB7D52BD"/>
    <w:rsid w:val="FBBD03F1"/>
    <w:rsid w:val="FBFFC04B"/>
    <w:rsid w:val="FCEB7648"/>
    <w:rsid w:val="FDD70189"/>
    <w:rsid w:val="FDF7EAA8"/>
    <w:rsid w:val="FDFF9C76"/>
    <w:rsid w:val="FE3DF808"/>
    <w:rsid w:val="FEAFF452"/>
    <w:rsid w:val="FED7AE9E"/>
    <w:rsid w:val="FEDDEAB3"/>
    <w:rsid w:val="FEE34724"/>
    <w:rsid w:val="FEFFD400"/>
    <w:rsid w:val="FF1EFC35"/>
    <w:rsid w:val="FF477DD4"/>
    <w:rsid w:val="FF5F7F20"/>
    <w:rsid w:val="FF7B9B69"/>
    <w:rsid w:val="FF7D155A"/>
    <w:rsid w:val="FFAFCE2A"/>
    <w:rsid w:val="FFAFFB84"/>
    <w:rsid w:val="FFBF9032"/>
    <w:rsid w:val="FFC8EF32"/>
    <w:rsid w:val="FFD76697"/>
    <w:rsid w:val="FFDF81E1"/>
    <w:rsid w:val="FFDFF447"/>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paragraph" w:styleId="13">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大标题"/>
    <w:basedOn w:val="1"/>
    <w:next w:val="13"/>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5267</Words>
  <Characters>5637</Characters>
  <Lines>0</Lines>
  <Paragraphs>0</Paragraphs>
  <TotalTime>5</TotalTime>
  <ScaleCrop>false</ScaleCrop>
  <LinksUpToDate>false</LinksUpToDate>
  <CharactersWithSpaces>5713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2023-07-27T01:45:00Z</dcterms:created>
  <dc:creator>是小豹子</dc:creator>
  <cp:lastModifiedBy>沁sqr</cp:lastModifiedBy>
  <dcterms:modified xsi:type="dcterms:W3CDTF">2026-09-07T09:19:32Z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