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04C47">
      <w:pPr>
        <w:numPr>
          <w:numId w:val="0"/>
        </w:numPr>
        <w:jc w:val="center"/>
        <w:rPr>
          <w:rFonts w:hint="eastAsia" w:ascii="Times New Roman" w:hAnsi="Times New Roman" w:eastAsia="宋体" w:cs="Times New Roman"/>
          <w:b/>
          <w:bCs/>
          <w:sz w:val="40"/>
          <w:szCs w:val="4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40"/>
          <w:szCs w:val="48"/>
          <w:lang w:val="en-US" w:eastAsia="zh-CN"/>
        </w:rPr>
        <w:t>电动气压止血仪招标参数</w:t>
      </w:r>
    </w:p>
    <w:p w14:paraId="4ADA007D">
      <w:pPr>
        <w:numPr>
          <w:ilvl w:val="0"/>
          <w:numId w:val="1"/>
        </w:numP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技术参数</w:t>
      </w:r>
    </w:p>
    <w:p w14:paraId="6F45B3D8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1.额定工作电压：220VAC±22VAC   50Hz</w:t>
      </w:r>
    </w:p>
    <w:p w14:paraId="2CFD003E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2.输入功率：≤80VA</w:t>
      </w:r>
    </w:p>
    <w:p w14:paraId="7C75127A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3.最大额定输出气体压力：不低于650mmHg</w:t>
      </w:r>
    </w:p>
    <w:p w14:paraId="223D584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4.止血带达到最大额定气体压力的充气时间（从压力小于50mmHg起）：≤60s</w:t>
      </w:r>
    </w:p>
    <w:p w14:paraId="46556A00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5.压力调节精度：±25mmHg</w:t>
      </w:r>
    </w:p>
    <w:p w14:paraId="29CB0EC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6.定时调节范围：0-240min</w:t>
      </w:r>
    </w:p>
    <w:p w14:paraId="065F5CF5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7.压力显示单位：mmHg</w:t>
      </w:r>
    </w:p>
    <w:p w14:paraId="552821D3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8.内置电池，可充电与查询电池电量，断电情况下可正常使用≧4小时</w:t>
      </w:r>
    </w:p>
    <w:p w14:paraId="239AEAF7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9.止血仪有四次报警时间，可根据客户需要设置</w:t>
      </w:r>
    </w:p>
    <w:p w14:paraId="5AFA57C6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10.报警声音的大小可循环</w:t>
      </w:r>
      <w:r>
        <w:rPr>
          <w:rFonts w:hint="default" w:ascii="Arial" w:hAnsi="Arial" w:eastAsia="宋体" w:cs="Arial"/>
          <w:lang w:val="en-US" w:eastAsia="zh-CN"/>
        </w:rPr>
        <w:t>≥</w:t>
      </w:r>
      <w:r>
        <w:rPr>
          <w:rFonts w:hint="eastAsia" w:ascii="Times New Roman" w:hAnsi="Times New Roman" w:eastAsia="宋体" w:cs="Times New Roman"/>
          <w:lang w:val="en-US" w:eastAsia="zh-CN"/>
        </w:rPr>
        <w:t>8档可调，当手动放气以后，声光报警结束</w:t>
      </w:r>
    </w:p>
    <w:p w14:paraId="1A9CAF92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11.双通道充气，左右通道可分别工作，互不干扰</w:t>
      </w:r>
    </w:p>
    <w:p w14:paraId="520B9DC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12.每台机器配备止血带</w:t>
      </w:r>
      <w:r>
        <w:rPr>
          <w:rFonts w:hint="default" w:ascii="Arial" w:hAnsi="Arial" w:eastAsia="宋体" w:cs="Arial"/>
          <w:lang w:val="en-US" w:eastAsia="zh-CN"/>
        </w:rPr>
        <w:t>≥</w:t>
      </w:r>
      <w:r>
        <w:rPr>
          <w:rFonts w:hint="eastAsia" w:ascii="Times New Roman" w:hAnsi="Times New Roman" w:eastAsia="宋体" w:cs="Times New Roman"/>
          <w:lang w:val="en-US" w:eastAsia="zh-CN"/>
        </w:rPr>
        <w:t>4条</w:t>
      </w:r>
    </w:p>
    <w:p w14:paraId="1A15837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67E65A0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4319DF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0355A9DD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</w:t>
      </w:r>
      <w:bookmarkStart w:id="0" w:name="_GoBack"/>
      <w:bookmarkEnd w:id="0"/>
      <w:r>
        <w:rPr>
          <w:rFonts w:hint="eastAsia"/>
          <w:lang w:val="en-US" w:eastAsia="zh-CN"/>
        </w:rPr>
        <w:t>相关佐证资料(加盖投标人公章的技术参数、技术白皮书、说明书、彩页)，并在响应表中备注该条参数响应或正偏离的佐证资料所在页码。</w:t>
      </w:r>
    </w:p>
    <w:p w14:paraId="57D1D7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CEFDF"/>
    <w:multiLevelType w:val="singleLevel"/>
    <w:tmpl w:val="E1BCEF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2026-09-09T08:45:42Z</dcterms:created>
  <dc:creator>Administrator</dc:creator>
  <cp:lastModifiedBy>涛～</cp:lastModifiedBy>
  <dcterms:modified xsi:type="dcterms:W3CDTF">2026-09-09T08:48:26Z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0417A315836F4383BF238678741C8D2B_12</vt:lpwstr>
  </property>
</Properties>
</file>