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8A55D0">
      <w:pPr>
        <w:pStyle w:val="17"/>
      </w:pPr>
      <w:r>
        <w:t>娄底市中心医院（娄底医院）消防设备设施维护保养</w:t>
      </w:r>
      <w:r>
        <w:br w:type="textWrapping"/>
      </w:r>
      <w:r>
        <w:t>采购需求</w:t>
      </w:r>
    </w:p>
    <w:p w14:paraId="33A848DE">
      <w:pPr>
        <w:pStyle w:val="2"/>
        <w:numPr>
          <w:ilvl w:val="0"/>
          <w:numId w:val="1"/>
        </w:numPr>
        <w:topLinePunct w:val="0"/>
        <w:ind w:left="0" w:leftChars="0" w:firstLine="0" w:firstLineChars="0"/>
        <w:rPr>
          <w:rFonts w:hint="eastAsia" w:ascii="黑体" w:hAnsi="黑体" w:eastAsia="黑体" w:cs="黑体"/>
          <w:b w:val="0"/>
        </w:rPr>
      </w:pPr>
      <w:r>
        <w:t>采购项目、交付或者实施的时间和地点</w:t>
      </w:r>
    </w:p>
    <w:p w14:paraId="145A7DBA">
      <w:pPr>
        <w:pStyle w:val="11"/>
        <w:numPr>
          <w:ilvl w:val="0"/>
          <w:numId w:val="2"/>
        </w:numPr>
        <w:topLinePunct w:val="0"/>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采购项目：娄底市中心医院（娄底医院）消防设备设施维护保养项目；</w:t>
      </w:r>
    </w:p>
    <w:p w14:paraId="2187E75F">
      <w:pPr>
        <w:pStyle w:val="11"/>
        <w:numPr>
          <w:ilvl w:val="0"/>
          <w:numId w:val="2"/>
        </w:numPr>
        <w:topLinePunct w:val="0"/>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服务时间：双方签订合同时具体约定；</w:t>
      </w:r>
    </w:p>
    <w:p w14:paraId="0735BBCF">
      <w:pPr>
        <w:pStyle w:val="11"/>
        <w:numPr>
          <w:ilvl w:val="0"/>
          <w:numId w:val="2"/>
        </w:numPr>
        <w:topLinePunct w:val="0"/>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服务地点：娄底市中心医院（娄底医院）；</w:t>
      </w:r>
    </w:p>
    <w:p w14:paraId="4527BAEE">
      <w:pPr>
        <w:pStyle w:val="11"/>
        <w:numPr>
          <w:ilvl w:val="0"/>
          <w:numId w:val="2"/>
        </w:numPr>
        <w:topLinePunct w:val="0"/>
        <w:ind w:left="0" w:leftChars="0" w:firstLine="480" w:firstLineChars="0"/>
        <w:rPr>
          <w:rFonts w:hint="eastAsia" w:ascii="宋体" w:hAnsi="宋体" w:eastAsia="宋体" w:cs="宋体"/>
          <w:b w:val="0"/>
          <w:sz w:val="24"/>
          <w:szCs w:val="24"/>
        </w:rPr>
      </w:pPr>
      <w:r>
        <w:rPr>
          <w:rFonts w:ascii="Times New Roman" w:hAnsi="Times New Roman" w:eastAsia="宋体" w:cs="Times New Roman"/>
          <w:color w:val="auto"/>
          <w:sz w:val="24"/>
          <w:szCs w:val="24"/>
        </w:rPr>
        <w:t>服务范围：娄底市中心医院（娄底医院），建筑面积约26万平方米。</w:t>
      </w:r>
    </w:p>
    <w:p w14:paraId="1CE53852">
      <w:pPr>
        <w:pStyle w:val="2"/>
        <w:numPr>
          <w:ilvl w:val="0"/>
          <w:numId w:val="1"/>
        </w:numPr>
        <w:topLinePunct w:val="0"/>
        <w:ind w:left="0" w:leftChars="0" w:firstLine="0" w:firstLineChars="0"/>
        <w:rPr>
          <w:rFonts w:hint="eastAsia" w:ascii="黑体" w:hAnsi="黑体" w:eastAsia="黑体" w:cs="黑体"/>
          <w:b w:val="0"/>
        </w:rPr>
      </w:pPr>
      <w:r>
        <w:t>企业资质要求</w:t>
      </w:r>
    </w:p>
    <w:p w14:paraId="1510E5D3">
      <w:pPr>
        <w:pStyle w:val="11"/>
        <w:numPr>
          <w:ilvl w:val="0"/>
          <w:numId w:val="3"/>
        </w:numPr>
        <w:topLinePunct w:val="0"/>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要求消防设施工程专业承包资质</w:t>
      </w:r>
      <w:r>
        <w:rPr>
          <w:rFonts w:ascii="Times New Roman" w:hAnsi="Times New Roman" w:eastAsia="宋体" w:cs="Times New Roman"/>
          <w:color w:val="auto"/>
          <w:sz w:val="24"/>
          <w:szCs w:val="24"/>
          <w:highlight w:val="none"/>
        </w:rPr>
        <w:t>二级</w:t>
      </w:r>
      <w:r>
        <w:rPr>
          <w:rFonts w:ascii="Times New Roman" w:hAnsi="Times New Roman" w:eastAsia="宋体" w:cs="Times New Roman"/>
          <w:color w:val="auto"/>
          <w:sz w:val="24"/>
          <w:szCs w:val="24"/>
        </w:rPr>
        <w:t>及以上与安全许可证；</w:t>
      </w:r>
    </w:p>
    <w:p w14:paraId="6600C447">
      <w:pPr>
        <w:pStyle w:val="11"/>
        <w:numPr>
          <w:ilvl w:val="0"/>
          <w:numId w:val="3"/>
        </w:numPr>
        <w:topLinePunct w:val="0"/>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维护保养检测资质符合应急管理部关于印发《消防技术服务机构从业条件》的通知（应急【2019】[88号]）第三条，另结合我单位要求符合如下条件:</w:t>
      </w:r>
    </w:p>
    <w:p w14:paraId="39A9D047">
      <w:pPr>
        <w:pStyle w:val="11"/>
        <w:numPr>
          <w:ilvl w:val="0"/>
          <w:numId w:val="4"/>
        </w:numPr>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企业法人资格;</w:t>
      </w:r>
    </w:p>
    <w:p w14:paraId="54245BB3">
      <w:pPr>
        <w:pStyle w:val="11"/>
        <w:numPr>
          <w:ilvl w:val="0"/>
          <w:numId w:val="4"/>
        </w:numPr>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工作场所建筑面积不少于200平方米;</w:t>
      </w:r>
    </w:p>
    <w:p w14:paraId="7782CC01">
      <w:pPr>
        <w:pStyle w:val="11"/>
        <w:numPr>
          <w:ilvl w:val="0"/>
          <w:numId w:val="4"/>
        </w:numPr>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注册消防工程师不少于2人，且企业技术负责人由一级注册消防工程师担任，并提供近3个月的社保记录；</w:t>
      </w:r>
    </w:p>
    <w:p w14:paraId="6EF2C8F5">
      <w:pPr>
        <w:pStyle w:val="11"/>
        <w:numPr>
          <w:ilvl w:val="0"/>
          <w:numId w:val="4"/>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color w:val="auto"/>
          <w:sz w:val="24"/>
          <w:szCs w:val="24"/>
        </w:rPr>
        <w:t>取得消防设施操作员国家职业资格证书的人员不少于</w:t>
      </w:r>
      <w:r>
        <w:rPr>
          <w:rFonts w:ascii="Times New Roman" w:hAnsi="Times New Roman" w:eastAsia="宋体" w:cs="Times New Roman"/>
          <w:color w:val="000000" w:themeColor="text1"/>
          <w:sz w:val="24"/>
          <w:szCs w:val="24"/>
          <w:highlight w:val="none"/>
          <w14:textFill>
            <w14:solidFill>
              <w14:schemeClr w14:val="tx1"/>
            </w14:solidFill>
          </w14:textFill>
        </w:rPr>
        <w:t>8</w:t>
      </w:r>
      <w:r>
        <w:rPr>
          <w:rFonts w:ascii="Times New Roman" w:hAnsi="Times New Roman" w:eastAsia="宋体" w:cs="Times New Roman"/>
          <w:color w:val="auto"/>
          <w:sz w:val="24"/>
          <w:szCs w:val="24"/>
        </w:rPr>
        <w:t>人，其中具备中级及以上技能等级的不少于</w:t>
      </w:r>
      <w:r>
        <w:rPr>
          <w:rFonts w:ascii="Times New Roman" w:hAnsi="Times New Roman" w:eastAsia="宋体" w:cs="Times New Roman"/>
          <w:color w:val="auto"/>
          <w:sz w:val="24"/>
          <w:szCs w:val="24"/>
          <w:highlight w:val="none"/>
        </w:rPr>
        <w:t>4</w:t>
      </w:r>
      <w:r>
        <w:rPr>
          <w:rFonts w:ascii="Times New Roman" w:hAnsi="Times New Roman" w:eastAsia="宋体" w:cs="Times New Roman"/>
          <w:color w:val="auto"/>
          <w:sz w:val="24"/>
          <w:szCs w:val="24"/>
        </w:rPr>
        <w:t>人；</w:t>
      </w:r>
    </w:p>
    <w:p w14:paraId="635C9123">
      <w:pPr>
        <w:pStyle w:val="11"/>
        <w:numPr>
          <w:ilvl w:val="0"/>
          <w:numId w:val="4"/>
        </w:numPr>
        <w:ind w:left="0" w:leftChars="0" w:firstLine="480" w:firstLineChars="0"/>
        <w:rPr>
          <w:rFonts w:hint="eastAsia" w:ascii="宋体" w:hAnsi="宋体" w:eastAsia="宋体" w:cs="宋体"/>
          <w:b w:val="0"/>
          <w:color w:val="auto"/>
          <w:sz w:val="24"/>
          <w:szCs w:val="24"/>
        </w:rPr>
      </w:pPr>
      <w:r>
        <w:rPr>
          <w:rFonts w:ascii="Times New Roman" w:hAnsi="Times New Roman" w:eastAsia="宋体" w:cs="Times New Roman"/>
          <w:color w:val="auto"/>
          <w:sz w:val="24"/>
          <w:szCs w:val="24"/>
        </w:rPr>
        <w:t>质量管理三体系相关证明材料；</w:t>
      </w:r>
    </w:p>
    <w:p w14:paraId="3E4805CC">
      <w:pPr>
        <w:pStyle w:val="11"/>
        <w:numPr>
          <w:ilvl w:val="0"/>
          <w:numId w:val="4"/>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color w:val="auto"/>
          <w:sz w:val="24"/>
          <w:szCs w:val="24"/>
        </w:rPr>
        <w:t>需提供类似业绩证明：金额不低于15万元的合同2份、金额不低于10万元的合同2份；</w:t>
      </w:r>
    </w:p>
    <w:p w14:paraId="579C01E8">
      <w:pPr>
        <w:pStyle w:val="11"/>
        <w:numPr>
          <w:ilvl w:val="0"/>
          <w:numId w:val="3"/>
        </w:numPr>
        <w:topLinePunct w:val="0"/>
        <w:ind w:left="0" w:leftChars="0" w:firstLine="480" w:firstLineChars="0"/>
        <w:rPr>
          <w:rFonts w:hint="eastAsia" w:ascii="仿宋_GB2312" w:eastAsia="仿宋_GB2312" w:cs="仿宋_GB2312"/>
          <w:bCs/>
          <w:color w:val="auto"/>
          <w:kern w:val="0"/>
          <w:sz w:val="28"/>
          <w:szCs w:val="28"/>
          <w:lang w:val="en-US" w:eastAsia="zh-CN" w:bidi="ar-SA"/>
        </w:rPr>
      </w:pPr>
      <w:r>
        <w:rPr>
          <w:rFonts w:ascii="Times New Roman" w:hAnsi="Times New Roman" w:eastAsia="宋体" w:cs="Times New Roman"/>
          <w:color w:val="auto"/>
          <w:sz w:val="24"/>
          <w:szCs w:val="24"/>
        </w:rPr>
        <w:t>以上要求均需提供证明。</w:t>
      </w:r>
    </w:p>
    <w:p w14:paraId="20D5B60B">
      <w:pPr>
        <w:pStyle w:val="2"/>
        <w:numPr>
          <w:ilvl w:val="0"/>
          <w:numId w:val="1"/>
        </w:numPr>
        <w:topLinePunct w:val="0"/>
        <w:ind w:left="0" w:leftChars="0" w:firstLine="0" w:firstLineChars="0"/>
        <w:rPr>
          <w:rFonts w:hint="eastAsia" w:ascii="黑体" w:hAnsi="黑体" w:eastAsia="黑体" w:cs="黑体"/>
          <w:b w:val="0"/>
        </w:rPr>
      </w:pPr>
      <w:r>
        <w:t>维护保养内容：</w:t>
      </w:r>
    </w:p>
    <w:p w14:paraId="69EE9A17">
      <w:pPr>
        <w:pStyle w:val="11"/>
        <w:rPr>
          <w:rFonts w:ascii="Times New Roman" w:hAnsi="Times New Roman" w:eastAsia="宋体" w:cs="Times New Roman"/>
          <w:sz w:val="24"/>
          <w:szCs w:val="24"/>
        </w:rPr>
      </w:pPr>
      <w:r>
        <w:rPr>
          <w:rFonts w:ascii="Times New Roman" w:hAnsi="Times New Roman" w:eastAsia="宋体" w:cs="Times New Roman"/>
          <w:sz w:val="24"/>
          <w:szCs w:val="24"/>
        </w:rPr>
        <w:t>1、消防供配电设施；2、火灾自动报警系统；3、消防供水设施；4、消火栓系统；5、自动喷水灭火系统；6.泡沫灭火系统；7、气体灭火系统；8、防排烟系统；9、应急照明和疏散指示标志；10、应急广播系统；11、消防专用电话；12、防火分隔设施；13、智能疏散系统； 14、电气火灾监控系统；15、室外消火栓系统;16、灭火器和自救呼吸器；17、与消防有关的其他设施设备。</w:t>
      </w:r>
    </w:p>
    <w:p w14:paraId="5E859BD0">
      <w:pPr>
        <w:pStyle w:val="2"/>
        <w:numPr>
          <w:ilvl w:val="0"/>
          <w:numId w:val="1"/>
        </w:numPr>
        <w:topLinePunct w:val="0"/>
        <w:ind w:left="0" w:leftChars="0" w:firstLine="0" w:firstLineChars="0"/>
        <w:rPr>
          <w:rFonts w:hint="eastAsia" w:ascii="黑体" w:hAnsi="黑体" w:eastAsia="黑体" w:cs="黑体"/>
          <w:b w:val="0"/>
        </w:rPr>
      </w:pPr>
      <w:r>
        <w:t>建筑消防设施维护保养工作内容：</w:t>
      </w:r>
    </w:p>
    <w:p w14:paraId="233646D2">
      <w:pPr>
        <w:pStyle w:val="3"/>
        <w:numPr>
          <w:ilvl w:val="0"/>
          <w:numId w:val="5"/>
        </w:numPr>
        <w:topLinePunct w:val="0"/>
        <w:ind w:left="0" w:leftChars="0" w:firstLine="0" w:firstLineChars="0"/>
        <w:rPr>
          <w:rFonts w:hint="eastAsia" w:ascii="黑体" w:hAnsi="黑体" w:eastAsia="黑体" w:cs="黑体"/>
          <w:b w:val="0"/>
        </w:rPr>
      </w:pPr>
      <w:r>
        <w:t>每月巡查内容：</w:t>
      </w:r>
    </w:p>
    <w:p w14:paraId="60BD8E64">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消防供配电设施：消防电源工作状态，自备发电设备状况，消防配电房与发电机房环境，消防电源末端切换装置工作状态。</w:t>
      </w:r>
    </w:p>
    <w:p w14:paraId="1E0139EC">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火灾自动报警系统：火灾报警探测器外观，区域显示器运行状况，CRT图形显示器运行状况，火灾报警控制器运行状况，消防联动控制器外观及运行状况，手动报警按钮外观，火灾警报装置外观，消防控制室工作环境。</w:t>
      </w:r>
    </w:p>
    <w:p w14:paraId="080D4DBD">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消防供水设施：消防水池外观，消防水箱外观，消防水泵及控制柜工作状态，稳压泵、增压泵与气压水罐工作状态，水泵结合器外观及标识，管网控制阀门启闭状态，泵房工作环境。</w:t>
      </w:r>
    </w:p>
    <w:p w14:paraId="38856DA0">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消火栓灭火系统：室内消火栓外观，消防卷盘外观，室外消火栓外观，启泵按钮外观。</w:t>
      </w:r>
    </w:p>
    <w:p w14:paraId="3D7BD596">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自动喷水灭火系统：喷头外观，报警阀组外观，末端试水装置压力值。</w:t>
      </w:r>
    </w:p>
    <w:p w14:paraId="51D1C914">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气体灭火系统：气体灭火控制器工作状态，储瓶间环境，气体瓶组或储罐外观，选择阀、驱动装置等组件外观，紧急启/停按钮外观，放气指示灯及报警器外观，喷嘴外观，防护区状况。</w:t>
      </w:r>
    </w:p>
    <w:p w14:paraId="51874E15">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防烟排烟系统：挡烟垂壁外观，送风阀外观，送风机工作状态，排烟阀外观，电动排烟窗外观，自然排烟窗外观，排烟机工作状态，送风与排烟机房环境。</w:t>
      </w:r>
    </w:p>
    <w:p w14:paraId="54C55CF7">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应急照明和疏散指示标志：应急灯外观，应急灯工作状态，疏散指示标志外观，疏散指示标志工作状态。</w:t>
      </w:r>
    </w:p>
    <w:p w14:paraId="726BB1B0">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应急广播系统：扬声器外观，扩音机工作状态。</w:t>
      </w:r>
    </w:p>
    <w:p w14:paraId="78C7250A">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消防专用电话：分机电话外观，插孔电话外观。</w:t>
      </w:r>
    </w:p>
    <w:p w14:paraId="230F1504">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防火分隔设施：防火门外观，防火门启闭状况，防火卷帘外观，防火卷帘工作状态。</w:t>
      </w:r>
    </w:p>
    <w:p w14:paraId="335DC663">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消防电梯：紧急按钮外观，轿厢内电话外观，消防电梯工作状态。</w:t>
      </w:r>
    </w:p>
    <w:p w14:paraId="34D6C9F4">
      <w:pPr>
        <w:pStyle w:val="11"/>
        <w:numPr>
          <w:ilvl w:val="0"/>
          <w:numId w:val="6"/>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灭火器：灭火器外观，设置位置状况。</w:t>
      </w:r>
    </w:p>
    <w:p w14:paraId="09CD2769">
      <w:pPr>
        <w:pStyle w:val="3"/>
        <w:numPr>
          <w:ilvl w:val="0"/>
          <w:numId w:val="5"/>
        </w:numPr>
        <w:topLinePunct w:val="0"/>
        <w:ind w:left="0" w:leftChars="0" w:firstLine="0" w:firstLineChars="0"/>
        <w:rPr>
          <w:rFonts w:hint="eastAsia" w:ascii="黑体" w:hAnsi="黑体" w:eastAsia="黑体" w:cs="黑体"/>
          <w:b w:val="0"/>
        </w:rPr>
      </w:pPr>
      <w:r>
        <w:t>每月检查测试内容：</w:t>
      </w:r>
    </w:p>
    <w:p w14:paraId="7A2DA8C7">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消防供配电设施：消防用电设备电源末级配电箱处主、备电切换功能，发电机自动与手动启动试验，发电机燃料检查。</w:t>
      </w:r>
    </w:p>
    <w:p w14:paraId="3E042283">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火灾自动报警系统：警报装置的警报功能，火灾报警探测器、手动报警按钮、火灾报警控制器、CRT图形显示器、火灾显示盘的报警显示功能，消防联动控制设备的联动控制与显示功能。其中火灾报警探测器和手动报警按钮的报警功能检查数量不少于总数的5%。</w:t>
      </w:r>
    </w:p>
    <w:p w14:paraId="6F06080E">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消防供水设施：消防水池与水箱水量，增压设施压力工况，消防水泵及水泵控制柜的启泵和主备泵切换功能，管道阀门启闭功能。</w:t>
      </w:r>
    </w:p>
    <w:p w14:paraId="38856D2A">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消火栓灭火系统：室内外消火栓、消火栓启泵按钮及系统功能。</w:t>
      </w:r>
      <w:r>
        <w:rPr>
          <w:rFonts w:ascii="Times New Roman" w:hAnsi="Times New Roman" w:eastAsia="宋体" w:cs="Times New Roman"/>
          <w:sz w:val="24"/>
          <w:szCs w:val="24"/>
          <w:u w:val="single" w:color="auto"/>
        </w:rPr>
        <w:t>检查数量不少于总数量的25%。</w:t>
      </w:r>
    </w:p>
    <w:p w14:paraId="3AA850F4">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自动喷水灭火系统：报警阀组放水，末端试水装置放水。</w:t>
      </w:r>
      <w:r>
        <w:rPr>
          <w:rFonts w:ascii="Times New Roman" w:hAnsi="Times New Roman" w:eastAsia="宋体" w:cs="Times New Roman"/>
          <w:sz w:val="24"/>
          <w:szCs w:val="24"/>
          <w:u w:val="single" w:color="auto"/>
        </w:rPr>
        <w:t>其中末端试水装置放水检查数量不少于总数量的25%。</w:t>
      </w:r>
    </w:p>
    <w:p w14:paraId="65758381">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气体灭火系统：灭火剂储存量，模拟自动启动系统功能。</w:t>
      </w:r>
    </w:p>
    <w:p w14:paraId="4642EEB7">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防烟和排烟设施：机械加压送风机及其系统功能、送风机控制柜；机械排烟风机、排烟阀及其系统功能、排烟风机控制柜；电动排烟窗启、闭功能。</w:t>
      </w:r>
    </w:p>
    <w:p w14:paraId="320E2333">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应急照明、疏散指示标志：电源切换和充电功能，标识正确性。</w:t>
      </w:r>
    </w:p>
    <w:p w14:paraId="2B5F0CD2">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消防电话和应急广播：通话与广播质量，应急情况下强制切换功能。</w:t>
      </w:r>
    </w:p>
    <w:p w14:paraId="1A982367">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防火分隔设施：防火门启闭功能，防火卷帘自动启动和现场手动功能，电动防火门联动功能，电动防火阀的启、闭功能。</w:t>
      </w:r>
    </w:p>
    <w:p w14:paraId="6A4D3BAE">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消防电梯：首层按钮控制和联动电梯返回首层功能，电梯轿厢内消防电话，电梯井排水设备。</w:t>
      </w:r>
    </w:p>
    <w:p w14:paraId="192F33B4">
      <w:pPr>
        <w:pStyle w:val="11"/>
        <w:numPr>
          <w:ilvl w:val="0"/>
          <w:numId w:val="7"/>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灭火器：检查灭火器型号、压力值和维护期限。</w:t>
      </w:r>
      <w:r>
        <w:rPr>
          <w:rFonts w:ascii="Times New Roman" w:hAnsi="Times New Roman" w:eastAsia="宋体" w:cs="Times New Roman"/>
          <w:sz w:val="24"/>
          <w:szCs w:val="24"/>
          <w:u w:val="single" w:color="auto"/>
        </w:rPr>
        <w:t>检查数量不少于总数量的5%</w:t>
      </w:r>
      <w:r>
        <w:rPr>
          <w:rFonts w:ascii="Times New Roman" w:hAnsi="Times New Roman" w:eastAsia="宋体" w:cs="Times New Roman"/>
          <w:sz w:val="24"/>
          <w:szCs w:val="24"/>
        </w:rPr>
        <w:t>。</w:t>
      </w:r>
    </w:p>
    <w:p w14:paraId="373A8ABF">
      <w:pPr>
        <w:pStyle w:val="3"/>
        <w:numPr>
          <w:ilvl w:val="0"/>
          <w:numId w:val="5"/>
        </w:numPr>
        <w:topLinePunct w:val="0"/>
        <w:ind w:left="0" w:leftChars="0" w:firstLine="0" w:firstLineChars="0"/>
        <w:rPr>
          <w:rFonts w:hint="eastAsia" w:ascii="黑体" w:hAnsi="黑体" w:eastAsia="黑体" w:cs="黑体"/>
          <w:b w:val="0"/>
        </w:rPr>
      </w:pPr>
      <w:r>
        <w:t>每年联动检查内容：</w:t>
      </w:r>
    </w:p>
    <w:p w14:paraId="04C625CD">
      <w:pPr>
        <w:pStyle w:val="11"/>
        <w:numPr>
          <w:ilvl w:val="0"/>
          <w:numId w:val="8"/>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消防供电设施供电功能和主备电源切换功能检查，检验供电能力。</w:t>
      </w:r>
    </w:p>
    <w:p w14:paraId="2611CB17">
      <w:pPr>
        <w:pStyle w:val="11"/>
        <w:numPr>
          <w:ilvl w:val="0"/>
          <w:numId w:val="8"/>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火灾自动报警装置每层、每回路报警系统和联动控制设备的功能试验。每12个月对每只探测器、手动报警按钮检查不少于1次。</w:t>
      </w:r>
    </w:p>
    <w:p w14:paraId="68631350">
      <w:pPr>
        <w:pStyle w:val="11"/>
        <w:numPr>
          <w:ilvl w:val="0"/>
          <w:numId w:val="8"/>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自动喷水灭火系统在末端放水，进行系统功能联动试验，水流指示器报警，压力开关、水力警铃动作。对消防设施上的仪器仪表进行校验；每12个月对每个末端放水阀的检查不少于1次。</w:t>
      </w:r>
    </w:p>
    <w:p w14:paraId="79069397">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消防给水系统最不利点消火栓出水测试，分别采用消防水箱和消防水泵供水方式。每12个月累计对每个消火栓、卷盘的检查不少于1次。</w:t>
      </w:r>
    </w:p>
    <w:p w14:paraId="6EB452C1">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通过报警联动机制，检验系统功能并开展模拟喷气试验；校验仪器仪表，对存储容器进行称重检查。</w:t>
      </w:r>
    </w:p>
    <w:p w14:paraId="5FAB524D">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通过报警联动，依次检查电梯迫降功能、防火卷帘门及防火门功能、消防广播切换功能、应急照明与疏散指示标志功能、正压送风或机械排烟系统功能，并测试风速、风压值。</w:t>
      </w:r>
    </w:p>
    <w:p w14:paraId="16C710A9">
      <w:pPr>
        <w:pStyle w:val="11"/>
        <w:numPr>
          <w:ilvl w:val="0"/>
          <w:numId w:val="8"/>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每12个月对每只灭火器的选型、压力及有效期检查不少于1次。</w:t>
      </w:r>
    </w:p>
    <w:p w14:paraId="2AB0D62B">
      <w:pPr>
        <w:pStyle w:val="2"/>
        <w:numPr>
          <w:ilvl w:val="0"/>
          <w:numId w:val="0"/>
        </w:numPr>
        <w:topLinePunct w:val="0"/>
        <w:ind w:leftChars="0"/>
        <w:rPr>
          <w:rFonts w:hint="eastAsia"/>
        </w:rPr>
      </w:pPr>
      <w:r>
        <w:rPr>
          <w:rFonts w:hint="eastAsia"/>
          <w:lang w:eastAsia="zh-CN"/>
        </w:rPr>
        <w:t>五、</w:t>
      </w:r>
      <w:r>
        <w:t>其他要求</w:t>
      </w:r>
    </w:p>
    <w:p w14:paraId="3C8F5DD8">
      <w:pPr>
        <w:pStyle w:val="11"/>
        <w:numPr>
          <w:ilvl w:val="0"/>
          <w:numId w:val="9"/>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严格依照《建筑消防设施的维护管理》GB25201-2010标准执行，做好维保范围内消防设施的日常检查、检测、维护保养及资料建档工作，确保医院消防设施随时处于良好运行状态。</w:t>
      </w:r>
    </w:p>
    <w:p w14:paraId="54C75522">
      <w:pPr>
        <w:pStyle w:val="11"/>
        <w:numPr>
          <w:ilvl w:val="0"/>
          <w:numId w:val="9"/>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参与维保的队伍人员需满足以下要求：</w:t>
      </w:r>
    </w:p>
    <w:p w14:paraId="120B1A7C">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维保项目人员应具备相应工种中级以上职称或资质证书，拥有相关项目维保经验，善于沟通，具备较强的统筹规划能力与业务能力。负责消防维保工作的具体实施，包括消防设施的维修、测试、安装、更换等，需持有机电类工程师证书或相关工程专业技术岗位证书（如质量员、安全员证书等）及建（构）筑消防员证，服从管理，具备较强的动手能力与执行力。</w:t>
      </w:r>
    </w:p>
    <w:p w14:paraId="547F2525">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值班人员</w:t>
      </w:r>
      <w:r>
        <w:rPr>
          <w:rFonts w:ascii="Times New Roman" w:hAnsi="Times New Roman" w:eastAsia="宋体" w:cs="Times New Roman"/>
          <w:color w:val="auto"/>
          <w:sz w:val="24"/>
        </w:rPr>
        <w:t>实行24小时值班制，保持通信畅通，确保医院</w:t>
      </w:r>
      <w:r>
        <w:rPr>
          <w:rFonts w:hint="eastAsia" w:cs="Times New Roman"/>
          <w:color w:val="auto"/>
          <w:sz w:val="24"/>
          <w:lang w:eastAsia="zh-CN"/>
        </w:rPr>
        <w:t>消防设施</w:t>
      </w:r>
      <w:r>
        <w:rPr>
          <w:rFonts w:ascii="Times New Roman" w:hAnsi="Times New Roman" w:eastAsia="宋体" w:cs="Times New Roman"/>
          <w:color w:val="auto"/>
          <w:sz w:val="24"/>
        </w:rPr>
        <w:t>的正常运行。</w:t>
      </w:r>
    </w:p>
    <w:p w14:paraId="10B7D7EB">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消防设施误报率应符合国家标准，报警出现后需立即前往现场处理并查明原因；确认为误报时，须在四小时内处理完毕并做好记录。维保人员定期对设备运行情况进行巡检，发现问题应立即处理。常见问题处理完毕后，须另报甲方保卫科备案；对无法及时处理或涉及需更换材料且数额较大的情况，应以书面形式及时向甲方汇报，甲方现场核实后，应尽快将书面处理意见反馈乙方。期间乙方须采取相应应急处理措施，保障安全。</w:t>
      </w:r>
    </w:p>
    <w:p w14:paraId="37FBC6AD">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在火灾、消防水管爆裂等紧急情况发生时，须在</w:t>
      </w:r>
      <w:r>
        <w:rPr>
          <w:rFonts w:hint="eastAsia" w:cs="Times New Roman"/>
          <w:sz w:val="24"/>
          <w:szCs w:val="24"/>
          <w:lang w:val="en-US" w:eastAsia="zh-CN"/>
        </w:rPr>
        <w:t>5</w:t>
      </w:r>
      <w:r>
        <w:rPr>
          <w:rFonts w:ascii="Times New Roman" w:hAnsi="Times New Roman" w:eastAsia="宋体" w:cs="Times New Roman"/>
          <w:sz w:val="24"/>
          <w:szCs w:val="24"/>
        </w:rPr>
        <w:t>分钟内到达现场进行事故应急处理。</w:t>
      </w:r>
    </w:p>
    <w:p w14:paraId="2846DA3B">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对维护范围内的消防设施，按日、周、月、季、半年、年等周期逐个开展单项或系统检查；每月向甲方汇报下月维护保养工作内容，在做好相关记录的同时，于每月初将上月检查情况提交甲方；</w:t>
      </w:r>
      <w:r>
        <w:rPr>
          <w:rFonts w:hint="eastAsia" w:cs="Times New Roman"/>
          <w:sz w:val="24"/>
          <w:szCs w:val="24"/>
          <w:lang w:eastAsia="zh-CN"/>
        </w:rPr>
        <w:t>每个支付周期进行考核，考核表附后，支付比例按考核相应得分支付，如考核得分低于要求，我方有权解除合同。</w:t>
      </w:r>
    </w:p>
    <w:p w14:paraId="11571F02">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每月第一周，向甲方书面提交具体维保设施的位置、名称，提出正常维保所需备品、配件、材料及相关型号，并说明更换维保理由，由甲方确认后负责采购。特别紧急情况下的应急用配件、材料，若甲方来不及按正常程序采购，经甲方保卫科现场确认后，可由乙方临时采购，但需向甲方提供正规发票及相关购入配件或设施的材质资料，价格不得高于市场价，相关费用由甲方承担。</w:t>
      </w:r>
    </w:p>
    <w:p w14:paraId="40BB0753">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因乙方专职维保人员配置不足或维保技术水平、质量等问题，导致甲方消防设备维护不及时且超过7天的，每次扣除500元；由于乙方专职维保人员配置不足、不到位或维保技术水平、质量等问题，致使消防设备无法正常运行并造成经济损失的，乙方须承担相应经济和法律责任。</w:t>
      </w:r>
    </w:p>
    <w:p w14:paraId="3350CC3A">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因甲方原因，如原系统违反消防规范要求、原设计不合理或设备及原安装本身存在固有质量问题等导致的不良后果，责任不由乙方承担。但乙方须在合同执行一个月内以书面形式具体说明，并提出改进方案，配合甲方进行整改。</w:t>
      </w:r>
    </w:p>
    <w:p w14:paraId="6812FD14">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对下列重大问题向甲方及时提出整改意见，并报请甲方对其消防设施进行整改或更换。</w:t>
      </w:r>
    </w:p>
    <w:p w14:paraId="77864924">
      <w:pPr>
        <w:pStyle w:val="11"/>
        <w:numPr>
          <w:ilvl w:val="0"/>
          <w:numId w:val="11"/>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因设备老化，导致消防设施出现重大故障或功能瘫痪。</w:t>
      </w:r>
    </w:p>
    <w:p w14:paraId="5B0622D6">
      <w:pPr>
        <w:pStyle w:val="11"/>
        <w:numPr>
          <w:ilvl w:val="0"/>
          <w:numId w:val="11"/>
        </w:numPr>
        <w:ind w:left="0" w:leftChars="0" w:firstLine="480" w:firstLineChars="0"/>
        <w:rPr>
          <w:rFonts w:hint="eastAsia" w:ascii="宋体" w:hAnsi="宋体" w:eastAsia="宋体" w:cs="宋体"/>
          <w:b w:val="0"/>
          <w:sz w:val="24"/>
          <w:szCs w:val="24"/>
        </w:rPr>
      </w:pPr>
      <w:r>
        <w:rPr>
          <w:rFonts w:ascii="Times New Roman" w:hAnsi="Times New Roman" w:eastAsia="宋体" w:cs="Times New Roman"/>
          <w:sz w:val="24"/>
          <w:szCs w:val="24"/>
        </w:rPr>
        <w:t>消防设施已被淘汰，或其品牌不明、相关资料不齐，零配件无法保障供应。</w:t>
      </w:r>
    </w:p>
    <w:p w14:paraId="45976726">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甲方如有装修改造项目，涉及消防系统的费用由甲方承担；若不涉及消防系统改动，则由乙方负责恢复。</w:t>
      </w:r>
    </w:p>
    <w:p w14:paraId="77766254">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及时有效配合公安消防监督机关、各级卫生健康委员会等部门开展消防检查，确保甲方通过检查。</w:t>
      </w:r>
    </w:p>
    <w:p w14:paraId="21C70CEF">
      <w:pPr>
        <w:pStyle w:val="11"/>
        <w:numPr>
          <w:ilvl w:val="0"/>
          <w:numId w:val="10"/>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严格遵守甲方相关规章制度，配合甲方开展内部消防安全检查及消防安全演练。</w:t>
      </w:r>
    </w:p>
    <w:p w14:paraId="24B69F0E">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41DAB109">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0E725E4C">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2E84135E">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10DCA17F">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2581C54C">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509B1CA8">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7D65DFD2">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639C7CE8">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6B61888A">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747E8EE4">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5A6F5985">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65E3A357">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57D23E75">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722572BC">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p w14:paraId="68145F43">
      <w:pPr>
        <w:pStyle w:val="11"/>
        <w:widowControl w:val="0"/>
        <w:numPr>
          <w:numId w:val="0"/>
        </w:numPr>
        <w:adjustRightInd w:val="0"/>
        <w:spacing w:before="100" w:after="100" w:afterLines="0" w:afterAutospacing="0" w:line="300" w:lineRule="auto"/>
        <w:jc w:val="both"/>
        <w:rPr>
          <w:rFonts w:ascii="Times New Roman" w:hAnsi="Times New Roman" w:eastAsia="宋体" w:cs="Times New Roman"/>
          <w:sz w:val="24"/>
          <w:szCs w:val="24"/>
        </w:rPr>
      </w:pPr>
    </w:p>
    <w:tbl>
      <w:tblPr>
        <w:tblStyle w:val="18"/>
        <w:tblW w:w="99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9"/>
        <w:gridCol w:w="2233"/>
        <w:gridCol w:w="838"/>
        <w:gridCol w:w="5511"/>
        <w:gridCol w:w="799"/>
      </w:tblGrid>
      <w:tr w14:paraId="51507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6" w:hRule="atLeast"/>
        </w:trPr>
        <w:tc>
          <w:tcPr>
            <w:tcW w:w="9960" w:type="dxa"/>
            <w:gridSpan w:val="5"/>
            <w:tcBorders>
              <w:top w:val="nil"/>
              <w:left w:val="nil"/>
              <w:bottom w:val="nil"/>
              <w:right w:val="nil"/>
            </w:tcBorders>
            <w:shd w:val="clear" w:color="auto" w:fill="auto"/>
            <w:vAlign w:val="center"/>
          </w:tcPr>
          <w:p w14:paraId="6F4E60A0">
            <w:pPr>
              <w:keepNext w:val="0"/>
              <w:keepLines w:val="0"/>
              <w:widowControl/>
              <w:suppressLineNumbers w:val="0"/>
              <w:jc w:val="left"/>
              <w:textAlignment w:val="center"/>
              <w:rPr>
                <w:rFonts w:hint="eastAsia" w:ascii="宋体" w:hAnsi="宋体" w:eastAsia="宋体" w:cs="宋体"/>
                <w:b/>
                <w:bCs/>
                <w:i w:val="0"/>
                <w:iCs w:val="0"/>
                <w:color w:val="0F1115"/>
                <w:kern w:val="0"/>
                <w:sz w:val="24"/>
                <w:szCs w:val="24"/>
                <w:u w:val="none"/>
                <w:lang w:val="en-US" w:eastAsia="zh-CN" w:bidi="ar"/>
              </w:rPr>
            </w:pPr>
            <w:r>
              <w:rPr>
                <w:rFonts w:hint="eastAsia" w:ascii="宋体" w:hAnsi="宋体" w:eastAsia="宋体" w:cs="宋体"/>
                <w:b/>
                <w:bCs/>
                <w:i w:val="0"/>
                <w:iCs w:val="0"/>
                <w:color w:val="0F1115"/>
                <w:kern w:val="0"/>
                <w:sz w:val="24"/>
                <w:szCs w:val="24"/>
                <w:u w:val="none"/>
                <w:lang w:val="en-US" w:eastAsia="zh-CN" w:bidi="ar"/>
              </w:rPr>
              <w:t>附件1</w:t>
            </w:r>
          </w:p>
          <w:p w14:paraId="3C1EBB9A">
            <w:pPr>
              <w:keepNext w:val="0"/>
              <w:keepLines w:val="0"/>
              <w:widowControl/>
              <w:suppressLineNumbers w:val="0"/>
              <w:jc w:val="center"/>
              <w:textAlignment w:val="center"/>
              <w:rPr>
                <w:rFonts w:hint="eastAsia" w:ascii="宋体" w:hAnsi="宋体" w:eastAsia="宋体" w:cs="宋体"/>
                <w:b/>
                <w:bCs/>
                <w:i w:val="0"/>
                <w:iCs w:val="0"/>
                <w:color w:val="0F1115"/>
                <w:kern w:val="0"/>
                <w:sz w:val="40"/>
                <w:szCs w:val="40"/>
                <w:u w:val="none"/>
                <w:lang w:val="en-US" w:eastAsia="zh-CN" w:bidi="ar"/>
              </w:rPr>
            </w:pPr>
            <w:r>
              <w:rPr>
                <w:rFonts w:hint="eastAsia" w:ascii="宋体" w:hAnsi="宋体" w:eastAsia="宋体" w:cs="宋体"/>
                <w:b/>
                <w:bCs/>
                <w:i w:val="0"/>
                <w:iCs w:val="0"/>
                <w:color w:val="0F1115"/>
                <w:kern w:val="0"/>
                <w:sz w:val="40"/>
                <w:szCs w:val="40"/>
                <w:u w:val="none"/>
                <w:lang w:val="en-US" w:eastAsia="zh-CN" w:bidi="ar"/>
              </w:rPr>
              <w:t>娄底市中心医院医院（娄底医院）消防维护保养</w:t>
            </w:r>
          </w:p>
          <w:p w14:paraId="0A4F6429">
            <w:pPr>
              <w:keepNext w:val="0"/>
              <w:keepLines w:val="0"/>
              <w:widowControl/>
              <w:suppressLineNumbers w:val="0"/>
              <w:jc w:val="center"/>
              <w:textAlignment w:val="center"/>
              <w:rPr>
                <w:rFonts w:hint="eastAsia" w:ascii="宋体" w:hAnsi="宋体" w:eastAsia="宋体" w:cs="宋体"/>
                <w:b/>
                <w:bCs/>
                <w:i w:val="0"/>
                <w:iCs w:val="0"/>
                <w:color w:val="0F1115"/>
                <w:sz w:val="44"/>
                <w:szCs w:val="44"/>
                <w:u w:val="none"/>
              </w:rPr>
            </w:pPr>
            <w:r>
              <w:rPr>
                <w:rFonts w:hint="eastAsia" w:ascii="宋体" w:hAnsi="宋体" w:eastAsia="宋体" w:cs="宋体"/>
                <w:b/>
                <w:bCs/>
                <w:i w:val="0"/>
                <w:iCs w:val="0"/>
                <w:color w:val="0F1115"/>
                <w:kern w:val="0"/>
                <w:sz w:val="40"/>
                <w:szCs w:val="40"/>
                <w:u w:val="none"/>
                <w:lang w:val="en-US" w:eastAsia="zh-CN" w:bidi="ar"/>
              </w:rPr>
              <w:t>周期考核表（     年</w:t>
            </w:r>
            <w:r>
              <w:rPr>
                <w:rStyle w:val="24"/>
                <w:sz w:val="40"/>
                <w:szCs w:val="40"/>
                <w:lang w:val="en-US" w:eastAsia="zh-CN" w:bidi="ar"/>
              </w:rPr>
              <w:t>）</w:t>
            </w:r>
          </w:p>
        </w:tc>
      </w:tr>
      <w:tr w14:paraId="2141D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960" w:type="dxa"/>
            <w:gridSpan w:val="5"/>
            <w:tcBorders>
              <w:top w:val="nil"/>
              <w:left w:val="nil"/>
              <w:bottom w:val="nil"/>
              <w:right w:val="nil"/>
            </w:tcBorders>
            <w:shd w:val="clear" w:color="auto" w:fill="auto"/>
            <w:vAlign w:val="center"/>
          </w:tcPr>
          <w:p w14:paraId="05A5DF25">
            <w:pPr>
              <w:keepNext w:val="0"/>
              <w:keepLines w:val="0"/>
              <w:widowControl/>
              <w:suppressLineNumbers w:val="0"/>
              <w:jc w:val="left"/>
              <w:textAlignment w:val="center"/>
              <w:rPr>
                <w:rFonts w:hint="eastAsia" w:ascii="宋体" w:hAnsi="宋体" w:eastAsia="宋体" w:cs="宋体"/>
                <w:i w:val="0"/>
                <w:iCs w:val="0"/>
                <w:color w:val="0F1115"/>
                <w:sz w:val="24"/>
                <w:szCs w:val="24"/>
                <w:u w:val="none"/>
              </w:rPr>
            </w:pPr>
            <w:r>
              <w:rPr>
                <w:rFonts w:hint="eastAsia" w:ascii="宋体" w:hAnsi="宋体" w:eastAsia="宋体" w:cs="宋体"/>
                <w:i w:val="0"/>
                <w:iCs w:val="0"/>
                <w:color w:val="0F1115"/>
                <w:kern w:val="0"/>
                <w:sz w:val="24"/>
                <w:szCs w:val="24"/>
                <w:u w:val="none"/>
                <w:lang w:val="en-US" w:eastAsia="zh-CN" w:bidi="ar"/>
              </w:rPr>
              <w:t>维保单位：</w:t>
            </w:r>
            <w:r>
              <w:rPr>
                <w:rFonts w:hint="eastAsia" w:ascii="宋体" w:hAnsi="宋体" w:eastAsia="宋体" w:cs="宋体"/>
                <w:i w:val="0"/>
                <w:iCs w:val="0"/>
                <w:color w:val="0F1115"/>
                <w:kern w:val="0"/>
                <w:sz w:val="24"/>
                <w:szCs w:val="24"/>
                <w:u w:val="single"/>
                <w:lang w:val="en-US" w:eastAsia="zh-CN" w:bidi="ar"/>
              </w:rPr>
              <w:t xml:space="preserve">               </w:t>
            </w:r>
            <w:r>
              <w:rPr>
                <w:rStyle w:val="25"/>
                <w:lang w:val="en-US" w:eastAsia="zh-CN" w:bidi="ar"/>
              </w:rPr>
              <w:t>考核周期（三个月）：</w:t>
            </w:r>
            <w:r>
              <w:rPr>
                <w:rStyle w:val="26"/>
                <w:rFonts w:hint="eastAsia"/>
                <w:lang w:val="en-US" w:eastAsia="zh-CN" w:bidi="ar"/>
              </w:rPr>
              <w:t xml:space="preserve">    </w:t>
            </w:r>
            <w:r>
              <w:rPr>
                <w:rStyle w:val="25"/>
                <w:lang w:val="en-US" w:eastAsia="zh-CN" w:bidi="ar"/>
              </w:rPr>
              <w:t>年</w:t>
            </w:r>
            <w:r>
              <w:rPr>
                <w:rStyle w:val="26"/>
                <w:rFonts w:hint="eastAsia"/>
                <w:lang w:val="en-US" w:eastAsia="zh-CN" w:bidi="ar"/>
              </w:rPr>
              <w:t xml:space="preserve">   </w:t>
            </w:r>
            <w:r>
              <w:rPr>
                <w:rStyle w:val="25"/>
                <w:lang w:val="en-US" w:eastAsia="zh-CN" w:bidi="ar"/>
              </w:rPr>
              <w:t>月</w:t>
            </w:r>
            <w:r>
              <w:rPr>
                <w:rStyle w:val="26"/>
                <w:rFonts w:hint="eastAsia"/>
                <w:lang w:val="en-US" w:eastAsia="zh-CN" w:bidi="ar"/>
              </w:rPr>
              <w:t xml:space="preserve">--   </w:t>
            </w:r>
            <w:r>
              <w:rPr>
                <w:rStyle w:val="25"/>
                <w:lang w:val="en-US" w:eastAsia="zh-CN" w:bidi="ar"/>
              </w:rPr>
              <w:t>年</w:t>
            </w:r>
            <w:r>
              <w:rPr>
                <w:rStyle w:val="25"/>
                <w:rFonts w:hint="eastAsia"/>
                <w:lang w:val="en-US" w:eastAsia="zh-CN" w:bidi="ar"/>
              </w:rPr>
              <w:t xml:space="preserve">  </w:t>
            </w:r>
            <w:r>
              <w:rPr>
                <w:rStyle w:val="25"/>
                <w:lang w:val="en-US" w:eastAsia="zh-CN" w:bidi="ar"/>
              </w:rPr>
              <w:t>月</w:t>
            </w:r>
            <w:r>
              <w:rPr>
                <w:rStyle w:val="25"/>
                <w:rFonts w:hint="eastAsia"/>
                <w:lang w:val="en-US" w:eastAsia="zh-CN" w:bidi="ar"/>
              </w:rPr>
              <w:t xml:space="preserve"> </w:t>
            </w:r>
            <w:r>
              <w:rPr>
                <w:rStyle w:val="25"/>
                <w:lang w:val="en-US" w:eastAsia="zh-CN" w:bidi="ar"/>
              </w:rPr>
              <w:t>考核日期：</w:t>
            </w:r>
            <w:r>
              <w:rPr>
                <w:rStyle w:val="26"/>
                <w:lang w:val="en-US" w:eastAsia="zh-CN" w:bidi="ar"/>
              </w:rPr>
              <w:t xml:space="preserve"> ________</w:t>
            </w:r>
          </w:p>
        </w:tc>
      </w:tr>
      <w:tr w14:paraId="36190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3" w:hRule="atLeast"/>
        </w:trPr>
        <w:tc>
          <w:tcPr>
            <w:tcW w:w="996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57137A">
            <w:pPr>
              <w:keepNext w:val="0"/>
              <w:keepLines w:val="0"/>
              <w:widowControl/>
              <w:suppressLineNumbers w:val="0"/>
              <w:jc w:val="center"/>
              <w:textAlignment w:val="center"/>
              <w:rPr>
                <w:rFonts w:hint="eastAsia" w:ascii="仿宋" w:hAnsi="仿宋" w:eastAsia="仿宋" w:cs="仿宋"/>
                <w:b/>
                <w:bCs/>
                <w:i w:val="0"/>
                <w:iCs w:val="0"/>
                <w:color w:val="0F1115"/>
                <w:sz w:val="24"/>
                <w:szCs w:val="24"/>
                <w:u w:val="none"/>
              </w:rPr>
            </w:pPr>
            <w:r>
              <w:rPr>
                <w:rFonts w:hint="eastAsia" w:ascii="仿宋" w:hAnsi="仿宋" w:eastAsia="仿宋" w:cs="仿宋"/>
                <w:b/>
                <w:bCs/>
                <w:i w:val="0"/>
                <w:iCs w:val="0"/>
                <w:color w:val="0F1115"/>
                <w:kern w:val="0"/>
                <w:sz w:val="24"/>
                <w:szCs w:val="24"/>
                <w:u w:val="none"/>
                <w:lang w:val="en-US" w:eastAsia="zh-CN" w:bidi="ar"/>
              </w:rPr>
              <w:t>考核评分总表（满分100分）</w:t>
            </w:r>
          </w:p>
        </w:tc>
      </w:tr>
      <w:tr w14:paraId="3743A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579" w:type="dxa"/>
            <w:tcBorders>
              <w:top w:val="single" w:color="000000" w:sz="4" w:space="0"/>
              <w:left w:val="single" w:color="000000" w:sz="4" w:space="0"/>
              <w:bottom w:val="single" w:color="auto" w:sz="4" w:space="0"/>
              <w:right w:val="single" w:color="000000" w:sz="4" w:space="0"/>
            </w:tcBorders>
            <w:shd w:val="clear" w:color="auto" w:fill="auto"/>
            <w:vAlign w:val="center"/>
          </w:tcPr>
          <w:p w14:paraId="3FDCA888">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2233" w:type="dxa"/>
            <w:tcBorders>
              <w:top w:val="nil"/>
              <w:left w:val="nil"/>
              <w:bottom w:val="nil"/>
              <w:right w:val="nil"/>
            </w:tcBorders>
            <w:shd w:val="clear" w:color="auto" w:fill="auto"/>
            <w:noWrap/>
            <w:vAlign w:val="center"/>
          </w:tcPr>
          <w:p w14:paraId="216DDC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考核项目</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BEF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分值</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59D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评分标准</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3F7A">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得分</w:t>
            </w:r>
          </w:p>
        </w:tc>
      </w:tr>
      <w:tr w14:paraId="0FEFF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23EA7E">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5E4A5F8B">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每日巡查完成率</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706BD">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15分</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4E535">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缺1天扣0.5分，扣完为止</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8028F">
            <w:pPr>
              <w:rPr>
                <w:rFonts w:hint="eastAsia" w:ascii="仿宋" w:hAnsi="仿宋" w:eastAsia="仿宋" w:cs="仿宋"/>
                <w:i w:val="0"/>
                <w:iCs w:val="0"/>
                <w:color w:val="000000"/>
                <w:sz w:val="24"/>
                <w:szCs w:val="24"/>
                <w:u w:val="none"/>
              </w:rPr>
            </w:pPr>
          </w:p>
        </w:tc>
      </w:tr>
      <w:tr w14:paraId="0C0D1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89703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2337393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每日巡查记录质量</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E628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10分</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637F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记录不完整或代签，每处扣0.5分</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1D00A">
            <w:pPr>
              <w:rPr>
                <w:rFonts w:hint="eastAsia" w:ascii="仿宋" w:hAnsi="仿宋" w:eastAsia="仿宋" w:cs="仿宋"/>
                <w:i w:val="0"/>
                <w:iCs w:val="0"/>
                <w:color w:val="000000"/>
                <w:sz w:val="24"/>
                <w:szCs w:val="24"/>
                <w:u w:val="none"/>
              </w:rPr>
            </w:pPr>
          </w:p>
        </w:tc>
      </w:tr>
      <w:tr w14:paraId="161D7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E0857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35BF18F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每月检查完成率</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2DE2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15分</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0B184">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缺1个月扣5分，扣完为止</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89CD0">
            <w:pPr>
              <w:rPr>
                <w:rFonts w:hint="eastAsia" w:ascii="仿宋" w:hAnsi="仿宋" w:eastAsia="仿宋" w:cs="仿宋"/>
                <w:i w:val="0"/>
                <w:iCs w:val="0"/>
                <w:color w:val="000000"/>
                <w:sz w:val="24"/>
                <w:szCs w:val="24"/>
                <w:u w:val="none"/>
              </w:rPr>
            </w:pPr>
          </w:p>
        </w:tc>
      </w:tr>
      <w:tr w14:paraId="6005F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06C1BE">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29A0F38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每月检查内容质量</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AA95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10分</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D84E">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漏项或测试不全，每项扣1分</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CA6D">
            <w:pPr>
              <w:rPr>
                <w:rFonts w:hint="eastAsia" w:ascii="仿宋" w:hAnsi="仿宋" w:eastAsia="仿宋" w:cs="仿宋"/>
                <w:i w:val="0"/>
                <w:iCs w:val="0"/>
                <w:color w:val="000000"/>
                <w:sz w:val="24"/>
                <w:szCs w:val="24"/>
                <w:u w:val="none"/>
              </w:rPr>
            </w:pPr>
          </w:p>
        </w:tc>
      </w:tr>
      <w:tr w14:paraId="15D20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22719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3A57B2AD">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每周期检查完成率</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EC0B8">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15分</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E91AC">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缺1次扣8分</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2EC04">
            <w:pPr>
              <w:rPr>
                <w:rFonts w:hint="eastAsia" w:ascii="仿宋" w:hAnsi="仿宋" w:eastAsia="仿宋" w:cs="仿宋"/>
                <w:i w:val="0"/>
                <w:iCs w:val="0"/>
                <w:color w:val="000000"/>
                <w:sz w:val="24"/>
                <w:szCs w:val="24"/>
                <w:u w:val="none"/>
              </w:rPr>
            </w:pPr>
          </w:p>
        </w:tc>
      </w:tr>
      <w:tr w14:paraId="79A11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BC9A49">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46ADEF3B">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每周期检查内容质量</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ED52B">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10分</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822D9">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漏项或联动测试不全，每项扣1.5分</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792FF">
            <w:pPr>
              <w:rPr>
                <w:rFonts w:hint="eastAsia" w:ascii="仿宋" w:hAnsi="仿宋" w:eastAsia="仿宋" w:cs="仿宋"/>
                <w:i w:val="0"/>
                <w:iCs w:val="0"/>
                <w:color w:val="000000"/>
                <w:sz w:val="24"/>
                <w:szCs w:val="24"/>
                <w:u w:val="none"/>
              </w:rPr>
            </w:pPr>
          </w:p>
        </w:tc>
      </w:tr>
      <w:tr w14:paraId="4223D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E31B02">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5DCB233B">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故障维修及时率</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5FE73">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10分</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99DE3">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一般故障超过48小时扣1分/起；重大故障超过24小时扣3分/起</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E72AD">
            <w:pPr>
              <w:rPr>
                <w:rFonts w:hint="eastAsia" w:ascii="仿宋" w:hAnsi="仿宋" w:eastAsia="仿宋" w:cs="仿宋"/>
                <w:i w:val="0"/>
                <w:iCs w:val="0"/>
                <w:color w:val="000000"/>
                <w:sz w:val="24"/>
                <w:szCs w:val="24"/>
                <w:u w:val="none"/>
              </w:rPr>
            </w:pPr>
          </w:p>
        </w:tc>
      </w:tr>
      <w:tr w14:paraId="762BC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0B3DF8">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647C379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维修闭环与返修率</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35D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10分</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AE70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未闭环验收每起扣1分；重复维修每起扣1分（人为因素除外）</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BCD28">
            <w:pPr>
              <w:rPr>
                <w:rFonts w:hint="eastAsia" w:ascii="仿宋" w:hAnsi="仿宋" w:eastAsia="仿宋" w:cs="仿宋"/>
                <w:i w:val="0"/>
                <w:iCs w:val="0"/>
                <w:color w:val="000000"/>
                <w:sz w:val="24"/>
                <w:szCs w:val="24"/>
                <w:u w:val="none"/>
              </w:rPr>
            </w:pPr>
          </w:p>
        </w:tc>
      </w:tr>
      <w:tr w14:paraId="7385A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19085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7F269C4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台账资料完整性</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3772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5分</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C37B5">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台账缺失每项扣1分；伪造记录该项0分</w:t>
            </w:r>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01DD7">
            <w:pPr>
              <w:rPr>
                <w:rFonts w:hint="eastAsia" w:ascii="仿宋" w:hAnsi="仿宋" w:eastAsia="仿宋" w:cs="仿宋"/>
                <w:i w:val="0"/>
                <w:iCs w:val="0"/>
                <w:color w:val="000000"/>
                <w:sz w:val="24"/>
                <w:szCs w:val="24"/>
                <w:u w:val="none"/>
              </w:rPr>
            </w:pPr>
          </w:p>
        </w:tc>
      </w:tr>
      <w:tr w14:paraId="614B6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2812" w:type="dxa"/>
            <w:gridSpan w:val="2"/>
            <w:tcBorders>
              <w:top w:val="single" w:color="auto" w:sz="4" w:space="0"/>
              <w:left w:val="single" w:color="auto" w:sz="4" w:space="0"/>
              <w:bottom w:val="single" w:color="auto" w:sz="4" w:space="0"/>
              <w:right w:val="single" w:color="000000" w:sz="4" w:space="0"/>
            </w:tcBorders>
            <w:shd w:val="clear" w:color="auto" w:fill="auto"/>
            <w:noWrap/>
            <w:vAlign w:val="center"/>
          </w:tcPr>
          <w:p w14:paraId="1559C0E4">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合计</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132B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100分</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A1219">
            <w:pPr>
              <w:keepNext w:val="0"/>
              <w:keepLines w:val="0"/>
              <w:widowControl/>
              <w:suppressLineNumbers w:val="0"/>
              <w:jc w:val="left"/>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≥85分100%支付；85分以下每少1分扣100元；低于60分70%支付；低于50分50%支付，并有权单方解除合同。</w:t>
            </w:r>
            <w:bookmarkStart w:id="0" w:name="_GoBack"/>
            <w:bookmarkEnd w:id="0"/>
          </w:p>
        </w:tc>
        <w:tc>
          <w:tcPr>
            <w:tcW w:w="7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39B2">
            <w:pPr>
              <w:rPr>
                <w:rFonts w:hint="eastAsia" w:ascii="仿宋" w:hAnsi="仿宋" w:eastAsia="仿宋" w:cs="仿宋"/>
                <w:i w:val="0"/>
                <w:iCs w:val="0"/>
                <w:color w:val="000000"/>
                <w:sz w:val="24"/>
                <w:szCs w:val="24"/>
                <w:u w:val="none"/>
              </w:rPr>
            </w:pPr>
          </w:p>
        </w:tc>
      </w:tr>
      <w:tr w14:paraId="6E4F6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579" w:type="dxa"/>
            <w:tcBorders>
              <w:top w:val="single" w:color="auto" w:sz="4" w:space="0"/>
              <w:left w:val="single" w:color="000000" w:sz="4" w:space="0"/>
              <w:bottom w:val="single" w:color="auto" w:sz="4" w:space="0"/>
              <w:right w:val="single" w:color="000000" w:sz="4" w:space="0"/>
            </w:tcBorders>
            <w:shd w:val="clear" w:color="auto" w:fill="auto"/>
            <w:vAlign w:val="center"/>
          </w:tcPr>
          <w:p w14:paraId="4F464382">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22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6EEB5">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资料名称</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3666">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有无</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FE5AB">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备注</w:t>
            </w: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A1D25">
            <w:pPr>
              <w:rPr>
                <w:rFonts w:hint="eastAsia" w:ascii="仿宋" w:hAnsi="仿宋" w:eastAsia="仿宋" w:cs="仿宋"/>
                <w:i w:val="0"/>
                <w:iCs w:val="0"/>
                <w:color w:val="000000"/>
                <w:sz w:val="24"/>
                <w:szCs w:val="24"/>
                <w:u w:val="none"/>
                <w:lang w:eastAsia="zh-CN"/>
              </w:rPr>
            </w:pPr>
            <w:r>
              <w:rPr>
                <w:rFonts w:hint="eastAsia" w:ascii="仿宋" w:hAnsi="仿宋" w:eastAsia="仿宋" w:cs="仿宋"/>
                <w:i w:val="0"/>
                <w:iCs w:val="0"/>
                <w:color w:val="000000"/>
                <w:sz w:val="24"/>
                <w:szCs w:val="24"/>
                <w:u w:val="none"/>
                <w:lang w:eastAsia="zh-CN"/>
              </w:rPr>
              <w:t>得分</w:t>
            </w:r>
          </w:p>
        </w:tc>
      </w:tr>
      <w:tr w14:paraId="71CFC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F05171">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4C1CAD6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消防设备设施总台账</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7CDE">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p>
        </w:tc>
        <w:tc>
          <w:tcPr>
            <w:tcW w:w="5511" w:type="dxa"/>
            <w:vMerge w:val="restart"/>
            <w:tcBorders>
              <w:top w:val="single" w:color="000000" w:sz="4" w:space="0"/>
              <w:left w:val="single" w:color="000000" w:sz="4" w:space="0"/>
              <w:right w:val="single" w:color="000000" w:sz="4" w:space="0"/>
            </w:tcBorders>
            <w:shd w:val="clear" w:color="auto" w:fill="auto"/>
            <w:vAlign w:val="center"/>
          </w:tcPr>
          <w:p w14:paraId="488386C8">
            <w:pP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eastAsia="zh-CN"/>
              </w:rPr>
              <w:t>每缺一项在总得分的基础上扣</w:t>
            </w:r>
            <w:r>
              <w:rPr>
                <w:rFonts w:hint="eastAsia" w:ascii="仿宋" w:hAnsi="仿宋" w:eastAsia="仿宋" w:cs="仿宋"/>
                <w:i w:val="0"/>
                <w:iCs w:val="0"/>
                <w:color w:val="000000"/>
                <w:sz w:val="24"/>
                <w:szCs w:val="24"/>
                <w:u w:val="none"/>
                <w:lang w:val="en-US" w:eastAsia="zh-CN"/>
              </w:rPr>
              <w:t>1分，单项资料完整可加0.5分。</w:t>
            </w: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EE376">
            <w:pPr>
              <w:rPr>
                <w:rFonts w:hint="eastAsia" w:ascii="仿宋" w:hAnsi="仿宋" w:eastAsia="仿宋" w:cs="仿宋"/>
                <w:i w:val="0"/>
                <w:iCs w:val="0"/>
                <w:color w:val="000000"/>
                <w:sz w:val="24"/>
                <w:szCs w:val="24"/>
                <w:u w:val="none"/>
              </w:rPr>
            </w:pPr>
          </w:p>
        </w:tc>
      </w:tr>
      <w:tr w14:paraId="0865C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2C85A8">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483D5C5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每日巡查记录（按月装订）</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4C201">
            <w:pPr>
              <w:keepNext w:val="0"/>
              <w:keepLines w:val="0"/>
              <w:widowControl/>
              <w:suppressLineNumbers w:val="0"/>
              <w:tabs>
                <w:tab w:val="left" w:pos="402"/>
              </w:tabs>
              <w:jc w:val="left"/>
              <w:textAlignment w:val="center"/>
              <w:rPr>
                <w:rFonts w:hint="eastAsia" w:ascii="仿宋" w:hAnsi="仿宋" w:eastAsia="仿宋" w:cs="仿宋"/>
                <w:i w:val="0"/>
                <w:iCs w:val="0"/>
                <w:color w:val="000000"/>
                <w:sz w:val="24"/>
                <w:szCs w:val="24"/>
                <w:u w:val="none"/>
              </w:rPr>
            </w:pPr>
          </w:p>
        </w:tc>
        <w:tc>
          <w:tcPr>
            <w:tcW w:w="5511" w:type="dxa"/>
            <w:vMerge w:val="continue"/>
            <w:tcBorders>
              <w:left w:val="single" w:color="000000" w:sz="4" w:space="0"/>
              <w:right w:val="single" w:color="000000" w:sz="4" w:space="0"/>
            </w:tcBorders>
            <w:shd w:val="clear" w:color="auto" w:fill="auto"/>
            <w:vAlign w:val="center"/>
          </w:tcPr>
          <w:p w14:paraId="3EB31775">
            <w:pPr>
              <w:rPr>
                <w:rFonts w:hint="eastAsia" w:ascii="仿宋" w:hAnsi="仿宋" w:eastAsia="仿宋" w:cs="仿宋"/>
                <w:i w:val="0"/>
                <w:iCs w:val="0"/>
                <w:color w:val="000000"/>
                <w:sz w:val="24"/>
                <w:szCs w:val="24"/>
                <w:u w:val="none"/>
              </w:rPr>
            </w:pP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25562">
            <w:pPr>
              <w:rPr>
                <w:rFonts w:hint="eastAsia" w:ascii="仿宋" w:hAnsi="仿宋" w:eastAsia="仿宋" w:cs="仿宋"/>
                <w:i w:val="0"/>
                <w:iCs w:val="0"/>
                <w:color w:val="000000"/>
                <w:sz w:val="24"/>
                <w:szCs w:val="24"/>
                <w:u w:val="none"/>
              </w:rPr>
            </w:pPr>
          </w:p>
        </w:tc>
      </w:tr>
      <w:tr w14:paraId="5BD4A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BF15A9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45DD217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月度检查报告（含记录）</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50E5">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p>
        </w:tc>
        <w:tc>
          <w:tcPr>
            <w:tcW w:w="5511" w:type="dxa"/>
            <w:vMerge w:val="continue"/>
            <w:tcBorders>
              <w:left w:val="single" w:color="000000" w:sz="4" w:space="0"/>
              <w:right w:val="single" w:color="000000" w:sz="4" w:space="0"/>
            </w:tcBorders>
            <w:shd w:val="clear" w:color="auto" w:fill="auto"/>
            <w:vAlign w:val="center"/>
          </w:tcPr>
          <w:p w14:paraId="00808981">
            <w:pPr>
              <w:rPr>
                <w:rFonts w:hint="eastAsia" w:ascii="仿宋" w:hAnsi="仿宋" w:eastAsia="仿宋" w:cs="仿宋"/>
                <w:i w:val="0"/>
                <w:iCs w:val="0"/>
                <w:color w:val="000000"/>
                <w:sz w:val="24"/>
                <w:szCs w:val="24"/>
                <w:u w:val="none"/>
              </w:rPr>
            </w:pP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ED109">
            <w:pPr>
              <w:rPr>
                <w:rFonts w:hint="eastAsia" w:ascii="仿宋" w:hAnsi="仿宋" w:eastAsia="仿宋" w:cs="仿宋"/>
                <w:i w:val="0"/>
                <w:iCs w:val="0"/>
                <w:color w:val="000000"/>
                <w:sz w:val="24"/>
                <w:szCs w:val="24"/>
                <w:u w:val="none"/>
              </w:rPr>
            </w:pPr>
          </w:p>
        </w:tc>
      </w:tr>
      <w:tr w14:paraId="1B73A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4AF62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1192C82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周期检查报告（含联动测试记录）</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42669">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p>
        </w:tc>
        <w:tc>
          <w:tcPr>
            <w:tcW w:w="5511" w:type="dxa"/>
            <w:vMerge w:val="continue"/>
            <w:tcBorders>
              <w:left w:val="single" w:color="000000" w:sz="4" w:space="0"/>
              <w:right w:val="single" w:color="000000" w:sz="4" w:space="0"/>
            </w:tcBorders>
            <w:shd w:val="clear" w:color="auto" w:fill="auto"/>
            <w:vAlign w:val="center"/>
          </w:tcPr>
          <w:p w14:paraId="066AEAB3">
            <w:pPr>
              <w:rPr>
                <w:rFonts w:hint="eastAsia" w:ascii="仿宋" w:hAnsi="仿宋" w:eastAsia="仿宋" w:cs="仿宋"/>
                <w:i w:val="0"/>
                <w:iCs w:val="0"/>
                <w:color w:val="000000"/>
                <w:sz w:val="24"/>
                <w:szCs w:val="24"/>
                <w:u w:val="none"/>
              </w:rPr>
            </w:pP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562A8">
            <w:pPr>
              <w:rPr>
                <w:rFonts w:hint="eastAsia" w:ascii="仿宋" w:hAnsi="仿宋" w:eastAsia="仿宋" w:cs="仿宋"/>
                <w:i w:val="0"/>
                <w:iCs w:val="0"/>
                <w:color w:val="000000"/>
                <w:sz w:val="24"/>
                <w:szCs w:val="24"/>
                <w:u w:val="none"/>
              </w:rPr>
            </w:pPr>
          </w:p>
        </w:tc>
      </w:tr>
      <w:tr w14:paraId="27302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9" w:hRule="atLeast"/>
        </w:trPr>
        <w:tc>
          <w:tcPr>
            <w:tcW w:w="5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0EB5BA">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233" w:type="dxa"/>
            <w:tcBorders>
              <w:top w:val="single" w:color="000000" w:sz="4" w:space="0"/>
              <w:left w:val="single" w:color="auto" w:sz="4" w:space="0"/>
              <w:bottom w:val="single" w:color="000000" w:sz="4" w:space="0"/>
              <w:right w:val="single" w:color="000000" w:sz="4" w:space="0"/>
            </w:tcBorders>
            <w:shd w:val="clear" w:color="auto" w:fill="auto"/>
            <w:vAlign w:val="center"/>
          </w:tcPr>
          <w:p w14:paraId="661DC710">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故障维修记录（含闭环签字）</w:t>
            </w:r>
          </w:p>
        </w:tc>
        <w:tc>
          <w:tcPr>
            <w:tcW w:w="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E66C">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p>
        </w:tc>
        <w:tc>
          <w:tcPr>
            <w:tcW w:w="5511" w:type="dxa"/>
            <w:vMerge w:val="continue"/>
            <w:tcBorders>
              <w:left w:val="single" w:color="000000" w:sz="4" w:space="0"/>
              <w:bottom w:val="single" w:color="000000" w:sz="4" w:space="0"/>
              <w:right w:val="single" w:color="000000" w:sz="4" w:space="0"/>
            </w:tcBorders>
            <w:shd w:val="clear" w:color="auto" w:fill="auto"/>
            <w:vAlign w:val="center"/>
          </w:tcPr>
          <w:p w14:paraId="6114FEC2">
            <w:pPr>
              <w:rPr>
                <w:rFonts w:hint="eastAsia" w:ascii="仿宋" w:hAnsi="仿宋" w:eastAsia="仿宋" w:cs="仿宋"/>
                <w:i w:val="0"/>
                <w:iCs w:val="0"/>
                <w:color w:val="000000"/>
                <w:sz w:val="24"/>
                <w:szCs w:val="24"/>
                <w:u w:val="none"/>
              </w:rPr>
            </w:pP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6866">
            <w:pPr>
              <w:rPr>
                <w:rFonts w:hint="eastAsia" w:ascii="仿宋" w:hAnsi="仿宋" w:eastAsia="仿宋" w:cs="仿宋"/>
                <w:i w:val="0"/>
                <w:iCs w:val="0"/>
                <w:color w:val="000000"/>
                <w:sz w:val="24"/>
                <w:szCs w:val="24"/>
                <w:u w:val="none"/>
              </w:rPr>
            </w:pPr>
          </w:p>
        </w:tc>
      </w:tr>
    </w:tbl>
    <w:p w14:paraId="0AE8A9B1">
      <w:pPr>
        <w:rPr>
          <w:rFonts w:hint="eastAsia"/>
          <w:sz w:val="24"/>
          <w:szCs w:val="24"/>
          <w:lang w:val="en-US" w:eastAsia="zh-CN"/>
        </w:rPr>
      </w:pPr>
      <w:r>
        <w:rPr>
          <w:rFonts w:hint="eastAsia"/>
          <w:sz w:val="24"/>
          <w:szCs w:val="24"/>
          <w:lang w:eastAsia="zh-CN"/>
        </w:rPr>
        <w:t>注：考核需至少</w:t>
      </w:r>
      <w:r>
        <w:rPr>
          <w:rFonts w:hint="eastAsia"/>
          <w:sz w:val="24"/>
          <w:szCs w:val="24"/>
          <w:lang w:val="en-US" w:eastAsia="zh-CN"/>
        </w:rPr>
        <w:t>2人以上签字</w:t>
      </w:r>
      <w:r>
        <w:rPr>
          <w:rFonts w:hint="eastAsia"/>
          <w:sz w:val="24"/>
          <w:szCs w:val="24"/>
          <w:lang w:val="en-US" w:eastAsia="zh-CN"/>
        </w:rPr>
        <w:t>（含管理科室负责人）</w:t>
      </w:r>
      <w:r>
        <w:rPr>
          <w:rFonts w:hint="eastAsia"/>
          <w:sz w:val="24"/>
          <w:szCs w:val="24"/>
          <w:lang w:val="en-US" w:eastAsia="zh-CN"/>
        </w:rPr>
        <w:t>。</w:t>
      </w:r>
    </w:p>
    <w:p w14:paraId="3A84C060">
      <w:pPr>
        <w:rPr>
          <w:rFonts w:hint="eastAsia"/>
          <w:sz w:val="24"/>
          <w:szCs w:val="24"/>
          <w:lang w:val="en-US" w:eastAsia="zh-CN"/>
        </w:rPr>
      </w:pPr>
      <w:r>
        <w:rPr>
          <w:rFonts w:hint="eastAsia"/>
          <w:sz w:val="24"/>
          <w:szCs w:val="24"/>
          <w:lang w:val="en-US" w:eastAsia="zh-CN"/>
        </w:rPr>
        <w:t>考核得分：</w:t>
      </w:r>
    </w:p>
    <w:p w14:paraId="072FD1BD">
      <w:pPr>
        <w:rPr>
          <w:rFonts w:hint="eastAsia"/>
          <w:sz w:val="24"/>
          <w:szCs w:val="24"/>
          <w:lang w:val="en-US" w:eastAsia="zh-CN"/>
        </w:rPr>
      </w:pPr>
      <w:r>
        <w:rPr>
          <w:rFonts w:hint="eastAsia"/>
          <w:sz w:val="24"/>
          <w:szCs w:val="24"/>
          <w:lang w:val="en-US" w:eastAsia="zh-CN"/>
        </w:rPr>
        <w:t>支付比例：</w:t>
      </w:r>
    </w:p>
    <w:p w14:paraId="0B396800">
      <w:pPr>
        <w:rPr>
          <w:rFonts w:hint="eastAsia"/>
          <w:sz w:val="24"/>
          <w:szCs w:val="24"/>
          <w:lang w:val="en-US" w:eastAsia="zh-CN"/>
        </w:rPr>
      </w:pPr>
      <w:r>
        <w:rPr>
          <w:rFonts w:hint="eastAsia"/>
          <w:sz w:val="24"/>
          <w:szCs w:val="24"/>
          <w:lang w:val="en-US" w:eastAsia="zh-CN"/>
        </w:rPr>
        <w:t>合同约定周期费用：</w:t>
      </w:r>
    </w:p>
    <w:p w14:paraId="2A624648">
      <w:pPr>
        <w:rPr>
          <w:rFonts w:hint="eastAsia"/>
          <w:sz w:val="24"/>
          <w:szCs w:val="24"/>
          <w:lang w:val="en-US" w:eastAsia="zh-CN"/>
        </w:rPr>
      </w:pPr>
      <w:r>
        <w:rPr>
          <w:rFonts w:hint="eastAsia"/>
          <w:sz w:val="24"/>
          <w:szCs w:val="24"/>
          <w:lang w:val="en-US" w:eastAsia="zh-CN"/>
        </w:rPr>
        <w:t>实际支付费用：</w:t>
      </w:r>
    </w:p>
    <w:p w14:paraId="35C95063">
      <w:pPr>
        <w:rPr>
          <w:rFonts w:hint="default" w:ascii="Times New Roman" w:hAnsi="Times New Roman" w:eastAsia="宋体" w:cs="Times New Roman"/>
          <w:sz w:val="24"/>
          <w:szCs w:val="24"/>
          <w:lang w:val="en-US" w:eastAsia="zh-CN"/>
        </w:rPr>
      </w:pPr>
      <w:r>
        <w:rPr>
          <w:rFonts w:hint="eastAsia"/>
          <w:sz w:val="24"/>
          <w:szCs w:val="24"/>
          <w:lang w:val="en-US" w:eastAsia="zh-CN"/>
        </w:rPr>
        <w:t xml:space="preserve">维保公司签字：                  保卫科签字： </w:t>
      </w:r>
      <w:r>
        <w:rPr>
          <w:rFonts w:hint="eastAsia"/>
          <w:sz w:val="24"/>
          <w:szCs w:val="24"/>
          <w:lang w:val="en-US" w:eastAsia="zh-CN"/>
        </w:rPr>
        <w:t xml:space="preserve">  </w:t>
      </w:r>
    </w:p>
    <w:sectPr>
      <w:pgSz w:w="11906" w:h="16838"/>
      <w:pgMar w:top="567" w:right="1800" w:bottom="1440" w:left="1463" w:header="851" w:footer="992" w:gutter="0"/>
      <w:paperSrc/>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A9C8CA"/>
    <w:multiLevelType w:val="singleLevel"/>
    <w:tmpl w:val="9CA9C8CA"/>
    <w:lvl w:ilvl="0" w:tentative="0">
      <w:start w:val="1"/>
      <w:numFmt w:val="decimal"/>
      <w:suff w:val="space"/>
      <w:lvlText w:val="1.%1"/>
      <w:lvlJc w:val="left"/>
      <w:pPr>
        <w:ind w:left="0" w:firstLine="480"/>
      </w:pPr>
      <w:rPr>
        <w:rFonts w:hint="default"/>
      </w:rPr>
    </w:lvl>
  </w:abstractNum>
  <w:abstractNum w:abstractNumId="1">
    <w:nsid w:val="B01686D7"/>
    <w:multiLevelType w:val="singleLevel"/>
    <w:tmpl w:val="B01686D7"/>
    <w:lvl w:ilvl="0" w:tentative="0">
      <w:start w:val="1"/>
      <w:numFmt w:val="decimal"/>
      <w:suff w:val="space"/>
      <w:lvlText w:val="2.%1"/>
      <w:lvlJc w:val="left"/>
      <w:pPr>
        <w:ind w:left="0" w:firstLine="480"/>
      </w:pPr>
      <w:rPr>
        <w:rFonts w:hint="default"/>
      </w:rPr>
    </w:lvl>
  </w:abstractNum>
  <w:abstractNum w:abstractNumId="2">
    <w:nsid w:val="B446D70F"/>
    <w:multiLevelType w:val="singleLevel"/>
    <w:tmpl w:val="B446D70F"/>
    <w:lvl w:ilvl="0" w:tentative="0">
      <w:start w:val="1"/>
      <w:numFmt w:val="decimal"/>
      <w:suff w:val="nothing"/>
      <w:lvlText w:val="%1、"/>
      <w:lvlJc w:val="left"/>
      <w:pPr>
        <w:ind w:left="0" w:firstLine="0"/>
      </w:pPr>
      <w:rPr>
        <w:rFonts w:hint="default"/>
      </w:rPr>
    </w:lvl>
  </w:abstractNum>
  <w:abstractNum w:abstractNumId="3">
    <w:nsid w:val="E1193B6F"/>
    <w:multiLevelType w:val="singleLevel"/>
    <w:tmpl w:val="E1193B6F"/>
    <w:lvl w:ilvl="0" w:tentative="0">
      <w:start w:val="1"/>
      <w:numFmt w:val="decimal"/>
      <w:suff w:val="space"/>
      <w:lvlText w:val="%1."/>
      <w:lvlJc w:val="left"/>
      <w:pPr>
        <w:ind w:left="0" w:firstLine="480"/>
      </w:pPr>
      <w:rPr>
        <w:rFonts w:hint="default"/>
      </w:rPr>
    </w:lvl>
  </w:abstractNum>
  <w:abstractNum w:abstractNumId="4">
    <w:nsid w:val="EBEE3C23"/>
    <w:multiLevelType w:val="singleLevel"/>
    <w:tmpl w:val="EBEE3C23"/>
    <w:lvl w:ilvl="0" w:tentative="0">
      <w:start w:val="1"/>
      <w:numFmt w:val="decimal"/>
      <w:suff w:val="space"/>
      <w:lvlText w:val="3.%1"/>
      <w:lvlJc w:val="left"/>
      <w:pPr>
        <w:ind w:left="0" w:firstLine="480"/>
      </w:pPr>
      <w:rPr>
        <w:rFonts w:hint="default"/>
      </w:rPr>
    </w:lvl>
  </w:abstractNum>
  <w:abstractNum w:abstractNumId="5">
    <w:nsid w:val="3DDFC4CB"/>
    <w:multiLevelType w:val="singleLevel"/>
    <w:tmpl w:val="3DDFC4CB"/>
    <w:lvl w:ilvl="0" w:tentative="0">
      <w:start w:val="1"/>
      <w:numFmt w:val="chineseCounting"/>
      <w:suff w:val="nothing"/>
      <w:lvlText w:val="%1、"/>
      <w:lvlJc w:val="left"/>
      <w:pPr>
        <w:ind w:left="0" w:firstLine="0"/>
      </w:pPr>
      <w:rPr>
        <w:rFonts w:hint="eastAsia"/>
      </w:rPr>
    </w:lvl>
  </w:abstractNum>
  <w:abstractNum w:abstractNumId="6">
    <w:nsid w:val="481479E9"/>
    <w:multiLevelType w:val="singleLevel"/>
    <w:tmpl w:val="481479E9"/>
    <w:lvl w:ilvl="0" w:tentative="0">
      <w:start w:val="1"/>
      <w:numFmt w:val="decimal"/>
      <w:suff w:val="space"/>
      <w:lvlText w:val="2.%1"/>
      <w:lvlJc w:val="left"/>
      <w:pPr>
        <w:ind w:left="0" w:firstLine="480"/>
      </w:pPr>
      <w:rPr>
        <w:rFonts w:hint="default"/>
      </w:rPr>
    </w:lvl>
  </w:abstractNum>
  <w:abstractNum w:abstractNumId="7">
    <w:nsid w:val="4E540024"/>
    <w:multiLevelType w:val="singleLevel"/>
    <w:tmpl w:val="4E540024"/>
    <w:lvl w:ilvl="0" w:tentative="0">
      <w:start w:val="1"/>
      <w:numFmt w:val="decimal"/>
      <w:suff w:val="space"/>
      <w:lvlText w:val="2.9.%1"/>
      <w:lvlJc w:val="left"/>
      <w:pPr>
        <w:ind w:left="0" w:firstLine="480"/>
      </w:pPr>
      <w:rPr>
        <w:rFonts w:hint="default"/>
      </w:rPr>
    </w:lvl>
  </w:abstractNum>
  <w:abstractNum w:abstractNumId="8">
    <w:nsid w:val="5E93DEE8"/>
    <w:multiLevelType w:val="singleLevel"/>
    <w:tmpl w:val="5E93DEE8"/>
    <w:lvl w:ilvl="0" w:tentative="0">
      <w:start w:val="1"/>
      <w:numFmt w:val="decimal"/>
      <w:suff w:val="nothing"/>
      <w:lvlText w:val="%1、"/>
      <w:lvlJc w:val="left"/>
      <w:pPr>
        <w:ind w:left="0" w:firstLine="480"/>
      </w:pPr>
      <w:rPr>
        <w:rFonts w:hint="default"/>
      </w:rPr>
    </w:lvl>
  </w:abstractNum>
  <w:abstractNum w:abstractNumId="9">
    <w:nsid w:val="6E114DC7"/>
    <w:multiLevelType w:val="singleLevel"/>
    <w:tmpl w:val="6E114DC7"/>
    <w:lvl w:ilvl="0" w:tentative="0">
      <w:start w:val="1"/>
      <w:numFmt w:val="decimal"/>
      <w:suff w:val="nothing"/>
      <w:lvlText w:val="%1、"/>
      <w:lvlJc w:val="left"/>
      <w:pPr>
        <w:ind w:left="0" w:firstLine="480"/>
      </w:pPr>
      <w:rPr>
        <w:rFonts w:hint="default"/>
      </w:rPr>
    </w:lvl>
  </w:abstractNum>
  <w:abstractNum w:abstractNumId="10">
    <w:nsid w:val="78F992B2"/>
    <w:multiLevelType w:val="singleLevel"/>
    <w:tmpl w:val="78F992B2"/>
    <w:lvl w:ilvl="0" w:tentative="0">
      <w:start w:val="1"/>
      <w:numFmt w:val="decimal"/>
      <w:suff w:val="space"/>
      <w:lvlText w:val="2.%1"/>
      <w:lvlJc w:val="left"/>
      <w:pPr>
        <w:ind w:left="0" w:firstLine="480"/>
      </w:pPr>
      <w:rPr>
        <w:rFonts w:hint="default"/>
      </w:rPr>
    </w:lvl>
  </w:abstractNum>
  <w:num w:numId="1">
    <w:abstractNumId w:val="5"/>
  </w:num>
  <w:num w:numId="2">
    <w:abstractNumId w:val="8"/>
  </w:num>
  <w:num w:numId="3">
    <w:abstractNumId w:val="9"/>
  </w:num>
  <w:num w:numId="4">
    <w:abstractNumId w:val="6"/>
  </w:num>
  <w:num w:numId="5">
    <w:abstractNumId w:val="2"/>
  </w:num>
  <w:num w:numId="6">
    <w:abstractNumId w:val="0"/>
  </w:num>
  <w:num w:numId="7">
    <w:abstractNumId w:val="10"/>
  </w:num>
  <w:num w:numId="8">
    <w:abstractNumId w:val="4"/>
  </w:num>
  <w:num w:numId="9">
    <w:abstractNumId w:val="3"/>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8"/>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5ZWRiMzNlN2UyODhlNTQ2N2IzNGM2YzMxN2QyMTIifQ=="/>
  </w:docVars>
  <w:rsids>
    <w:rsidRoot w:val="74333645"/>
    <w:rsid w:val="028D5673"/>
    <w:rsid w:val="0CDC61FC"/>
    <w:rsid w:val="186D60B5"/>
    <w:rsid w:val="3075660F"/>
    <w:rsid w:val="30E111C1"/>
    <w:rsid w:val="37EE7789"/>
    <w:rsid w:val="43452B36"/>
    <w:rsid w:val="49C8030C"/>
    <w:rsid w:val="4A6A7625"/>
    <w:rsid w:val="50503E07"/>
    <w:rsid w:val="59BB12F3"/>
    <w:rsid w:val="61581B1D"/>
    <w:rsid w:val="664804B3"/>
    <w:rsid w:val="698F34AC"/>
    <w:rsid w:val="69997391"/>
    <w:rsid w:val="71C64A05"/>
    <w:rsid w:val="743336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semiHidden/>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semiHidden/>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semiHidden/>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semiHidden/>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semiHidden/>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semiHidden/>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semiHidden/>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11">
    <w:name w:val="Body Text"/>
    <w:semiHidden/>
    <w:qForma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footer"/>
    <w:basedOn w:val="1"/>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5">
    <w:name w:val="Body Text 2"/>
    <w:basedOn w:val="1"/>
    <w:qFormat/>
    <w:uiPriority w:val="0"/>
    <w:pPr>
      <w:spacing w:after="120" w:line="480" w:lineRule="auto"/>
    </w:pPr>
  </w:style>
  <w:style w:type="paragraph" w:styleId="16">
    <w:name w:val="Normal (Web)"/>
    <w:basedOn w:val="1"/>
    <w:qFormat/>
    <w:uiPriority w:val="0"/>
    <w:rPr>
      <w:sz w:val="24"/>
    </w:rPr>
  </w:style>
  <w:style w:type="paragraph" w:styleId="17">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character" w:styleId="20">
    <w:name w:val="Strong"/>
    <w:basedOn w:val="19"/>
    <w:qFormat/>
    <w:uiPriority w:val="0"/>
    <w:rPr>
      <w:b/>
    </w:rPr>
  </w:style>
  <w:style w:type="paragraph" w:customStyle="1" w:styleId="21">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2">
    <w:name w:val="Table Text"/>
    <w:basedOn w:val="1"/>
    <w:semiHidden/>
    <w:qFormat/>
    <w:uiPriority w:val="0"/>
    <w:rPr>
      <w:rFonts w:ascii="宋体" w:hAnsi="宋体" w:eastAsia="宋体" w:cs="宋体"/>
      <w:sz w:val="28"/>
      <w:szCs w:val="28"/>
      <w:lang w:val="en-US" w:eastAsia="en-US" w:bidi="ar-SA"/>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font11"/>
    <w:basedOn w:val="19"/>
    <w:qFormat/>
    <w:uiPriority w:val="0"/>
    <w:rPr>
      <w:rFonts w:hint="eastAsia" w:ascii="宋体" w:hAnsi="宋体" w:eastAsia="宋体" w:cs="宋体"/>
      <w:b/>
      <w:bCs/>
      <w:color w:val="0F1115"/>
      <w:sz w:val="44"/>
      <w:szCs w:val="44"/>
      <w:u w:val="none"/>
    </w:rPr>
  </w:style>
  <w:style w:type="character" w:customStyle="1" w:styleId="25">
    <w:name w:val="font31"/>
    <w:basedOn w:val="19"/>
    <w:qFormat/>
    <w:uiPriority w:val="0"/>
    <w:rPr>
      <w:rFonts w:hint="eastAsia" w:ascii="宋体" w:hAnsi="宋体" w:eastAsia="宋体" w:cs="宋体"/>
      <w:color w:val="0F1115"/>
      <w:sz w:val="24"/>
      <w:szCs w:val="24"/>
      <w:u w:val="none"/>
    </w:rPr>
  </w:style>
  <w:style w:type="character" w:customStyle="1" w:styleId="26">
    <w:name w:val="font41"/>
    <w:basedOn w:val="19"/>
    <w:qFormat/>
    <w:uiPriority w:val="0"/>
    <w:rPr>
      <w:rFonts w:hint="default" w:ascii="Segoe UI" w:hAnsi="Segoe UI" w:eastAsia="Segoe UI" w:cs="Segoe UI"/>
      <w:color w:val="0F1115"/>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4589</Words>
  <Characters>4678</Characters>
  <Lines>0</Lines>
  <Paragraphs>0</Paragraphs>
  <TotalTime>1</TotalTime>
  <ScaleCrop>false</ScaleCrop>
  <LinksUpToDate>false</LinksUpToDate>
  <CharactersWithSpaces>4714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2024-11-01T01:02:00Z</dcterms:created>
  <dc:creator>我是一个粉刷匠</dc:creator>
  <cp:lastModifiedBy>我是一个粉刷匠</cp:lastModifiedBy>
  <dcterms:modified xsi:type="dcterms:W3CDTF">2026-09-08T06:38:07Z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23806B1B6D0440978E07D3E620B02981_13</vt:lpwstr>
  </property>
  <property fmtid="{D5CDD505-2E9C-101B-9397-08002B2CF9AE}" pid="4" name="KSOTemplateDocerSaveRecord">
    <vt:lpwstr>eyJoZGlkIjoiZjQ5ZWRiMzNlN2UyODhlNTQ2N2IzNGM2YzMxN2QyMTIiLCJ1c2VySWQiOiI0MTk1ODQ3ODQifQ==</vt:lpwstr>
  </property>
</Properties>
</file>