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2D2C0">
      <w:pPr>
        <w:pStyle w:val="6"/>
        <w:snapToGrid w:val="0"/>
        <w:jc w:val="center"/>
        <w:rPr>
          <w:rFonts w:hint="eastAsia" w:ascii="Arial" w:hAnsi="Arial" w:eastAsia="方正小标宋简体" w:cs="Arial"/>
          <w:sz w:val="72"/>
          <w:szCs w:val="72"/>
        </w:rPr>
      </w:pPr>
      <w:bookmarkStart w:id="4" w:name="_GoBack"/>
      <w:bookmarkEnd w:id="4"/>
      <w:bookmarkStart w:id="0" w:name="_Toc16523570"/>
    </w:p>
    <w:p w14:paraId="1B95787E">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75F3B684">
      <w:pPr>
        <w:pStyle w:val="6"/>
        <w:snapToGrid w:val="0"/>
        <w:jc w:val="center"/>
        <w:rPr>
          <w:rFonts w:hint="eastAsia" w:ascii="Arial" w:hAnsi="Arial" w:eastAsia="方正小标宋简体" w:cs="Arial"/>
          <w:sz w:val="72"/>
          <w:szCs w:val="72"/>
        </w:rPr>
      </w:pPr>
    </w:p>
    <w:p w14:paraId="65C368DD">
      <w:pPr>
        <w:pStyle w:val="6"/>
        <w:snapToGrid w:val="0"/>
        <w:jc w:val="center"/>
        <w:rPr>
          <w:rFonts w:hint="eastAsia" w:ascii="Arial" w:hAnsi="Arial" w:eastAsia="方正小标宋简体" w:cs="Arial"/>
          <w:sz w:val="72"/>
          <w:szCs w:val="72"/>
        </w:rPr>
      </w:pPr>
    </w:p>
    <w:p w14:paraId="11616A47">
      <w:pPr>
        <w:pStyle w:val="6"/>
        <w:snapToGrid w:val="0"/>
        <w:jc w:val="center"/>
        <w:rPr>
          <w:rFonts w:hint="eastAsia" w:ascii="Arial" w:hAnsi="Arial" w:eastAsia="方正小标宋简体" w:cs="Arial"/>
          <w:sz w:val="72"/>
          <w:szCs w:val="72"/>
        </w:rPr>
      </w:pPr>
    </w:p>
    <w:p w14:paraId="39F8D38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7F791A7">
      <w:pPr>
        <w:pStyle w:val="6"/>
        <w:snapToGrid w:val="0"/>
        <w:jc w:val="center"/>
        <w:rPr>
          <w:rFonts w:ascii="Arial" w:hAnsi="Arial" w:cs="Arial"/>
          <w:sz w:val="32"/>
          <w:szCs w:val="32"/>
        </w:rPr>
      </w:pPr>
    </w:p>
    <w:p w14:paraId="409EB72F">
      <w:pPr>
        <w:pStyle w:val="22"/>
        <w:rPr>
          <w:rFonts w:ascii="Arial" w:hAnsi="Arial" w:cs="Arial"/>
          <w:sz w:val="32"/>
          <w:szCs w:val="32"/>
        </w:rPr>
      </w:pPr>
    </w:p>
    <w:p w14:paraId="668BDAFE">
      <w:pPr>
        <w:pStyle w:val="15"/>
        <w:rPr>
          <w:rFonts w:ascii="Arial" w:hAnsi="Arial" w:cs="Arial"/>
          <w:sz w:val="32"/>
          <w:szCs w:val="32"/>
        </w:rPr>
      </w:pPr>
    </w:p>
    <w:p w14:paraId="30B28264">
      <w:pPr>
        <w:pStyle w:val="15"/>
        <w:rPr>
          <w:rFonts w:ascii="Arial" w:hAnsi="Arial" w:cs="Arial"/>
          <w:sz w:val="32"/>
          <w:szCs w:val="32"/>
        </w:rPr>
      </w:pPr>
    </w:p>
    <w:p w14:paraId="45C922C2">
      <w:pPr>
        <w:pStyle w:val="15"/>
        <w:rPr>
          <w:rFonts w:ascii="Arial" w:hAnsi="Arial" w:cs="Arial"/>
          <w:sz w:val="32"/>
          <w:szCs w:val="32"/>
        </w:rPr>
      </w:pPr>
    </w:p>
    <w:p w14:paraId="0233B328">
      <w:pPr>
        <w:pStyle w:val="15"/>
        <w:rPr>
          <w:rFonts w:ascii="Arial" w:hAnsi="Arial" w:cs="Arial"/>
          <w:sz w:val="32"/>
          <w:szCs w:val="32"/>
        </w:rPr>
      </w:pPr>
    </w:p>
    <w:p w14:paraId="65E4BC6C">
      <w:pPr>
        <w:pStyle w:val="15"/>
        <w:rPr>
          <w:rFonts w:ascii="Arial" w:hAnsi="Arial" w:cs="Arial"/>
          <w:sz w:val="32"/>
          <w:szCs w:val="32"/>
        </w:rPr>
      </w:pPr>
    </w:p>
    <w:p w14:paraId="7577245D">
      <w:pPr>
        <w:pStyle w:val="15"/>
        <w:rPr>
          <w:rFonts w:ascii="Arial" w:hAnsi="Arial" w:cs="Arial"/>
          <w:sz w:val="32"/>
          <w:szCs w:val="32"/>
        </w:rPr>
      </w:pPr>
    </w:p>
    <w:p w14:paraId="5337F494">
      <w:pPr>
        <w:pStyle w:val="15"/>
        <w:rPr>
          <w:rFonts w:ascii="Arial" w:hAnsi="Arial" w:cs="Arial"/>
          <w:sz w:val="32"/>
          <w:szCs w:val="32"/>
        </w:rPr>
      </w:pPr>
    </w:p>
    <w:p w14:paraId="0A4AE94E">
      <w:pPr>
        <w:pStyle w:val="6"/>
        <w:snapToGrid w:val="0"/>
        <w:jc w:val="center"/>
        <w:rPr>
          <w:rFonts w:ascii="Arial" w:hAnsi="Arial" w:cs="Arial"/>
          <w:sz w:val="32"/>
          <w:szCs w:val="32"/>
        </w:rPr>
      </w:pPr>
    </w:p>
    <w:p w14:paraId="13C7226F">
      <w:pPr>
        <w:pStyle w:val="6"/>
        <w:snapToGrid w:val="0"/>
        <w:jc w:val="center"/>
        <w:rPr>
          <w:rFonts w:ascii="Arial" w:hAnsi="Arial" w:cs="Arial"/>
          <w:sz w:val="32"/>
          <w:szCs w:val="32"/>
        </w:rPr>
      </w:pPr>
    </w:p>
    <w:p w14:paraId="0E6A0AE3">
      <w:pPr>
        <w:spacing w:line="360" w:lineRule="auto"/>
        <w:rPr>
          <w:rFonts w:hint="eastAsia"/>
          <w:bCs/>
          <w:sz w:val="32"/>
          <w:szCs w:val="32"/>
        </w:rPr>
      </w:pPr>
    </w:p>
    <w:p w14:paraId="221DD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cs="Times New Roman"/>
          <w:b/>
          <w:bCs/>
          <w:kern w:val="44"/>
          <w:sz w:val="32"/>
          <w:szCs w:val="32"/>
          <w:lang w:val="en-US" w:eastAsia="zh-CN" w:bidi="ar-SA"/>
        </w:rPr>
        <w:t>娄底市中心医院防火墙硬件项目</w:t>
      </w:r>
      <w:r>
        <w:rPr>
          <w:rFonts w:hint="eastAsia"/>
          <w:bCs/>
          <w:sz w:val="32"/>
          <w:szCs w:val="32"/>
          <w:lang w:val="en-US" w:eastAsia="zh-CN"/>
        </w:rPr>
        <w:t>采购项目</w:t>
      </w:r>
    </w:p>
    <w:p w14:paraId="2646632F">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（医院公开挂网</w:t>
      </w:r>
      <w:r>
        <w:rPr>
          <w:rFonts w:hint="eastAsia" w:ascii="Times New Roman" w:hAnsi="Times New Roman" w:eastAsia="宋体" w:cs="Times New Roman"/>
          <w:b/>
          <w:bCs/>
          <w:kern w:val="44"/>
          <w:sz w:val="32"/>
          <w:szCs w:val="32"/>
          <w:lang w:val="en-US" w:eastAsia="zh-CN" w:bidi="ar-SA"/>
        </w:rPr>
        <w:t>）</w:t>
      </w:r>
    </w:p>
    <w:p w14:paraId="2B704EEC">
      <w:pPr>
        <w:spacing w:line="320" w:lineRule="exact"/>
        <w:jc w:val="left"/>
        <w:rPr>
          <w:sz w:val="24"/>
        </w:rPr>
      </w:pPr>
    </w:p>
    <w:p w14:paraId="0354F586">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val="en-US" w:eastAsia="zh-CN"/>
        </w:rPr>
        <w:t>九</w:t>
      </w:r>
      <w:r>
        <w:rPr>
          <w:rFonts w:hint="eastAsia" w:ascii="宋体" w:hAnsi="宋体" w:cs="宋体"/>
          <w:bCs/>
          <w:sz w:val="32"/>
          <w:szCs w:val="32"/>
        </w:rPr>
        <w:t>月</w:t>
      </w:r>
    </w:p>
    <w:p w14:paraId="43FCB49C">
      <w:pPr>
        <w:rPr>
          <w:rFonts w:hint="eastAsia" w:ascii="宋体" w:hAnsi="宋体" w:cs="宋体"/>
          <w:color w:val="auto"/>
          <w:sz w:val="44"/>
          <w:szCs w:val="44"/>
          <w:lang w:val="en-US" w:eastAsia="zh-CN"/>
        </w:rPr>
      </w:pPr>
      <w:r>
        <w:rPr>
          <w:rFonts w:hint="eastAsia" w:ascii="宋体" w:hAnsi="宋体" w:cs="宋体"/>
          <w:color w:val="auto"/>
          <w:sz w:val="44"/>
          <w:szCs w:val="44"/>
          <w:lang w:val="en-US" w:eastAsia="zh-CN"/>
        </w:rPr>
        <w:br w:type="page"/>
      </w:r>
    </w:p>
    <w:p w14:paraId="02230438">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049FCDF5">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娄底市中心医院防火墙硬件项目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33F26BB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20A851AA">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娄底市中心医院防火墙硬件项目</w:t>
      </w:r>
    </w:p>
    <w:p w14:paraId="0CDBF21C">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7C7C445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ACEB34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55893B3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1F42DD7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0ACB140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21C808E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15D0942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12B2191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623B858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C1BC7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1、投标截止时间、开标时间：详见医院官网公开挂网表</w:t>
      </w:r>
    </w:p>
    <w:p w14:paraId="27C4F67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67F7E3C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2BA1D7A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31DB0A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2、联系人及联系方式：张思远 15115875288</w:t>
      </w:r>
    </w:p>
    <w:p w14:paraId="5023AEF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0ADD55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D88B5A">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4EF3F4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6CA551A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2BB116B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0D3123B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7934304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1C567C2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486FB98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4200680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0F261B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6D411BA9">
      <w:pPr>
        <w:pStyle w:val="22"/>
        <w:rPr>
          <w:rFonts w:hint="eastAsia"/>
          <w:lang w:val="en-US" w:eastAsia="zh-CN"/>
        </w:rPr>
      </w:pPr>
    </w:p>
    <w:p w14:paraId="7E250597">
      <w:pPr>
        <w:pStyle w:val="22"/>
        <w:jc w:val="both"/>
        <w:rPr>
          <w:rFonts w:hint="default"/>
          <w:lang w:val="en-US" w:eastAsia="zh-CN"/>
        </w:rPr>
      </w:pPr>
    </w:p>
    <w:p w14:paraId="22CD3DC2">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15EDAE9">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0F41F978">
      <w:pPr>
        <w:pStyle w:val="22"/>
        <w:rPr>
          <w:rFonts w:hint="eastAsia" w:ascii="宋体" w:hAnsi="宋体" w:cs="宋体"/>
          <w:b/>
          <w:bCs/>
          <w:color w:val="auto"/>
          <w:sz w:val="44"/>
          <w:szCs w:val="44"/>
          <w:lang w:val="en-US" w:eastAsia="zh-CN"/>
        </w:rPr>
      </w:pPr>
    </w:p>
    <w:p w14:paraId="6DFDBEAA">
      <w:pPr>
        <w:pStyle w:val="15"/>
        <w:rPr>
          <w:rFonts w:hint="eastAsia" w:ascii="宋体" w:hAnsi="宋体" w:cs="宋体"/>
          <w:b/>
          <w:bCs/>
          <w:color w:val="auto"/>
          <w:sz w:val="44"/>
          <w:szCs w:val="44"/>
          <w:lang w:val="en-US" w:eastAsia="zh-CN"/>
        </w:rPr>
      </w:pPr>
    </w:p>
    <w:p w14:paraId="30F94F1D">
      <w:pPr>
        <w:rPr>
          <w:rFonts w:hint="eastAsia" w:ascii="宋体" w:hAnsi="宋体" w:cs="宋体"/>
          <w:b/>
          <w:bCs/>
          <w:color w:val="auto"/>
          <w:sz w:val="44"/>
          <w:szCs w:val="44"/>
          <w:lang w:val="en-US" w:eastAsia="zh-CN"/>
        </w:rPr>
      </w:pPr>
    </w:p>
    <w:p w14:paraId="102811BE">
      <w:pPr>
        <w:pStyle w:val="21"/>
        <w:rPr>
          <w:rFonts w:hint="eastAsia"/>
          <w:lang w:val="en-US" w:eastAsia="zh-CN"/>
        </w:rPr>
      </w:pPr>
    </w:p>
    <w:p w14:paraId="04DC7BC4">
      <w:pPr>
        <w:pStyle w:val="2"/>
        <w:rPr>
          <w:rFonts w:hint="eastAsia" w:ascii="宋体" w:hAnsi="宋体" w:cs="宋体"/>
          <w:b/>
          <w:bCs/>
          <w:color w:val="auto"/>
          <w:sz w:val="44"/>
          <w:szCs w:val="44"/>
          <w:lang w:val="en-US" w:eastAsia="zh-CN"/>
        </w:rPr>
      </w:pPr>
    </w:p>
    <w:p w14:paraId="127EFE5C">
      <w:pPr>
        <w:rPr>
          <w:rFonts w:hint="eastAsia" w:ascii="宋体" w:hAnsi="宋体" w:cs="宋体"/>
          <w:b/>
          <w:bCs/>
          <w:color w:val="auto"/>
          <w:sz w:val="44"/>
          <w:szCs w:val="44"/>
          <w:lang w:val="en-US" w:eastAsia="zh-CN"/>
        </w:rPr>
      </w:pPr>
    </w:p>
    <w:p w14:paraId="4A7B14FC">
      <w:pPr>
        <w:rPr>
          <w:rFonts w:hint="eastAsia" w:ascii="宋体" w:hAnsi="宋体" w:cs="宋体"/>
          <w:b/>
          <w:bCs/>
          <w:color w:val="auto"/>
          <w:sz w:val="44"/>
          <w:szCs w:val="44"/>
          <w:lang w:val="en-US" w:eastAsia="zh-CN"/>
        </w:rPr>
      </w:pPr>
    </w:p>
    <w:p w14:paraId="05DE6F3A">
      <w:pPr>
        <w:rPr>
          <w:rFonts w:hint="eastAsia"/>
          <w:lang w:val="en-US" w:eastAsia="zh-CN"/>
        </w:rPr>
      </w:pPr>
    </w:p>
    <w:p w14:paraId="28624900">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736FC09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38C7315">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6"/>
        <w:tblW w:w="730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14:paraId="38AB9E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9E0CB90">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4A50A2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项目</w:t>
            </w:r>
            <w:r>
              <w:rPr>
                <w:rFonts w:hint="eastAsia" w:asciiTheme="minorEastAsia" w:hAnsiTheme="minorEastAsia" w:eastAsiaTheme="minorEastAsia" w:cstheme="minorEastAsia"/>
                <w:kern w:val="2"/>
                <w:sz w:val="24"/>
                <w:szCs w:val="24"/>
              </w:rPr>
              <w:t>名称</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137C3FB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数量（套）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D78E54A">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r>
      <w:tr w14:paraId="69DE814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508FB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17944EF">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娄底市中心医院防火墙硬件项目</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3D717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19EAF0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15</w:t>
            </w:r>
          </w:p>
        </w:tc>
      </w:tr>
    </w:tbl>
    <w:p w14:paraId="737A1F41">
      <w:pPr>
        <w:spacing w:line="360" w:lineRule="auto"/>
        <w:rPr>
          <w:rFonts w:hint="eastAsia" w:asciiTheme="minorEastAsia" w:hAnsiTheme="minorEastAsia" w:eastAsiaTheme="minorEastAsia" w:cstheme="minorEastAsia"/>
          <w:bCs/>
          <w:color w:val="auto"/>
          <w:kern w:val="0"/>
          <w:sz w:val="24"/>
          <w:szCs w:val="24"/>
          <w:lang w:val="en-US" w:eastAsia="zh-CN" w:bidi="ar-SA"/>
        </w:rPr>
      </w:pPr>
    </w:p>
    <w:p w14:paraId="78C7E4BA">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2EAE5CA4">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C7822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二、项目内容及要求（以下内容必须全部响应，否则视为无效投标）</w:t>
      </w:r>
    </w:p>
    <w:p w14:paraId="5251554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1、适用于所投下一代防火墙的万兆光口网卡，该网卡必须要为设备原厂原装专属定制配件，通过设备底层适配校验，不出现硬件告警、策略失效、流量转发异常等问题，不接受通用 PCI-E 网卡替代。（验收时提供厂商原厂适配兼容性说明函并加盖公章）</w:t>
      </w:r>
    </w:p>
    <w:p w14:paraId="608858D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2、该网卡必须要支持链路连通性检查功能，支持基于 DNS 解析、ARP 探测、PING 和 BFD 等协议对链路连通性进行探测，实现链路故障自动检测。（需提供产品功能截图证明）</w:t>
      </w:r>
    </w:p>
    <w:p w14:paraId="57225BE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3、该网卡必须要支持物理接口、子接口、VLAN 类型及聚合口子接口，满足医院多业务分区网络部署需求。</w:t>
      </w:r>
    </w:p>
    <w:p w14:paraId="42FC239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4、该网卡必须要支持静态路由、策略路由和多播路由协议，并支持 BGP、RIP、OSPF 等动态路由协议。（需提供产品功能截图证明）</w:t>
      </w:r>
    </w:p>
    <w:p w14:paraId="0432E2C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5、该网卡必须要支持 LLDP 邻居发现协议，可自动识别对端网络设备信息，便于运维排查。</w:t>
      </w:r>
    </w:p>
    <w:p w14:paraId="04E9930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6、该网卡必须要支持双机部署配置同步，双机镜像部署下，主机万兆光口网卡配置信息可自动同步到备机，保障双机切换后网络接口正常工作。</w:t>
      </w:r>
    </w:p>
    <w:p w14:paraId="3891AF6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7、该网卡必须要配合设备支持带外管理，万兆业务口与带外管理口物理分离，实现管理网络和业务网络相互隔离。（需提供产品功能截图证明）</w:t>
      </w:r>
    </w:p>
    <w:p w14:paraId="4DD9CFE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8、验收时投标人须提供厂商出具的万兆光口网卡原厂适配兼容性说明函并加盖厂商公章，明确该网卡为原厂原装专属定制配件，第三方板卡无法兼容替代</w:t>
      </w:r>
    </w:p>
    <w:p w14:paraId="3A4027C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FF0000"/>
          <w:kern w:val="0"/>
          <w:sz w:val="24"/>
          <w:szCs w:val="24"/>
          <w:lang w:val="en-US" w:eastAsia="zh-CN" w:bidi="ar-SA"/>
        </w:rPr>
      </w:pPr>
      <w:r>
        <w:rPr>
          <w:rFonts w:hint="eastAsia" w:asciiTheme="minorEastAsia" w:hAnsiTheme="minorEastAsia" w:eastAsiaTheme="minorEastAsia" w:cstheme="minorEastAsia"/>
          <w:b w:val="0"/>
          <w:bCs/>
          <w:color w:val="FF0000"/>
          <w:kern w:val="0"/>
          <w:sz w:val="24"/>
          <w:szCs w:val="24"/>
          <w:lang w:val="en-US" w:eastAsia="zh-CN" w:bidi="ar-SA"/>
        </w:rPr>
        <w:t>9、投标人须负责提供货物与我院原设备的安装调试服务。（我院原有设备品牌型号为：深信服AF-2000-FH2150A-WY防火墙）</w:t>
      </w:r>
    </w:p>
    <w:p w14:paraId="72CADBC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2" w:firstLineChars="200"/>
        <w:textAlignment w:val="auto"/>
        <w:rPr>
          <w:rFonts w:hint="eastAsia" w:asciiTheme="minorEastAsia" w:hAnsiTheme="minorEastAsia" w:eastAsiaTheme="minorEastAsia" w:cstheme="minorEastAsia"/>
          <w:b/>
          <w:bCs w:val="0"/>
          <w:color w:val="auto"/>
          <w:kern w:val="0"/>
          <w:sz w:val="28"/>
          <w:szCs w:val="28"/>
          <w:lang w:val="en-US" w:eastAsia="zh-CN" w:bidi="ar-SA"/>
        </w:rPr>
      </w:pPr>
      <w:r>
        <w:rPr>
          <w:rFonts w:hint="eastAsia" w:asciiTheme="minorEastAsia" w:hAnsiTheme="minorEastAsia" w:eastAsiaTheme="minorEastAsia" w:cstheme="minorEastAsia"/>
          <w:b/>
          <w:bCs w:val="0"/>
          <w:color w:val="auto"/>
          <w:kern w:val="0"/>
          <w:sz w:val="28"/>
          <w:szCs w:val="28"/>
          <w:lang w:val="en-US" w:eastAsia="zh-CN" w:bidi="ar-SA"/>
        </w:rPr>
        <w:t>商务条款：</w:t>
      </w:r>
    </w:p>
    <w:p w14:paraId="168016D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1、</w:t>
      </w:r>
      <w:r>
        <w:rPr>
          <w:rFonts w:hint="default" w:asciiTheme="minorEastAsia" w:hAnsiTheme="minorEastAsia" w:eastAsiaTheme="minorEastAsia" w:cstheme="minorEastAsia"/>
          <w:b w:val="0"/>
          <w:bCs/>
          <w:color w:val="auto"/>
          <w:kern w:val="0"/>
          <w:sz w:val="24"/>
          <w:szCs w:val="24"/>
          <w:lang w:val="en-US" w:eastAsia="zh-CN" w:bidi="ar-SA"/>
        </w:rPr>
        <w:t>提供原厂三年维保服务</w:t>
      </w:r>
    </w:p>
    <w:p w14:paraId="768A17A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val="0"/>
          <w:bCs/>
          <w:color w:val="auto"/>
          <w:kern w:val="0"/>
          <w:sz w:val="24"/>
          <w:szCs w:val="24"/>
          <w:lang w:val="en-US" w:eastAsia="zh-CN" w:bidi="ar-SA"/>
        </w:rPr>
        <w:t>2、中标人负责与甲方信息系统对接，</w:t>
      </w:r>
      <w:r>
        <w:rPr>
          <w:rFonts w:hint="eastAsia" w:ascii="宋体" w:hAnsi="宋体" w:cs="宋体"/>
          <w:color w:val="000000" w:themeColor="text1"/>
          <w:sz w:val="24"/>
          <w:szCs w:val="24"/>
          <w:highlight w:val="none"/>
          <w:lang w:eastAsia="zh-CN"/>
          <w14:textFill>
            <w14:solidFill>
              <w14:schemeClr w14:val="tx1"/>
            </w14:solidFill>
          </w14:textFill>
        </w:rPr>
        <w:t>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val="en-US" w:eastAsia="zh-CN"/>
          <w14:textFill>
            <w14:solidFill>
              <w14:schemeClr w14:val="tx1"/>
            </w14:solidFill>
          </w14:textFill>
        </w:rPr>
        <w:t>中标人</w:t>
      </w:r>
      <w:r>
        <w:rPr>
          <w:rFonts w:hint="eastAsia" w:ascii="宋体" w:hAnsi="宋体" w:cs="宋体"/>
          <w:color w:val="000000" w:themeColor="text1"/>
          <w:sz w:val="24"/>
          <w:szCs w:val="24"/>
          <w:highlight w:val="none"/>
          <w:lang w:eastAsia="zh-CN"/>
          <w14:textFill>
            <w14:solidFill>
              <w14:schemeClr w14:val="tx1"/>
            </w14:solidFill>
          </w14:textFill>
        </w:rPr>
        <w:t>及第三方需要收取的</w:t>
      </w:r>
      <w:r>
        <w:rPr>
          <w:rFonts w:hint="eastAsia" w:ascii="宋体" w:hAnsi="宋体" w:cs="宋体"/>
          <w:color w:val="000000" w:themeColor="text1"/>
          <w:sz w:val="24"/>
          <w:szCs w:val="24"/>
          <w:highlight w:val="none"/>
          <w14:textFill>
            <w14:solidFill>
              <w14:schemeClr w14:val="tx1"/>
            </w14:solidFill>
          </w14:textFill>
        </w:rPr>
        <w:t>全部费用均由</w:t>
      </w:r>
      <w:r>
        <w:rPr>
          <w:rFonts w:hint="eastAsia" w:ascii="宋体" w:hAnsi="宋体" w:cs="宋体"/>
          <w:color w:val="000000" w:themeColor="text1"/>
          <w:sz w:val="24"/>
          <w:szCs w:val="24"/>
          <w:highlight w:val="none"/>
          <w:lang w:val="en-US" w:eastAsia="zh-CN"/>
          <w14:textFill>
            <w14:solidFill>
              <w14:schemeClr w14:val="tx1"/>
            </w14:solidFill>
          </w14:textFill>
        </w:rPr>
        <w:t>中标人</w:t>
      </w:r>
      <w:r>
        <w:rPr>
          <w:rFonts w:hint="eastAsia" w:ascii="宋体" w:hAnsi="宋体" w:cs="宋体"/>
          <w:color w:val="000000" w:themeColor="text1"/>
          <w:sz w:val="24"/>
          <w:szCs w:val="24"/>
          <w:highlight w:val="none"/>
          <w14:textFill>
            <w14:solidFill>
              <w14:schemeClr w14:val="tx1"/>
            </w14:solidFill>
          </w14:textFill>
        </w:rPr>
        <w:t>承担。</w:t>
      </w:r>
    </w:p>
    <w:p w14:paraId="25B9F2D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3、付款方式：按合同模版约定执行</w:t>
      </w:r>
    </w:p>
    <w:p w14:paraId="005C0C8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p>
    <w:p w14:paraId="002EA66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1190B9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3AE7D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w:t>
      </w:r>
    </w:p>
    <w:p w14:paraId="68C94A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7A3E69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CBF51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081DC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39B230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19A38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5A92BC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73722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08BAD364">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p>
    <w:p w14:paraId="30A737BB">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四、合同</w:t>
      </w:r>
    </w:p>
    <w:p w14:paraId="0BEDE949">
      <w:pPr>
        <w:keepNext w:val="0"/>
        <w:keepLines w:val="0"/>
        <w:pageBreakBefore w:val="0"/>
        <w:widowControl w:val="0"/>
        <w:kinsoku/>
        <w:wordWrap/>
        <w:overflowPunct/>
        <w:topLinePunct w:val="0"/>
        <w:autoSpaceDE/>
        <w:autoSpaceDN/>
        <w:bidi w:val="0"/>
        <w:adjustRightInd/>
        <w:snapToGrid/>
        <w:spacing w:line="380" w:lineRule="exact"/>
        <w:textAlignment w:val="auto"/>
        <w:rPr>
          <w:highlight w:val="none"/>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仿宋_GB2312" w:eastAsia="仿宋_GB2312" w:cs="仿宋_GB2312"/>
          <w:bCs/>
          <w:kern w:val="0"/>
          <w:sz w:val="28"/>
          <w:szCs w:val="28"/>
          <w:highlight w:val="none"/>
        </w:rPr>
        <w:t xml:space="preserve">  </w:t>
      </w:r>
    </w:p>
    <w:p w14:paraId="1B6E64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cs="仿宋_GB2312"/>
          <w:bCs/>
          <w:color w:val="auto"/>
          <w:kern w:val="0"/>
          <w:sz w:val="28"/>
          <w:szCs w:val="28"/>
          <w:lang w:val="en-US" w:eastAsia="zh-CN" w:bidi="ar-SA"/>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59E9F6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货物采购合同</w:t>
      </w:r>
    </w:p>
    <w:p w14:paraId="0E831372">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1ADF838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627D219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cs="宋体"/>
          <w:color w:val="0000FF"/>
          <w:sz w:val="24"/>
          <w:szCs w:val="24"/>
          <w:highlight w:val="none"/>
          <w:lang w:val="en-US" w:eastAsia="zh-CN"/>
        </w:rPr>
        <w:t>杨吉军</w:t>
      </w:r>
    </w:p>
    <w:p w14:paraId="235FD03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18517B3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4CB53D3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7981F76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1F3B024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7090D584">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1EB55857">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5858E263">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5715519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0E4828E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47E3113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245E446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医院公开挂网</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防火墙硬件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防火墙硬件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0151C4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58628D1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货物名称、品牌、型号、价格</w:t>
      </w:r>
    </w:p>
    <w:tbl>
      <w:tblPr>
        <w:tblStyle w:val="16"/>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3BDF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center"/>
          </w:tcPr>
          <w:p w14:paraId="38E43373">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货物</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noWrap w:val="0"/>
            <w:vAlign w:val="center"/>
          </w:tcPr>
          <w:p w14:paraId="25000B8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noWrap w:val="0"/>
            <w:vAlign w:val="center"/>
          </w:tcPr>
          <w:p w14:paraId="15573D9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noWrap w:val="0"/>
            <w:vAlign w:val="center"/>
          </w:tcPr>
          <w:p w14:paraId="21E3A98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noWrap w:val="0"/>
            <w:vAlign w:val="center"/>
          </w:tcPr>
          <w:p w14:paraId="2318F9A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noWrap w:val="0"/>
            <w:vAlign w:val="center"/>
          </w:tcPr>
          <w:p w14:paraId="2566313B">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75BD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center"/>
          </w:tcPr>
          <w:p w14:paraId="63CC62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防火墙硬件</w:t>
            </w:r>
            <w:r>
              <w:rPr>
                <w:rFonts w:hint="eastAsia" w:ascii="宋体" w:hAnsi="宋体" w:cs="宋体"/>
                <w:color w:val="000000" w:themeColor="text1"/>
                <w:kern w:val="0"/>
                <w:sz w:val="22"/>
                <w:szCs w:val="22"/>
                <w:highlight w:val="none"/>
                <w:lang w:val="en-US" w:eastAsia="zh-CN"/>
                <w14:textFill>
                  <w14:solidFill>
                    <w14:schemeClr w14:val="tx1"/>
                  </w14:solidFill>
                </w14:textFill>
              </w:rPr>
              <w:t>（</w:t>
            </w:r>
            <w:r>
              <w:rPr>
                <w:rFonts w:hint="eastAsia" w:ascii="宋体" w:hAnsi="宋体" w:eastAsia="宋体" w:cs="宋体"/>
                <w:color w:val="000000" w:themeColor="text1"/>
                <w:kern w:val="0"/>
                <w:sz w:val="22"/>
                <w:szCs w:val="22"/>
                <w:highlight w:val="none"/>
                <w:lang w:val="en-US" w:eastAsia="zh-CN"/>
                <w14:textFill>
                  <w14:solidFill>
                    <w14:schemeClr w14:val="tx1"/>
                  </w14:solidFill>
                </w14:textFill>
              </w:rPr>
              <w:t>万兆光口4口板卡</w:t>
            </w:r>
            <w:r>
              <w:rPr>
                <w:rFonts w:hint="eastAsia" w:ascii="宋体" w:hAnsi="宋体" w:cs="宋体"/>
                <w:color w:val="000000" w:themeColor="text1"/>
                <w:kern w:val="0"/>
                <w:sz w:val="22"/>
                <w:szCs w:val="22"/>
                <w:highlight w:val="none"/>
                <w:lang w:val="en-US" w:eastAsia="zh-CN"/>
                <w14:textFill>
                  <w14:solidFill>
                    <w14:schemeClr w14:val="tx1"/>
                  </w14:solidFill>
                </w14:textFill>
              </w:rPr>
              <w:t>）</w:t>
            </w:r>
          </w:p>
        </w:tc>
        <w:tc>
          <w:tcPr>
            <w:tcW w:w="1220" w:type="dxa"/>
            <w:noWrap w:val="0"/>
            <w:vAlign w:val="center"/>
          </w:tcPr>
          <w:p w14:paraId="5D9C7D9E">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noWrap w:val="0"/>
            <w:vAlign w:val="center"/>
          </w:tcPr>
          <w:p w14:paraId="15F9CDE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noWrap w:val="0"/>
            <w:vAlign w:val="center"/>
          </w:tcPr>
          <w:p w14:paraId="60DB524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noWrap w:val="0"/>
            <w:vAlign w:val="center"/>
          </w:tcPr>
          <w:p w14:paraId="341B08E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4</w:t>
            </w:r>
          </w:p>
        </w:tc>
        <w:tc>
          <w:tcPr>
            <w:tcW w:w="1654" w:type="dxa"/>
            <w:noWrap w:val="0"/>
            <w:vAlign w:val="center"/>
          </w:tcPr>
          <w:p w14:paraId="17BBF17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4D59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noWrap w:val="0"/>
            <w:vAlign w:val="center"/>
          </w:tcPr>
          <w:p w14:paraId="2822F0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28B19C3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不因物价、市场波动变更，约定价格包括且不限于设计费、材料费、人工费、安装费、包装费、运输费、装卸费、调试费、接口费、检测费、检验费、税费、保险费、售后服务费、附随服务费等在内所有费用。 </w:t>
      </w:r>
    </w:p>
    <w:p w14:paraId="27EC12A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1.3 </w:t>
      </w:r>
      <w:r>
        <w:rPr>
          <w:rFonts w:hint="eastAsia" w:ascii="宋体" w:hAnsi="宋体" w:cs="宋体"/>
          <w:color w:val="000000" w:themeColor="text1"/>
          <w:sz w:val="24"/>
          <w:szCs w:val="24"/>
          <w:highlight w:val="none"/>
          <w14:textFill>
            <w14:solidFill>
              <w14:schemeClr w14:val="tx1"/>
            </w14:solidFill>
          </w14:textFill>
        </w:rPr>
        <w:t>本合同</w:t>
      </w:r>
      <w:r>
        <w:rPr>
          <w:rFonts w:hint="eastAsia" w:ascii="宋体" w:hAnsi="宋体" w:cs="宋体"/>
          <w:color w:val="000000" w:themeColor="text1"/>
          <w:sz w:val="24"/>
          <w:szCs w:val="24"/>
          <w:highlight w:val="none"/>
          <w:lang w:eastAsia="zh-CN"/>
          <w14:textFill>
            <w14:solidFill>
              <w14:schemeClr w14:val="tx1"/>
            </w14:solidFill>
          </w14:textFill>
        </w:rPr>
        <w:t>货物需要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232EF9F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FF"/>
          <w:sz w:val="24"/>
          <w:szCs w:val="24"/>
          <w:highlight w:val="none"/>
          <w:lang w:val="en-US" w:eastAsia="zh-CN"/>
        </w:rPr>
        <w:t>1.4 乙方负责货物与甲方原设备的安装调试服务，并承担由此产生的全部费用。</w:t>
      </w:r>
    </w:p>
    <w:p w14:paraId="10AC13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5B17402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w:t>
      </w:r>
    </w:p>
    <w:p w14:paraId="7D701F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本合同货物</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要求一次性交付，</w:t>
      </w:r>
      <w:r>
        <w:rPr>
          <w:rFonts w:hint="default" w:ascii="宋体" w:hAnsi="宋体" w:eastAsia="宋体" w:cs="宋体"/>
          <w:color w:val="000000" w:themeColor="text1"/>
          <w:sz w:val="24"/>
          <w:szCs w:val="24"/>
          <w:highlight w:val="none"/>
          <w:lang w:val="en-US" w:eastAsia="zh-CN"/>
          <w14:textFill>
            <w14:solidFill>
              <w14:schemeClr w14:val="tx1"/>
            </w14:solidFill>
          </w14:textFill>
        </w:rPr>
        <w:t>乙方应在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lang w:val="en-US" w:eastAsia="zh-CN"/>
          <w14:textFill>
            <w14:solidFill>
              <w14:schemeClr w14:val="tx1"/>
            </w14:solidFill>
          </w14:textFill>
        </w:rPr>
        <w:t>将</w:t>
      </w:r>
      <w:r>
        <w:rPr>
          <w:rFonts w:hint="eastAsia" w:ascii="宋体" w:hAnsi="宋体" w:eastAsia="宋体" w:cs="宋体"/>
          <w:color w:val="000000" w:themeColor="text1"/>
          <w:sz w:val="24"/>
          <w:szCs w:val="24"/>
          <w:highlight w:val="none"/>
          <w:lang w:val="en-US" w:eastAsia="zh-CN"/>
          <w14:textFill>
            <w14:solidFill>
              <w14:schemeClr w14:val="tx1"/>
            </w14:solidFill>
          </w14:textFill>
        </w:rPr>
        <w:t>全部货物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w:t>
      </w:r>
      <w:r>
        <w:rPr>
          <w:rFonts w:hint="eastAsia" w:ascii="宋体" w:hAnsi="宋体" w:eastAsia="宋体" w:cs="宋体"/>
          <w:color w:val="000000" w:themeColor="text1"/>
          <w:sz w:val="24"/>
          <w:szCs w:val="24"/>
          <w:highlight w:val="none"/>
          <w:lang w:val="en-US" w:eastAsia="zh-CN"/>
          <w14:textFill>
            <w14:solidFill>
              <w14:schemeClr w14:val="tx1"/>
            </w14:solidFill>
          </w14:textFill>
        </w:rPr>
        <w:t>通过验收并交付甲方使用。</w:t>
      </w:r>
    </w:p>
    <w:p w14:paraId="224766B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长青中街51号</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娄底市中心医院。 </w:t>
      </w:r>
    </w:p>
    <w:p w14:paraId="3250034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运至合同约定地点，并负责</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41BCB4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5D8413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货物的质量、安装应符合或优于国家标准；如投标文件/响应文件中的技术参数和质量标准高于国家标准，则货物的技术参数和质量标准以投标文件/响应文件为准；如乙方投标/响应时提交了样品并经甲方确认封存的，货物质量标准以样品为准。</w:t>
      </w:r>
    </w:p>
    <w:p w14:paraId="1478D5F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质量验收：以本合同约定标准按以下方式进行验收：</w:t>
      </w:r>
    </w:p>
    <w:p w14:paraId="0C34B75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乙方将货物运至指定交货地点并将货物全部拆包、安装、调试、培训后，应通知甲方，并向甲方提供厂家标准资料文件（进口货物需提供真实有效的海关报关单，其他货物需提供产品合格证和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日内自行组织到货验收，验收合格后签署到货验收报告单。如经甲方验收不合格，乙方应在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35B6A55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甲方验收时如发现乙方所交付的货物不符合本合同约定，甲方应做出详尽的现场记录，由甲乙双方签署备忘录，该现场记录和备忘录作为乙方补交缺少部件、更换不符标准部件的有效依据，由此产生的一切经济损失由乙方承担。</w:t>
      </w:r>
    </w:p>
    <w:p w14:paraId="57F08D4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包装要求：乙方提供的货物必须为原厂包装，外包装到货时应保证完好无损，否则甲方有权拒绝收货，由此造成的延期交货违约责任和一切经济损失全部由乙方承担。</w:t>
      </w:r>
    </w:p>
    <w:p w14:paraId="047BF9E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4C4513F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44FE720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杨勇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02D3E67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37E3B78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511064C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752EF47A">
      <w:pPr>
        <w:keepNext w:val="0"/>
        <w:keepLines w:val="0"/>
        <w:pageBreakBefore w:val="0"/>
        <w:widowControl/>
        <w:numPr>
          <w:ilvl w:val="-1"/>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本合同货物质保期为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年，自甲方在验收报告单上签字确认合格之日起开始计算。</w:t>
      </w:r>
    </w:p>
    <w:p w14:paraId="528A3C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 质保期内乙方免费提供维修、更换服务。</w:t>
      </w:r>
    </w:p>
    <w:p w14:paraId="21D3198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5.2.1 如货物在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24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小时内赶到甲方进行维修或更换全新合格货物，相关费用由乙方承担。</w:t>
      </w:r>
    </w:p>
    <w:p w14:paraId="5FA85AE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5.2.2 质保期内甲方有权随时对货物进行质量监督，如货物经甲方样品比对、随机抽检或送第三方检测机构检测不合格的，乙方须在接到甲方通知后</w:t>
      </w:r>
      <w:r>
        <w:rPr>
          <w:rFonts w:hint="eastAsia" w:ascii="宋体" w:hAnsi="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eastAsia" w:ascii="宋体" w:hAnsi="宋体" w:eastAsia="宋体" w:cs="宋体"/>
          <w:color w:val="000000" w:themeColor="text1"/>
          <w:sz w:val="24"/>
          <w:szCs w:val="24"/>
          <w:highlight w:val="none"/>
          <w:lang w:val="en-US" w:eastAsia="zh-CN"/>
          <w14:textFill>
            <w14:solidFill>
              <w14:schemeClr w14:val="tx1"/>
            </w14:solidFill>
          </w14:textFill>
        </w:rPr>
        <w:t>对不合格货物所在送货批次的全部货物进行更换，第三方检测费用和更换产生的相关费用均由乙方承担。</w:t>
      </w:r>
    </w:p>
    <w:p w14:paraId="740916D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5.2.3 质保期内如乙方不及时维修、更换货物，甲方有权委托第三方提供服务，由此产生的相关费用，甲方有权在应付款中扣除、不足部分由乙方另行补足，或要求乙方将第三方提供服务产生的相关费用直接支付给甲方。</w:t>
      </w:r>
    </w:p>
    <w:p w14:paraId="51B32D4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质保期届满后，如货物出现问题，乙方应在接到甲方通知（包括电话通知）后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415A8ABD">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2E1068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00655A7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甲方通过银行转账方式向乙方指定银行账户支付款项：甲方在全部货物验收合格之日起4个月内，向乙方支付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的90%；余款10%，甲方在全部货物质保期届满且不存在需被扣除情形之日起10个工作日内，免息支付给乙方。</w:t>
      </w:r>
    </w:p>
    <w:p w14:paraId="7530A23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19045C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6DD654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72CF70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2F11169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本合同货物毁损、丢失的风险自甲方在验收报告单上签字确认合格后转移给甲方，此前货物的一切风险均由乙方承担。</w:t>
      </w:r>
    </w:p>
    <w:p w14:paraId="717FF13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如甲方因乙方货物、质保服务等原因涉及纠纷、诉讼或被处以行政处罚，由乙方承担甲方因纠纷、诉讼、罚款等造成的全部经济损失。</w:t>
      </w:r>
    </w:p>
    <w:p w14:paraId="19B0D75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07D4700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3F4A95E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643B41FE">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3E0FC256">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1844CE86">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乙方应对保密信息应当采取有效手段严格保密，不得用于非本合同之目的或向第三方泄露。如政府部门、法院或其他有权部门要求乙方提供保密信息，乙方应当立即向甲方通报。</w:t>
      </w:r>
    </w:p>
    <w:p w14:paraId="7833F4E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0ED822AE">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091592AE">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0593D2DB">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5B82F6F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605BF6A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湖南省娄底市娄星区长青街51号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董昉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15973879275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22028581@qq.com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df22028581</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642F13BC">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3FCE6E7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0BC03502">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738FAD99">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43415F5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6A20CFD2">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11.2 如甲方因政策变化等非自身主观原因不需要购买本合同全部货物，经书面通知乙方后可以提前终止本合同；如甲方因运营需要等原因不需要购买本合同部分货物，不需要购买的部分自动从采购内容中剔除。</w:t>
      </w:r>
    </w:p>
    <w:p w14:paraId="5796C7A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2A32753C">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highlight w:val="none"/>
          <w14:textFill>
            <w14:solidFill>
              <w14:schemeClr w14:val="tx1"/>
            </w14:solidFill>
          </w14:textFill>
        </w:rPr>
        <w:t>日仍不能供货；</w:t>
      </w:r>
    </w:p>
    <w:p w14:paraId="7BCCF6D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w:t>
      </w:r>
      <w:r>
        <w:rPr>
          <w:rFonts w:hint="eastAsia" w:ascii="宋体" w:hAnsi="宋体" w:eastAsia="宋体" w:cs="宋体"/>
          <w:color w:val="000000" w:themeColor="text1"/>
          <w:sz w:val="24"/>
          <w:highlight w:val="none"/>
          <w:lang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57ADE445">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217F1B6C">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7B5BCAA1">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68499B01">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5DA63049">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59FE6AF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5A51930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无论甲方在任意时候（不限于本合同履行期间）发现存在违反本合同廉洁条款的行为，乙方均须向甲方一次性支付惩罚性违约金</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15000</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元。如乙方除需承担违反廉洁条款的违约责任外，同时存在其他违约行为，乙方仍须就其他违约行为承担相应违约责任。</w:t>
      </w:r>
    </w:p>
    <w:p w14:paraId="5E9CF450">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14:paraId="68248A8E">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14:paraId="362B9919">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14:paraId="31C13DC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14:paraId="466DE2EB">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14:paraId="47B99D4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 xml:space="preserve"> 乙方营业执照、</w:t>
      </w:r>
      <w:r>
        <w:rPr>
          <w:rFonts w:hint="eastAsia" w:ascii="宋体" w:hAnsi="宋体" w:eastAsia="宋体" w:cs="宋体"/>
          <w:color w:val="000000" w:themeColor="text1"/>
          <w:sz w:val="24"/>
          <w:highlight w:val="none"/>
          <w:lang w:val="en-US" w:eastAsia="zh-CN"/>
          <w14:textFill>
            <w14:solidFill>
              <w14:schemeClr w14:val="tx1"/>
            </w14:solidFill>
          </w14:textFill>
        </w:rPr>
        <w:t>法定代表人身份证明书、</w:t>
      </w:r>
      <w:r>
        <w:rPr>
          <w:rFonts w:hint="eastAsia" w:ascii="宋体" w:hAnsi="宋体" w:eastAsia="宋体" w:cs="宋体"/>
          <w:color w:val="000000" w:themeColor="text1"/>
          <w:sz w:val="24"/>
          <w:highlight w:val="none"/>
          <w14:textFill>
            <w14:solidFill>
              <w14:schemeClr w14:val="tx1"/>
            </w14:solidFill>
          </w14:textFill>
        </w:rPr>
        <w:t>授权委托文书、委托代理人身份证复印件等相关资质证明、乙方委派结算人员的授权委托书、受托人的身份证复印件、</w:t>
      </w:r>
      <w:r>
        <w:rPr>
          <w:rFonts w:hint="eastAsia" w:ascii="宋体" w:hAnsi="宋体" w:eastAsia="宋体" w:cs="宋体"/>
          <w:color w:val="000000" w:themeColor="text1"/>
          <w:sz w:val="24"/>
          <w:highlight w:val="none"/>
          <w:lang w:val="en-US" w:eastAsia="zh-CN"/>
          <w14:textFill>
            <w14:solidFill>
              <w14:schemeClr w14:val="tx1"/>
            </w14:solidFill>
          </w14:textFill>
        </w:rPr>
        <w:t>验收报告</w:t>
      </w:r>
      <w:r>
        <w:rPr>
          <w:rFonts w:hint="eastAsia" w:ascii="宋体" w:hAnsi="宋体" w:eastAsia="宋体" w:cs="宋体"/>
          <w:color w:val="000000" w:themeColor="text1"/>
          <w:sz w:val="24"/>
          <w:highlight w:val="none"/>
          <w14:textFill>
            <w14:solidFill>
              <w14:schemeClr w14:val="tx1"/>
            </w14:solidFill>
          </w14:textFill>
        </w:rPr>
        <w:t>单等作为本合同的附件。</w:t>
      </w:r>
    </w:p>
    <w:p w14:paraId="37616F5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14.2 </w:t>
      </w:r>
      <w:r>
        <w:rPr>
          <w:rFonts w:hint="eastAsia" w:ascii="宋体" w:hAnsi="宋体" w:eastAsia="宋体" w:cs="宋体"/>
          <w:color w:val="000000" w:themeColor="text1"/>
          <w:sz w:val="24"/>
          <w:highlight w:val="none"/>
          <w14:textFill>
            <w14:solidFill>
              <w14:schemeClr w14:val="tx1"/>
            </w14:solidFill>
          </w14:textFill>
        </w:rPr>
        <w:t>本合同组成文件和优先解释顺序：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4BAF3420">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 xml:space="preserve"> 本合同一式伍份，甲方执肆份、乙方执壹份，自双方签字并盖章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4E0FE5D4">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p>
    <w:p w14:paraId="6D1EE200">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2F0A3EE1">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46D0D653">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0E93B02F">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2E838F41">
      <w:pPr>
        <w:pStyle w:val="2"/>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42075ED1">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011AD09">
      <w:pPr>
        <w:rPr>
          <w:rFonts w:hint="eastAsia" w:ascii="宋体" w:hAnsi="宋体" w:cs="宋体"/>
          <w:color w:val="auto"/>
        </w:rPr>
      </w:pPr>
    </w:p>
    <w:bookmarkEnd w:id="1"/>
    <w:p w14:paraId="6B60CB95">
      <w:pPr>
        <w:rPr>
          <w:rFonts w:hint="eastAsia"/>
          <w:color w:val="auto"/>
        </w:rPr>
      </w:pPr>
    </w:p>
    <w:p w14:paraId="463F9F65">
      <w:pPr>
        <w:jc w:val="center"/>
        <w:rPr>
          <w:b/>
          <w:color w:val="auto"/>
          <w:sz w:val="24"/>
        </w:rPr>
      </w:pPr>
      <w:r>
        <w:rPr>
          <w:b/>
          <w:color w:val="auto"/>
          <w:sz w:val="28"/>
          <w:szCs w:val="28"/>
        </w:rPr>
        <w:t>第一部分、开标一览表</w:t>
      </w:r>
    </w:p>
    <w:p w14:paraId="40105E6A">
      <w:pPr>
        <w:jc w:val="center"/>
        <w:rPr>
          <w:b/>
          <w:color w:val="auto"/>
          <w:sz w:val="24"/>
        </w:rPr>
      </w:pPr>
    </w:p>
    <w:p w14:paraId="60B35180">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14:paraId="71CAD04D">
      <w:pPr>
        <w:pStyle w:val="24"/>
        <w:rPr>
          <w:color w:val="auto"/>
        </w:rPr>
      </w:pPr>
    </w:p>
    <w:p w14:paraId="66551667">
      <w:pPr>
        <w:adjustRightInd w:val="0"/>
        <w:snapToGrid w:val="0"/>
        <w:spacing w:line="360" w:lineRule="auto"/>
        <w:jc w:val="center"/>
        <w:rPr>
          <w:rFonts w:hint="eastAsia" w:ascii="宋体" w:hAnsi="宋体" w:cs="宋体"/>
          <w:b/>
          <w:color w:val="auto"/>
          <w:sz w:val="28"/>
          <w:szCs w:val="28"/>
        </w:rPr>
      </w:pPr>
    </w:p>
    <w:p w14:paraId="28166D50">
      <w:pPr>
        <w:adjustRightInd w:val="0"/>
        <w:snapToGrid w:val="0"/>
        <w:spacing w:line="360" w:lineRule="auto"/>
        <w:jc w:val="center"/>
        <w:rPr>
          <w:rFonts w:hint="eastAsia" w:ascii="宋体" w:hAnsi="宋体" w:cs="宋体"/>
          <w:b/>
          <w:color w:val="auto"/>
          <w:sz w:val="28"/>
          <w:szCs w:val="28"/>
        </w:rPr>
      </w:pPr>
    </w:p>
    <w:p w14:paraId="4E8B8904">
      <w:pPr>
        <w:adjustRightInd w:val="0"/>
        <w:snapToGrid w:val="0"/>
        <w:spacing w:line="360" w:lineRule="auto"/>
        <w:jc w:val="center"/>
        <w:rPr>
          <w:rFonts w:hint="eastAsia" w:ascii="宋体" w:hAnsi="宋体" w:cs="宋体"/>
          <w:b/>
          <w:color w:val="auto"/>
          <w:sz w:val="28"/>
          <w:szCs w:val="28"/>
        </w:rPr>
      </w:pPr>
    </w:p>
    <w:p w14:paraId="2945B527">
      <w:pPr>
        <w:adjustRightInd w:val="0"/>
        <w:snapToGrid w:val="0"/>
        <w:spacing w:line="360" w:lineRule="auto"/>
        <w:jc w:val="center"/>
        <w:rPr>
          <w:rFonts w:hint="eastAsia" w:ascii="宋体" w:hAnsi="宋体" w:cs="宋体"/>
          <w:b/>
          <w:color w:val="auto"/>
          <w:sz w:val="28"/>
          <w:szCs w:val="28"/>
        </w:rPr>
      </w:pPr>
    </w:p>
    <w:p w14:paraId="1FBF603D">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3D168BD">
      <w:pPr>
        <w:pStyle w:val="23"/>
        <w:rPr>
          <w:rFonts w:hint="eastAsia"/>
          <w:lang w:eastAsia="zh-CN"/>
        </w:rPr>
      </w:pPr>
    </w:p>
    <w:p w14:paraId="386689DC">
      <w:pPr>
        <w:adjustRightInd w:val="0"/>
        <w:snapToGrid w:val="0"/>
        <w:spacing w:line="360" w:lineRule="auto"/>
        <w:jc w:val="center"/>
        <w:rPr>
          <w:rFonts w:hint="eastAsia" w:ascii="宋体" w:hAnsi="宋体" w:cs="宋体"/>
          <w:b/>
          <w:color w:val="auto"/>
          <w:sz w:val="24"/>
          <w:szCs w:val="20"/>
        </w:rPr>
      </w:pPr>
    </w:p>
    <w:p w14:paraId="11F0F571">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4449AAA">
      <w:pPr>
        <w:adjustRightInd w:val="0"/>
        <w:snapToGrid w:val="0"/>
        <w:spacing w:line="360" w:lineRule="auto"/>
        <w:rPr>
          <w:rFonts w:hint="eastAsia" w:ascii="宋体" w:hAnsi="宋体" w:cs="宋体"/>
          <w:b/>
          <w:color w:val="auto"/>
          <w:sz w:val="28"/>
          <w:szCs w:val="28"/>
        </w:rPr>
      </w:pPr>
    </w:p>
    <w:p w14:paraId="540590FF">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381B1A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0EF2546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51BFDC15">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F084AFC">
      <w:pPr>
        <w:adjustRightInd w:val="0"/>
        <w:snapToGrid w:val="0"/>
        <w:spacing w:line="360" w:lineRule="auto"/>
        <w:ind w:firstLine="480" w:firstLineChars="200"/>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C87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252076A9">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637D8040">
      <w:pPr>
        <w:adjustRightInd w:val="0"/>
        <w:snapToGrid w:val="0"/>
        <w:spacing w:line="360" w:lineRule="auto"/>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5753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34C02A26">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573075C3">
      <w:pPr>
        <w:adjustRightInd w:val="0"/>
        <w:snapToGrid w:val="0"/>
        <w:spacing w:line="360" w:lineRule="auto"/>
        <w:rPr>
          <w:rFonts w:hint="eastAsia" w:ascii="宋体" w:hAnsi="宋体" w:cs="宋体"/>
          <w:color w:val="auto"/>
          <w:sz w:val="24"/>
        </w:rPr>
      </w:pPr>
    </w:p>
    <w:p w14:paraId="2BBB8A34">
      <w:pPr>
        <w:adjustRightInd w:val="0"/>
        <w:snapToGrid w:val="0"/>
        <w:spacing w:line="360" w:lineRule="auto"/>
        <w:rPr>
          <w:rFonts w:hint="eastAsia" w:ascii="宋体" w:hAnsi="宋体" w:cs="宋体"/>
          <w:color w:val="auto"/>
          <w:sz w:val="24"/>
        </w:rPr>
      </w:pPr>
    </w:p>
    <w:p w14:paraId="1A8CC709">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CA38E1D">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524E802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7E29138A">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18D29777">
      <w:pPr>
        <w:adjustRightInd w:val="0"/>
        <w:snapToGrid w:val="0"/>
        <w:spacing w:line="360" w:lineRule="auto"/>
        <w:rPr>
          <w:rFonts w:hint="eastAsia" w:ascii="宋体" w:hAnsi="宋体" w:cs="宋体"/>
          <w:b/>
          <w:color w:val="auto"/>
          <w:sz w:val="28"/>
          <w:szCs w:val="28"/>
        </w:rPr>
      </w:pPr>
    </w:p>
    <w:p w14:paraId="3F6A11CD">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3E86AAC0">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29B67D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5A64E7F8">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21867362">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3CB02BF7">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4223B65">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0DFF17FA">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49A3161">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B61AC36">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763F31A9">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1D48A861">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671259A6">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3FCFA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5B697C89">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3B055510">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3EF7C52F">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3446278">
      <w:pPr>
        <w:adjustRightInd w:val="0"/>
        <w:snapToGrid w:val="0"/>
        <w:spacing w:line="360" w:lineRule="auto"/>
        <w:jc w:val="center"/>
        <w:rPr>
          <w:rFonts w:hint="eastAsia" w:ascii="宋体" w:hAnsi="宋体" w:cs="宋体"/>
          <w:b/>
          <w:color w:val="auto"/>
          <w:sz w:val="24"/>
          <w:szCs w:val="20"/>
        </w:rPr>
      </w:pPr>
    </w:p>
    <w:p w14:paraId="1346884B">
      <w:pPr>
        <w:adjustRightInd w:val="0"/>
        <w:snapToGrid w:val="0"/>
        <w:spacing w:line="360" w:lineRule="auto"/>
        <w:rPr>
          <w:rFonts w:hint="eastAsia" w:ascii="宋体" w:hAnsi="宋体" w:cs="宋体"/>
          <w:b/>
          <w:color w:val="auto"/>
          <w:sz w:val="24"/>
          <w:szCs w:val="20"/>
        </w:rPr>
      </w:pPr>
    </w:p>
    <w:p w14:paraId="4F9273E1">
      <w:pPr>
        <w:adjustRightInd w:val="0"/>
        <w:snapToGrid w:val="0"/>
        <w:spacing w:line="360" w:lineRule="auto"/>
        <w:rPr>
          <w:rFonts w:hint="eastAsia" w:ascii="宋体" w:hAnsi="宋体" w:cs="宋体"/>
          <w:b/>
          <w:color w:val="auto"/>
          <w:sz w:val="24"/>
          <w:szCs w:val="20"/>
        </w:rPr>
      </w:pPr>
    </w:p>
    <w:p w14:paraId="2D2F2399">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6BD0C8C8">
      <w:pPr>
        <w:adjustRightInd w:val="0"/>
        <w:snapToGrid w:val="0"/>
        <w:spacing w:line="360" w:lineRule="auto"/>
        <w:jc w:val="center"/>
        <w:rPr>
          <w:rFonts w:hint="eastAsia" w:ascii="宋体" w:hAnsi="宋体" w:cs="宋体"/>
          <w:b/>
          <w:color w:val="auto"/>
          <w:sz w:val="24"/>
          <w:szCs w:val="20"/>
        </w:rPr>
      </w:pPr>
    </w:p>
    <w:p w14:paraId="565506E4">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478C91FB">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0851C70D">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786E0303">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9144592">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50CF0EAC">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71681098">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9FD08FA">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753E4AC7">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575B8451">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32BCE7E4">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059336F3">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EB9AB22">
      <w:pPr>
        <w:jc w:val="left"/>
        <w:rPr>
          <w:rFonts w:hint="eastAsia" w:ascii="宋体" w:hAnsi="宋体" w:eastAsia="宋体" w:cs="Times New Roman"/>
          <w:b w:val="0"/>
          <w:bCs w:val="0"/>
          <w:color w:val="auto"/>
          <w:kern w:val="2"/>
          <w:sz w:val="24"/>
          <w:szCs w:val="24"/>
          <w:lang w:val="en-US" w:eastAsia="zh-CN" w:bidi="ar-SA"/>
        </w:rPr>
      </w:pPr>
    </w:p>
    <w:p w14:paraId="452F65D0">
      <w:pPr>
        <w:jc w:val="left"/>
        <w:rPr>
          <w:rFonts w:hint="eastAsia" w:ascii="宋体" w:hAnsi="宋体" w:eastAsia="宋体" w:cs="Times New Roman"/>
          <w:b w:val="0"/>
          <w:bCs w:val="0"/>
          <w:color w:val="auto"/>
          <w:kern w:val="2"/>
          <w:sz w:val="24"/>
          <w:szCs w:val="24"/>
          <w:lang w:val="en-US" w:eastAsia="zh-CN" w:bidi="ar-SA"/>
        </w:rPr>
      </w:pPr>
    </w:p>
    <w:p w14:paraId="16A0C581">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4B1AE1FF">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3C2F2BC3">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86424819"/>
      <w:bookmarkStart w:id="3" w:name="_Toc476514128"/>
    </w:p>
    <w:p w14:paraId="6D90F51D">
      <w:pPr>
        <w:pStyle w:val="23"/>
        <w:rPr>
          <w:rFonts w:hint="eastAsia"/>
          <w:lang w:eastAsia="zh-CN"/>
        </w:rPr>
      </w:pPr>
    </w:p>
    <w:p w14:paraId="6BAEDE60">
      <w:pPr>
        <w:spacing w:before="120" w:beforeLines="50" w:after="120" w:afterLines="50" w:line="276" w:lineRule="auto"/>
        <w:jc w:val="center"/>
        <w:rPr>
          <w:b/>
          <w:color w:val="auto"/>
          <w:sz w:val="24"/>
        </w:rPr>
      </w:pPr>
      <w:r>
        <w:rPr>
          <w:b/>
          <w:color w:val="auto"/>
          <w:sz w:val="24"/>
        </w:rPr>
        <w:t>采购需求响应/偏离表</w:t>
      </w:r>
    </w:p>
    <w:p w14:paraId="3BCF85E9">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6"/>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572AF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684B6852">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4257CF67">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769CBF21">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9D4284B">
            <w:pPr>
              <w:adjustRightInd w:val="0"/>
              <w:snapToGrid w:val="0"/>
              <w:spacing w:before="50" w:line="360" w:lineRule="auto"/>
              <w:jc w:val="center"/>
              <w:rPr>
                <w:color w:val="auto"/>
              </w:rPr>
            </w:pPr>
            <w:r>
              <w:rPr>
                <w:color w:val="auto"/>
              </w:rPr>
              <w:t>投标文件应答</w:t>
            </w:r>
          </w:p>
        </w:tc>
        <w:tc>
          <w:tcPr>
            <w:tcW w:w="1513" w:type="dxa"/>
            <w:noWrap w:val="0"/>
            <w:vAlign w:val="center"/>
          </w:tcPr>
          <w:p w14:paraId="67C408D3">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333762B8">
            <w:pPr>
              <w:adjustRightInd w:val="0"/>
              <w:snapToGrid w:val="0"/>
              <w:spacing w:before="50" w:line="360" w:lineRule="auto"/>
              <w:ind w:left="-88" w:leftChars="-42"/>
              <w:jc w:val="center"/>
              <w:rPr>
                <w:color w:val="auto"/>
                <w:szCs w:val="21"/>
              </w:rPr>
            </w:pPr>
            <w:r>
              <w:rPr>
                <w:color w:val="auto"/>
                <w:szCs w:val="21"/>
              </w:rPr>
              <w:t>偏离说明</w:t>
            </w:r>
          </w:p>
        </w:tc>
      </w:tr>
      <w:tr w14:paraId="4E09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1E1580C">
            <w:pPr>
              <w:adjustRightInd w:val="0"/>
              <w:snapToGrid w:val="0"/>
              <w:spacing w:before="50" w:line="360" w:lineRule="auto"/>
              <w:ind w:left="-88" w:leftChars="-42"/>
              <w:jc w:val="center"/>
              <w:rPr>
                <w:color w:val="auto"/>
                <w:szCs w:val="21"/>
              </w:rPr>
            </w:pPr>
          </w:p>
        </w:tc>
        <w:tc>
          <w:tcPr>
            <w:tcW w:w="1877" w:type="dxa"/>
            <w:noWrap w:val="0"/>
            <w:vAlign w:val="center"/>
          </w:tcPr>
          <w:p w14:paraId="774A1D01">
            <w:pPr>
              <w:adjustRightInd w:val="0"/>
              <w:snapToGrid w:val="0"/>
              <w:spacing w:before="50" w:line="360" w:lineRule="auto"/>
              <w:ind w:left="-88" w:leftChars="-42"/>
              <w:jc w:val="center"/>
              <w:rPr>
                <w:color w:val="auto"/>
                <w:szCs w:val="21"/>
              </w:rPr>
            </w:pPr>
          </w:p>
        </w:tc>
        <w:tc>
          <w:tcPr>
            <w:tcW w:w="1671" w:type="dxa"/>
            <w:noWrap w:val="0"/>
            <w:vAlign w:val="center"/>
          </w:tcPr>
          <w:p w14:paraId="5CC39C1D">
            <w:pPr>
              <w:adjustRightInd w:val="0"/>
              <w:snapToGrid w:val="0"/>
              <w:spacing w:before="50" w:line="360" w:lineRule="auto"/>
              <w:ind w:left="-88" w:leftChars="-42"/>
              <w:jc w:val="center"/>
              <w:rPr>
                <w:color w:val="auto"/>
                <w:szCs w:val="21"/>
              </w:rPr>
            </w:pPr>
          </w:p>
        </w:tc>
        <w:tc>
          <w:tcPr>
            <w:tcW w:w="1608" w:type="dxa"/>
            <w:noWrap w:val="0"/>
            <w:vAlign w:val="center"/>
          </w:tcPr>
          <w:p w14:paraId="4C313990">
            <w:pPr>
              <w:adjustRightInd w:val="0"/>
              <w:snapToGrid w:val="0"/>
              <w:spacing w:before="50" w:line="360" w:lineRule="auto"/>
              <w:ind w:left="-88" w:leftChars="-42"/>
              <w:jc w:val="center"/>
              <w:rPr>
                <w:color w:val="auto"/>
                <w:szCs w:val="21"/>
              </w:rPr>
            </w:pPr>
          </w:p>
        </w:tc>
        <w:tc>
          <w:tcPr>
            <w:tcW w:w="1513" w:type="dxa"/>
            <w:noWrap w:val="0"/>
            <w:vAlign w:val="center"/>
          </w:tcPr>
          <w:p w14:paraId="3282AE5D">
            <w:pPr>
              <w:adjustRightInd w:val="0"/>
              <w:snapToGrid w:val="0"/>
              <w:spacing w:before="50" w:line="360" w:lineRule="auto"/>
              <w:ind w:left="-88" w:leftChars="-42"/>
              <w:jc w:val="center"/>
              <w:rPr>
                <w:color w:val="auto"/>
                <w:szCs w:val="21"/>
              </w:rPr>
            </w:pPr>
          </w:p>
        </w:tc>
        <w:tc>
          <w:tcPr>
            <w:tcW w:w="1061" w:type="dxa"/>
            <w:noWrap w:val="0"/>
            <w:vAlign w:val="center"/>
          </w:tcPr>
          <w:p w14:paraId="031F9831">
            <w:pPr>
              <w:adjustRightInd w:val="0"/>
              <w:snapToGrid w:val="0"/>
              <w:spacing w:before="50" w:line="360" w:lineRule="auto"/>
              <w:ind w:left="-88" w:leftChars="-42"/>
              <w:jc w:val="center"/>
              <w:rPr>
                <w:color w:val="auto"/>
                <w:szCs w:val="21"/>
              </w:rPr>
            </w:pPr>
          </w:p>
        </w:tc>
      </w:tr>
      <w:tr w14:paraId="00015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AAB4EE">
            <w:pPr>
              <w:adjustRightInd w:val="0"/>
              <w:snapToGrid w:val="0"/>
              <w:spacing w:before="50" w:line="360" w:lineRule="auto"/>
              <w:ind w:left="-88" w:leftChars="-42"/>
              <w:jc w:val="center"/>
              <w:rPr>
                <w:color w:val="auto"/>
                <w:szCs w:val="21"/>
              </w:rPr>
            </w:pPr>
          </w:p>
        </w:tc>
        <w:tc>
          <w:tcPr>
            <w:tcW w:w="1877" w:type="dxa"/>
            <w:noWrap w:val="0"/>
            <w:vAlign w:val="center"/>
          </w:tcPr>
          <w:p w14:paraId="50AEF049">
            <w:pPr>
              <w:adjustRightInd w:val="0"/>
              <w:snapToGrid w:val="0"/>
              <w:spacing w:before="50" w:line="360" w:lineRule="auto"/>
              <w:ind w:left="-88" w:leftChars="-42"/>
              <w:jc w:val="center"/>
              <w:rPr>
                <w:color w:val="auto"/>
                <w:szCs w:val="21"/>
              </w:rPr>
            </w:pPr>
          </w:p>
        </w:tc>
        <w:tc>
          <w:tcPr>
            <w:tcW w:w="1671" w:type="dxa"/>
            <w:noWrap w:val="0"/>
            <w:vAlign w:val="center"/>
          </w:tcPr>
          <w:p w14:paraId="2A7B0A3E">
            <w:pPr>
              <w:adjustRightInd w:val="0"/>
              <w:snapToGrid w:val="0"/>
              <w:spacing w:before="50" w:line="360" w:lineRule="auto"/>
              <w:ind w:left="-88" w:leftChars="-42"/>
              <w:jc w:val="center"/>
              <w:rPr>
                <w:color w:val="auto"/>
                <w:szCs w:val="21"/>
              </w:rPr>
            </w:pPr>
          </w:p>
        </w:tc>
        <w:tc>
          <w:tcPr>
            <w:tcW w:w="1608" w:type="dxa"/>
            <w:noWrap w:val="0"/>
            <w:vAlign w:val="center"/>
          </w:tcPr>
          <w:p w14:paraId="4A601AAF">
            <w:pPr>
              <w:adjustRightInd w:val="0"/>
              <w:snapToGrid w:val="0"/>
              <w:spacing w:before="50" w:line="360" w:lineRule="auto"/>
              <w:ind w:left="-88" w:leftChars="-42"/>
              <w:jc w:val="center"/>
              <w:rPr>
                <w:color w:val="auto"/>
                <w:szCs w:val="21"/>
              </w:rPr>
            </w:pPr>
          </w:p>
        </w:tc>
        <w:tc>
          <w:tcPr>
            <w:tcW w:w="1513" w:type="dxa"/>
            <w:noWrap w:val="0"/>
            <w:vAlign w:val="center"/>
          </w:tcPr>
          <w:p w14:paraId="25C22211">
            <w:pPr>
              <w:adjustRightInd w:val="0"/>
              <w:snapToGrid w:val="0"/>
              <w:spacing w:before="50" w:line="360" w:lineRule="auto"/>
              <w:ind w:left="-88" w:leftChars="-42"/>
              <w:jc w:val="center"/>
              <w:rPr>
                <w:color w:val="auto"/>
                <w:szCs w:val="21"/>
              </w:rPr>
            </w:pPr>
          </w:p>
        </w:tc>
        <w:tc>
          <w:tcPr>
            <w:tcW w:w="1061" w:type="dxa"/>
            <w:noWrap w:val="0"/>
            <w:vAlign w:val="center"/>
          </w:tcPr>
          <w:p w14:paraId="571A0A5F">
            <w:pPr>
              <w:adjustRightInd w:val="0"/>
              <w:snapToGrid w:val="0"/>
              <w:spacing w:before="50" w:line="360" w:lineRule="auto"/>
              <w:ind w:left="-88" w:leftChars="-42"/>
              <w:jc w:val="center"/>
              <w:rPr>
                <w:color w:val="auto"/>
                <w:szCs w:val="21"/>
              </w:rPr>
            </w:pPr>
          </w:p>
        </w:tc>
      </w:tr>
      <w:tr w14:paraId="7492E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A3B4144">
            <w:pPr>
              <w:adjustRightInd w:val="0"/>
              <w:snapToGrid w:val="0"/>
              <w:spacing w:before="50" w:line="360" w:lineRule="auto"/>
              <w:ind w:left="-88" w:leftChars="-42"/>
              <w:jc w:val="center"/>
              <w:rPr>
                <w:color w:val="auto"/>
                <w:szCs w:val="21"/>
              </w:rPr>
            </w:pPr>
          </w:p>
        </w:tc>
        <w:tc>
          <w:tcPr>
            <w:tcW w:w="1877" w:type="dxa"/>
            <w:noWrap w:val="0"/>
            <w:vAlign w:val="center"/>
          </w:tcPr>
          <w:p w14:paraId="5678C7D8">
            <w:pPr>
              <w:adjustRightInd w:val="0"/>
              <w:snapToGrid w:val="0"/>
              <w:spacing w:before="50" w:line="360" w:lineRule="auto"/>
              <w:ind w:left="-88" w:leftChars="-42"/>
              <w:jc w:val="center"/>
              <w:rPr>
                <w:color w:val="auto"/>
                <w:szCs w:val="21"/>
              </w:rPr>
            </w:pPr>
          </w:p>
        </w:tc>
        <w:tc>
          <w:tcPr>
            <w:tcW w:w="1671" w:type="dxa"/>
            <w:noWrap w:val="0"/>
            <w:vAlign w:val="center"/>
          </w:tcPr>
          <w:p w14:paraId="7AD96B66">
            <w:pPr>
              <w:adjustRightInd w:val="0"/>
              <w:snapToGrid w:val="0"/>
              <w:spacing w:before="50" w:line="360" w:lineRule="auto"/>
              <w:ind w:left="-88" w:leftChars="-42"/>
              <w:jc w:val="center"/>
              <w:rPr>
                <w:color w:val="auto"/>
                <w:szCs w:val="21"/>
              </w:rPr>
            </w:pPr>
          </w:p>
        </w:tc>
        <w:tc>
          <w:tcPr>
            <w:tcW w:w="1608" w:type="dxa"/>
            <w:noWrap w:val="0"/>
            <w:vAlign w:val="center"/>
          </w:tcPr>
          <w:p w14:paraId="368E095E">
            <w:pPr>
              <w:adjustRightInd w:val="0"/>
              <w:snapToGrid w:val="0"/>
              <w:spacing w:before="50" w:line="360" w:lineRule="auto"/>
              <w:ind w:left="-88" w:leftChars="-42"/>
              <w:jc w:val="center"/>
              <w:rPr>
                <w:color w:val="auto"/>
                <w:szCs w:val="21"/>
              </w:rPr>
            </w:pPr>
          </w:p>
        </w:tc>
        <w:tc>
          <w:tcPr>
            <w:tcW w:w="1513" w:type="dxa"/>
            <w:noWrap w:val="0"/>
            <w:vAlign w:val="center"/>
          </w:tcPr>
          <w:p w14:paraId="1E861332">
            <w:pPr>
              <w:adjustRightInd w:val="0"/>
              <w:snapToGrid w:val="0"/>
              <w:spacing w:before="50" w:line="360" w:lineRule="auto"/>
              <w:ind w:left="-88" w:leftChars="-42"/>
              <w:jc w:val="center"/>
              <w:rPr>
                <w:color w:val="auto"/>
                <w:szCs w:val="21"/>
              </w:rPr>
            </w:pPr>
          </w:p>
        </w:tc>
        <w:tc>
          <w:tcPr>
            <w:tcW w:w="1061" w:type="dxa"/>
            <w:noWrap w:val="0"/>
            <w:vAlign w:val="center"/>
          </w:tcPr>
          <w:p w14:paraId="1DDFBBC9">
            <w:pPr>
              <w:adjustRightInd w:val="0"/>
              <w:snapToGrid w:val="0"/>
              <w:spacing w:before="50" w:line="360" w:lineRule="auto"/>
              <w:ind w:left="-88" w:leftChars="-42"/>
              <w:jc w:val="center"/>
              <w:rPr>
                <w:color w:val="auto"/>
                <w:szCs w:val="21"/>
              </w:rPr>
            </w:pPr>
          </w:p>
        </w:tc>
      </w:tr>
      <w:tr w14:paraId="5ECF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5564F7E0">
            <w:pPr>
              <w:rPr>
                <w:b/>
                <w:color w:val="auto"/>
              </w:rPr>
            </w:pPr>
          </w:p>
        </w:tc>
      </w:tr>
    </w:tbl>
    <w:p w14:paraId="58C809C7">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14:paraId="559CC36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5F3C4965">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38E3C596">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7546D202">
      <w:pPr>
        <w:pStyle w:val="24"/>
        <w:rPr>
          <w:color w:val="auto"/>
        </w:rPr>
      </w:pPr>
    </w:p>
    <w:p w14:paraId="5EEA99A1">
      <w:pPr>
        <w:pStyle w:val="23"/>
        <w:rPr>
          <w:rFonts w:hint="eastAsia"/>
          <w:lang w:eastAsia="zh-CN"/>
        </w:rPr>
      </w:pPr>
    </w:p>
    <w:p w14:paraId="4F73B9B6"/>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4F79">
    <w:pPr>
      <w:pStyle w:val="11"/>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333E6">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1333E6">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218840FB">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1645">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0F794">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F0F794">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67F2DAB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B277D">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6F2E55"/>
    <w:rsid w:val="00AE556A"/>
    <w:rsid w:val="01350E35"/>
    <w:rsid w:val="02390242"/>
    <w:rsid w:val="03E43FAE"/>
    <w:rsid w:val="04653F41"/>
    <w:rsid w:val="04B72FC8"/>
    <w:rsid w:val="04F57A38"/>
    <w:rsid w:val="050719CA"/>
    <w:rsid w:val="056B0EF3"/>
    <w:rsid w:val="05D47115"/>
    <w:rsid w:val="06934BAA"/>
    <w:rsid w:val="06E91EC4"/>
    <w:rsid w:val="07731DE6"/>
    <w:rsid w:val="07AD7CCC"/>
    <w:rsid w:val="086F75C9"/>
    <w:rsid w:val="09C0303A"/>
    <w:rsid w:val="0A3F4F3C"/>
    <w:rsid w:val="0A6D3244"/>
    <w:rsid w:val="0A8A74D4"/>
    <w:rsid w:val="0C1D3DF2"/>
    <w:rsid w:val="0CAD5ABA"/>
    <w:rsid w:val="0CAD77BD"/>
    <w:rsid w:val="0CD87BD4"/>
    <w:rsid w:val="0D1436BE"/>
    <w:rsid w:val="0E331420"/>
    <w:rsid w:val="0E3A4761"/>
    <w:rsid w:val="0E7C3D6A"/>
    <w:rsid w:val="0EBC028B"/>
    <w:rsid w:val="0EDD1643"/>
    <w:rsid w:val="0FB9029C"/>
    <w:rsid w:val="10897B23"/>
    <w:rsid w:val="10914EF9"/>
    <w:rsid w:val="10B8663C"/>
    <w:rsid w:val="12080B62"/>
    <w:rsid w:val="12994AC5"/>
    <w:rsid w:val="129F447F"/>
    <w:rsid w:val="12C86253"/>
    <w:rsid w:val="14E40477"/>
    <w:rsid w:val="15060AC8"/>
    <w:rsid w:val="15125EAE"/>
    <w:rsid w:val="15675A4C"/>
    <w:rsid w:val="15B17473"/>
    <w:rsid w:val="15B67DFF"/>
    <w:rsid w:val="163301F0"/>
    <w:rsid w:val="16A42126"/>
    <w:rsid w:val="173B2B09"/>
    <w:rsid w:val="17F91BB8"/>
    <w:rsid w:val="193E7D91"/>
    <w:rsid w:val="1943608F"/>
    <w:rsid w:val="19E40286"/>
    <w:rsid w:val="19E91315"/>
    <w:rsid w:val="1AF56B46"/>
    <w:rsid w:val="1CE412C7"/>
    <w:rsid w:val="1D5071B5"/>
    <w:rsid w:val="1DD7486D"/>
    <w:rsid w:val="1E79119D"/>
    <w:rsid w:val="1EF310E8"/>
    <w:rsid w:val="1EF47691"/>
    <w:rsid w:val="1F334F58"/>
    <w:rsid w:val="1F796B24"/>
    <w:rsid w:val="1F7E3A26"/>
    <w:rsid w:val="1FC602A8"/>
    <w:rsid w:val="1FE73549"/>
    <w:rsid w:val="2038045E"/>
    <w:rsid w:val="20AF0900"/>
    <w:rsid w:val="20B41DA7"/>
    <w:rsid w:val="21C61C7A"/>
    <w:rsid w:val="2280405B"/>
    <w:rsid w:val="2383771E"/>
    <w:rsid w:val="23F374DB"/>
    <w:rsid w:val="24881A32"/>
    <w:rsid w:val="25266F96"/>
    <w:rsid w:val="267547DF"/>
    <w:rsid w:val="272B6E6C"/>
    <w:rsid w:val="27B626C7"/>
    <w:rsid w:val="27CF2BB7"/>
    <w:rsid w:val="2821285F"/>
    <w:rsid w:val="28501465"/>
    <w:rsid w:val="28E81B29"/>
    <w:rsid w:val="28FD390A"/>
    <w:rsid w:val="29B45A41"/>
    <w:rsid w:val="2A174DA9"/>
    <w:rsid w:val="2AB010A8"/>
    <w:rsid w:val="2AC66F99"/>
    <w:rsid w:val="2B6A7BF4"/>
    <w:rsid w:val="2BD64A85"/>
    <w:rsid w:val="2BF61ECB"/>
    <w:rsid w:val="2C0A2E19"/>
    <w:rsid w:val="2C7642D0"/>
    <w:rsid w:val="2C8B7C6A"/>
    <w:rsid w:val="2CC97A35"/>
    <w:rsid w:val="2D13578C"/>
    <w:rsid w:val="2DD77C64"/>
    <w:rsid w:val="2DDA1E78"/>
    <w:rsid w:val="2DE00B8C"/>
    <w:rsid w:val="2EAC037F"/>
    <w:rsid w:val="2EB67A5C"/>
    <w:rsid w:val="2F4B361C"/>
    <w:rsid w:val="302741D2"/>
    <w:rsid w:val="308B184D"/>
    <w:rsid w:val="309C1E01"/>
    <w:rsid w:val="30BB11DD"/>
    <w:rsid w:val="31F17CD1"/>
    <w:rsid w:val="324F4D43"/>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F93413"/>
    <w:rsid w:val="3DFD1951"/>
    <w:rsid w:val="3E1F0DA4"/>
    <w:rsid w:val="3E584E51"/>
    <w:rsid w:val="3E6E70D5"/>
    <w:rsid w:val="3EBE1ADE"/>
    <w:rsid w:val="403B4B34"/>
    <w:rsid w:val="407B5F4A"/>
    <w:rsid w:val="4140452A"/>
    <w:rsid w:val="414D7889"/>
    <w:rsid w:val="41BB0BAE"/>
    <w:rsid w:val="4222229D"/>
    <w:rsid w:val="425629F5"/>
    <w:rsid w:val="4284152B"/>
    <w:rsid w:val="428B1063"/>
    <w:rsid w:val="429A4992"/>
    <w:rsid w:val="435B161D"/>
    <w:rsid w:val="43B25DAC"/>
    <w:rsid w:val="44771DFD"/>
    <w:rsid w:val="45D569C3"/>
    <w:rsid w:val="479B74B7"/>
    <w:rsid w:val="48735221"/>
    <w:rsid w:val="48997E8F"/>
    <w:rsid w:val="49E92B05"/>
    <w:rsid w:val="4A354E62"/>
    <w:rsid w:val="4A75113F"/>
    <w:rsid w:val="4AEE1A11"/>
    <w:rsid w:val="4B7F39F4"/>
    <w:rsid w:val="4BAE646F"/>
    <w:rsid w:val="4C06451A"/>
    <w:rsid w:val="4CAC1559"/>
    <w:rsid w:val="4CB132D9"/>
    <w:rsid w:val="4D754257"/>
    <w:rsid w:val="4DCD6AB3"/>
    <w:rsid w:val="4DDD6104"/>
    <w:rsid w:val="4DE92593"/>
    <w:rsid w:val="4EE7662F"/>
    <w:rsid w:val="50216DCD"/>
    <w:rsid w:val="50540C20"/>
    <w:rsid w:val="506258C6"/>
    <w:rsid w:val="50743AC8"/>
    <w:rsid w:val="50FC2845"/>
    <w:rsid w:val="51AC28BD"/>
    <w:rsid w:val="52183ACC"/>
    <w:rsid w:val="53B55872"/>
    <w:rsid w:val="544055F2"/>
    <w:rsid w:val="54AD4386"/>
    <w:rsid w:val="54E30E5A"/>
    <w:rsid w:val="5587625E"/>
    <w:rsid w:val="55937F05"/>
    <w:rsid w:val="55D8243C"/>
    <w:rsid w:val="56483C8F"/>
    <w:rsid w:val="56C77AA7"/>
    <w:rsid w:val="57F52F2F"/>
    <w:rsid w:val="581A7C72"/>
    <w:rsid w:val="583A4BD7"/>
    <w:rsid w:val="58487501"/>
    <w:rsid w:val="59C74B1F"/>
    <w:rsid w:val="5A886F59"/>
    <w:rsid w:val="604D5946"/>
    <w:rsid w:val="611B6B1B"/>
    <w:rsid w:val="62030FF0"/>
    <w:rsid w:val="62C222C2"/>
    <w:rsid w:val="62DB090C"/>
    <w:rsid w:val="632D7C40"/>
    <w:rsid w:val="63414A93"/>
    <w:rsid w:val="63485C9D"/>
    <w:rsid w:val="64133D6A"/>
    <w:rsid w:val="64245572"/>
    <w:rsid w:val="66C30AF5"/>
    <w:rsid w:val="678E4F5D"/>
    <w:rsid w:val="67F3562A"/>
    <w:rsid w:val="680E122C"/>
    <w:rsid w:val="699E02E9"/>
    <w:rsid w:val="6A4E1D63"/>
    <w:rsid w:val="6A90762D"/>
    <w:rsid w:val="6AB9152E"/>
    <w:rsid w:val="6B592423"/>
    <w:rsid w:val="6C23483B"/>
    <w:rsid w:val="6C486FE4"/>
    <w:rsid w:val="6C8F7701"/>
    <w:rsid w:val="6CA409DF"/>
    <w:rsid w:val="6DA700B4"/>
    <w:rsid w:val="6DE375E4"/>
    <w:rsid w:val="6E8E5287"/>
    <w:rsid w:val="6F0168BC"/>
    <w:rsid w:val="6F6F4A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104828"/>
    <w:rsid w:val="7B0620DE"/>
    <w:rsid w:val="7BBF44BB"/>
    <w:rsid w:val="7BF15CE4"/>
    <w:rsid w:val="7C3A27E5"/>
    <w:rsid w:val="7D9727DD"/>
    <w:rsid w:val="7EFB4F6E"/>
    <w:rsid w:val="7F164138"/>
    <w:rsid w:val="7F1A5E95"/>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eastAsia="宋体" w:cs="宋体"/>
      <w:sz w:val="24"/>
      <w:szCs w:val="24"/>
      <w:lang w:val="en-US" w:eastAsia="en-US" w:bidi="ar-SA"/>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2">
    <w:name w:val="大标题"/>
    <w:basedOn w:val="1"/>
    <w:next w:val="15"/>
    <w:qFormat/>
    <w:uiPriority w:val="0"/>
    <w:pPr>
      <w:jc w:val="center"/>
    </w:pPr>
    <w:rPr>
      <w:rFonts w:ascii="Arial" w:hAnsi="Arial" w:eastAsia="宋体"/>
      <w:b/>
      <w:sz w:val="28"/>
      <w:szCs w:val="24"/>
    </w:rPr>
  </w:style>
  <w:style w:type="paragraph" w:customStyle="1" w:styleId="23">
    <w:name w:val="列出段落1"/>
    <w:basedOn w:val="1"/>
    <w:qFormat/>
    <w:uiPriority w:val="99"/>
    <w:pPr>
      <w:ind w:firstLine="420" w:firstLineChars="200"/>
    </w:pPr>
  </w:style>
  <w:style w:type="paragraph" w:customStyle="1" w:styleId="2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列表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7705</Words>
  <Characters>8066</Characters>
  <Lines>0</Lines>
  <Paragraphs>0</Paragraphs>
  <TotalTime>5</TotalTime>
  <ScaleCrop>false</ScaleCrop>
  <LinksUpToDate>false</LinksUpToDate>
  <CharactersWithSpaces>9010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2023-07-17T09:45:00Z</dcterms:created>
  <dc:creator>是小豹子</dc:creator>
  <cp:lastModifiedBy>张思远</cp:lastModifiedBy>
  <dcterms:modified xsi:type="dcterms:W3CDTF">2026-09-11T01:19:06Z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48C9B33B502A490BBE9A50522BDCF407_13</vt:lpwstr>
  </property>
  <property fmtid="{D5CDD505-2E9C-101B-9397-08002B2CF9AE}" pid="4" name="KSOTemplateDocerSaveRecord">
    <vt:lpwstr>eyJoZGlkIjoiOWU3YmMxNGQ0NDE0NTRiYjQ3MWFkZjk1MWM2MTc2NWEiLCJ1c2VySWQiOiI0NDIzNjcyODQifQ==</vt:lpwstr>
  </property>
</Properties>
</file>