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2D2C0">
      <w:pPr>
        <w:pStyle w:val="6"/>
        <w:snapToGrid w:val="0"/>
        <w:jc w:val="center"/>
        <w:rPr>
          <w:rFonts w:hint="eastAsia" w:ascii="Arial" w:hAnsi="Arial" w:eastAsia="方正小标宋简体" w:cs="Arial"/>
          <w:sz w:val="72"/>
          <w:szCs w:val="72"/>
        </w:rPr>
      </w:pPr>
      <w:bookmarkStart w:id="0" w:name="_Toc16523570"/>
    </w:p>
    <w:p w14:paraId="1B95787E">
      <w:pPr>
        <w:pStyle w:val="6"/>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75F3B684">
      <w:pPr>
        <w:pStyle w:val="6"/>
        <w:snapToGrid w:val="0"/>
        <w:jc w:val="center"/>
        <w:rPr>
          <w:rFonts w:hint="eastAsia" w:ascii="Arial" w:hAnsi="Arial" w:eastAsia="方正小标宋简体" w:cs="Arial"/>
          <w:sz w:val="72"/>
          <w:szCs w:val="72"/>
        </w:rPr>
      </w:pPr>
    </w:p>
    <w:p w14:paraId="65C368DD">
      <w:pPr>
        <w:pStyle w:val="6"/>
        <w:snapToGrid w:val="0"/>
        <w:jc w:val="center"/>
        <w:rPr>
          <w:rFonts w:hint="eastAsia" w:ascii="Arial" w:hAnsi="Arial" w:eastAsia="方正小标宋简体" w:cs="Arial"/>
          <w:sz w:val="72"/>
          <w:szCs w:val="72"/>
        </w:rPr>
      </w:pPr>
    </w:p>
    <w:p w14:paraId="11616A47">
      <w:pPr>
        <w:pStyle w:val="6"/>
        <w:snapToGrid w:val="0"/>
        <w:jc w:val="center"/>
        <w:rPr>
          <w:rFonts w:hint="eastAsia" w:ascii="Arial" w:hAnsi="Arial" w:eastAsia="方正小标宋简体" w:cs="Arial"/>
          <w:sz w:val="72"/>
          <w:szCs w:val="72"/>
        </w:rPr>
      </w:pPr>
    </w:p>
    <w:p w14:paraId="39F8D380">
      <w:pPr>
        <w:pStyle w:val="6"/>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7F791A7">
      <w:pPr>
        <w:pStyle w:val="6"/>
        <w:snapToGrid w:val="0"/>
        <w:jc w:val="center"/>
        <w:rPr>
          <w:rFonts w:ascii="Arial" w:hAnsi="Arial" w:cs="Arial"/>
          <w:sz w:val="32"/>
          <w:szCs w:val="32"/>
        </w:rPr>
      </w:pPr>
    </w:p>
    <w:p w14:paraId="409EB72F">
      <w:pPr>
        <w:pStyle w:val="22"/>
        <w:rPr>
          <w:rFonts w:ascii="Arial" w:hAnsi="Arial" w:cs="Arial"/>
          <w:sz w:val="32"/>
          <w:szCs w:val="32"/>
        </w:rPr>
      </w:pPr>
    </w:p>
    <w:p w14:paraId="668BDAFE">
      <w:pPr>
        <w:pStyle w:val="15"/>
        <w:rPr>
          <w:rFonts w:ascii="Arial" w:hAnsi="Arial" w:cs="Arial"/>
          <w:sz w:val="32"/>
          <w:szCs w:val="32"/>
        </w:rPr>
      </w:pPr>
    </w:p>
    <w:p w14:paraId="30B28264">
      <w:pPr>
        <w:pStyle w:val="15"/>
        <w:rPr>
          <w:rFonts w:ascii="Arial" w:hAnsi="Arial" w:cs="Arial"/>
          <w:sz w:val="32"/>
          <w:szCs w:val="32"/>
        </w:rPr>
      </w:pPr>
    </w:p>
    <w:p w14:paraId="45C922C2">
      <w:pPr>
        <w:pStyle w:val="15"/>
        <w:rPr>
          <w:rFonts w:ascii="Arial" w:hAnsi="Arial" w:cs="Arial"/>
          <w:sz w:val="32"/>
          <w:szCs w:val="32"/>
        </w:rPr>
      </w:pPr>
    </w:p>
    <w:p w14:paraId="0233B328">
      <w:pPr>
        <w:pStyle w:val="15"/>
        <w:rPr>
          <w:rFonts w:ascii="Arial" w:hAnsi="Arial" w:cs="Arial"/>
          <w:sz w:val="32"/>
          <w:szCs w:val="32"/>
        </w:rPr>
      </w:pPr>
    </w:p>
    <w:p w14:paraId="65E4BC6C">
      <w:pPr>
        <w:pStyle w:val="15"/>
        <w:rPr>
          <w:rFonts w:ascii="Arial" w:hAnsi="Arial" w:cs="Arial"/>
          <w:sz w:val="32"/>
          <w:szCs w:val="32"/>
        </w:rPr>
      </w:pPr>
    </w:p>
    <w:p w14:paraId="7577245D">
      <w:pPr>
        <w:pStyle w:val="15"/>
        <w:rPr>
          <w:rFonts w:ascii="Arial" w:hAnsi="Arial" w:cs="Arial"/>
          <w:sz w:val="32"/>
          <w:szCs w:val="32"/>
        </w:rPr>
      </w:pPr>
    </w:p>
    <w:p w14:paraId="5337F494">
      <w:pPr>
        <w:pStyle w:val="15"/>
        <w:rPr>
          <w:rFonts w:ascii="Arial" w:hAnsi="Arial" w:cs="Arial"/>
          <w:sz w:val="32"/>
          <w:szCs w:val="32"/>
        </w:rPr>
      </w:pPr>
    </w:p>
    <w:p w14:paraId="0A4AE94E">
      <w:pPr>
        <w:pStyle w:val="6"/>
        <w:snapToGrid w:val="0"/>
        <w:jc w:val="center"/>
        <w:rPr>
          <w:rFonts w:ascii="Arial" w:hAnsi="Arial" w:cs="Arial"/>
          <w:sz w:val="32"/>
          <w:szCs w:val="32"/>
        </w:rPr>
      </w:pPr>
    </w:p>
    <w:p w14:paraId="13C7226F">
      <w:pPr>
        <w:pStyle w:val="6"/>
        <w:snapToGrid w:val="0"/>
        <w:jc w:val="center"/>
        <w:rPr>
          <w:rFonts w:ascii="Arial" w:hAnsi="Arial" w:cs="Arial"/>
          <w:sz w:val="32"/>
          <w:szCs w:val="32"/>
        </w:rPr>
      </w:pPr>
    </w:p>
    <w:p w14:paraId="0E6A0AE3">
      <w:pPr>
        <w:spacing w:line="360" w:lineRule="auto"/>
        <w:rPr>
          <w:rFonts w:hint="eastAsia"/>
          <w:bCs/>
          <w:sz w:val="32"/>
          <w:szCs w:val="32"/>
        </w:rPr>
      </w:pPr>
    </w:p>
    <w:p w14:paraId="221DD5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cs="Times New Roman"/>
          <w:b/>
          <w:bCs/>
          <w:kern w:val="44"/>
          <w:sz w:val="32"/>
          <w:szCs w:val="32"/>
          <w:lang w:val="en-US" w:eastAsia="zh-CN" w:bidi="ar-SA"/>
        </w:rPr>
        <w:t>娄底市中心医院万兆交换机项目</w:t>
      </w:r>
      <w:r>
        <w:rPr>
          <w:rFonts w:hint="eastAsia"/>
          <w:bCs/>
          <w:sz w:val="32"/>
          <w:szCs w:val="32"/>
          <w:lang w:val="en-US" w:eastAsia="zh-CN"/>
        </w:rPr>
        <w:t>采购项目</w:t>
      </w:r>
    </w:p>
    <w:p w14:paraId="2646632F">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（医院公开挂网</w:t>
      </w:r>
      <w:r>
        <w:rPr>
          <w:rFonts w:hint="eastAsia" w:ascii="Times New Roman" w:hAnsi="Times New Roman" w:eastAsia="宋体" w:cs="Times New Roman"/>
          <w:b/>
          <w:bCs/>
          <w:kern w:val="44"/>
          <w:sz w:val="32"/>
          <w:szCs w:val="32"/>
          <w:lang w:val="en-US" w:eastAsia="zh-CN" w:bidi="ar-SA"/>
        </w:rPr>
        <w:t>）</w:t>
      </w:r>
    </w:p>
    <w:p w14:paraId="2B704EEC">
      <w:pPr>
        <w:spacing w:line="320" w:lineRule="exact"/>
        <w:jc w:val="left"/>
        <w:rPr>
          <w:sz w:val="24"/>
        </w:rPr>
      </w:pPr>
    </w:p>
    <w:p w14:paraId="0354F586">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val="en-US" w:eastAsia="zh-CN"/>
        </w:rPr>
        <w:t>六</w:t>
      </w:r>
      <w:r>
        <w:rPr>
          <w:rFonts w:hint="eastAsia" w:ascii="宋体" w:hAnsi="宋体" w:cs="宋体"/>
          <w:bCs/>
          <w:sz w:val="32"/>
          <w:szCs w:val="32"/>
        </w:rPr>
        <w:t>年</w:t>
      </w:r>
      <w:r>
        <w:rPr>
          <w:rFonts w:hint="eastAsia" w:ascii="宋体" w:hAnsi="宋体" w:cs="宋体"/>
          <w:bCs/>
          <w:sz w:val="32"/>
          <w:szCs w:val="32"/>
          <w:lang w:val="en-US" w:eastAsia="zh-CN"/>
        </w:rPr>
        <w:t>八</w:t>
      </w:r>
      <w:r>
        <w:rPr>
          <w:rFonts w:hint="eastAsia" w:ascii="宋体" w:hAnsi="宋体" w:cs="宋体"/>
          <w:bCs/>
          <w:sz w:val="32"/>
          <w:szCs w:val="32"/>
        </w:rPr>
        <w:t>月</w:t>
      </w:r>
    </w:p>
    <w:p w14:paraId="43FCB49C">
      <w:pPr>
        <w:rPr>
          <w:rFonts w:hint="eastAsia" w:ascii="宋体" w:hAnsi="宋体" w:cs="宋体"/>
          <w:color w:val="auto"/>
          <w:sz w:val="44"/>
          <w:szCs w:val="44"/>
          <w:lang w:val="en-US" w:eastAsia="zh-CN"/>
        </w:rPr>
      </w:pPr>
      <w:r>
        <w:rPr>
          <w:rFonts w:hint="eastAsia" w:ascii="宋体" w:hAnsi="宋体" w:cs="宋体"/>
          <w:color w:val="auto"/>
          <w:sz w:val="44"/>
          <w:szCs w:val="44"/>
          <w:lang w:val="en-US" w:eastAsia="zh-CN"/>
        </w:rPr>
        <w:br w:type="page"/>
      </w:r>
    </w:p>
    <w:p w14:paraId="02230438">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049FCDF5">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娄底市中心医院万兆交换机项目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33F26BBC">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20A851AA">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Cs/>
          <w:color w:val="auto"/>
          <w:sz w:val="24"/>
          <w:szCs w:val="24"/>
          <w:u w:val="single"/>
          <w:lang w:val="en-US" w:eastAsia="zh-CN"/>
        </w:rPr>
        <w:t>娄底市中心医院万兆交换机项目</w:t>
      </w:r>
    </w:p>
    <w:p w14:paraId="0CDBF21C">
      <w:pPr>
        <w:pStyle w:val="6"/>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p w14:paraId="7C7C445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1、医院公开挂网</w:t>
      </w:r>
      <w:r>
        <w:rPr>
          <w:rFonts w:hint="eastAsia" w:asciiTheme="minorEastAsia" w:hAnsiTheme="minorEastAsia" w:eastAsiaTheme="minorEastAsia" w:cstheme="minorEastAsia"/>
          <w:bCs/>
          <w:color w:val="auto"/>
          <w:sz w:val="24"/>
          <w:szCs w:val="24"/>
          <w:lang w:val="en-US" w:eastAsia="zh-CN"/>
        </w:rPr>
        <w:t>，最低评标价法，在满足所有参数的条件下，报价最低者中标，如有多个并列最低价，则由并列最低价投标人再次报价，直至出现最低报价为止。</w:t>
      </w:r>
    </w:p>
    <w:bookmarkEnd w:id="0"/>
    <w:p w14:paraId="0ACEB34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55893B3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1F42DD7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0ACB140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21C808E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15D0942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12B2191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623B858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C1BC76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1、投标截止时间、开标时间：详见医院官网公开挂网表</w:t>
      </w:r>
    </w:p>
    <w:p w14:paraId="27C4F67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67F7E3C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2BA1D7A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31DB0AF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2、联系人及联系方式：张思远 15115875288</w:t>
      </w:r>
    </w:p>
    <w:p w14:paraId="5023AEF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0ADD55F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D88B5A">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4EF3F462">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6CA551A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2BB116B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0D3123B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7934304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1C567C2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486FB98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42006801">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0F261BB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2.2、经评标委员会评审后，有效投标人少于3家的。</w:t>
      </w:r>
    </w:p>
    <w:p w14:paraId="6D411BA9">
      <w:pPr>
        <w:pStyle w:val="22"/>
        <w:rPr>
          <w:rFonts w:hint="eastAsia"/>
          <w:lang w:val="en-US" w:eastAsia="zh-CN"/>
        </w:rPr>
      </w:pPr>
    </w:p>
    <w:p w14:paraId="7E250597">
      <w:pPr>
        <w:pStyle w:val="22"/>
        <w:jc w:val="both"/>
        <w:rPr>
          <w:rFonts w:hint="default"/>
          <w:lang w:val="en-US" w:eastAsia="zh-CN"/>
        </w:rPr>
      </w:pPr>
    </w:p>
    <w:p w14:paraId="22CD3DC2">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715EDAE9">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0F41F978">
      <w:pPr>
        <w:pStyle w:val="22"/>
        <w:rPr>
          <w:rFonts w:hint="eastAsia" w:ascii="宋体" w:hAnsi="宋体" w:cs="宋体"/>
          <w:b/>
          <w:bCs/>
          <w:color w:val="auto"/>
          <w:sz w:val="44"/>
          <w:szCs w:val="44"/>
          <w:lang w:val="en-US" w:eastAsia="zh-CN"/>
        </w:rPr>
      </w:pPr>
    </w:p>
    <w:p w14:paraId="6DFDBEAA">
      <w:pPr>
        <w:pStyle w:val="15"/>
        <w:rPr>
          <w:rFonts w:hint="eastAsia" w:ascii="宋体" w:hAnsi="宋体" w:cs="宋体"/>
          <w:b/>
          <w:bCs/>
          <w:color w:val="auto"/>
          <w:sz w:val="44"/>
          <w:szCs w:val="44"/>
          <w:lang w:val="en-US" w:eastAsia="zh-CN"/>
        </w:rPr>
      </w:pPr>
    </w:p>
    <w:p w14:paraId="30F94F1D">
      <w:pPr>
        <w:rPr>
          <w:rFonts w:hint="eastAsia" w:ascii="宋体" w:hAnsi="宋体" w:cs="宋体"/>
          <w:b/>
          <w:bCs/>
          <w:color w:val="auto"/>
          <w:sz w:val="44"/>
          <w:szCs w:val="44"/>
          <w:lang w:val="en-US" w:eastAsia="zh-CN"/>
        </w:rPr>
      </w:pPr>
    </w:p>
    <w:p w14:paraId="102811BE">
      <w:pPr>
        <w:pStyle w:val="21"/>
        <w:rPr>
          <w:rFonts w:hint="eastAsia"/>
          <w:lang w:val="en-US" w:eastAsia="zh-CN"/>
        </w:rPr>
      </w:pPr>
    </w:p>
    <w:p w14:paraId="04DC7BC4">
      <w:pPr>
        <w:pStyle w:val="2"/>
        <w:rPr>
          <w:rFonts w:hint="eastAsia" w:ascii="宋体" w:hAnsi="宋体" w:cs="宋体"/>
          <w:b/>
          <w:bCs/>
          <w:color w:val="auto"/>
          <w:sz w:val="44"/>
          <w:szCs w:val="44"/>
          <w:lang w:val="en-US" w:eastAsia="zh-CN"/>
        </w:rPr>
      </w:pPr>
    </w:p>
    <w:p w14:paraId="127EFE5C">
      <w:pPr>
        <w:rPr>
          <w:rFonts w:hint="eastAsia" w:ascii="宋体" w:hAnsi="宋体" w:cs="宋体"/>
          <w:b/>
          <w:bCs/>
          <w:color w:val="auto"/>
          <w:sz w:val="44"/>
          <w:szCs w:val="44"/>
          <w:lang w:val="en-US" w:eastAsia="zh-CN"/>
        </w:rPr>
      </w:pPr>
    </w:p>
    <w:p w14:paraId="4A7B14FC">
      <w:pPr>
        <w:rPr>
          <w:rFonts w:hint="eastAsia" w:ascii="宋体" w:hAnsi="宋体" w:cs="宋体"/>
          <w:b/>
          <w:bCs/>
          <w:color w:val="auto"/>
          <w:sz w:val="44"/>
          <w:szCs w:val="44"/>
          <w:lang w:val="en-US" w:eastAsia="zh-CN"/>
        </w:rPr>
      </w:pPr>
    </w:p>
    <w:p w14:paraId="05DE6F3A">
      <w:pPr>
        <w:rPr>
          <w:rFonts w:hint="eastAsia"/>
          <w:lang w:val="en-US" w:eastAsia="zh-CN"/>
        </w:rPr>
      </w:pPr>
    </w:p>
    <w:p w14:paraId="28624900">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736FC095">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一、采购清单、采购项目交付或者实施的时间和地点</w:t>
      </w:r>
    </w:p>
    <w:p w14:paraId="738C7315">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6"/>
        <w:tblW w:w="7303"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15" w:type="dxa"/>
          <w:left w:w="15" w:type="dxa"/>
          <w:bottom w:w="15" w:type="dxa"/>
          <w:right w:w="15" w:type="dxa"/>
        </w:tblCellMar>
      </w:tblPr>
      <w:tblGrid>
        <w:gridCol w:w="958"/>
        <w:gridCol w:w="2370"/>
        <w:gridCol w:w="1665"/>
        <w:gridCol w:w="2310"/>
      </w:tblGrid>
      <w:tr w14:paraId="38AB9E0F">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9E0CB90">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4A50A28">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项目</w:t>
            </w:r>
            <w:r>
              <w:rPr>
                <w:rFonts w:hint="eastAsia" w:asciiTheme="minorEastAsia" w:hAnsiTheme="minorEastAsia" w:eastAsiaTheme="minorEastAsia" w:cstheme="minorEastAsia"/>
                <w:kern w:val="2"/>
                <w:sz w:val="24"/>
                <w:szCs w:val="24"/>
              </w:rPr>
              <w:t>名称</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137C3FB8">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数量（套）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6D78E54A">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r>
      <w:tr w14:paraId="69DE814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48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508FB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70"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17944EF">
            <w:pPr>
              <w:keepNext w:val="0"/>
              <w:keepLines w:val="0"/>
              <w:widowControl/>
              <w:suppressLineNumbers w:val="0"/>
              <w:jc w:val="center"/>
              <w:textAlignment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娄底市中心医院万兆交换机项目</w:t>
            </w:r>
          </w:p>
        </w:tc>
        <w:tc>
          <w:tcPr>
            <w:tcW w:w="1665"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3D7170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4</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19EAF0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9.5</w:t>
            </w:r>
          </w:p>
        </w:tc>
      </w:tr>
    </w:tbl>
    <w:p w14:paraId="737A1F41">
      <w:pPr>
        <w:spacing w:line="360" w:lineRule="auto"/>
        <w:rPr>
          <w:rFonts w:hint="eastAsia" w:asciiTheme="minorEastAsia" w:hAnsiTheme="minorEastAsia" w:eastAsiaTheme="minorEastAsia" w:cstheme="minorEastAsia"/>
          <w:bCs/>
          <w:color w:val="auto"/>
          <w:kern w:val="0"/>
          <w:sz w:val="24"/>
          <w:szCs w:val="24"/>
          <w:lang w:val="en-US" w:eastAsia="zh-CN" w:bidi="ar-SA"/>
        </w:rPr>
      </w:pPr>
    </w:p>
    <w:p w14:paraId="78C7E4BA">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2EAE5CA4">
      <w:p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C78225">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二、项目内容及要求（以下内容必须全部响应，否则视为无效投标）</w:t>
      </w:r>
    </w:p>
    <w:p w14:paraId="7D514E0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（一）、万兆交换机2台：</w:t>
      </w:r>
    </w:p>
    <w:p w14:paraId="7DE4DFA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1、交换容量≥25Tbps,包转发率≥1476Mpps;</w:t>
      </w:r>
    </w:p>
    <w:p w14:paraId="7D3726F8">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2、接口:≥24个10/100/1000Base-T端口，&gt;24个万兆SFP+口，≥2个QSFP+光口，≥1条40G虚拟化线缆带光模块;</w:t>
      </w:r>
    </w:p>
    <w:p w14:paraId="16D4933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3、支持VxLAN二层交换，支持VxLAN路由交换，支持VxLAN网关;</w:t>
      </w:r>
    </w:p>
    <w:p w14:paraId="66F9C831">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4、支持双电源，本次实配双电源;</w:t>
      </w:r>
    </w:p>
    <w:p w14:paraId="590E3CFD">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6、支持IPv4、IPv6静态路由,RIP等三层动态路由协议,支持等价路由、VRRP、OSPFv1/v2、OSPF v3、BGP、ISIS等增强三层路由协议</w:t>
      </w:r>
    </w:p>
    <w:p w14:paraId="106D883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7、支持STP/RSTP/MSTP协议,支持ERPS以太环保护协议(G.8032);</w:t>
      </w:r>
    </w:p>
    <w:p w14:paraId="170E34F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8、支持集中MAC认证，支持802.1X,支持AAA认证，支持IP+MAC+端口绑定，支持CPU防护;</w:t>
      </w:r>
    </w:p>
    <w:p w14:paraId="0771146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9、支持Openflow1.3,支持SFLOW;</w:t>
      </w:r>
    </w:p>
    <w:p w14:paraId="4833880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10、支持命令行接口(CLI)配置，支持Telnet远程配置，支持智能管理平台系统</w:t>
      </w:r>
    </w:p>
    <w:p w14:paraId="4E8CA2E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（二）、万兆交换机2台：</w:t>
      </w:r>
    </w:p>
    <w:p w14:paraId="2A90D54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1、交换容量≥48Tbps,包转发率≥2000Mpps;</w:t>
      </w:r>
    </w:p>
    <w:p w14:paraId="7DFCF7A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2、固化万兆光口≥48个、40G/100G光接口≥4个，千兆带外管理≥1;USB口≥1用于管理和存储文件、配置双模块化电源、冗余模块化风扇，风扇模块支持前后通风、风道可调;</w:t>
      </w:r>
    </w:p>
    <w:p w14:paraId="108470DA">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3、扩展槽≥2个，可扩展端口类型丰富，包含2端口100G板卡、2端口40G板卡、8端口10GSPF+板卡、防火墙独立硬件板卡等，提供官网截图并加盖制造商公章证明;</w:t>
      </w:r>
    </w:p>
    <w:p w14:paraId="1F1A65C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4、采用专业的内置防雷技术，支持业界领先的10KV业务端口防雷能力</w:t>
      </w:r>
    </w:p>
    <w:p w14:paraId="4CB29FE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5、支持802.1x认证、mac认证、Portal认证;</w:t>
      </w:r>
    </w:p>
    <w:p w14:paraId="6BE2247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支持IPv4静态路由、RIP V1/N2、OSPF、BGP、ISIS,支持IPv6静态路由、RIPng、OSPFv3;</w:t>
      </w:r>
    </w:p>
    <w:p w14:paraId="01E5705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7、支持OPENFLOW 1.3标准支持普通模式和Openflow模式切换;</w:t>
      </w:r>
    </w:p>
    <w:p w14:paraId="410C6AD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8、设备必需具备二层VxLAN、支持三层VxLAN、支持EVPN、OpenFlow+Netconf的VxLAN集中式控制平面，以满足对于下一代SDN网络建设的需求;</w:t>
      </w:r>
    </w:p>
    <w:p w14:paraId="3D1C8A5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default" w:asciiTheme="minorEastAsia" w:hAnsiTheme="minorEastAsia" w:eastAsiaTheme="minorEastAsia" w:cstheme="minorEastAsia"/>
          <w:b w:val="0"/>
          <w:bCs/>
          <w:color w:val="auto"/>
          <w:kern w:val="0"/>
          <w:sz w:val="24"/>
          <w:szCs w:val="24"/>
          <w:lang w:val="en-US" w:eastAsia="zh-CN" w:bidi="ar-SA"/>
        </w:rPr>
        <w:t>9、配置2电源模块，2风扇模块，30个万兆多模光模块，1条40G虚拟化线缆带光模块</w:t>
      </w:r>
    </w:p>
    <w:p w14:paraId="4DD9CFE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 w:val="0"/>
          <w:bCs/>
          <w:color w:val="auto"/>
          <w:kern w:val="0"/>
          <w:sz w:val="24"/>
          <w:szCs w:val="24"/>
          <w:lang w:val="en-US" w:eastAsia="zh-CN" w:bidi="ar-SA"/>
        </w:rPr>
      </w:pPr>
    </w:p>
    <w:p w14:paraId="72CADBC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2" w:firstLineChars="200"/>
        <w:textAlignment w:val="auto"/>
        <w:rPr>
          <w:rFonts w:hint="eastAsia" w:asciiTheme="minorEastAsia" w:hAnsiTheme="minorEastAsia" w:eastAsiaTheme="minorEastAsia" w:cstheme="minorEastAsia"/>
          <w:b/>
          <w:bCs w:val="0"/>
          <w:color w:val="auto"/>
          <w:kern w:val="0"/>
          <w:sz w:val="28"/>
          <w:szCs w:val="28"/>
          <w:lang w:val="en-US" w:eastAsia="zh-CN" w:bidi="ar-SA"/>
        </w:rPr>
      </w:pPr>
      <w:r>
        <w:rPr>
          <w:rFonts w:hint="eastAsia" w:asciiTheme="minorEastAsia" w:hAnsiTheme="minorEastAsia" w:eastAsiaTheme="minorEastAsia" w:cstheme="minorEastAsia"/>
          <w:b/>
          <w:bCs w:val="0"/>
          <w:color w:val="auto"/>
          <w:kern w:val="0"/>
          <w:sz w:val="28"/>
          <w:szCs w:val="28"/>
          <w:lang w:val="en-US" w:eastAsia="zh-CN" w:bidi="ar-SA"/>
        </w:rPr>
        <w:t>商务条款：</w:t>
      </w:r>
    </w:p>
    <w:p w14:paraId="168016D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default" w:asciiTheme="minorEastAsia" w:hAnsiTheme="minorEastAsia" w:eastAsiaTheme="minorEastAsia" w:cstheme="minorEastAsia"/>
          <w:b w:val="0"/>
          <w:bCs/>
          <w:color w:val="auto"/>
          <w:kern w:val="0"/>
          <w:sz w:val="24"/>
          <w:szCs w:val="24"/>
          <w:lang w:val="en-US" w:eastAsia="zh-CN" w:bidi="ar-SA"/>
        </w:rPr>
      </w:pPr>
      <w:r>
        <w:rPr>
          <w:rFonts w:hint="eastAsia" w:asciiTheme="minorEastAsia" w:hAnsiTheme="minorEastAsia" w:eastAsiaTheme="minorEastAsia" w:cstheme="minorEastAsia"/>
          <w:b w:val="0"/>
          <w:bCs/>
          <w:color w:val="auto"/>
          <w:kern w:val="0"/>
          <w:sz w:val="24"/>
          <w:szCs w:val="24"/>
          <w:lang w:val="en-US" w:eastAsia="zh-CN" w:bidi="ar-SA"/>
        </w:rPr>
        <w:t>1、</w:t>
      </w:r>
      <w:r>
        <w:rPr>
          <w:rFonts w:hint="default" w:asciiTheme="minorEastAsia" w:hAnsiTheme="minorEastAsia" w:eastAsiaTheme="minorEastAsia" w:cstheme="minorEastAsia"/>
          <w:b w:val="0"/>
          <w:bCs/>
          <w:color w:val="auto"/>
          <w:kern w:val="0"/>
          <w:sz w:val="24"/>
          <w:szCs w:val="24"/>
          <w:lang w:val="en-US" w:eastAsia="zh-CN" w:bidi="ar-SA"/>
        </w:rPr>
        <w:t>提供原厂三年维保服务</w:t>
      </w:r>
    </w:p>
    <w:p w14:paraId="768A17A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Theme="minorEastAsia" w:hAnsiTheme="minorEastAsia" w:eastAsiaTheme="minorEastAsia" w:cstheme="minorEastAsia"/>
          <w:b w:val="0"/>
          <w:bCs/>
          <w:color w:val="auto"/>
          <w:kern w:val="0"/>
          <w:sz w:val="24"/>
          <w:szCs w:val="24"/>
          <w:lang w:val="en-US" w:eastAsia="zh-CN" w:bidi="ar-SA"/>
        </w:rPr>
        <w:t>2、中标人负责与甲方信息系统对接，</w:t>
      </w:r>
      <w:r>
        <w:rPr>
          <w:rFonts w:hint="eastAsia" w:ascii="宋体" w:hAnsi="宋体" w:cs="宋体"/>
          <w:color w:val="000000" w:themeColor="text1"/>
          <w:sz w:val="24"/>
          <w:szCs w:val="24"/>
          <w:highlight w:val="none"/>
          <w:lang w:eastAsia="zh-CN"/>
          <w14:textFill>
            <w14:solidFill>
              <w14:schemeClr w14:val="tx1"/>
            </w14:solidFill>
          </w14:textFill>
        </w:rPr>
        <w:t>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val="en-US" w:eastAsia="zh-CN"/>
          <w14:textFill>
            <w14:solidFill>
              <w14:schemeClr w14:val="tx1"/>
            </w14:solidFill>
          </w14:textFill>
        </w:rPr>
        <w:t>中标人</w:t>
      </w:r>
      <w:r>
        <w:rPr>
          <w:rFonts w:hint="eastAsia" w:ascii="宋体" w:hAnsi="宋体" w:cs="宋体"/>
          <w:color w:val="000000" w:themeColor="text1"/>
          <w:sz w:val="24"/>
          <w:szCs w:val="24"/>
          <w:highlight w:val="none"/>
          <w:lang w:eastAsia="zh-CN"/>
          <w14:textFill>
            <w14:solidFill>
              <w14:schemeClr w14:val="tx1"/>
            </w14:solidFill>
          </w14:textFill>
        </w:rPr>
        <w:t>及第三方需要收取的</w:t>
      </w:r>
      <w:r>
        <w:rPr>
          <w:rFonts w:hint="eastAsia" w:ascii="宋体" w:hAnsi="宋体" w:cs="宋体"/>
          <w:color w:val="000000" w:themeColor="text1"/>
          <w:sz w:val="24"/>
          <w:szCs w:val="24"/>
          <w:highlight w:val="none"/>
          <w14:textFill>
            <w14:solidFill>
              <w14:schemeClr w14:val="tx1"/>
            </w14:solidFill>
          </w14:textFill>
        </w:rPr>
        <w:t>全部费用均由</w:t>
      </w:r>
      <w:r>
        <w:rPr>
          <w:rFonts w:hint="eastAsia" w:ascii="宋体" w:hAnsi="宋体" w:cs="宋体"/>
          <w:color w:val="000000" w:themeColor="text1"/>
          <w:sz w:val="24"/>
          <w:szCs w:val="24"/>
          <w:highlight w:val="none"/>
          <w:lang w:val="en-US" w:eastAsia="zh-CN"/>
          <w14:textFill>
            <w14:solidFill>
              <w14:schemeClr w14:val="tx1"/>
            </w14:solidFill>
          </w14:textFill>
        </w:rPr>
        <w:t>中标人</w:t>
      </w:r>
      <w:r>
        <w:rPr>
          <w:rFonts w:hint="eastAsia" w:ascii="宋体" w:hAnsi="宋体" w:cs="宋体"/>
          <w:color w:val="000000" w:themeColor="text1"/>
          <w:sz w:val="24"/>
          <w:szCs w:val="24"/>
          <w:highlight w:val="none"/>
          <w14:textFill>
            <w14:solidFill>
              <w14:schemeClr w14:val="tx1"/>
            </w14:solidFill>
          </w14:textFill>
        </w:rPr>
        <w:t>承担。</w:t>
      </w:r>
    </w:p>
    <w:p w14:paraId="25B9F2D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3、付款方式：按合同模版约定执行</w:t>
      </w:r>
    </w:p>
    <w:p w14:paraId="005C0C8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p>
    <w:p w14:paraId="002EA66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560" w:firstLineChars="200"/>
        <w:textAlignment w:val="auto"/>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三、标书要求</w:t>
      </w:r>
    </w:p>
    <w:p w14:paraId="1190B9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3AE7D2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w:t>
      </w:r>
    </w:p>
    <w:p w14:paraId="68C94A9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7A3E69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CBF51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081DCE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39B230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19A383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5A92BC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737229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08BAD364">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p>
    <w:p w14:paraId="30A737BB">
      <w:pPr>
        <w:spacing w:line="360" w:lineRule="auto"/>
        <w:ind w:firstLine="560" w:firstLineChars="200"/>
        <w:rPr>
          <w:rFonts w:hint="eastAsia" w:asciiTheme="minorEastAsia" w:hAnsiTheme="minorEastAsia" w:eastAsiaTheme="minorEastAsia" w:cstheme="minorEastAsia"/>
          <w:bCs/>
          <w:color w:val="auto"/>
          <w:kern w:val="0"/>
          <w:sz w:val="28"/>
          <w:szCs w:val="28"/>
          <w:lang w:val="en-US" w:eastAsia="zh-CN" w:bidi="ar-SA"/>
        </w:rPr>
      </w:pPr>
      <w:r>
        <w:rPr>
          <w:rFonts w:hint="eastAsia" w:asciiTheme="minorEastAsia" w:hAnsiTheme="minorEastAsia" w:eastAsiaTheme="minorEastAsia" w:cstheme="minorEastAsia"/>
          <w:bCs/>
          <w:color w:val="auto"/>
          <w:kern w:val="0"/>
          <w:sz w:val="28"/>
          <w:szCs w:val="28"/>
          <w:lang w:val="en-US" w:eastAsia="zh-CN" w:bidi="ar-SA"/>
        </w:rPr>
        <w:t>四、合同</w:t>
      </w:r>
    </w:p>
    <w:p w14:paraId="0BEDE949">
      <w:pPr>
        <w:keepNext w:val="0"/>
        <w:keepLines w:val="0"/>
        <w:pageBreakBefore w:val="0"/>
        <w:widowControl w:val="0"/>
        <w:kinsoku/>
        <w:wordWrap/>
        <w:overflowPunct/>
        <w:topLinePunct w:val="0"/>
        <w:autoSpaceDE/>
        <w:autoSpaceDN/>
        <w:bidi w:val="0"/>
        <w:adjustRightInd/>
        <w:snapToGrid/>
        <w:spacing w:line="380" w:lineRule="exact"/>
        <w:textAlignment w:val="auto"/>
        <w:rPr>
          <w:highlight w:val="none"/>
        </w:rPr>
      </w:pP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r>
        <w:rPr>
          <w:rFonts w:hint="eastAsia" w:ascii="仿宋_GB2312" w:eastAsia="仿宋_GB2312" w:cs="仿宋_GB2312"/>
          <w:bCs/>
          <w:kern w:val="0"/>
          <w:sz w:val="28"/>
          <w:szCs w:val="28"/>
          <w:highlight w:val="none"/>
        </w:rPr>
        <w:t xml:space="preserve">  </w:t>
      </w:r>
    </w:p>
    <w:p w14:paraId="79E4F962">
      <w:pPr>
        <w:keepNext w:val="0"/>
        <w:keepLines w:val="0"/>
        <w:pageBreakBefore w:val="0"/>
        <w:widowControl w:val="0"/>
        <w:kinsoku/>
        <w:wordWrap/>
        <w:overflowPunct/>
        <w:topLinePunct w:val="0"/>
        <w:autoSpaceDE/>
        <w:autoSpaceDN/>
        <w:bidi w:val="0"/>
        <w:adjustRightInd/>
        <w:snapToGrid/>
        <w:spacing w:line="440" w:lineRule="exact"/>
        <w:jc w:val="right"/>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cs="仿宋_GB2312"/>
          <w:bCs/>
          <w:color w:val="auto"/>
          <w:kern w:val="0"/>
          <w:sz w:val="28"/>
          <w:szCs w:val="28"/>
          <w:lang w:val="en-US" w:eastAsia="zh-CN" w:bidi="ar-SA"/>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合同编号：</w:t>
      </w:r>
    </w:p>
    <w:p w14:paraId="022F4C2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黑体" w:hAnsi="黑体" w:eastAsia="黑体" w:cs="黑体"/>
          <w:color w:val="000000" w:themeColor="text1"/>
          <w:sz w:val="44"/>
          <w:szCs w:val="44"/>
          <w:highlight w:val="none"/>
          <w:lang w:val="en-US" w:eastAsia="zh-CN"/>
          <w14:textFill>
            <w14:solidFill>
              <w14:schemeClr w14:val="tx1"/>
            </w14:solidFill>
          </w14:textFill>
        </w:rPr>
        <w:t>货物采购合同</w:t>
      </w:r>
    </w:p>
    <w:p w14:paraId="5829F078">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p>
    <w:p w14:paraId="6E33279C">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甲方（采购方）：</w:t>
      </w:r>
      <w:r>
        <w:rPr>
          <w:rFonts w:hint="eastAsia" w:ascii="宋体" w:hAnsi="宋体" w:eastAsia="宋体" w:cs="宋体"/>
          <w:color w:val="000000" w:themeColor="text1"/>
          <w:sz w:val="24"/>
          <w:szCs w:val="24"/>
          <w:highlight w:val="none"/>
          <w:lang w:val="en-US" w:eastAsia="zh-CN"/>
          <w14:textFill>
            <w14:solidFill>
              <w14:schemeClr w14:val="tx1"/>
            </w14:solidFill>
          </w14:textFill>
        </w:rPr>
        <w:t>娄底市中心医院</w:t>
      </w:r>
    </w:p>
    <w:p w14:paraId="22CFE09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r>
        <w:rPr>
          <w:rFonts w:hint="eastAsia" w:ascii="宋体" w:hAnsi="宋体" w:cs="宋体"/>
          <w:color w:val="000000" w:themeColor="text1"/>
          <w:sz w:val="24"/>
          <w:szCs w:val="24"/>
          <w:highlight w:val="none"/>
          <w:lang w:val="en-US" w:eastAsia="zh-CN"/>
          <w14:textFill>
            <w14:solidFill>
              <w14:schemeClr w14:val="tx1"/>
            </w14:solidFill>
          </w14:textFill>
        </w:rPr>
        <w:t>杨吉军</w:t>
      </w:r>
      <w:bookmarkStart w:id="4" w:name="_GoBack"/>
      <w:bookmarkEnd w:id="4"/>
    </w:p>
    <w:p w14:paraId="32B2DB1D">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统一社会信用代码：12431300447162073W</w:t>
      </w:r>
    </w:p>
    <w:p w14:paraId="63C25A7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地址：湖南省娄底市娄星区长青中街51号</w:t>
      </w:r>
    </w:p>
    <w:p w14:paraId="0FBF2D7F">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r>
        <w:rPr>
          <w:rFonts w:hint="eastAsia" w:ascii="宋体" w:hAnsi="宋体" w:cs="宋体"/>
          <w:color w:val="000000" w:themeColor="text1"/>
          <w:sz w:val="24"/>
          <w:szCs w:val="24"/>
          <w:highlight w:val="none"/>
          <w:lang w:val="en-US" w:eastAsia="zh-CN"/>
          <w14:textFill>
            <w14:solidFill>
              <w14:schemeClr w14:val="tx1"/>
            </w14:solidFill>
          </w14:textFill>
        </w:rPr>
        <w:t>董昉</w:t>
      </w:r>
    </w:p>
    <w:p w14:paraId="795DE290">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联系电话：15973879275</w:t>
      </w:r>
    </w:p>
    <w:p w14:paraId="6EA42D69">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乙方（供货方）：</w:t>
      </w:r>
    </w:p>
    <w:p w14:paraId="739F07E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法定代表人：</w:t>
      </w:r>
    </w:p>
    <w:p w14:paraId="28112486">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统一社会信用代码：</w:t>
      </w:r>
    </w:p>
    <w:p w14:paraId="5F14189B">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地址：</w:t>
      </w:r>
    </w:p>
    <w:p w14:paraId="615775B2">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联系人：</w:t>
      </w:r>
    </w:p>
    <w:p w14:paraId="40A409CA">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联系电话：</w:t>
      </w:r>
    </w:p>
    <w:p w14:paraId="457BFC9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p>
    <w:p w14:paraId="7923F577">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甲方通过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医院公开挂网</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方式</w:t>
      </w:r>
      <w:r>
        <w:rPr>
          <w:rFonts w:hint="eastAsia" w:ascii="宋体" w:hAnsi="宋体" w:eastAsia="宋体" w:cs="宋体"/>
          <w:color w:val="000000" w:themeColor="text1"/>
          <w:sz w:val="24"/>
          <w:szCs w:val="24"/>
          <w:highlight w:val="none"/>
          <w:lang w:val="en-US" w:eastAsia="zh-CN"/>
          <w14:textFill>
            <w14:solidFill>
              <w14:schemeClr w14:val="tx1"/>
            </w14:solidFill>
          </w14:textFill>
        </w:rPr>
        <w:t>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万兆交换机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，乙方为中标/中选供应商。根据《中华人民共和国民法典》《中华人民共和国政府采购法》等相关法律规定，甲乙双方在采购项目确定的基础上，就采购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万兆交换机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相关</w:t>
      </w:r>
      <w:r>
        <w:rPr>
          <w:rFonts w:hint="eastAsia" w:ascii="宋体" w:hAnsi="宋体" w:eastAsia="宋体" w:cs="宋体"/>
          <w:color w:val="000000" w:themeColor="text1"/>
          <w:sz w:val="24"/>
          <w:szCs w:val="24"/>
          <w:highlight w:val="none"/>
          <w:lang w:val="en-US" w:eastAsia="zh-CN"/>
          <w14:textFill>
            <w14:solidFill>
              <w14:schemeClr w14:val="tx1"/>
            </w14:solidFill>
          </w14:textFill>
        </w:rPr>
        <w:t>事宜平等、自愿、公平、诚信协商，达成一致，特订立本合同，以资共同遵守。</w:t>
      </w:r>
    </w:p>
    <w:p w14:paraId="1867945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第一条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采购内容</w:t>
      </w:r>
    </w:p>
    <w:p w14:paraId="294F4B7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1.1 货物名称、品牌、型号、价格</w:t>
      </w:r>
    </w:p>
    <w:tbl>
      <w:tblPr>
        <w:tblStyle w:val="16"/>
        <w:tblpPr w:leftFromText="180" w:rightFromText="180" w:vertAnchor="text" w:horzAnchor="page" w:tblpX="1965" w:tblpY="148"/>
        <w:tblOverlap w:val="never"/>
        <w:tblW w:w="84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220"/>
        <w:gridCol w:w="1760"/>
        <w:gridCol w:w="1320"/>
        <w:gridCol w:w="940"/>
        <w:gridCol w:w="1654"/>
      </w:tblGrid>
      <w:tr w14:paraId="6EA04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noWrap w:val="0"/>
            <w:vAlign w:val="top"/>
          </w:tcPr>
          <w:p w14:paraId="5E0736F3">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货物</w:t>
            </w:r>
            <w:r>
              <w:rPr>
                <w:rFonts w:hint="eastAsia" w:ascii="宋体" w:hAnsi="宋体" w:eastAsia="宋体" w:cs="宋体"/>
                <w:color w:val="000000" w:themeColor="text1"/>
                <w:kern w:val="0"/>
                <w:sz w:val="24"/>
                <w:szCs w:val="24"/>
                <w:highlight w:val="none"/>
                <w14:textFill>
                  <w14:solidFill>
                    <w14:schemeClr w14:val="tx1"/>
                  </w14:solidFill>
                </w14:textFill>
              </w:rPr>
              <w:t>名称</w:t>
            </w:r>
          </w:p>
        </w:tc>
        <w:tc>
          <w:tcPr>
            <w:tcW w:w="1220" w:type="dxa"/>
            <w:noWrap w:val="0"/>
            <w:vAlign w:val="top"/>
          </w:tcPr>
          <w:p w14:paraId="414E003F">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品牌</w:t>
            </w:r>
          </w:p>
        </w:tc>
        <w:tc>
          <w:tcPr>
            <w:tcW w:w="1760" w:type="dxa"/>
            <w:noWrap w:val="0"/>
            <w:vAlign w:val="top"/>
          </w:tcPr>
          <w:p w14:paraId="0C3CF608">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eastAsia="zh-CN"/>
                <w14:textFill>
                  <w14:solidFill>
                    <w14:schemeClr w14:val="tx1"/>
                  </w14:solidFill>
                </w14:textFill>
              </w:rPr>
              <w:t>型号</w:t>
            </w:r>
          </w:p>
        </w:tc>
        <w:tc>
          <w:tcPr>
            <w:tcW w:w="1320" w:type="dxa"/>
            <w:noWrap w:val="0"/>
            <w:vAlign w:val="top"/>
          </w:tcPr>
          <w:p w14:paraId="0CBBEED2">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单价（元）</w:t>
            </w:r>
          </w:p>
        </w:tc>
        <w:tc>
          <w:tcPr>
            <w:tcW w:w="940" w:type="dxa"/>
            <w:noWrap w:val="0"/>
            <w:vAlign w:val="top"/>
          </w:tcPr>
          <w:p w14:paraId="25CE54D6">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数量</w:t>
            </w:r>
          </w:p>
        </w:tc>
        <w:tc>
          <w:tcPr>
            <w:tcW w:w="1654" w:type="dxa"/>
            <w:noWrap w:val="0"/>
            <w:vAlign w:val="top"/>
          </w:tcPr>
          <w:p w14:paraId="14C51E89">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金额（元）</w:t>
            </w:r>
          </w:p>
        </w:tc>
      </w:tr>
      <w:tr w14:paraId="1C14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noWrap w:val="0"/>
            <w:vAlign w:val="top"/>
          </w:tcPr>
          <w:p w14:paraId="3E6846E5">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万兆交换机</w:t>
            </w:r>
          </w:p>
        </w:tc>
        <w:tc>
          <w:tcPr>
            <w:tcW w:w="1220" w:type="dxa"/>
            <w:noWrap w:val="0"/>
            <w:vAlign w:val="center"/>
          </w:tcPr>
          <w:p w14:paraId="647CBAB3">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1760" w:type="dxa"/>
            <w:noWrap w:val="0"/>
            <w:vAlign w:val="top"/>
          </w:tcPr>
          <w:p w14:paraId="169AA642">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noWrap w:val="0"/>
            <w:vAlign w:val="top"/>
          </w:tcPr>
          <w:p w14:paraId="3535CCCD">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 </w:t>
            </w:r>
          </w:p>
        </w:tc>
        <w:tc>
          <w:tcPr>
            <w:tcW w:w="940" w:type="dxa"/>
            <w:noWrap w:val="0"/>
            <w:vAlign w:val="top"/>
          </w:tcPr>
          <w:p w14:paraId="542336D4">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w:t>
            </w:r>
          </w:p>
        </w:tc>
        <w:tc>
          <w:tcPr>
            <w:tcW w:w="1654" w:type="dxa"/>
            <w:noWrap w:val="0"/>
            <w:vAlign w:val="top"/>
          </w:tcPr>
          <w:p w14:paraId="459F5125">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2A94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517" w:type="dxa"/>
            <w:noWrap w:val="0"/>
            <w:vAlign w:val="top"/>
          </w:tcPr>
          <w:p w14:paraId="58A1B710">
            <w:pPr>
              <w:keepNext w:val="0"/>
              <w:keepLines w:val="0"/>
              <w:pageBreakBefore w:val="0"/>
              <w:widowControl/>
              <w:kinsoku/>
              <w:wordWrap/>
              <w:overflowPunct/>
              <w:topLinePunct w:val="0"/>
              <w:autoSpaceDE/>
              <w:autoSpaceDN/>
              <w:bidi w:val="0"/>
              <w:adjustRightInd/>
              <w:snapToGrid/>
              <w:spacing w:line="440" w:lineRule="exact"/>
              <w:jc w:val="both"/>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default" w:ascii="宋体" w:hAnsi="宋体" w:eastAsia="宋体" w:cs="宋体"/>
                <w:color w:val="000000" w:themeColor="text1"/>
                <w:kern w:val="0"/>
                <w:sz w:val="24"/>
                <w:szCs w:val="24"/>
                <w:highlight w:val="none"/>
                <w:lang w:val="en-US" w:eastAsia="zh-CN"/>
                <w14:textFill>
                  <w14:solidFill>
                    <w14:schemeClr w14:val="tx1"/>
                  </w14:solidFill>
                </w14:textFill>
              </w:rPr>
              <w:t>万兆交换机</w:t>
            </w:r>
          </w:p>
        </w:tc>
        <w:tc>
          <w:tcPr>
            <w:tcW w:w="1220" w:type="dxa"/>
            <w:noWrap w:val="0"/>
            <w:vAlign w:val="center"/>
          </w:tcPr>
          <w:p w14:paraId="3B7BD683">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760" w:type="dxa"/>
            <w:noWrap w:val="0"/>
            <w:vAlign w:val="top"/>
          </w:tcPr>
          <w:p w14:paraId="4526B8B4">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1320" w:type="dxa"/>
            <w:noWrap w:val="0"/>
            <w:vAlign w:val="top"/>
          </w:tcPr>
          <w:p w14:paraId="0D953B2E">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000000" w:themeColor="text1"/>
                <w:kern w:val="0"/>
                <w:sz w:val="24"/>
                <w:szCs w:val="24"/>
                <w:highlight w:val="none"/>
                <w:lang w:val="en-US" w:eastAsia="zh-CN"/>
                <w14:textFill>
                  <w14:solidFill>
                    <w14:schemeClr w14:val="tx1"/>
                  </w14:solidFill>
                </w14:textFill>
              </w:rPr>
            </w:pPr>
          </w:p>
        </w:tc>
        <w:tc>
          <w:tcPr>
            <w:tcW w:w="940" w:type="dxa"/>
            <w:noWrap w:val="0"/>
            <w:vAlign w:val="top"/>
          </w:tcPr>
          <w:p w14:paraId="01129C86">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2</w:t>
            </w:r>
          </w:p>
        </w:tc>
        <w:tc>
          <w:tcPr>
            <w:tcW w:w="1654" w:type="dxa"/>
            <w:noWrap w:val="0"/>
            <w:vAlign w:val="top"/>
          </w:tcPr>
          <w:p w14:paraId="33BB9326">
            <w:pPr>
              <w:keepNext w:val="0"/>
              <w:keepLines w:val="0"/>
              <w:pageBreakBefore w:val="0"/>
              <w:widowControl/>
              <w:kinsoku/>
              <w:wordWrap/>
              <w:overflowPunct/>
              <w:topLinePunct w:val="0"/>
              <w:autoSpaceDE/>
              <w:autoSpaceDN/>
              <w:bidi w:val="0"/>
              <w:adjustRightInd/>
              <w:snapToGrid/>
              <w:spacing w:line="440" w:lineRule="exact"/>
              <w:jc w:val="center"/>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p>
        </w:tc>
      </w:tr>
      <w:tr w14:paraId="297FB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411" w:type="dxa"/>
            <w:gridSpan w:val="6"/>
            <w:noWrap w:val="0"/>
            <w:vAlign w:val="top"/>
          </w:tcPr>
          <w:p w14:paraId="289B637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default" w:ascii="宋体" w:hAnsi="宋体" w:eastAsia="宋体" w:cs="宋体"/>
                <w:color w:val="000000" w:themeColor="text1"/>
                <w:kern w:val="0"/>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合计</w:t>
            </w:r>
            <w:r>
              <w:rPr>
                <w:rFonts w:hint="eastAsia" w:ascii="宋体" w:hAnsi="宋体" w:eastAsia="宋体" w:cs="宋体"/>
                <w:color w:val="000000" w:themeColor="text1"/>
                <w:kern w:val="0"/>
                <w:sz w:val="24"/>
                <w:szCs w:val="24"/>
                <w:highlight w:val="none"/>
                <w:lang w:eastAsia="zh-CN"/>
                <w14:textFill>
                  <w14:solidFill>
                    <w14:schemeClr w14:val="tx1"/>
                  </w14:solidFill>
                </w14:textFill>
              </w:rPr>
              <w:t>价款</w:t>
            </w:r>
            <w:r>
              <w:rPr>
                <w:rFonts w:hint="eastAsia" w:ascii="宋体" w:hAnsi="宋体" w:eastAsia="宋体" w:cs="宋体"/>
                <w:color w:val="000000" w:themeColor="text1"/>
                <w:kern w:val="0"/>
                <w:sz w:val="24"/>
                <w:szCs w:val="24"/>
                <w:highlight w:val="none"/>
                <w14:textFill>
                  <w14:solidFill>
                    <w14:schemeClr w14:val="tx1"/>
                  </w14:solidFill>
                </w14:textFill>
              </w:rPr>
              <w:t>金额人民币（大写）：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eastAsia="zh-CN"/>
                <w14:textFill>
                  <w14:solidFill>
                    <w14:schemeClr w14:val="tx1"/>
                  </w14:solidFill>
                </w14:textFill>
              </w:rPr>
              <w:t>元</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 xml:space="preserve">整      </w:t>
            </w:r>
            <w:r>
              <w:rPr>
                <w:rFonts w:hint="eastAsia" w:ascii="宋体" w:hAnsi="宋体" w:eastAsia="宋体" w:cs="宋体"/>
                <w:color w:val="000000" w:themeColor="text1"/>
                <w:kern w:val="0"/>
                <w:sz w:val="24"/>
                <w:szCs w:val="24"/>
                <w:highlight w:val="none"/>
                <w14:textFill>
                  <w14:solidFill>
                    <w14:schemeClr w14:val="tx1"/>
                  </w14:solidFill>
                </w14:textFill>
              </w:rPr>
              <w:t>（小写）：</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元</w:t>
            </w:r>
          </w:p>
        </w:tc>
      </w:tr>
    </w:tbl>
    <w:p w14:paraId="66A6CED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1.2 本合同约定价格为固定总价，不因物价、市场波动变更，约定价格包括且不限于设计费、材料费、人工费、安装费、包装费、运输费、装卸费、调试费、接口费、检测费、检验费、税费、保险费、售后服务费、附随服务费等在内所有费用。 </w:t>
      </w:r>
    </w:p>
    <w:p w14:paraId="48A7E00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1.3 </w:t>
      </w:r>
      <w:r>
        <w:rPr>
          <w:rFonts w:hint="eastAsia" w:ascii="宋体" w:hAnsi="宋体" w:cs="宋体"/>
          <w:color w:val="000000" w:themeColor="text1"/>
          <w:sz w:val="24"/>
          <w:szCs w:val="24"/>
          <w:highlight w:val="none"/>
          <w14:textFill>
            <w14:solidFill>
              <w14:schemeClr w14:val="tx1"/>
            </w14:solidFill>
          </w14:textFill>
        </w:rPr>
        <w:t>本合同</w:t>
      </w:r>
      <w:r>
        <w:rPr>
          <w:rFonts w:hint="eastAsia" w:ascii="宋体" w:hAnsi="宋体" w:cs="宋体"/>
          <w:color w:val="000000" w:themeColor="text1"/>
          <w:sz w:val="24"/>
          <w:szCs w:val="24"/>
          <w:highlight w:val="none"/>
          <w:lang w:eastAsia="zh-CN"/>
          <w14:textFill>
            <w14:solidFill>
              <w14:schemeClr w14:val="tx1"/>
            </w14:solidFill>
          </w14:textFill>
        </w:rPr>
        <w:t>货物需要</w:t>
      </w:r>
      <w:r>
        <w:rPr>
          <w:rFonts w:hint="eastAsia" w:ascii="宋体" w:hAnsi="宋体" w:cs="宋体"/>
          <w:color w:val="000000" w:themeColor="text1"/>
          <w:sz w:val="24"/>
          <w:szCs w:val="24"/>
          <w:highlight w:val="none"/>
          <w14:textFill>
            <w14:solidFill>
              <w14:schemeClr w14:val="tx1"/>
            </w14:solidFill>
          </w14:textFill>
        </w:rPr>
        <w:t>与甲方</w:t>
      </w:r>
      <w:r>
        <w:rPr>
          <w:rFonts w:hint="eastAsia" w:ascii="宋体" w:hAnsi="宋体" w:cs="宋体"/>
          <w:color w:val="000000" w:themeColor="text1"/>
          <w:sz w:val="24"/>
          <w:szCs w:val="24"/>
          <w:highlight w:val="none"/>
          <w:lang w:eastAsia="zh-CN"/>
          <w14:textFill>
            <w14:solidFill>
              <w14:schemeClr w14:val="tx1"/>
            </w14:solidFill>
          </w14:textFill>
        </w:rPr>
        <w:t>使用的</w:t>
      </w:r>
      <w:r>
        <w:rPr>
          <w:rFonts w:hint="eastAsia" w:ascii="宋体" w:hAnsi="宋体" w:cs="宋体"/>
          <w:color w:val="000000" w:themeColor="text1"/>
          <w:sz w:val="24"/>
          <w:szCs w:val="24"/>
          <w:highlight w:val="none"/>
          <w14:textFill>
            <w14:solidFill>
              <w14:schemeClr w14:val="tx1"/>
            </w14:solidFill>
          </w14:textFill>
        </w:rPr>
        <w:t>信息系统</w:t>
      </w:r>
      <w:r>
        <w:rPr>
          <w:rFonts w:hint="eastAsia" w:ascii="宋体" w:hAnsi="宋体" w:cs="宋体"/>
          <w:color w:val="000000" w:themeColor="text1"/>
          <w:sz w:val="24"/>
          <w:szCs w:val="24"/>
          <w:highlight w:val="none"/>
          <w:lang w:eastAsia="zh-CN"/>
          <w14:textFill>
            <w14:solidFill>
              <w14:schemeClr w14:val="tx1"/>
            </w14:solidFill>
          </w14:textFill>
        </w:rPr>
        <w:t>对接，因</w:t>
      </w:r>
      <w:r>
        <w:rPr>
          <w:rFonts w:hint="eastAsia" w:ascii="宋体" w:hAnsi="宋体" w:cs="宋体"/>
          <w:color w:val="000000" w:themeColor="text1"/>
          <w:sz w:val="24"/>
          <w:szCs w:val="24"/>
          <w:highlight w:val="none"/>
          <w14:textFill>
            <w14:solidFill>
              <w14:schemeClr w14:val="tx1"/>
            </w14:solidFill>
          </w14:textFill>
        </w:rPr>
        <w:t>对接产生的接口开发等</w:t>
      </w:r>
      <w:r>
        <w:rPr>
          <w:rFonts w:hint="eastAsia" w:ascii="宋体" w:hAnsi="宋体" w:cs="宋体"/>
          <w:color w:val="000000" w:themeColor="text1"/>
          <w:sz w:val="24"/>
          <w:szCs w:val="24"/>
          <w:highlight w:val="none"/>
          <w:lang w:eastAsia="zh-CN"/>
          <w14:textFill>
            <w14:solidFill>
              <w14:schemeClr w14:val="tx1"/>
            </w14:solidFill>
          </w14:textFill>
        </w:rPr>
        <w:t>乙方及第三方需要收取的</w:t>
      </w:r>
      <w:r>
        <w:rPr>
          <w:rFonts w:hint="eastAsia" w:ascii="宋体" w:hAnsi="宋体" w:cs="宋体"/>
          <w:color w:val="000000" w:themeColor="text1"/>
          <w:sz w:val="24"/>
          <w:szCs w:val="24"/>
          <w:highlight w:val="none"/>
          <w14:textFill>
            <w14:solidFill>
              <w14:schemeClr w14:val="tx1"/>
            </w14:solidFill>
          </w14:textFill>
        </w:rPr>
        <w:t>全部费用均由乙方承担。</w:t>
      </w:r>
    </w:p>
    <w:p w14:paraId="4D7E46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82" w:firstLineChars="200"/>
        <w:jc w:val="both"/>
        <w:textAlignment w:val="auto"/>
        <w:rPr>
          <w:rFonts w:hint="default"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 xml:space="preserve">第二条  </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交货时间、地点、运输</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w:t>
      </w:r>
      <w:r>
        <w:rPr>
          <w:rFonts w:hint="default" w:ascii="宋体" w:hAnsi="宋体" w:eastAsia="宋体" w:cs="宋体"/>
          <w:b/>
          <w:bCs/>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、搬运</w:t>
      </w:r>
    </w:p>
    <w:p w14:paraId="055C09A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2.1 </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交货时间：</w:t>
      </w:r>
    </w:p>
    <w:p w14:paraId="6E1413D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本合同货物</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要求一次性交付，</w:t>
      </w:r>
      <w:r>
        <w:rPr>
          <w:rFonts w:hint="default" w:ascii="宋体" w:hAnsi="宋体" w:eastAsia="宋体" w:cs="宋体"/>
          <w:color w:val="000000" w:themeColor="text1"/>
          <w:sz w:val="24"/>
          <w:szCs w:val="24"/>
          <w:highlight w:val="none"/>
          <w:lang w:val="en-US" w:eastAsia="zh-CN"/>
          <w14:textFill>
            <w14:solidFill>
              <w14:schemeClr w14:val="tx1"/>
            </w14:solidFill>
          </w14:textFill>
        </w:rPr>
        <w:t>乙方应在</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自接到甲方通知之日起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default" w:ascii="宋体" w:hAnsi="宋体" w:eastAsia="宋体" w:cs="宋体"/>
          <w:color w:val="000000" w:themeColor="text1"/>
          <w:sz w:val="24"/>
          <w:szCs w:val="24"/>
          <w:highlight w:val="none"/>
          <w:lang w:val="en-US" w:eastAsia="zh-CN"/>
          <w14:textFill>
            <w14:solidFill>
              <w14:schemeClr w14:val="tx1"/>
            </w14:solidFill>
          </w14:textFill>
        </w:rPr>
        <w:t>将</w:t>
      </w:r>
      <w:r>
        <w:rPr>
          <w:rFonts w:hint="eastAsia" w:ascii="宋体" w:hAnsi="宋体" w:eastAsia="宋体" w:cs="宋体"/>
          <w:color w:val="000000" w:themeColor="text1"/>
          <w:sz w:val="24"/>
          <w:szCs w:val="24"/>
          <w:highlight w:val="none"/>
          <w:lang w:val="en-US" w:eastAsia="zh-CN"/>
          <w14:textFill>
            <w14:solidFill>
              <w14:schemeClr w14:val="tx1"/>
            </w14:solidFill>
          </w14:textFill>
        </w:rPr>
        <w:t>全部货物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运至</w:t>
      </w:r>
      <w:r>
        <w:rPr>
          <w:rFonts w:hint="eastAsia" w:ascii="宋体" w:hAnsi="宋体" w:eastAsia="宋体" w:cs="宋体"/>
          <w:color w:val="000000" w:themeColor="text1"/>
          <w:sz w:val="24"/>
          <w:szCs w:val="24"/>
          <w:highlight w:val="none"/>
          <w:lang w:val="en-US" w:eastAsia="zh-CN"/>
          <w14:textFill>
            <w14:solidFill>
              <w14:schemeClr w14:val="tx1"/>
            </w14:solidFill>
          </w14:textFill>
        </w:rPr>
        <w:t>甲方指定交货</w:t>
      </w:r>
      <w:r>
        <w:rPr>
          <w:rFonts w:hint="default" w:ascii="宋体" w:hAnsi="宋体" w:eastAsia="宋体" w:cs="宋体"/>
          <w:color w:val="000000" w:themeColor="text1"/>
          <w:sz w:val="24"/>
          <w:szCs w:val="24"/>
          <w:highlight w:val="none"/>
          <w:lang w:val="en-US" w:eastAsia="zh-CN"/>
          <w14:textFill>
            <w14:solidFill>
              <w14:schemeClr w14:val="tx1"/>
            </w14:solidFill>
          </w14:textFill>
        </w:rPr>
        <w:t>地点，</w:t>
      </w:r>
      <w:r>
        <w:rPr>
          <w:rFonts w:hint="eastAsia" w:ascii="宋体" w:hAnsi="宋体" w:eastAsia="宋体" w:cs="宋体"/>
          <w:color w:val="000000" w:themeColor="text1"/>
          <w:sz w:val="24"/>
          <w:szCs w:val="24"/>
          <w:highlight w:val="none"/>
          <w:lang w:val="en-US" w:eastAsia="zh-CN"/>
          <w14:textFill>
            <w14:solidFill>
              <w14:schemeClr w14:val="tx1"/>
            </w14:solidFill>
          </w14:textFill>
        </w:rPr>
        <w:t>通过验收并交付甲方使用。</w:t>
      </w:r>
    </w:p>
    <w:p w14:paraId="13485AF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val="en-US" w:eastAsia="zh-CN"/>
          <w14:textFill>
            <w14:solidFill>
              <w14:schemeClr w14:val="tx1"/>
            </w14:solidFill>
          </w14:textFill>
        </w:rPr>
        <w:t>.2 甲方指定</w:t>
      </w:r>
      <w:r>
        <w:rPr>
          <w:rFonts w:hint="default" w:ascii="宋体" w:hAnsi="宋体" w:eastAsia="宋体" w:cs="宋体"/>
          <w:color w:val="000000" w:themeColor="text1"/>
          <w:sz w:val="24"/>
          <w:szCs w:val="24"/>
          <w:highlight w:val="none"/>
          <w:lang w:val="en-US" w:eastAsia="zh-CN"/>
          <w14:textFill>
            <w14:solidFill>
              <w14:schemeClr w14:val="tx1"/>
            </w14:solidFill>
          </w14:textFill>
        </w:rPr>
        <w:t>交货地点：湖南省娄底市</w:t>
      </w:r>
      <w:r>
        <w:rPr>
          <w:rFonts w:hint="eastAsia" w:ascii="宋体" w:hAnsi="宋体" w:eastAsia="宋体" w:cs="宋体"/>
          <w:color w:val="000000" w:themeColor="text1"/>
          <w:sz w:val="24"/>
          <w:szCs w:val="24"/>
          <w:highlight w:val="none"/>
          <w:lang w:val="en-US" w:eastAsia="zh-CN"/>
          <w14:textFill>
            <w14:solidFill>
              <w14:schemeClr w14:val="tx1"/>
            </w14:solidFill>
          </w14:textFill>
        </w:rPr>
        <w:t>娄星区</w:t>
      </w:r>
      <w:r>
        <w:rPr>
          <w:rFonts w:hint="default" w:ascii="宋体" w:hAnsi="宋体" w:eastAsia="宋体" w:cs="宋体"/>
          <w:color w:val="000000" w:themeColor="text1"/>
          <w:sz w:val="24"/>
          <w:szCs w:val="24"/>
          <w:highlight w:val="none"/>
          <w:lang w:val="en-US" w:eastAsia="zh-CN"/>
          <w14:textFill>
            <w14:solidFill>
              <w14:schemeClr w14:val="tx1"/>
            </w14:solidFill>
          </w14:textFill>
        </w:rPr>
        <w:t xml:space="preserve">长青中街51号娄底市中心医院。 </w:t>
      </w:r>
    </w:p>
    <w:p w14:paraId="3268044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default" w:ascii="宋体" w:hAnsi="宋体" w:eastAsia="宋体" w:cs="宋体"/>
          <w:color w:val="000000" w:themeColor="text1"/>
          <w:sz w:val="24"/>
          <w:szCs w:val="24"/>
          <w:highlight w:val="non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default" w:ascii="宋体" w:hAnsi="宋体" w:eastAsia="宋体" w:cs="宋体"/>
          <w:color w:val="000000" w:themeColor="text1"/>
          <w:sz w:val="24"/>
          <w:szCs w:val="24"/>
          <w:highlight w:val="none"/>
          <w:lang w:val="en-US" w:eastAsia="zh-CN"/>
          <w14:textFill>
            <w14:solidFill>
              <w14:schemeClr w14:val="tx1"/>
            </w14:solidFill>
          </w14:textFill>
        </w:rPr>
        <w:t>运输</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w:t>
      </w:r>
      <w:r>
        <w:rPr>
          <w:rFonts w:hint="default" w:ascii="宋体" w:hAnsi="宋体" w:eastAsia="宋体" w:cs="宋体"/>
          <w:color w:val="000000" w:themeColor="text1"/>
          <w:sz w:val="24"/>
          <w:szCs w:val="24"/>
          <w:highlight w:val="none"/>
          <w:lang w:val="en-US" w:eastAsia="zh-CN"/>
          <w14:textFill>
            <w14:solidFill>
              <w14:schemeClr w14:val="tx1"/>
            </w14:solidFill>
          </w14:textFill>
        </w:rPr>
        <w:t>：由乙方自备交通运输工具将</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运至合同约定地点，并负责</w:t>
      </w:r>
      <w:r>
        <w:rPr>
          <w:rFonts w:hint="eastAsia" w:ascii="宋体" w:hAnsi="宋体" w:eastAsia="宋体" w:cs="宋体"/>
          <w:color w:val="000000" w:themeColor="text1"/>
          <w:sz w:val="24"/>
          <w:szCs w:val="24"/>
          <w:highlight w:val="none"/>
          <w:lang w:val="en-US" w:eastAsia="zh-CN"/>
          <w14:textFill>
            <w14:solidFill>
              <w14:schemeClr w14:val="tx1"/>
            </w14:solidFill>
          </w14:textFill>
        </w:rPr>
        <w:t>货物</w:t>
      </w:r>
      <w:r>
        <w:rPr>
          <w:rFonts w:hint="default" w:ascii="宋体" w:hAnsi="宋体" w:eastAsia="宋体" w:cs="宋体"/>
          <w:color w:val="000000" w:themeColor="text1"/>
          <w:sz w:val="24"/>
          <w:szCs w:val="24"/>
          <w:highlight w:val="none"/>
          <w:lang w:val="en-US" w:eastAsia="zh-CN"/>
          <w14:textFill>
            <w14:solidFill>
              <w14:schemeClr w14:val="tx1"/>
            </w14:solidFill>
          </w14:textFill>
        </w:rPr>
        <w:t>装卸</w:t>
      </w:r>
      <w:r>
        <w:rPr>
          <w:rFonts w:hint="eastAsia" w:ascii="宋体" w:hAnsi="宋体" w:eastAsia="宋体" w:cs="宋体"/>
          <w:color w:val="000000" w:themeColor="text1"/>
          <w:sz w:val="24"/>
          <w:szCs w:val="24"/>
          <w:highlight w:val="none"/>
          <w:lang w:val="en-US" w:eastAsia="zh-CN"/>
          <w14:textFill>
            <w14:solidFill>
              <w14:schemeClr w14:val="tx1"/>
            </w14:solidFill>
          </w14:textFill>
        </w:rPr>
        <w:t>、搬运的人工及费用</w:t>
      </w:r>
      <w:r>
        <w:rPr>
          <w:rFonts w:hint="default" w:ascii="宋体" w:hAnsi="宋体" w:eastAsia="宋体" w:cs="宋体"/>
          <w:color w:val="000000" w:themeColor="text1"/>
          <w:sz w:val="24"/>
          <w:szCs w:val="24"/>
          <w:highlight w:val="none"/>
          <w:lang w:val="en-US" w:eastAsia="zh-CN"/>
          <w14:textFill>
            <w14:solidFill>
              <w14:schemeClr w14:val="tx1"/>
            </w14:solidFill>
          </w14:textFill>
        </w:rPr>
        <w:t>。</w:t>
      </w:r>
    </w:p>
    <w:p w14:paraId="1174A59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第三条 质量标准、质量验收、包装要求</w:t>
      </w:r>
    </w:p>
    <w:p w14:paraId="09E642C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3.1 质量标准：乙方提供货物的质量、安装应符合或优于国家标准；如投标文件/响应文件中的技术参数和质量标准高于国家标准，则货物的技术参数和质量标准以投标文件/响应文件为准；如乙方投标/响应时提交了样品并经甲方确认封存的，货物质量标准以样品为准。</w:t>
      </w:r>
    </w:p>
    <w:p w14:paraId="4C09B58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 质量验收：以本合同约定标准按以下方式进行验收：</w:t>
      </w:r>
    </w:p>
    <w:p w14:paraId="0C0F294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3.2.1 乙方将货物运至指定交货地点并将货物全部拆包、安装、调试、培训后），应通知甲方，并向甲方提供厂家标准资料文件（进口货物需提供真实有效的海关报关单，其他货物需提供产品合格证和售后质保承诺书）。甲方自接到乙方通知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日内自行组织到货验收，验收合格后签署到货验收报告单。如经甲方验收不合格，乙方应在</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szCs w:val="24"/>
          <w:highlight w:val="none"/>
          <w:lang w:val="en-US" w:eastAsia="zh-CN"/>
          <w14:textFill>
            <w14:solidFill>
              <w14:schemeClr w14:val="tx1"/>
            </w14:solidFill>
          </w14:textFill>
        </w:rPr>
        <w:t>日内无条件予以返工并承担所有费用。</w:t>
      </w:r>
    </w:p>
    <w:p w14:paraId="72E7DF8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3.2.2 甲方验收时如发现乙方所交付的货物不符合本合同约定，甲方应做出详尽的现场记录，由甲乙双方签署备忘录，该现场记录和备忘录作为乙方补交缺少部件、更换不符标准部件的有效依据，由此产生的一切经济损失由乙方承担。</w:t>
      </w:r>
    </w:p>
    <w:p w14:paraId="2B93AE1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3.3 包装要求：乙方提供的货物必须为原厂包装，外包装到货时应保证完好无损，否则甲方有权拒绝收货，由此造成的延期交货违约责任和一切经济损失全部由乙方承担。</w:t>
      </w:r>
    </w:p>
    <w:p w14:paraId="54E3E4F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第四条 安装、培训等事项</w:t>
      </w:r>
    </w:p>
    <w:p w14:paraId="48816D0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4.1 甲方负责协调、处理与安装、调试有关事宜，为乙方创造良好的安装、调试环境。</w:t>
      </w:r>
    </w:p>
    <w:p w14:paraId="2157AE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4.2 甲方委派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杨勇  </w:t>
      </w:r>
      <w:r>
        <w:rPr>
          <w:rFonts w:hint="eastAsia" w:ascii="宋体" w:hAnsi="宋体" w:eastAsia="宋体" w:cs="宋体"/>
          <w:color w:val="000000" w:themeColor="text1"/>
          <w:sz w:val="24"/>
          <w:szCs w:val="24"/>
          <w:highlight w:val="none"/>
          <w:lang w:val="en-US" w:eastAsia="zh-CN"/>
          <w14:textFill>
            <w14:solidFill>
              <w14:schemeClr w14:val="tx1"/>
            </w14:solidFill>
          </w14:textFill>
        </w:rPr>
        <w:t>作为代表，跟踪、检查安装、调试现场。</w:t>
      </w:r>
    </w:p>
    <w:p w14:paraId="281D13A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4.3 乙方负责对甲方的操作人员进行免费培训。</w:t>
      </w:r>
    </w:p>
    <w:p w14:paraId="684DB20C">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4.4 乙方在安装、调试过程中应加强操作人员的安全教育，杜绝安全事故的发生。 </w:t>
      </w:r>
    </w:p>
    <w:p w14:paraId="5ED38CF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第五条 售后服务</w:t>
      </w:r>
    </w:p>
    <w:p w14:paraId="384E65F6">
      <w:pPr>
        <w:keepNext w:val="0"/>
        <w:keepLines w:val="0"/>
        <w:pageBreakBefore w:val="0"/>
        <w:widowControl/>
        <w:numPr>
          <w:ilvl w:val="-1"/>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5.1 本合同货物质保期为</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lang w:val="en-US" w:eastAsia="zh-CN"/>
          <w14:textFill>
            <w14:solidFill>
              <w14:schemeClr w14:val="tx1"/>
            </w14:solidFill>
          </w14:textFill>
        </w:rPr>
        <w:t>年，自甲方在验收报告单上签字确认合格之日起开始计算。</w:t>
      </w:r>
    </w:p>
    <w:p w14:paraId="30C953F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 质保期内乙方免费提供维修、更换服务。</w:t>
      </w:r>
    </w:p>
    <w:p w14:paraId="06DD8BF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5.2.1 如货物在</w:t>
      </w:r>
      <w:r>
        <w:rPr>
          <w:rFonts w:hint="eastAsia" w:ascii="宋体" w:hAnsi="宋体" w:eastAsia="宋体" w:cs="宋体"/>
          <w:color w:val="000000" w:themeColor="text1"/>
          <w:sz w:val="24"/>
          <w:highlight w:val="none"/>
          <w14:textFill>
            <w14:solidFill>
              <w14:schemeClr w14:val="tx1"/>
            </w14:solidFill>
          </w14:textFill>
        </w:rPr>
        <w:t>质</w:t>
      </w:r>
      <w:r>
        <w:rPr>
          <w:rFonts w:hint="eastAsia" w:ascii="宋体" w:hAnsi="宋体" w:eastAsia="宋体" w:cs="宋体"/>
          <w:color w:val="000000" w:themeColor="text1"/>
          <w:sz w:val="24"/>
          <w:szCs w:val="24"/>
          <w:highlight w:val="none"/>
          <w:lang w:val="en-US" w:eastAsia="zh-CN"/>
          <w14:textFill>
            <w14:solidFill>
              <w14:schemeClr w14:val="tx1"/>
            </w14:solidFill>
          </w14:textFill>
        </w:rPr>
        <w:t>保期内出现质量问题，乙方应在接到甲方通知（包括电话通知）后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24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小时内赶到甲方进行维修或更换全新合格货物，相关费用由乙方承担。</w:t>
      </w:r>
    </w:p>
    <w:p w14:paraId="00AEBF0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5.2.2 质保期内甲方有权随时对货物进行质量监督，如货物经甲方样品比对、随机抽检或送第三方检测机构检测不合格的，乙方须在接到甲方通知后</w:t>
      </w:r>
      <w:r>
        <w:rPr>
          <w:rFonts w:hint="eastAsia" w:ascii="宋体" w:hAnsi="宋体" w:cs="宋体"/>
          <w:color w:val="000000" w:themeColor="text1"/>
          <w:sz w:val="24"/>
          <w:szCs w:val="24"/>
          <w:highlight w:val="none"/>
          <w:u w:val="single"/>
          <w:lang w:val="en-US" w:eastAsia="zh-CN"/>
          <w14:textFill>
            <w14:solidFill>
              <w14:schemeClr w14:val="tx1"/>
            </w14:solidFill>
          </w14:textFill>
        </w:rPr>
        <w:t>7</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日内</w:t>
      </w:r>
      <w:r>
        <w:rPr>
          <w:rFonts w:hint="eastAsia" w:ascii="宋体" w:hAnsi="宋体" w:eastAsia="宋体" w:cs="宋体"/>
          <w:color w:val="000000" w:themeColor="text1"/>
          <w:sz w:val="24"/>
          <w:szCs w:val="24"/>
          <w:highlight w:val="none"/>
          <w:lang w:val="en-US" w:eastAsia="zh-CN"/>
          <w14:textFill>
            <w14:solidFill>
              <w14:schemeClr w14:val="tx1"/>
            </w14:solidFill>
          </w14:textFill>
        </w:rPr>
        <w:t>对不合格货物所在送货批次的全部货物进行更换，第三方检测费用和更换产生的相关费用均由乙方承担。</w:t>
      </w:r>
    </w:p>
    <w:p w14:paraId="059F830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5.2.3 质保期内如乙方不及时维修、更换货物，甲方有权委托第三方提供服务，由此产生的相关费用，甲方有权在应付款中扣除、不足部分由乙方另行补足，或要求乙方将第三方提供服务产生的相关费用直接支付给甲方。</w:t>
      </w:r>
    </w:p>
    <w:p w14:paraId="3AF6DB8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5.3 质保期届满后，如货物出现问题，乙方应在接到甲方通知（包括电话通知）后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小时内响应，响应后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24</w:t>
      </w:r>
      <w:r>
        <w:rPr>
          <w:rFonts w:hint="eastAsia" w:ascii="宋体" w:hAnsi="宋体" w:eastAsia="宋体" w:cs="宋体"/>
          <w:color w:val="000000" w:themeColor="text1"/>
          <w:sz w:val="24"/>
          <w:szCs w:val="24"/>
          <w:highlight w:val="none"/>
          <w:lang w:val="en-US" w:eastAsia="zh-CN"/>
          <w14:textFill>
            <w14:solidFill>
              <w14:schemeClr w14:val="tx1"/>
            </w14:solidFill>
          </w14:textFill>
        </w:rPr>
        <w:t>小时上门服务，相关费用由甲方承担。</w:t>
      </w:r>
    </w:p>
    <w:p w14:paraId="22002611">
      <w:pPr>
        <w:keepNext w:val="0"/>
        <w:keepLines w:val="0"/>
        <w:pageBreakBefore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4 </w:t>
      </w:r>
      <w:r>
        <w:rPr>
          <w:rFonts w:hint="eastAsia" w:ascii="宋体" w:hAnsi="宋体" w:eastAsia="宋体" w:cs="宋体"/>
          <w:color w:val="000000" w:themeColor="text1"/>
          <w:sz w:val="24"/>
          <w:szCs w:val="24"/>
          <w:highlight w:val="none"/>
          <w14:textFill>
            <w14:solidFill>
              <w14:schemeClr w14:val="tx1"/>
            </w14:solidFill>
          </w14:textFill>
        </w:rPr>
        <w:t>乙方须指派</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电话：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专门负责与甲方联系售后服务事宜，如人员发生变动，应及时通知甲方。</w:t>
      </w:r>
    </w:p>
    <w:p w14:paraId="4BC0D27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第六条 付款时间、方式</w:t>
      </w:r>
    </w:p>
    <w:p w14:paraId="65F1256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 甲方通过银行转账方式向乙方指定银行账户支付款项：甲方在全部货物验收合格之日起4个月内，向乙方支付</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合同约定总价款</w:t>
      </w:r>
      <w:r>
        <w:rPr>
          <w:rFonts w:hint="eastAsia" w:ascii="宋体" w:hAnsi="宋体" w:eastAsia="宋体" w:cs="宋体"/>
          <w:color w:val="000000" w:themeColor="text1"/>
          <w:sz w:val="24"/>
          <w:szCs w:val="24"/>
          <w:highlight w:val="none"/>
          <w:lang w:val="en-US" w:eastAsia="zh-CN"/>
          <w14:textFill>
            <w14:solidFill>
              <w14:schemeClr w14:val="tx1"/>
            </w14:solidFill>
          </w14:textFill>
        </w:rPr>
        <w:t>的90%；余款10%，甲方在全部货物质保期届满且不存在需被扣除情形之日起10个工作日内，免息支付给乙方。</w:t>
      </w:r>
    </w:p>
    <w:p w14:paraId="22A50EE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6.2 乙方指定收款银行账户的开户名：</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开户银行：</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账号：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r>
        <w:rPr>
          <w:rFonts w:hint="eastAsia" w:ascii="宋体" w:hAnsi="宋体"/>
          <w:color w:val="000000" w:themeColor="text1"/>
          <w:sz w:val="28"/>
          <w:szCs w:val="28"/>
          <w:highlight w:val="none"/>
          <w:u w:val="none"/>
          <w:lang w:val="en-US" w:eastAsia="zh-CN"/>
          <w14:textFill>
            <w14:solidFill>
              <w14:schemeClr w14:val="tx1"/>
            </w14:solidFill>
          </w14:textFill>
        </w:rPr>
        <w:t xml:space="preserve">  </w:t>
      </w:r>
    </w:p>
    <w:p w14:paraId="78B4B5D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6.3 乙方应在甲方首次付款前，向甲方提供以乙方自己名义开具的与本合同总价等额的增值税普通发票；如乙方未及时提供发票，甲方有权顺延付款，由此产生的责任均由乙方自行承担。</w:t>
      </w:r>
    </w:p>
    <w:p w14:paraId="18377DD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第七条 风险承担</w:t>
      </w:r>
    </w:p>
    <w:p w14:paraId="64F4560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54FAC11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7.2 本合同货物毁损、丢失的风险自甲方在验收报告单上签字确认合格后转移给甲方，此前货物的一切风险均由乙方承担。</w:t>
      </w:r>
    </w:p>
    <w:p w14:paraId="721E51B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7.3 如甲方因乙方货物、质保服务等原因涉及纠纷、诉讼或被处以行政处罚，由乙方承担甲方因纠纷、诉讼、罚款等造成的全部经济损失。</w:t>
      </w:r>
    </w:p>
    <w:p w14:paraId="120C3AD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第八条 廉洁条款</w:t>
      </w:r>
    </w:p>
    <w:p w14:paraId="2ACC4BF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default" w:ascii="宋体" w:hAnsi="宋体" w:eastAsia="宋体" w:cs="宋体"/>
          <w:color w:val="000000" w:themeColor="text1"/>
          <w:sz w:val="24"/>
          <w:szCs w:val="24"/>
          <w:highlight w:val="none"/>
          <w:lang w:val="en-US" w:eastAsia="zh-CN"/>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06956CF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default" w:ascii="宋体" w:hAnsi="宋体" w:eastAsia="宋体" w:cs="宋体"/>
          <w:b/>
          <w:bCs/>
          <w:color w:val="000000" w:themeColor="text1"/>
          <w:sz w:val="24"/>
          <w:szCs w:val="24"/>
          <w:highlight w:val="none"/>
          <w:lang w:val="en-US" w:eastAsia="zh-CN"/>
          <w14:textFill>
            <w14:solidFill>
              <w14:schemeClr w14:val="tx1"/>
            </w14:solidFill>
          </w14:textFill>
        </w:rPr>
        <w:t xml:space="preserve">8.2 </w:t>
      </w:r>
      <w:r>
        <w:rPr>
          <w:rFonts w:hint="default" w:ascii="宋体" w:hAnsi="宋体" w:eastAsia="宋体" w:cs="宋体"/>
          <w:b/>
          <w:bCs/>
          <w:color w:val="000000" w:themeColor="text1"/>
          <w:sz w:val="24"/>
          <w:szCs w:val="24"/>
          <w:highlight w:val="none"/>
          <w:u w:val="single"/>
          <w:lang w:val="en-US" w:eastAsia="zh-CN"/>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3EC54FBF">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第九条 保密条款</w:t>
      </w:r>
    </w:p>
    <w:p w14:paraId="48B9AC1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0C8C43D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9.2 乙方应对保密信息应当采取有效手段严格保密，不得用于非本合同之目的或向第三方泄露。如政府部门、法院或其他有权部门要求乙方提供保密信息，乙方应当立即向甲方通报。</w:t>
      </w:r>
    </w:p>
    <w:p w14:paraId="38248FF2">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9.3 因乙方未履行本合同保密义务造成甲方或第三方损失的，由乙方承担全部赔偿责任。</w:t>
      </w:r>
    </w:p>
    <w:p w14:paraId="28D351A0">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9.4 本合同保密条款在合同被认定无效、被撤销或终止、解除后仍然有效。</w:t>
      </w:r>
    </w:p>
    <w:p w14:paraId="51C4FB74">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第十条 </w:t>
      </w:r>
      <w:r>
        <w:rPr>
          <w:rFonts w:hint="default" w:ascii="宋体" w:hAnsi="宋体" w:eastAsia="宋体" w:cs="宋体"/>
          <w:b/>
          <w:bCs/>
          <w:color w:val="000000" w:themeColor="text1"/>
          <w:sz w:val="24"/>
          <w:highlight w:val="none"/>
          <w:lang w:val="en-US" w:eastAsia="zh-CN"/>
          <w14:textFill>
            <w14:solidFill>
              <w14:schemeClr w14:val="tx1"/>
            </w14:solidFill>
          </w14:textFill>
        </w:rPr>
        <w:t>通知</w:t>
      </w:r>
      <w:r>
        <w:rPr>
          <w:rFonts w:hint="eastAsia" w:ascii="宋体" w:hAnsi="宋体" w:eastAsia="宋体" w:cs="宋体"/>
          <w:b/>
          <w:bCs/>
          <w:color w:val="000000" w:themeColor="text1"/>
          <w:sz w:val="24"/>
          <w:highlight w:val="none"/>
          <w:lang w:val="en-US" w:eastAsia="zh-CN"/>
          <w14:textFill>
            <w14:solidFill>
              <w14:schemeClr w14:val="tx1"/>
            </w14:solidFill>
          </w14:textFill>
        </w:rPr>
        <w:t>与送达</w:t>
      </w:r>
    </w:p>
    <w:p w14:paraId="4D8CC37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10.1 甲乙双方同意，与本合同有关的任何文书，应以书面方式按照本合同约定发送，书面方式包括手机短信、微信、书面函件、电子邮件等形式。</w:t>
      </w:r>
    </w:p>
    <w:p w14:paraId="7A40EE74">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10.2 双方确认的文书（包括未来可能发生的诉讼或仲裁活动中法院或仲裁机构的送达法律文书）送达地址：</w:t>
      </w:r>
    </w:p>
    <w:p w14:paraId="0461F0D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10.2.1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甲方的联系地址：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湖南省娄底市娄星区长青街51号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董昉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15973879275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22028581@qq.com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df22028581</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5356D359">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 xml:space="preserve">10.2.2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乙方的联系地址：</w:t>
      </w:r>
      <w:r>
        <w:rPr>
          <w:rFonts w:hint="default"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xml:space="preserve"> ，联系人：</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 联系电话：</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，邮箱地址</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或微信号</w:t>
      </w:r>
      <w:r>
        <w:rPr>
          <w:rFonts w:hint="eastAsia" w:ascii="宋体" w:hAnsi="宋体" w:eastAsia="宋体" w:cs="宋体"/>
          <w:b w:val="0"/>
          <w:bCs w:val="0"/>
          <w:color w:val="000000" w:themeColor="text1"/>
          <w:sz w:val="24"/>
          <w:highlight w:val="none"/>
          <w:lang w:val="en-US" w:eastAsia="zh-CN"/>
          <w14:textFill>
            <w14:solidFill>
              <w14:schemeClr w14:val="tx1"/>
            </w14:solidFill>
          </w14:textFill>
        </w:rPr>
        <w:t>：</w:t>
      </w:r>
      <w:r>
        <w:rPr>
          <w:rFonts w:hint="eastAsia" w:ascii="宋体" w:hAnsi="宋体" w:eastAsia="宋体" w:cs="宋体"/>
          <w:b w:val="0"/>
          <w:bCs w:val="0"/>
          <w:color w:val="000000" w:themeColor="text1"/>
          <w:sz w:val="24"/>
          <w:highlight w:val="none"/>
          <w:u w:val="single"/>
          <w:lang w:val="en-US" w:eastAsia="zh-CN"/>
          <w14:textFill>
            <w14:solidFill>
              <w14:schemeClr w14:val="tx1"/>
            </w14:solidFill>
          </w14:textFill>
        </w:rPr>
        <w:t xml:space="preserve">          </w:t>
      </w:r>
      <w:r>
        <w:rPr>
          <w:rFonts w:hint="default" w:ascii="宋体" w:hAnsi="宋体" w:eastAsia="宋体" w:cs="宋体"/>
          <w:b w:val="0"/>
          <w:bCs w:val="0"/>
          <w:color w:val="000000" w:themeColor="text1"/>
          <w:sz w:val="24"/>
          <w:highlight w:val="none"/>
          <w:lang w:val="en-US" w:eastAsia="zh-CN"/>
          <w14:textFill>
            <w14:solidFill>
              <w14:schemeClr w14:val="tx1"/>
            </w14:solidFill>
          </w14:textFill>
        </w:rPr>
        <w:t>。</w:t>
      </w:r>
    </w:p>
    <w:p w14:paraId="35D05CD3">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02320007">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b w:val="0"/>
          <w:bCs w:val="0"/>
          <w:color w:val="000000" w:themeColor="text1"/>
          <w:sz w:val="24"/>
          <w:highlight w:val="none"/>
          <w:lang w:val="en-US" w:eastAsia="zh-CN"/>
          <w14:textFill>
            <w14:solidFill>
              <w14:schemeClr w14:val="tx1"/>
            </w14:solidFill>
          </w14:textFill>
        </w:rPr>
      </w:pPr>
      <w:r>
        <w:rPr>
          <w:rFonts w:hint="eastAsia" w:ascii="宋体" w:hAnsi="宋体" w:eastAsia="宋体" w:cs="宋体"/>
          <w:b w:val="0"/>
          <w:bCs w:val="0"/>
          <w:color w:val="000000" w:themeColor="text1"/>
          <w:sz w:val="24"/>
          <w:highlight w:val="none"/>
          <w:lang w:val="en-US" w:eastAsia="zh-CN"/>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48DF40B5">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lang w:val="en-US" w:eastAsia="zh-CN"/>
          <w14:textFill>
            <w14:solidFill>
              <w14:schemeClr w14:val="tx1"/>
            </w14:solidFill>
          </w14:textFill>
        </w:rPr>
      </w:pPr>
      <w:r>
        <w:rPr>
          <w:rFonts w:hint="eastAsia" w:ascii="宋体" w:hAnsi="宋体" w:eastAsia="宋体" w:cs="宋体"/>
          <w:b/>
          <w:bCs/>
          <w:color w:val="000000" w:themeColor="text1"/>
          <w:sz w:val="24"/>
          <w:highlight w:val="none"/>
          <w:lang w:eastAsia="zh-CN"/>
          <w14:textFill>
            <w14:solidFill>
              <w14:schemeClr w14:val="tx1"/>
            </w14:solidFill>
          </w14:textFill>
        </w:rPr>
        <w:t>第十</w:t>
      </w:r>
      <w:r>
        <w:rPr>
          <w:rFonts w:hint="eastAsia" w:ascii="宋体" w:hAnsi="宋体" w:eastAsia="宋体" w:cs="宋体"/>
          <w:b/>
          <w:bCs/>
          <w:color w:val="000000" w:themeColor="text1"/>
          <w:sz w:val="24"/>
          <w:highlight w:val="none"/>
          <w:lang w:val="en-US" w:eastAsia="zh-CN"/>
          <w14:textFill>
            <w14:solidFill>
              <w14:schemeClr w14:val="tx1"/>
            </w14:solidFill>
          </w14:textFill>
        </w:rPr>
        <w:t>一</w:t>
      </w:r>
      <w:r>
        <w:rPr>
          <w:rFonts w:hint="eastAsia" w:ascii="宋体" w:hAnsi="宋体" w:eastAsia="宋体" w:cs="宋体"/>
          <w:b/>
          <w:bCs/>
          <w:color w:val="000000" w:themeColor="text1"/>
          <w:sz w:val="24"/>
          <w:highlight w:val="none"/>
          <w:lang w:eastAsia="zh-CN"/>
          <w14:textFill>
            <w14:solidFill>
              <w14:schemeClr w14:val="tx1"/>
            </w14:solidFill>
          </w14:textFill>
        </w:rPr>
        <w:t>条</w:t>
      </w:r>
      <w:r>
        <w:rPr>
          <w:rFonts w:hint="eastAsia" w:ascii="宋体" w:hAnsi="宋体" w:eastAsia="宋体" w:cs="宋体"/>
          <w:b/>
          <w:bCs/>
          <w:color w:val="000000" w:themeColor="text1"/>
          <w:sz w:val="24"/>
          <w:highlight w:val="none"/>
          <w:lang w:val="en-US" w:eastAsia="zh-CN"/>
          <w14:textFill>
            <w14:solidFill>
              <w14:schemeClr w14:val="tx1"/>
            </w14:solidFill>
          </w14:textFill>
        </w:rPr>
        <w:t xml:space="preserve"> 合同的变更、解除</w:t>
      </w:r>
    </w:p>
    <w:p w14:paraId="62AA9F2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11.1 本合同经双方协商一致后可以变更，双方应另行签订补充协议。</w:t>
      </w:r>
    </w:p>
    <w:p w14:paraId="558338A1">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11.2 如甲方因政策变化等非自身主观原因不需要购买本合同全部货物，经书面通知乙方后可以提前终止本合同；如甲方因运营需要等原因不需要购买本合同部分货物，不需要购买的部分自动从采购内容中剔除。</w:t>
      </w:r>
    </w:p>
    <w:p w14:paraId="08E92B8E">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11.3 </w:t>
      </w:r>
      <w:r>
        <w:rPr>
          <w:rFonts w:hint="eastAsia" w:ascii="宋体" w:hAnsi="宋体" w:eastAsia="宋体" w:cs="宋体"/>
          <w:color w:val="000000" w:themeColor="text1"/>
          <w:sz w:val="24"/>
          <w:highlight w:val="none"/>
          <w14:textFill>
            <w14:solidFill>
              <w14:schemeClr w14:val="tx1"/>
            </w14:solidFill>
          </w14:textFill>
        </w:rPr>
        <w:t>乙方出现以下违约情形之一的，甲方有权拒绝支付任何价款并解除合同：</w:t>
      </w:r>
    </w:p>
    <w:p w14:paraId="3F2D40C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.1 乙方逾期</w:t>
      </w:r>
      <w:r>
        <w:rPr>
          <w:rFonts w:hint="eastAsia" w:ascii="宋体" w:hAnsi="宋体" w:eastAsia="宋体" w:cs="宋体"/>
          <w:color w:val="000000" w:themeColor="text1"/>
          <w:sz w:val="24"/>
          <w:highlight w:val="none"/>
          <w:u w:val="single"/>
          <w:lang w:val="en-US" w:eastAsia="zh-CN"/>
          <w14:textFill>
            <w14:solidFill>
              <w14:schemeClr w14:val="tx1"/>
            </w14:solidFill>
          </w14:textFill>
        </w:rPr>
        <w:t xml:space="preserve"> 30  </w:t>
      </w:r>
      <w:r>
        <w:rPr>
          <w:rFonts w:hint="eastAsia" w:ascii="宋体" w:hAnsi="宋体" w:eastAsia="宋体" w:cs="宋体"/>
          <w:color w:val="000000" w:themeColor="text1"/>
          <w:sz w:val="24"/>
          <w:highlight w:val="none"/>
          <w14:textFill>
            <w14:solidFill>
              <w14:schemeClr w14:val="tx1"/>
            </w14:solidFill>
          </w14:textFill>
        </w:rPr>
        <w:t>日仍不能供货；</w:t>
      </w:r>
    </w:p>
    <w:p w14:paraId="1C84C16B">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.2 乙方提供的</w:t>
      </w:r>
      <w:r>
        <w:rPr>
          <w:rFonts w:hint="eastAsia" w:ascii="宋体" w:hAnsi="宋体" w:eastAsia="宋体" w:cs="宋体"/>
          <w:color w:val="000000" w:themeColor="text1"/>
          <w:sz w:val="24"/>
          <w:highlight w:val="none"/>
          <w:lang w:eastAsia="zh-CN"/>
          <w14:textFill>
            <w14:solidFill>
              <w14:schemeClr w14:val="tx1"/>
            </w14:solidFill>
          </w14:textFill>
        </w:rPr>
        <w:t>货物</w:t>
      </w:r>
      <w:r>
        <w:rPr>
          <w:rFonts w:hint="eastAsia" w:ascii="宋体" w:hAnsi="宋体" w:eastAsia="宋体" w:cs="宋体"/>
          <w:color w:val="000000" w:themeColor="text1"/>
          <w:sz w:val="24"/>
          <w:highlight w:val="none"/>
          <w14:textFill>
            <w14:solidFill>
              <w14:schemeClr w14:val="tx1"/>
            </w14:solidFill>
          </w14:textFill>
        </w:rPr>
        <w:t>质量不符合国家标准、本合同标准或</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响应文件约定标准；</w:t>
      </w:r>
    </w:p>
    <w:p w14:paraId="573364D3">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.3 乙方将</w:t>
      </w:r>
      <w:r>
        <w:rPr>
          <w:rFonts w:hint="eastAsia" w:ascii="宋体" w:hAnsi="宋体" w:eastAsia="宋体" w:cs="宋体"/>
          <w:color w:val="000000" w:themeColor="text1"/>
          <w:sz w:val="24"/>
          <w:highlight w:val="none"/>
          <w:lang w:val="en-US" w:eastAsia="zh-CN"/>
          <w14:textFill>
            <w14:solidFill>
              <w14:schemeClr w14:val="tx1"/>
            </w14:solidFill>
          </w14:textFill>
        </w:rPr>
        <w:t>本合同权利义务全部或部分转让给</w:t>
      </w:r>
      <w:r>
        <w:rPr>
          <w:rFonts w:hint="eastAsia" w:ascii="宋体" w:hAnsi="宋体" w:eastAsia="宋体" w:cs="宋体"/>
          <w:color w:val="000000" w:themeColor="text1"/>
          <w:sz w:val="24"/>
          <w:highlight w:val="none"/>
          <w14:textFill>
            <w14:solidFill>
              <w14:schemeClr w14:val="tx1"/>
            </w14:solidFill>
          </w14:textFill>
        </w:rPr>
        <w:t>第三方；</w:t>
      </w:r>
    </w:p>
    <w:p w14:paraId="55ADBF21">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bCs/>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11</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.4 其他根本违约的情形。</w:t>
      </w:r>
    </w:p>
    <w:p w14:paraId="38C3FB94">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eastAsia="宋体" w:cs="宋体"/>
          <w:b/>
          <w:bCs/>
          <w:color w:val="000000" w:themeColor="text1"/>
          <w:sz w:val="24"/>
          <w:highlight w:val="none"/>
          <w:lang w:eastAsia="zh-CN"/>
          <w14:textFill>
            <w14:solidFill>
              <w14:schemeClr w14:val="tx1"/>
            </w14:solidFill>
          </w14:textFill>
        </w:rPr>
        <w:t>十</w:t>
      </w:r>
      <w:r>
        <w:rPr>
          <w:rFonts w:hint="eastAsia" w:ascii="宋体" w:hAnsi="宋体" w:eastAsia="宋体" w:cs="宋体"/>
          <w:b/>
          <w:bCs/>
          <w:color w:val="000000" w:themeColor="text1"/>
          <w:sz w:val="24"/>
          <w:highlight w:val="none"/>
          <w:lang w:val="en-US" w:eastAsia="zh-CN"/>
          <w14:textFill>
            <w14:solidFill>
              <w14:schemeClr w14:val="tx1"/>
            </w14:solidFill>
          </w14:textFill>
        </w:rPr>
        <w:t>二</w:t>
      </w:r>
      <w:r>
        <w:rPr>
          <w:rFonts w:hint="eastAsia" w:ascii="宋体" w:hAnsi="宋体" w:eastAsia="宋体" w:cs="宋体"/>
          <w:b/>
          <w:bCs/>
          <w:color w:val="000000" w:themeColor="text1"/>
          <w:sz w:val="24"/>
          <w:highlight w:val="none"/>
          <w14:textFill>
            <w14:solidFill>
              <w14:schemeClr w14:val="tx1"/>
            </w14:solidFill>
          </w14:textFill>
        </w:rPr>
        <w:t>条 违约责任</w:t>
      </w:r>
    </w:p>
    <w:p w14:paraId="2EA78E2A">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 xml:space="preserve">.1 </w:t>
      </w:r>
      <w:r>
        <w:rPr>
          <w:rFonts w:hint="eastAsia" w:ascii="宋体" w:hAnsi="宋体" w:eastAsia="宋体" w:cs="宋体"/>
          <w:color w:val="000000" w:themeColor="text1"/>
          <w:sz w:val="24"/>
          <w:highlight w:val="none"/>
          <w:lang w:eastAsia="zh-CN"/>
          <w14:textFill>
            <w14:solidFill>
              <w14:schemeClr w14:val="tx1"/>
            </w14:solidFill>
          </w14:textFill>
        </w:rPr>
        <w:t>甲方因</w:t>
      </w:r>
      <w:r>
        <w:rPr>
          <w:rFonts w:hint="eastAsia" w:ascii="宋体" w:hAnsi="宋体" w:eastAsia="宋体" w:cs="宋体"/>
          <w:color w:val="000000" w:themeColor="text1"/>
          <w:sz w:val="24"/>
          <w:highlight w:val="none"/>
          <w:lang w:val="en-US" w:eastAsia="zh-CN"/>
          <w14:textFill>
            <w14:solidFill>
              <w14:schemeClr w14:val="tx1"/>
            </w14:solidFill>
          </w14:textFill>
        </w:rPr>
        <w:t>11.2情形提前终止本合同或剔除部分采购内容均无须承担违约责任，乙方不得因此要求甲方予以任何经济赔偿或补偿。</w:t>
      </w:r>
    </w:p>
    <w:p w14:paraId="014DEA9A">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.2 如乙方未在本合同约定时间内将验收合格的</w:t>
      </w:r>
      <w:r>
        <w:rPr>
          <w:rFonts w:hint="eastAsia" w:ascii="宋体" w:hAnsi="宋体" w:eastAsia="宋体" w:cs="宋体"/>
          <w:color w:val="000000" w:themeColor="text1"/>
          <w:sz w:val="24"/>
          <w:highlight w:val="none"/>
          <w:lang w:val="en-US" w:eastAsia="zh-CN"/>
          <w14:textFill>
            <w14:solidFill>
              <w14:schemeClr w14:val="tx1"/>
            </w14:solidFill>
          </w14:textFill>
        </w:rPr>
        <w:t>货物</w:t>
      </w:r>
      <w:r>
        <w:rPr>
          <w:rFonts w:hint="eastAsia" w:ascii="宋体" w:hAnsi="宋体" w:eastAsia="宋体" w:cs="宋体"/>
          <w:color w:val="000000" w:themeColor="text1"/>
          <w:sz w:val="24"/>
          <w:highlight w:val="none"/>
          <w14:textFill>
            <w14:solidFill>
              <w14:schemeClr w14:val="tx1"/>
            </w14:solidFill>
          </w14:textFill>
        </w:rPr>
        <w:t>交付给甲方使用，除应赔偿甲方因此造成的损失外，每逾期一日，按</w:t>
      </w:r>
      <w:r>
        <w:rPr>
          <w:rFonts w:hint="eastAsia" w:ascii="宋体" w:hAnsi="宋体" w:eastAsia="宋体" w:cs="宋体"/>
          <w:color w:val="000000" w:themeColor="text1"/>
          <w:sz w:val="24"/>
          <w:highlight w:val="none"/>
          <w:u w:val="none"/>
          <w14:textFill>
            <w14:solidFill>
              <w14:schemeClr w14:val="tx1"/>
            </w14:solidFill>
          </w14:textFill>
        </w:rPr>
        <w:t>本合同约定总价款的</w:t>
      </w:r>
      <w:r>
        <w:rPr>
          <w:rFonts w:hint="eastAsia" w:ascii="宋体" w:hAnsi="宋体" w:eastAsia="宋体" w:cs="宋体"/>
          <w:color w:val="000000" w:themeColor="text1"/>
          <w:sz w:val="24"/>
          <w:highlight w:val="none"/>
          <w:u w:val="none"/>
          <w:lang w:eastAsia="zh-CN"/>
          <w14:textFill>
            <w14:solidFill>
              <w14:schemeClr w14:val="tx1"/>
            </w14:solidFill>
          </w14:textFill>
        </w:rPr>
        <w:t>千分之一</w:t>
      </w:r>
      <w:r>
        <w:rPr>
          <w:rFonts w:hint="eastAsia" w:ascii="宋体" w:hAnsi="宋体" w:eastAsia="宋体" w:cs="宋体"/>
          <w:color w:val="000000" w:themeColor="text1"/>
          <w:sz w:val="24"/>
          <w:highlight w:val="none"/>
          <w:lang w:eastAsia="zh-CN"/>
          <w14:textFill>
            <w14:solidFill>
              <w14:schemeClr w14:val="tx1"/>
            </w14:solidFill>
          </w14:textFill>
        </w:rPr>
        <w:t>标准</w:t>
      </w:r>
      <w:r>
        <w:rPr>
          <w:rFonts w:hint="eastAsia" w:ascii="宋体" w:hAnsi="宋体" w:eastAsia="宋体" w:cs="宋体"/>
          <w:color w:val="000000" w:themeColor="text1"/>
          <w:sz w:val="24"/>
          <w:highlight w:val="none"/>
          <w14:textFill>
            <w14:solidFill>
              <w14:schemeClr w14:val="tx1"/>
            </w14:solidFill>
          </w14:textFill>
        </w:rPr>
        <w:t>向甲方支付违约金。</w:t>
      </w:r>
    </w:p>
    <w:p w14:paraId="18760148">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lang w:val="en-US" w:eastAsia="zh-CN"/>
          <w14:textFill>
            <w14:solidFill>
              <w14:schemeClr w14:val="tx1"/>
            </w14:solidFill>
          </w14:textFill>
        </w:rPr>
        <w:t>12</w:t>
      </w:r>
      <w:r>
        <w:rPr>
          <w:rFonts w:hint="eastAsia" w:ascii="宋体" w:hAnsi="宋体" w:eastAsia="宋体" w:cs="宋体"/>
          <w:color w:val="000000" w:themeColor="text1"/>
          <w:sz w:val="24"/>
          <w:highlight w:val="none"/>
          <w14:textFill>
            <w14:solidFill>
              <w14:schemeClr w14:val="tx1"/>
            </w14:solidFill>
          </w14:textFill>
        </w:rPr>
        <w:t>.3 如乙方单方解除合同或甲方因</w:t>
      </w:r>
      <w:r>
        <w:rPr>
          <w:rFonts w:hint="eastAsia" w:ascii="宋体" w:hAnsi="宋体" w:eastAsia="宋体" w:cs="宋体"/>
          <w:color w:val="000000" w:themeColor="text1"/>
          <w:sz w:val="24"/>
          <w:highlight w:val="none"/>
          <w:lang w:val="en-US" w:eastAsia="zh-CN"/>
          <w14:textFill>
            <w14:solidFill>
              <w14:schemeClr w14:val="tx1"/>
            </w14:solidFill>
          </w14:textFill>
        </w:rPr>
        <w:t>11.3情形</w:t>
      </w:r>
      <w:r>
        <w:rPr>
          <w:rFonts w:hint="eastAsia" w:ascii="宋体" w:hAnsi="宋体" w:eastAsia="宋体" w:cs="宋体"/>
          <w:color w:val="000000" w:themeColor="text1"/>
          <w:sz w:val="24"/>
          <w:highlight w:val="none"/>
          <w14:textFill>
            <w14:solidFill>
              <w14:schemeClr w14:val="tx1"/>
            </w14:solidFill>
          </w14:textFill>
        </w:rPr>
        <w:t>解除合同，乙方应赔偿给甲方造成的全部经济损失，并按</w:t>
      </w:r>
      <w:r>
        <w:rPr>
          <w:rFonts w:hint="eastAsia" w:ascii="宋体" w:hAnsi="宋体" w:eastAsia="宋体" w:cs="宋体"/>
          <w:color w:val="000000" w:themeColor="text1"/>
          <w:sz w:val="24"/>
          <w:highlight w:val="none"/>
          <w:lang w:eastAsia="zh-CN"/>
          <w14:textFill>
            <w14:solidFill>
              <w14:schemeClr w14:val="tx1"/>
            </w14:solidFill>
          </w14:textFill>
        </w:rPr>
        <w:t>（</w:t>
      </w:r>
      <w:r>
        <w:rPr>
          <w:rFonts w:hint="eastAsia" w:ascii="宋体" w:hAnsi="宋体" w:eastAsia="宋体" w:cs="宋体"/>
          <w:color w:val="000000" w:themeColor="text1"/>
          <w:sz w:val="24"/>
          <w:highlight w:val="none"/>
          <w:u w:val="none"/>
          <w14:textFill>
            <w14:solidFill>
              <w14:schemeClr w14:val="tx1"/>
            </w14:solidFill>
          </w14:textFill>
        </w:rPr>
        <w:t>本合同总价款30%</w:t>
      </w:r>
      <w:r>
        <w:rPr>
          <w:rFonts w:hint="eastAsia" w:ascii="宋体" w:hAnsi="宋体" w:eastAsia="宋体" w:cs="宋体"/>
          <w:color w:val="000000" w:themeColor="text1"/>
          <w:sz w:val="24"/>
          <w:highlight w:val="none"/>
          <w14:textFill>
            <w14:solidFill>
              <w14:schemeClr w14:val="tx1"/>
            </w14:solidFill>
          </w14:textFill>
        </w:rPr>
        <w:t>标准</w:t>
      </w:r>
      <w:r>
        <w:rPr>
          <w:rFonts w:hint="eastAsia" w:ascii="宋体" w:hAnsi="宋体" w:eastAsia="宋体" w:cs="宋体"/>
          <w:color w:val="000000" w:themeColor="text1"/>
          <w:sz w:val="24"/>
          <w:highlight w:val="none"/>
          <w:lang w:val="en-US" w:eastAsia="zh-CN"/>
          <w14:textFill>
            <w14:solidFill>
              <w14:schemeClr w14:val="tx1"/>
            </w14:solidFill>
          </w14:textFill>
        </w:rPr>
        <w:t>向</w:t>
      </w:r>
      <w:r>
        <w:rPr>
          <w:rFonts w:hint="eastAsia" w:ascii="宋体" w:hAnsi="宋体" w:eastAsia="宋体" w:cs="宋体"/>
          <w:color w:val="000000" w:themeColor="text1"/>
          <w:sz w:val="24"/>
          <w:highlight w:val="none"/>
          <w14:textFill>
            <w14:solidFill>
              <w14:schemeClr w14:val="tx1"/>
            </w14:solidFill>
          </w14:textFill>
        </w:rPr>
        <w:t>甲方支付违约金。</w:t>
      </w:r>
    </w:p>
    <w:p w14:paraId="78C2C57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jc w:val="both"/>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12.4 无论甲方在任意时候（不限于本合同履行期间）发现存在违反本合同廉洁条款的行为，乙方均须向甲方一次性支付惩罚性违约金</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9500</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元。如乙方除需承担违反廉洁条款的违约责任外，同时存在其他违约行为，乙方仍须就其他违约行为承担相应违约责任。</w:t>
      </w:r>
    </w:p>
    <w:p w14:paraId="7A8D74E7">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hint="default" w:ascii="宋体" w:hAnsi="宋体" w:eastAsia="宋体" w:cs="宋体"/>
          <w:b/>
          <w:bCs/>
          <w:color w:val="000000" w:themeColor="text1"/>
          <w:sz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highlight w:val="none"/>
          <w:u w:val="single"/>
          <w:lang w:val="en-US" w:eastAsia="zh-CN"/>
          <w14:textFill>
            <w14:solidFill>
              <w14:schemeClr w14:val="tx1"/>
            </w14:solidFill>
          </w14:textFill>
        </w:rPr>
        <w:t>12.5 依据本合同约定乙方应支付给甲方的违约金，甲方有权在应支付给乙方的任意价款中直接予以扣除，如扣除部分不足，乙方应在接到甲方通知后3日内补足。</w:t>
      </w:r>
    </w:p>
    <w:p w14:paraId="0823F08E">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w:t>
      </w:r>
      <w:r>
        <w:rPr>
          <w:rFonts w:hint="eastAsia" w:ascii="宋体" w:hAnsi="宋体" w:cs="宋体"/>
          <w:b/>
          <w:bCs/>
          <w:color w:val="000000" w:themeColor="text1"/>
          <w:sz w:val="24"/>
          <w:highlight w:val="none"/>
          <w:lang w:val="en-US" w:eastAsia="zh-CN"/>
          <w14:textFill>
            <w14:solidFill>
              <w14:schemeClr w14:val="tx1"/>
            </w14:solidFill>
          </w14:textFill>
        </w:rPr>
        <w:t>十三</w:t>
      </w:r>
      <w:r>
        <w:rPr>
          <w:rFonts w:hint="eastAsia" w:ascii="宋体" w:hAnsi="宋体" w:eastAsia="宋体" w:cs="宋体"/>
          <w:b/>
          <w:bCs/>
          <w:color w:val="000000" w:themeColor="text1"/>
          <w:sz w:val="24"/>
          <w:highlight w:val="none"/>
          <w14:textFill>
            <w14:solidFill>
              <w14:schemeClr w14:val="tx1"/>
            </w14:solidFill>
          </w14:textFill>
        </w:rPr>
        <w:t>条 争议解决</w:t>
      </w:r>
    </w:p>
    <w:p w14:paraId="6C2B2755">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13.1 本合同适用中华人民共和国法律，并按其解释。</w:t>
      </w:r>
    </w:p>
    <w:p w14:paraId="179E38FB">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13.2 </w:t>
      </w:r>
      <w:r>
        <w:rPr>
          <w:rFonts w:hint="eastAsia" w:ascii="宋体" w:hAnsi="宋体" w:eastAsia="宋体" w:cs="宋体"/>
          <w:color w:val="000000" w:themeColor="text1"/>
          <w:sz w:val="24"/>
          <w:highlight w:val="none"/>
          <w14:textFill>
            <w14:solidFill>
              <w14:schemeClr w14:val="tx1"/>
            </w14:solidFill>
          </w14:textFill>
        </w:rPr>
        <w:t>如双方在履行本合同过程中发生争议，双方应先协商解决，协商解决不成的，任一方均可向甲方所在地有管辖权的人民法院提起诉讼解决。</w:t>
      </w:r>
    </w:p>
    <w:p w14:paraId="092353AB">
      <w:pPr>
        <w:keepNext w:val="0"/>
        <w:keepLines w:val="0"/>
        <w:pageBreakBefore w:val="0"/>
        <w:kinsoku/>
        <w:wordWrap/>
        <w:overflowPunct/>
        <w:topLinePunct w:val="0"/>
        <w:autoSpaceDE/>
        <w:autoSpaceDN/>
        <w:bidi w:val="0"/>
        <w:adjustRightInd/>
        <w:snapToGrid/>
        <w:spacing w:line="440" w:lineRule="exact"/>
        <w:ind w:firstLine="482" w:firstLineChars="200"/>
        <w:textAlignment w:val="auto"/>
        <w:rPr>
          <w:rFonts w:ascii="宋体" w:hAnsi="宋体" w:eastAsia="宋体" w:cs="宋体"/>
          <w:b/>
          <w:bCs/>
          <w:color w:val="000000" w:themeColor="text1"/>
          <w:sz w:val="24"/>
          <w:highlight w:val="none"/>
          <w14:textFill>
            <w14:solidFill>
              <w14:schemeClr w14:val="tx1"/>
            </w14:solidFill>
          </w14:textFill>
        </w:rPr>
      </w:pPr>
      <w:r>
        <w:rPr>
          <w:rFonts w:hint="eastAsia" w:ascii="宋体" w:hAnsi="宋体" w:eastAsia="宋体" w:cs="宋体"/>
          <w:b/>
          <w:bCs/>
          <w:color w:val="000000" w:themeColor="text1"/>
          <w:sz w:val="24"/>
          <w:highlight w:val="none"/>
          <w14:textFill>
            <w14:solidFill>
              <w14:schemeClr w14:val="tx1"/>
            </w14:solidFill>
          </w14:textFill>
        </w:rPr>
        <w:t>第十</w:t>
      </w:r>
      <w:r>
        <w:rPr>
          <w:rFonts w:hint="eastAsia" w:ascii="宋体" w:hAnsi="宋体" w:cs="宋体"/>
          <w:b/>
          <w:bCs/>
          <w:color w:val="000000" w:themeColor="text1"/>
          <w:sz w:val="24"/>
          <w:highlight w:val="none"/>
          <w:lang w:val="en-US" w:eastAsia="zh-CN"/>
          <w14:textFill>
            <w14:solidFill>
              <w14:schemeClr w14:val="tx1"/>
            </w14:solidFill>
          </w14:textFill>
        </w:rPr>
        <w:t>四</w:t>
      </w:r>
      <w:r>
        <w:rPr>
          <w:rFonts w:hint="eastAsia" w:ascii="宋体" w:hAnsi="宋体" w:eastAsia="宋体" w:cs="宋体"/>
          <w:b/>
          <w:bCs/>
          <w:color w:val="000000" w:themeColor="text1"/>
          <w:sz w:val="24"/>
          <w:highlight w:val="none"/>
          <w14:textFill>
            <w14:solidFill>
              <w14:schemeClr w14:val="tx1"/>
            </w14:solidFill>
          </w14:textFill>
        </w:rPr>
        <w:t>条 附则</w:t>
      </w:r>
    </w:p>
    <w:p w14:paraId="07C95950">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hint="default" w:ascii="宋体" w:hAnsi="宋体" w:eastAsia="宋体" w:cs="宋体"/>
          <w:color w:val="000000" w:themeColor="text1"/>
          <w:sz w:val="24"/>
          <w:highlight w:val="none"/>
          <w:lang w:val="en-US" w:eastAsia="zh-CN"/>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1</w:t>
      </w:r>
      <w:r>
        <w:rPr>
          <w:rFonts w:hint="eastAsia" w:ascii="宋体" w:hAnsi="宋体" w:eastAsia="宋体" w:cs="宋体"/>
          <w:color w:val="000000" w:themeColor="text1"/>
          <w:sz w:val="24"/>
          <w:highlight w:val="none"/>
          <w14:textFill>
            <w14:solidFill>
              <w14:schemeClr w14:val="tx1"/>
            </w14:solidFill>
          </w14:textFill>
        </w:rPr>
        <w:t xml:space="preserve"> 乙方营业执照、</w:t>
      </w:r>
      <w:r>
        <w:rPr>
          <w:rFonts w:hint="eastAsia" w:ascii="宋体" w:hAnsi="宋体" w:eastAsia="宋体" w:cs="宋体"/>
          <w:color w:val="000000" w:themeColor="text1"/>
          <w:sz w:val="24"/>
          <w:highlight w:val="none"/>
          <w:lang w:val="en-US" w:eastAsia="zh-CN"/>
          <w14:textFill>
            <w14:solidFill>
              <w14:schemeClr w14:val="tx1"/>
            </w14:solidFill>
          </w14:textFill>
        </w:rPr>
        <w:t>法定代表人身份证明书、</w:t>
      </w:r>
      <w:r>
        <w:rPr>
          <w:rFonts w:hint="eastAsia" w:ascii="宋体" w:hAnsi="宋体" w:eastAsia="宋体" w:cs="宋体"/>
          <w:color w:val="000000" w:themeColor="text1"/>
          <w:sz w:val="24"/>
          <w:highlight w:val="none"/>
          <w14:textFill>
            <w14:solidFill>
              <w14:schemeClr w14:val="tx1"/>
            </w14:solidFill>
          </w14:textFill>
        </w:rPr>
        <w:t>授权委托文书、委托代理人身份证复印件等相关资质证明、乙方委派结算人员的授权委托书、受托人的身份证复印件、</w:t>
      </w:r>
      <w:r>
        <w:rPr>
          <w:rFonts w:hint="eastAsia" w:ascii="宋体" w:hAnsi="宋体" w:eastAsia="宋体" w:cs="宋体"/>
          <w:color w:val="000000" w:themeColor="text1"/>
          <w:sz w:val="24"/>
          <w:highlight w:val="none"/>
          <w:lang w:val="en-US" w:eastAsia="zh-CN"/>
          <w14:textFill>
            <w14:solidFill>
              <w14:schemeClr w14:val="tx1"/>
            </w14:solidFill>
          </w14:textFill>
        </w:rPr>
        <w:t>验收报告</w:t>
      </w:r>
      <w:r>
        <w:rPr>
          <w:rFonts w:hint="eastAsia" w:ascii="宋体" w:hAnsi="宋体" w:eastAsia="宋体" w:cs="宋体"/>
          <w:color w:val="000000" w:themeColor="text1"/>
          <w:sz w:val="24"/>
          <w:highlight w:val="none"/>
          <w14:textFill>
            <w14:solidFill>
              <w14:schemeClr w14:val="tx1"/>
            </w14:solidFill>
          </w14:textFill>
        </w:rPr>
        <w:t>单等作为本合同的附件。</w:t>
      </w:r>
    </w:p>
    <w:p w14:paraId="2386A41E">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 xml:space="preserve">14.2 </w:t>
      </w:r>
      <w:r>
        <w:rPr>
          <w:rFonts w:hint="eastAsia" w:ascii="宋体" w:hAnsi="宋体" w:eastAsia="宋体" w:cs="宋体"/>
          <w:color w:val="000000" w:themeColor="text1"/>
          <w:sz w:val="24"/>
          <w:highlight w:val="none"/>
          <w14:textFill>
            <w14:solidFill>
              <w14:schemeClr w14:val="tx1"/>
            </w14:solidFill>
          </w14:textFill>
        </w:rPr>
        <w:t>本合同组成文件和优先解释顺序：</w:t>
      </w:r>
      <w:r>
        <w:rPr>
          <w:rFonts w:hint="eastAsia" w:ascii="宋体" w:hAnsi="宋体" w:eastAsia="宋体" w:cs="宋体"/>
          <w:color w:val="000000" w:themeColor="text1"/>
          <w:sz w:val="24"/>
          <w:highlight w:val="none"/>
          <w:lang w:eastAsia="zh-CN"/>
          <w14:textFill>
            <w14:solidFill>
              <w14:schemeClr w14:val="tx1"/>
            </w14:solidFill>
          </w14:textFill>
        </w:rPr>
        <w:t>乙方在履行本合同中作出的书面承诺；</w:t>
      </w:r>
      <w:r>
        <w:rPr>
          <w:rFonts w:hint="eastAsia" w:ascii="宋体" w:hAnsi="宋体" w:eastAsia="宋体" w:cs="宋体"/>
          <w:color w:val="000000" w:themeColor="text1"/>
          <w:sz w:val="24"/>
          <w:highlight w:val="none"/>
          <w14:textFill>
            <w14:solidFill>
              <w14:schemeClr w14:val="tx1"/>
            </w14:solidFill>
          </w14:textFill>
        </w:rPr>
        <w:t>本合同补充协议；本合同及附件；</w:t>
      </w:r>
      <w:r>
        <w:rPr>
          <w:rFonts w:hint="eastAsia" w:ascii="宋体" w:hAnsi="宋体" w:eastAsia="宋体" w:cs="宋体"/>
          <w:color w:val="000000" w:themeColor="text1"/>
          <w:sz w:val="24"/>
          <w:highlight w:val="none"/>
          <w:lang w:eastAsia="zh-CN"/>
          <w14:textFill>
            <w14:solidFill>
              <w14:schemeClr w14:val="tx1"/>
            </w14:solidFill>
          </w14:textFill>
        </w:rPr>
        <w:t>中标通知书</w:t>
      </w:r>
      <w:r>
        <w:rPr>
          <w:rFonts w:hint="eastAsia" w:ascii="宋体" w:hAnsi="宋体" w:eastAsia="宋体" w:cs="宋体"/>
          <w:color w:val="000000" w:themeColor="text1"/>
          <w:sz w:val="24"/>
          <w:highlight w:val="none"/>
          <w:lang w:val="en-US" w:eastAsia="zh-CN"/>
          <w14:textFill>
            <w14:solidFill>
              <w14:schemeClr w14:val="tx1"/>
            </w14:solidFill>
          </w14:textFill>
        </w:rPr>
        <w:t>/成交通知书/</w:t>
      </w:r>
      <w:r>
        <w:rPr>
          <w:rFonts w:hint="eastAsia" w:ascii="宋体" w:hAnsi="宋体" w:eastAsia="宋体" w:cs="宋体"/>
          <w:color w:val="000000" w:themeColor="text1"/>
          <w:sz w:val="24"/>
          <w:highlight w:val="none"/>
          <w14:textFill>
            <w14:solidFill>
              <w14:schemeClr w14:val="tx1"/>
            </w14:solidFill>
          </w14:textFill>
        </w:rPr>
        <w:t>议价结果公示</w:t>
      </w:r>
      <w:r>
        <w:rPr>
          <w:rFonts w:hint="eastAsia" w:ascii="宋体" w:hAnsi="宋体" w:eastAsia="宋体" w:cs="宋体"/>
          <w:color w:val="000000" w:themeColor="text1"/>
          <w:sz w:val="24"/>
          <w:highlight w:val="none"/>
          <w:lang w:val="en-US" w:eastAsia="zh-CN"/>
          <w14:textFill>
            <w14:solidFill>
              <w14:schemeClr w14:val="tx1"/>
            </w14:solidFill>
          </w14:textFill>
        </w:rPr>
        <w:t>/成交公告</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eastAsia="zh-CN"/>
          <w14:textFill>
            <w14:solidFill>
              <w14:schemeClr w14:val="tx1"/>
            </w14:solidFill>
          </w14:textFill>
        </w:rPr>
        <w:t>投标文件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响应文件；</w:t>
      </w:r>
      <w:r>
        <w:rPr>
          <w:rFonts w:hint="eastAsia" w:ascii="宋体" w:hAnsi="宋体" w:eastAsia="宋体" w:cs="宋体"/>
          <w:color w:val="000000" w:themeColor="text1"/>
          <w:sz w:val="24"/>
          <w:highlight w:val="none"/>
          <w:lang w:eastAsia="zh-CN"/>
          <w14:textFill>
            <w14:solidFill>
              <w14:schemeClr w14:val="tx1"/>
            </w14:solidFill>
          </w14:textFill>
        </w:rPr>
        <w:t>招标文件</w:t>
      </w:r>
      <w:r>
        <w:rPr>
          <w:rFonts w:hint="eastAsia" w:ascii="宋体" w:hAnsi="宋体" w:eastAsia="宋体" w:cs="宋体"/>
          <w:color w:val="000000" w:themeColor="text1"/>
          <w:sz w:val="24"/>
          <w:highlight w:val="none"/>
          <w:lang w:val="en-US" w:eastAsia="zh-CN"/>
          <w14:textFill>
            <w14:solidFill>
              <w14:schemeClr w14:val="tx1"/>
            </w14:solidFill>
          </w14:textFill>
        </w:rPr>
        <w:t>/</w:t>
      </w:r>
      <w:r>
        <w:rPr>
          <w:rFonts w:hint="eastAsia" w:ascii="宋体" w:hAnsi="宋体" w:eastAsia="宋体" w:cs="宋体"/>
          <w:color w:val="000000" w:themeColor="text1"/>
          <w:sz w:val="24"/>
          <w:highlight w:val="none"/>
          <w14:textFill>
            <w14:solidFill>
              <w14:schemeClr w14:val="tx1"/>
            </w14:solidFill>
          </w14:textFill>
        </w:rPr>
        <w:t>采购文件</w:t>
      </w:r>
      <w:r>
        <w:rPr>
          <w:rFonts w:hint="eastAsia" w:ascii="宋体" w:hAnsi="宋体" w:eastAsia="宋体" w:cs="宋体"/>
          <w:color w:val="000000" w:themeColor="text1"/>
          <w:sz w:val="24"/>
          <w:highlight w:val="none"/>
          <w:lang w:val="en-US" w:eastAsia="zh-CN"/>
          <w14:textFill>
            <w14:solidFill>
              <w14:schemeClr w14:val="tx1"/>
            </w14:solidFill>
          </w14:textFill>
        </w:rPr>
        <w:t>/采购需求</w:t>
      </w:r>
      <w:r>
        <w:rPr>
          <w:rFonts w:hint="eastAsia" w:ascii="宋体" w:hAnsi="宋体" w:eastAsia="宋体" w:cs="宋体"/>
          <w:color w:val="000000" w:themeColor="text1"/>
          <w:sz w:val="24"/>
          <w:highlight w:val="none"/>
          <w14:textFill>
            <w14:solidFill>
              <w14:schemeClr w14:val="tx1"/>
            </w14:solidFill>
          </w14:textFill>
        </w:rPr>
        <w:t>；其他与本合同有关的资料。</w:t>
      </w:r>
    </w:p>
    <w:p w14:paraId="3BF6C5ED">
      <w:pPr>
        <w:keepNext w:val="0"/>
        <w:keepLines w:val="0"/>
        <w:pageBreakBefore w:val="0"/>
        <w:kinsoku/>
        <w:wordWrap/>
        <w:overflowPunct/>
        <w:topLinePunct w:val="0"/>
        <w:autoSpaceDE/>
        <w:autoSpaceDN/>
        <w:bidi w:val="0"/>
        <w:adjustRightInd/>
        <w:snapToGrid/>
        <w:spacing w:line="440" w:lineRule="exact"/>
        <w:ind w:firstLine="480" w:firstLineChars="200"/>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1</w:t>
      </w:r>
      <w:r>
        <w:rPr>
          <w:rFonts w:hint="eastAsia" w:ascii="宋体" w:hAnsi="宋体" w:eastAsia="宋体" w:cs="宋体"/>
          <w:color w:val="000000" w:themeColor="text1"/>
          <w:sz w:val="24"/>
          <w:highlight w:val="none"/>
          <w:lang w:val="en-US" w:eastAsia="zh-CN"/>
          <w14:textFill>
            <w14:solidFill>
              <w14:schemeClr w14:val="tx1"/>
            </w14:solidFill>
          </w14:textFill>
        </w:rPr>
        <w:t>4</w:t>
      </w:r>
      <w:r>
        <w:rPr>
          <w:rFonts w:hint="eastAsia" w:ascii="宋体" w:hAnsi="宋体" w:eastAsia="宋体" w:cs="宋体"/>
          <w:color w:val="000000" w:themeColor="text1"/>
          <w:sz w:val="24"/>
          <w:highlight w:val="none"/>
          <w14:textFill>
            <w14:solidFill>
              <w14:schemeClr w14:val="tx1"/>
            </w14:solidFill>
          </w14:textFill>
        </w:rPr>
        <w:t>.</w:t>
      </w:r>
      <w:r>
        <w:rPr>
          <w:rFonts w:hint="eastAsia" w:ascii="宋体" w:hAnsi="宋体" w:eastAsia="宋体" w:cs="宋体"/>
          <w:color w:val="000000" w:themeColor="text1"/>
          <w:sz w:val="24"/>
          <w:highlight w:val="none"/>
          <w:lang w:val="en-US" w:eastAsia="zh-CN"/>
          <w14:textFill>
            <w14:solidFill>
              <w14:schemeClr w14:val="tx1"/>
            </w14:solidFill>
          </w14:textFill>
        </w:rPr>
        <w:t>3</w:t>
      </w:r>
      <w:r>
        <w:rPr>
          <w:rFonts w:hint="eastAsia" w:ascii="宋体" w:hAnsi="宋体" w:eastAsia="宋体" w:cs="宋体"/>
          <w:color w:val="000000" w:themeColor="text1"/>
          <w:sz w:val="24"/>
          <w:highlight w:val="none"/>
          <w14:textFill>
            <w14:solidFill>
              <w14:schemeClr w14:val="tx1"/>
            </w14:solidFill>
          </w14:textFill>
        </w:rPr>
        <w:t xml:space="preserve"> 本合同一式伍份，甲方执肆份、乙方执壹份，自双方签字并盖章</w:t>
      </w:r>
      <w:r>
        <w:rPr>
          <w:rFonts w:hint="eastAsia" w:ascii="宋体" w:hAnsi="宋体" w:eastAsia="宋体" w:cs="宋体"/>
          <w:color w:val="000000" w:themeColor="text1"/>
          <w:sz w:val="24"/>
          <w:highlight w:val="none"/>
          <w:lang w:eastAsia="zh-CN"/>
          <w14:textFill>
            <w14:solidFill>
              <w14:schemeClr w14:val="tx1"/>
            </w14:solidFill>
          </w14:textFill>
        </w:rPr>
        <w:t>后</w:t>
      </w:r>
      <w:r>
        <w:rPr>
          <w:rFonts w:hint="eastAsia" w:ascii="宋体" w:hAnsi="宋体" w:eastAsia="宋体" w:cs="宋体"/>
          <w:color w:val="000000" w:themeColor="text1"/>
          <w:sz w:val="24"/>
          <w:highlight w:val="none"/>
          <w14:textFill>
            <w14:solidFill>
              <w14:schemeClr w14:val="tx1"/>
            </w14:solidFill>
          </w14:textFill>
        </w:rPr>
        <w:t>生效。</w:t>
      </w:r>
    </w:p>
    <w:p w14:paraId="7561CB96">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000000" w:themeColor="text1"/>
          <w:sz w:val="24"/>
          <w:highlight w:val="none"/>
          <w14:textFill>
            <w14:solidFill>
              <w14:schemeClr w14:val="tx1"/>
            </w14:solidFill>
          </w14:textFill>
        </w:rPr>
      </w:pPr>
    </w:p>
    <w:p w14:paraId="5E876148">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甲方（盖章）：</w:t>
      </w:r>
      <w:r>
        <w:rPr>
          <w:rFonts w:hint="eastAsia" w:ascii="宋体" w:hAnsi="宋体" w:eastAsia="宋体" w:cs="宋体"/>
          <w:color w:val="000000" w:themeColor="text1"/>
          <w:sz w:val="24"/>
          <w:highlight w:val="none"/>
          <w14:textFill>
            <w14:solidFill>
              <w14:schemeClr w14:val="tx1"/>
            </w14:solidFill>
          </w14:textFill>
        </w:rPr>
        <w:t>娄底市中心医院</w:t>
      </w:r>
      <w:r>
        <w:rPr>
          <w:rFonts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乙方（盖章）</w:t>
      </w:r>
      <w:r>
        <w:rPr>
          <w:rFonts w:hint="eastAsia" w:ascii="宋体" w:hAnsi="宋体" w:eastAsia="宋体" w:cs="宋体"/>
          <w:color w:val="000000" w:themeColor="text1"/>
          <w:sz w:val="24"/>
          <w:highlight w:val="none"/>
          <w14:textFill>
            <w14:solidFill>
              <w14:schemeClr w14:val="tx1"/>
            </w14:solidFill>
          </w14:textFill>
        </w:rPr>
        <w:t>：</w:t>
      </w:r>
    </w:p>
    <w:p w14:paraId="3932E841">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000000" w:themeColor="text1"/>
          <w:sz w:val="24"/>
          <w:highlight w:val="none"/>
          <w14:textFill>
            <w14:solidFill>
              <w14:schemeClr w14:val="tx1"/>
            </w14:solidFill>
          </w14:textFill>
        </w:rPr>
      </w:pPr>
    </w:p>
    <w:p w14:paraId="207E840E">
      <w:pPr>
        <w:keepNext w:val="0"/>
        <w:keepLines w:val="0"/>
        <w:pageBreakBefore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themeColor="text1"/>
          <w:sz w:val="24"/>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 xml:space="preserve">法定代表人（签字）：        </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 xml:space="preserve">法定代表人（签字）：  </w:t>
      </w:r>
    </w:p>
    <w:p w14:paraId="01E5DFAD">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或</w:t>
      </w:r>
      <w:r>
        <w:rPr>
          <w:rFonts w:ascii="宋体" w:hAnsi="宋体" w:eastAsia="宋体" w:cs="宋体"/>
          <w:color w:val="000000" w:themeColor="text1"/>
          <w:sz w:val="24"/>
          <w:highlight w:val="none"/>
          <w14:textFill>
            <w14:solidFill>
              <w14:schemeClr w14:val="tx1"/>
            </w14:solidFill>
          </w14:textFill>
        </w:rPr>
        <w:t xml:space="preserve">委托代理人（签字）：        </w:t>
      </w:r>
      <w:r>
        <w:rPr>
          <w:rFonts w:hint="eastAsia" w:ascii="宋体" w:hAnsi="宋体" w:eastAsia="宋体" w:cs="宋体"/>
          <w:color w:val="000000" w:themeColor="text1"/>
          <w:sz w:val="24"/>
          <w:highlight w:val="none"/>
          <w14:textFill>
            <w14:solidFill>
              <w14:schemeClr w14:val="tx1"/>
            </w14:solidFill>
          </w14:textFill>
        </w:rPr>
        <w:t xml:space="preserve">      或</w:t>
      </w:r>
      <w:r>
        <w:rPr>
          <w:rFonts w:ascii="宋体" w:hAnsi="宋体" w:eastAsia="宋体" w:cs="宋体"/>
          <w:color w:val="000000" w:themeColor="text1"/>
          <w:sz w:val="24"/>
          <w:highlight w:val="none"/>
          <w14:textFill>
            <w14:solidFill>
              <w14:schemeClr w14:val="tx1"/>
            </w14:solidFill>
          </w14:textFill>
        </w:rPr>
        <w:t>委托代理人（签字）：</w:t>
      </w:r>
    </w:p>
    <w:p w14:paraId="3E70F402">
      <w:pPr>
        <w:keepNext w:val="0"/>
        <w:keepLines w:val="0"/>
        <w:pageBreakBefore w:val="0"/>
        <w:kinsoku/>
        <w:wordWrap/>
        <w:overflowPunct/>
        <w:topLinePunct w:val="0"/>
        <w:autoSpaceDE/>
        <w:autoSpaceDN/>
        <w:bidi w:val="0"/>
        <w:adjustRightInd/>
        <w:snapToGrid/>
        <w:spacing w:line="440" w:lineRule="exact"/>
        <w:textAlignment w:val="auto"/>
        <w:rPr>
          <w:color w:val="000000" w:themeColor="text1"/>
          <w:highlight w:val="none"/>
          <w14:textFill>
            <w14:solidFill>
              <w14:schemeClr w14:val="tx1"/>
            </w14:solidFill>
          </w14:textFill>
        </w:rPr>
      </w:pPr>
      <w:r>
        <w:rPr>
          <w:rFonts w:ascii="宋体" w:hAnsi="宋体" w:eastAsia="宋体" w:cs="宋体"/>
          <w:color w:val="000000" w:themeColor="text1"/>
          <w:sz w:val="24"/>
          <w:highlight w:val="none"/>
          <w14:textFill>
            <w14:solidFill>
              <w14:schemeClr w14:val="tx1"/>
            </w14:solidFill>
          </w14:textFill>
        </w:rPr>
        <w:t>合同签订地</w:t>
      </w:r>
      <w:r>
        <w:rPr>
          <w:rFonts w:hint="eastAsia" w:ascii="宋体" w:hAnsi="宋体" w:eastAsia="宋体" w:cs="宋体"/>
          <w:color w:val="000000" w:themeColor="text1"/>
          <w:sz w:val="24"/>
          <w:highlight w:val="none"/>
          <w14:textFill>
            <w14:solidFill>
              <w14:schemeClr w14:val="tx1"/>
            </w14:solidFill>
          </w14:textFill>
        </w:rPr>
        <w:t>履行地</w:t>
      </w:r>
      <w:r>
        <w:rPr>
          <w:rFonts w:ascii="宋体" w:hAnsi="宋体" w:eastAsia="宋体" w:cs="宋体"/>
          <w:color w:val="000000" w:themeColor="text1"/>
          <w:sz w:val="24"/>
          <w:highlight w:val="none"/>
          <w14:textFill>
            <w14:solidFill>
              <w14:schemeClr w14:val="tx1"/>
            </w14:solidFill>
          </w14:textFill>
        </w:rPr>
        <w:t xml:space="preserve">：娄底市娄星区 </w:t>
      </w:r>
      <w:r>
        <w:rPr>
          <w:rFonts w:hint="eastAsia" w:ascii="宋体" w:hAnsi="宋体" w:eastAsia="宋体" w:cs="宋体"/>
          <w:color w:val="000000" w:themeColor="text1"/>
          <w:sz w:val="24"/>
          <w:highlight w:val="none"/>
          <w14:textFill>
            <w14:solidFill>
              <w14:schemeClr w14:val="tx1"/>
            </w14:solidFill>
          </w14:textFill>
        </w:rPr>
        <w:t xml:space="preserve">    </w:t>
      </w:r>
      <w:r>
        <w:rPr>
          <w:rFonts w:hint="eastAsia" w:ascii="宋体" w:hAnsi="宋体" w:eastAsia="宋体" w:cs="宋体"/>
          <w:color w:val="000000" w:themeColor="text1"/>
          <w:sz w:val="24"/>
          <w:highlight w:val="none"/>
          <w:lang w:val="en-US" w:eastAsia="zh-CN"/>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签订时间：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年</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月</w:t>
      </w:r>
      <w:r>
        <w:rPr>
          <w:rFonts w:hint="eastAsia" w:ascii="宋体" w:hAnsi="宋体" w:eastAsia="宋体" w:cs="宋体"/>
          <w:color w:val="000000" w:themeColor="text1"/>
          <w:sz w:val="24"/>
          <w:highlight w:val="none"/>
          <w14:textFill>
            <w14:solidFill>
              <w14:schemeClr w14:val="tx1"/>
            </w14:solidFill>
          </w14:textFill>
        </w:rPr>
        <w:t xml:space="preserve">     </w:t>
      </w:r>
      <w:r>
        <w:rPr>
          <w:rFonts w:ascii="宋体" w:hAnsi="宋体" w:eastAsia="宋体" w:cs="宋体"/>
          <w:color w:val="000000" w:themeColor="text1"/>
          <w:sz w:val="24"/>
          <w:highlight w:val="none"/>
          <w14:textFill>
            <w14:solidFill>
              <w14:schemeClr w14:val="tx1"/>
            </w14:solidFill>
          </w14:textFill>
        </w:rPr>
        <w:t>日</w:t>
      </w:r>
    </w:p>
    <w:p w14:paraId="32119473">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6F724A27">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0E93B02F">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52DAB1D9">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2AE5A335">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1BED68E2">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3182C044">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00FE3ADE">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0C92067D">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13858A57">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24BA6B3F">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0833F474">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4227AAB4">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704C7833">
      <w:pPr>
        <w:spacing w:line="440" w:lineRule="exact"/>
        <w:ind w:firstLine="480" w:firstLineChars="200"/>
        <w:rPr>
          <w:rFonts w:hint="eastAsia" w:ascii="宋体" w:hAnsi="宋体" w:eastAsia="宋体" w:cs="宋体"/>
          <w:color w:val="000000" w:themeColor="text1"/>
          <w:sz w:val="24"/>
          <w:highlight w:val="none"/>
          <w14:textFill>
            <w14:solidFill>
              <w14:schemeClr w14:val="tx1"/>
            </w14:solidFill>
          </w14:textFill>
        </w:rPr>
      </w:pPr>
    </w:p>
    <w:p w14:paraId="100D71BB">
      <w:pPr>
        <w:spacing w:line="440" w:lineRule="exact"/>
        <w:rPr>
          <w:rFonts w:hint="eastAsia" w:ascii="黑体" w:hAnsi="黑体" w:eastAsia="黑体" w:cs="黑体"/>
          <w:color w:val="000000" w:themeColor="text1"/>
          <w:sz w:val="32"/>
          <w:szCs w:val="32"/>
          <w:highlight w:val="none"/>
          <w:lang w:val="en-US" w:eastAsia="zh-CN"/>
          <w14:textFill>
            <w14:solidFill>
              <w14:schemeClr w14:val="tx1"/>
            </w14:solidFill>
          </w14:textFill>
        </w:rPr>
      </w:pPr>
    </w:p>
    <w:p w14:paraId="088FDA57">
      <w:pPr>
        <w:spacing w:line="440" w:lineRule="exact"/>
        <w:rPr>
          <w:rFonts w:hint="eastAsia" w:ascii="宋体" w:hAnsi="宋体" w:eastAsia="宋体" w:cs="宋体"/>
          <w:color w:val="000000" w:themeColor="text1"/>
          <w:sz w:val="24"/>
          <w:lang w:val="en-US" w:eastAsia="zh-CN"/>
          <w14:textFill>
            <w14:solidFill>
              <w14:schemeClr w14:val="tx1"/>
            </w14:solidFill>
          </w14:textFill>
        </w:rPr>
      </w:pPr>
    </w:p>
    <w:p w14:paraId="542BCEF1">
      <w:pPr>
        <w:keepNext w:val="0"/>
        <w:keepLines w:val="0"/>
        <w:pageBreakBefore w:val="0"/>
        <w:widowControl w:val="0"/>
        <w:kinsoku/>
        <w:wordWrap/>
        <w:overflowPunct/>
        <w:topLinePunct w:val="0"/>
        <w:autoSpaceDE/>
        <w:autoSpaceDN/>
        <w:bidi w:val="0"/>
        <w:adjustRightInd/>
        <w:snapToGrid/>
        <w:spacing w:line="520" w:lineRule="exact"/>
        <w:ind w:firstLine="0" w:firstLineChars="0"/>
        <w:textAlignment w:val="auto"/>
        <w:rPr>
          <w:rFonts w:hint="eastAsia" w:ascii="仿宋_GB2312" w:hAnsi="Times New Roman" w:eastAsia="仿宋_GB2312" w:cs="仿宋_GB2312"/>
          <w:bCs/>
          <w:color w:val="auto"/>
          <w:kern w:val="0"/>
          <w:sz w:val="28"/>
          <w:szCs w:val="28"/>
          <w:lang w:val="en-US" w:eastAsia="zh-CN" w:bidi="ar-SA"/>
        </w:rPr>
      </w:pPr>
    </w:p>
    <w:p w14:paraId="4D0ABACC">
      <w:pPr>
        <w:rPr>
          <w:rFonts w:hint="eastAsia" w:ascii="仿宋_GB2312" w:eastAsia="仿宋_GB2312" w:cs="仿宋_GB2312"/>
          <w:bCs/>
          <w:color w:val="auto"/>
          <w:kern w:val="0"/>
          <w:sz w:val="28"/>
          <w:szCs w:val="28"/>
          <w:lang w:val="en-US" w:eastAsia="zh-CN" w:bidi="ar-SA"/>
        </w:rPr>
      </w:pPr>
      <w:r>
        <w:rPr>
          <w:rFonts w:hint="eastAsia" w:ascii="仿宋_GB2312" w:eastAsia="仿宋_GB2312" w:cs="仿宋_GB2312"/>
          <w:bCs/>
          <w:color w:val="auto"/>
          <w:kern w:val="0"/>
          <w:sz w:val="28"/>
          <w:szCs w:val="28"/>
          <w:lang w:val="en-US" w:eastAsia="zh-CN" w:bidi="ar-SA"/>
        </w:rPr>
        <w:br w:type="page"/>
      </w:r>
    </w:p>
    <w:p w14:paraId="2E838F41">
      <w:pPr>
        <w:pStyle w:val="2"/>
        <w:numPr>
          <w:ilvl w:val="0"/>
          <w:numId w:val="0"/>
        </w:numPr>
        <w:spacing w:line="240" w:lineRule="auto"/>
        <w:ind w:left="2940" w:leftChars="0"/>
        <w:jc w:val="both"/>
        <w:rPr>
          <w:rFonts w:hint="eastAsia" w:ascii="宋体" w:hAnsi="宋体" w:cs="宋体"/>
          <w:color w:val="auto"/>
          <w:sz w:val="30"/>
          <w:szCs w:val="30"/>
        </w:rPr>
      </w:pPr>
      <w:bookmarkStart w:id="1" w:name="_Toc16523574"/>
      <w:r>
        <w:rPr>
          <w:rFonts w:hint="eastAsia" w:ascii="宋体" w:hAnsi="宋体" w:cs="宋体"/>
          <w:color w:val="auto"/>
          <w:sz w:val="30"/>
          <w:szCs w:val="30"/>
          <w:lang w:val="en-US" w:eastAsia="zh-CN"/>
        </w:rPr>
        <w:t xml:space="preserve">第三章   </w:t>
      </w:r>
      <w:r>
        <w:rPr>
          <w:rFonts w:hint="eastAsia" w:ascii="宋体" w:hAnsi="宋体" w:cs="宋体"/>
          <w:color w:val="auto"/>
          <w:sz w:val="30"/>
          <w:szCs w:val="30"/>
        </w:rPr>
        <w:t>投标文件的格式</w:t>
      </w:r>
    </w:p>
    <w:p w14:paraId="42075ED1">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011AD09">
      <w:pPr>
        <w:rPr>
          <w:rFonts w:hint="eastAsia" w:ascii="宋体" w:hAnsi="宋体" w:cs="宋体"/>
          <w:color w:val="auto"/>
        </w:rPr>
      </w:pPr>
    </w:p>
    <w:bookmarkEnd w:id="1"/>
    <w:p w14:paraId="6B60CB95">
      <w:pPr>
        <w:rPr>
          <w:rFonts w:hint="eastAsia"/>
          <w:color w:val="auto"/>
        </w:rPr>
      </w:pPr>
    </w:p>
    <w:p w14:paraId="463F9F65">
      <w:pPr>
        <w:jc w:val="center"/>
        <w:rPr>
          <w:b/>
          <w:color w:val="auto"/>
          <w:sz w:val="24"/>
        </w:rPr>
      </w:pPr>
      <w:r>
        <w:rPr>
          <w:b/>
          <w:color w:val="auto"/>
          <w:sz w:val="28"/>
          <w:szCs w:val="28"/>
        </w:rPr>
        <w:t>第一部分、开标一览表</w:t>
      </w:r>
    </w:p>
    <w:p w14:paraId="40105E6A">
      <w:pPr>
        <w:jc w:val="center"/>
        <w:rPr>
          <w:b/>
          <w:color w:val="auto"/>
          <w:sz w:val="24"/>
        </w:rPr>
      </w:pPr>
    </w:p>
    <w:p w14:paraId="60B35180">
      <w:pPr>
        <w:jc w:val="center"/>
        <w:rPr>
          <w:rFonts w:hint="eastAsia" w:eastAsia="宋体"/>
          <w:b/>
          <w:color w:val="auto"/>
          <w:sz w:val="24"/>
          <w:lang w:eastAsia="zh-CN"/>
        </w:rPr>
      </w:pPr>
      <w:r>
        <w:rPr>
          <w:rFonts w:hint="eastAsia"/>
          <w:b/>
          <w:color w:val="auto"/>
          <w:sz w:val="24"/>
          <w:lang w:eastAsia="zh-CN"/>
        </w:rPr>
        <w:t>注：此项内容需包含投标商品名称、数量、品牌、型号、单价、总价、等信息</w:t>
      </w:r>
    </w:p>
    <w:p w14:paraId="71CAD04D">
      <w:pPr>
        <w:pStyle w:val="24"/>
        <w:rPr>
          <w:color w:val="auto"/>
        </w:rPr>
      </w:pPr>
    </w:p>
    <w:p w14:paraId="66551667">
      <w:pPr>
        <w:adjustRightInd w:val="0"/>
        <w:snapToGrid w:val="0"/>
        <w:spacing w:line="360" w:lineRule="auto"/>
        <w:jc w:val="center"/>
        <w:rPr>
          <w:rFonts w:hint="eastAsia" w:ascii="宋体" w:hAnsi="宋体" w:cs="宋体"/>
          <w:b/>
          <w:color w:val="auto"/>
          <w:sz w:val="28"/>
          <w:szCs w:val="28"/>
        </w:rPr>
      </w:pPr>
    </w:p>
    <w:p w14:paraId="28166D50">
      <w:pPr>
        <w:adjustRightInd w:val="0"/>
        <w:snapToGrid w:val="0"/>
        <w:spacing w:line="360" w:lineRule="auto"/>
        <w:jc w:val="center"/>
        <w:rPr>
          <w:rFonts w:hint="eastAsia" w:ascii="宋体" w:hAnsi="宋体" w:cs="宋体"/>
          <w:b/>
          <w:color w:val="auto"/>
          <w:sz w:val="28"/>
          <w:szCs w:val="28"/>
        </w:rPr>
      </w:pPr>
    </w:p>
    <w:p w14:paraId="4E8B8904">
      <w:pPr>
        <w:adjustRightInd w:val="0"/>
        <w:snapToGrid w:val="0"/>
        <w:spacing w:line="360" w:lineRule="auto"/>
        <w:jc w:val="center"/>
        <w:rPr>
          <w:rFonts w:hint="eastAsia" w:ascii="宋体" w:hAnsi="宋体" w:cs="宋体"/>
          <w:b/>
          <w:color w:val="auto"/>
          <w:sz w:val="28"/>
          <w:szCs w:val="28"/>
        </w:rPr>
      </w:pPr>
    </w:p>
    <w:p w14:paraId="2945B527">
      <w:pPr>
        <w:adjustRightInd w:val="0"/>
        <w:snapToGrid w:val="0"/>
        <w:spacing w:line="360" w:lineRule="auto"/>
        <w:jc w:val="center"/>
        <w:rPr>
          <w:rFonts w:hint="eastAsia" w:ascii="宋体" w:hAnsi="宋体" w:cs="宋体"/>
          <w:b/>
          <w:color w:val="auto"/>
          <w:sz w:val="28"/>
          <w:szCs w:val="28"/>
        </w:rPr>
      </w:pPr>
    </w:p>
    <w:p w14:paraId="1FBF603D">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3D168BD">
      <w:pPr>
        <w:pStyle w:val="23"/>
        <w:rPr>
          <w:rFonts w:hint="eastAsia"/>
          <w:lang w:eastAsia="zh-CN"/>
        </w:rPr>
      </w:pPr>
    </w:p>
    <w:p w14:paraId="386689DC">
      <w:pPr>
        <w:adjustRightInd w:val="0"/>
        <w:snapToGrid w:val="0"/>
        <w:spacing w:line="360" w:lineRule="auto"/>
        <w:jc w:val="center"/>
        <w:rPr>
          <w:rFonts w:hint="eastAsia" w:ascii="宋体" w:hAnsi="宋体" w:cs="宋体"/>
          <w:b/>
          <w:color w:val="auto"/>
          <w:sz w:val="24"/>
          <w:szCs w:val="20"/>
        </w:rPr>
      </w:pPr>
    </w:p>
    <w:p w14:paraId="11F0F571">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4449AAA">
      <w:pPr>
        <w:adjustRightInd w:val="0"/>
        <w:snapToGrid w:val="0"/>
        <w:spacing w:line="360" w:lineRule="auto"/>
        <w:rPr>
          <w:rFonts w:hint="eastAsia" w:ascii="宋体" w:hAnsi="宋体" w:cs="宋体"/>
          <w:b/>
          <w:color w:val="auto"/>
          <w:sz w:val="28"/>
          <w:szCs w:val="28"/>
        </w:rPr>
      </w:pPr>
    </w:p>
    <w:p w14:paraId="540590FF">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3381B1A2">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0EF2546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51BFDC15">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F084AFC">
      <w:pPr>
        <w:adjustRightInd w:val="0"/>
        <w:snapToGrid w:val="0"/>
        <w:spacing w:line="360" w:lineRule="auto"/>
        <w:ind w:firstLine="480" w:firstLineChars="200"/>
        <w:rPr>
          <w:rFonts w:hint="eastAsia" w:ascii="宋体" w:hAnsi="宋体" w:cs="宋体"/>
          <w:color w:val="auto"/>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C87C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252076A9">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637D8040">
      <w:pPr>
        <w:adjustRightInd w:val="0"/>
        <w:snapToGrid w:val="0"/>
        <w:spacing w:line="360" w:lineRule="auto"/>
        <w:rPr>
          <w:rFonts w:hint="eastAsia" w:ascii="宋体" w:hAnsi="宋体" w:cs="宋体"/>
          <w:color w:val="auto"/>
          <w:sz w:val="24"/>
        </w:rPr>
      </w:pPr>
    </w:p>
    <w:tbl>
      <w:tblPr>
        <w:tblStyle w:val="16"/>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57534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34C02A26">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573075C3">
      <w:pPr>
        <w:adjustRightInd w:val="0"/>
        <w:snapToGrid w:val="0"/>
        <w:spacing w:line="360" w:lineRule="auto"/>
        <w:rPr>
          <w:rFonts w:hint="eastAsia" w:ascii="宋体" w:hAnsi="宋体" w:cs="宋体"/>
          <w:color w:val="auto"/>
          <w:sz w:val="24"/>
        </w:rPr>
      </w:pPr>
    </w:p>
    <w:p w14:paraId="2BBB8A34">
      <w:pPr>
        <w:adjustRightInd w:val="0"/>
        <w:snapToGrid w:val="0"/>
        <w:spacing w:line="360" w:lineRule="auto"/>
        <w:rPr>
          <w:rFonts w:hint="eastAsia" w:ascii="宋体" w:hAnsi="宋体" w:cs="宋体"/>
          <w:color w:val="auto"/>
          <w:sz w:val="24"/>
        </w:rPr>
      </w:pPr>
    </w:p>
    <w:p w14:paraId="1A8CC709">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CA38E1D">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524E802C">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7E29138A">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18D29777">
      <w:pPr>
        <w:adjustRightInd w:val="0"/>
        <w:snapToGrid w:val="0"/>
        <w:spacing w:line="360" w:lineRule="auto"/>
        <w:rPr>
          <w:rFonts w:hint="eastAsia" w:ascii="宋体" w:hAnsi="宋体" w:cs="宋体"/>
          <w:b/>
          <w:color w:val="auto"/>
          <w:sz w:val="28"/>
          <w:szCs w:val="28"/>
        </w:rPr>
      </w:pPr>
    </w:p>
    <w:p w14:paraId="3F6A11CD">
      <w:pPr>
        <w:adjustRightInd w:val="0"/>
        <w:snapToGrid w:val="0"/>
        <w:spacing w:line="360" w:lineRule="auto"/>
        <w:jc w:val="center"/>
        <w:rPr>
          <w:rFonts w:hint="eastAsia" w:ascii="宋体" w:hAnsi="宋体" w:cs="宋体"/>
          <w:color w:val="auto"/>
          <w:sz w:val="24"/>
        </w:rPr>
      </w:pPr>
      <w:r>
        <w:rPr>
          <w:rFonts w:hint="eastAsia" w:ascii="宋体" w:hAnsi="宋体" w:cs="宋体"/>
          <w:b/>
          <w:color w:val="auto"/>
          <w:sz w:val="24"/>
          <w:szCs w:val="20"/>
        </w:rPr>
        <w:t>二、投标人资格声明</w:t>
      </w:r>
    </w:p>
    <w:p w14:paraId="3E86AAC0">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29B67DC">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5A64E7F8">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21867362">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3CB02BF7">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4223B65">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0DFF17FA">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五、我单位具备法律、行政法规规定的其他条件。</w:t>
      </w:r>
    </w:p>
    <w:p w14:paraId="149A3161">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B61AC36">
      <w:pPr>
        <w:adjustRightInd w:val="0"/>
        <w:snapToGrid w:val="0"/>
        <w:spacing w:before="120" w:beforeLines="50" w:line="360" w:lineRule="auto"/>
        <w:ind w:firstLine="480" w:firstLineChars="200"/>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763F31A9">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1D48A861">
      <w:pPr>
        <w:adjustRightInd w:val="0"/>
        <w:snapToGrid w:val="0"/>
        <w:spacing w:before="120" w:beforeLines="50" w:line="360" w:lineRule="auto"/>
        <w:ind w:firstLine="480" w:firstLineChars="200"/>
        <w:rPr>
          <w:rFonts w:hint="eastAsia" w:ascii="宋体" w:hAnsi="宋体" w:cs="宋体"/>
          <w:color w:val="auto"/>
          <w:sz w:val="24"/>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1417F859">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671259A6">
      <w:pPr>
        <w:widowControl/>
        <w:adjustRightInd w:val="0"/>
        <w:snapToGrid w:val="0"/>
        <w:spacing w:before="120" w:beforeLines="50" w:line="360" w:lineRule="auto"/>
        <w:ind w:firstLine="480" w:firstLineChars="200"/>
        <w:jc w:val="left"/>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2A3FCFA6">
      <w:pPr>
        <w:widowControl/>
        <w:adjustRightInd w:val="0"/>
        <w:snapToGrid w:val="0"/>
        <w:spacing w:before="120" w:beforeLines="50" w:line="360" w:lineRule="auto"/>
        <w:ind w:firstLine="480" w:firstLineChars="200"/>
        <w:jc w:val="left"/>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5B697C89">
      <w:pPr>
        <w:widowControl/>
        <w:adjustRightInd w:val="0"/>
        <w:snapToGrid w:val="0"/>
        <w:spacing w:before="120" w:beforeLines="50" w:line="360" w:lineRule="auto"/>
        <w:jc w:val="left"/>
        <w:rPr>
          <w:rFonts w:hint="eastAsia" w:ascii="宋体" w:hAnsi="宋体" w:cs="宋体"/>
          <w:color w:val="auto"/>
          <w:kern w:val="0"/>
          <w:sz w:val="24"/>
        </w:rPr>
      </w:pPr>
      <w:r>
        <w:rPr>
          <w:rFonts w:hint="eastAsia" w:ascii="宋体" w:hAnsi="宋体" w:cs="宋体"/>
          <w:color w:val="auto"/>
          <w:sz w:val="24"/>
        </w:rPr>
        <w:t>投标人名称（盖单位公章）：</w:t>
      </w:r>
    </w:p>
    <w:p w14:paraId="3B055510">
      <w:pPr>
        <w:widowControl/>
        <w:adjustRightInd w:val="0"/>
        <w:snapToGrid w:val="0"/>
        <w:spacing w:before="120" w:beforeLines="50" w:line="360" w:lineRule="auto"/>
        <w:jc w:val="left"/>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3EF7C52F">
      <w:pPr>
        <w:widowControl/>
        <w:adjustRightInd w:val="0"/>
        <w:snapToGrid w:val="0"/>
        <w:spacing w:before="120" w:beforeLines="50" w:line="360" w:lineRule="auto"/>
        <w:jc w:val="left"/>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3446278">
      <w:pPr>
        <w:adjustRightInd w:val="0"/>
        <w:snapToGrid w:val="0"/>
        <w:spacing w:line="360" w:lineRule="auto"/>
        <w:jc w:val="center"/>
        <w:rPr>
          <w:rFonts w:hint="eastAsia" w:ascii="宋体" w:hAnsi="宋体" w:cs="宋体"/>
          <w:b/>
          <w:color w:val="auto"/>
          <w:sz w:val="24"/>
          <w:szCs w:val="20"/>
        </w:rPr>
      </w:pPr>
    </w:p>
    <w:p w14:paraId="1346884B">
      <w:pPr>
        <w:adjustRightInd w:val="0"/>
        <w:snapToGrid w:val="0"/>
        <w:spacing w:line="360" w:lineRule="auto"/>
        <w:rPr>
          <w:rFonts w:hint="eastAsia" w:ascii="宋体" w:hAnsi="宋体" w:cs="宋体"/>
          <w:b/>
          <w:color w:val="auto"/>
          <w:sz w:val="24"/>
          <w:szCs w:val="20"/>
        </w:rPr>
      </w:pPr>
    </w:p>
    <w:p w14:paraId="4F9273E1">
      <w:pPr>
        <w:adjustRightInd w:val="0"/>
        <w:snapToGrid w:val="0"/>
        <w:spacing w:line="360" w:lineRule="auto"/>
        <w:rPr>
          <w:rFonts w:hint="eastAsia" w:ascii="宋体" w:hAnsi="宋体" w:cs="宋体"/>
          <w:b/>
          <w:color w:val="auto"/>
          <w:sz w:val="24"/>
          <w:szCs w:val="20"/>
        </w:rPr>
      </w:pPr>
    </w:p>
    <w:p w14:paraId="2D2F2399">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6BD0C8C8">
      <w:pPr>
        <w:adjustRightInd w:val="0"/>
        <w:snapToGrid w:val="0"/>
        <w:spacing w:line="360" w:lineRule="auto"/>
        <w:jc w:val="center"/>
        <w:rPr>
          <w:rFonts w:hint="eastAsia" w:ascii="宋体" w:hAnsi="宋体" w:cs="宋体"/>
          <w:b/>
          <w:color w:val="auto"/>
          <w:sz w:val="24"/>
          <w:szCs w:val="20"/>
        </w:rPr>
      </w:pPr>
    </w:p>
    <w:p w14:paraId="565506E4">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478C91FB">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0851C70D">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786E0303">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9144592">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50CF0EAC">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71681098">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9FD08FA">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753E4AC7">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575B8451">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32BCE7E4">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059336F3">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EB9AB22">
      <w:pPr>
        <w:jc w:val="left"/>
        <w:rPr>
          <w:rFonts w:hint="eastAsia" w:ascii="宋体" w:hAnsi="宋体" w:eastAsia="宋体" w:cs="Times New Roman"/>
          <w:b w:val="0"/>
          <w:bCs w:val="0"/>
          <w:color w:val="auto"/>
          <w:kern w:val="2"/>
          <w:sz w:val="24"/>
          <w:szCs w:val="24"/>
          <w:lang w:val="en-US" w:eastAsia="zh-CN" w:bidi="ar-SA"/>
        </w:rPr>
      </w:pPr>
    </w:p>
    <w:p w14:paraId="452F65D0">
      <w:pPr>
        <w:jc w:val="left"/>
        <w:rPr>
          <w:rFonts w:hint="eastAsia" w:ascii="宋体" w:hAnsi="宋体" w:eastAsia="宋体" w:cs="Times New Roman"/>
          <w:b w:val="0"/>
          <w:bCs w:val="0"/>
          <w:color w:val="auto"/>
          <w:kern w:val="2"/>
          <w:sz w:val="24"/>
          <w:szCs w:val="24"/>
          <w:lang w:val="en-US" w:eastAsia="zh-CN" w:bidi="ar-SA"/>
        </w:rPr>
      </w:pPr>
    </w:p>
    <w:p w14:paraId="16A0C581">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4B1AE1FF">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3C2F2BC3">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2" w:name="_Toc486424819"/>
      <w:bookmarkStart w:id="3" w:name="_Toc476514128"/>
    </w:p>
    <w:p w14:paraId="6D90F51D">
      <w:pPr>
        <w:pStyle w:val="23"/>
        <w:rPr>
          <w:rFonts w:hint="eastAsia"/>
          <w:lang w:eastAsia="zh-CN"/>
        </w:rPr>
      </w:pPr>
    </w:p>
    <w:p w14:paraId="6BAEDE60">
      <w:pPr>
        <w:spacing w:before="120" w:beforeLines="50" w:after="120" w:afterLines="50" w:line="276" w:lineRule="auto"/>
        <w:jc w:val="center"/>
        <w:rPr>
          <w:b/>
          <w:color w:val="auto"/>
          <w:sz w:val="24"/>
        </w:rPr>
      </w:pPr>
      <w:r>
        <w:rPr>
          <w:b/>
          <w:color w:val="auto"/>
          <w:sz w:val="24"/>
        </w:rPr>
        <w:t>采购需求响应/偏离表</w:t>
      </w:r>
    </w:p>
    <w:p w14:paraId="3BCF85E9">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6"/>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572AF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684B6852">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4257CF67">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769CBF21">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9D4284B">
            <w:pPr>
              <w:adjustRightInd w:val="0"/>
              <w:snapToGrid w:val="0"/>
              <w:spacing w:before="50" w:line="360" w:lineRule="auto"/>
              <w:jc w:val="center"/>
              <w:rPr>
                <w:color w:val="auto"/>
              </w:rPr>
            </w:pPr>
            <w:r>
              <w:rPr>
                <w:color w:val="auto"/>
              </w:rPr>
              <w:t>投标文件应答</w:t>
            </w:r>
          </w:p>
        </w:tc>
        <w:tc>
          <w:tcPr>
            <w:tcW w:w="1513" w:type="dxa"/>
            <w:noWrap w:val="0"/>
            <w:vAlign w:val="center"/>
          </w:tcPr>
          <w:p w14:paraId="67C408D3">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333762B8">
            <w:pPr>
              <w:adjustRightInd w:val="0"/>
              <w:snapToGrid w:val="0"/>
              <w:spacing w:before="50" w:line="360" w:lineRule="auto"/>
              <w:ind w:left="-88" w:leftChars="-42"/>
              <w:jc w:val="center"/>
              <w:rPr>
                <w:color w:val="auto"/>
                <w:szCs w:val="21"/>
              </w:rPr>
            </w:pPr>
            <w:r>
              <w:rPr>
                <w:color w:val="auto"/>
                <w:szCs w:val="21"/>
              </w:rPr>
              <w:t>偏离说明</w:t>
            </w:r>
          </w:p>
        </w:tc>
      </w:tr>
      <w:tr w14:paraId="4E0917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1E1580C">
            <w:pPr>
              <w:adjustRightInd w:val="0"/>
              <w:snapToGrid w:val="0"/>
              <w:spacing w:before="50" w:line="360" w:lineRule="auto"/>
              <w:ind w:left="-88" w:leftChars="-42"/>
              <w:jc w:val="center"/>
              <w:rPr>
                <w:color w:val="auto"/>
                <w:szCs w:val="21"/>
              </w:rPr>
            </w:pPr>
          </w:p>
        </w:tc>
        <w:tc>
          <w:tcPr>
            <w:tcW w:w="1877" w:type="dxa"/>
            <w:noWrap w:val="0"/>
            <w:vAlign w:val="center"/>
          </w:tcPr>
          <w:p w14:paraId="774A1D01">
            <w:pPr>
              <w:adjustRightInd w:val="0"/>
              <w:snapToGrid w:val="0"/>
              <w:spacing w:before="50" w:line="360" w:lineRule="auto"/>
              <w:ind w:left="-88" w:leftChars="-42"/>
              <w:jc w:val="center"/>
              <w:rPr>
                <w:color w:val="auto"/>
                <w:szCs w:val="21"/>
              </w:rPr>
            </w:pPr>
          </w:p>
        </w:tc>
        <w:tc>
          <w:tcPr>
            <w:tcW w:w="1671" w:type="dxa"/>
            <w:noWrap w:val="0"/>
            <w:vAlign w:val="center"/>
          </w:tcPr>
          <w:p w14:paraId="5CC39C1D">
            <w:pPr>
              <w:adjustRightInd w:val="0"/>
              <w:snapToGrid w:val="0"/>
              <w:spacing w:before="50" w:line="360" w:lineRule="auto"/>
              <w:ind w:left="-88" w:leftChars="-42"/>
              <w:jc w:val="center"/>
              <w:rPr>
                <w:color w:val="auto"/>
                <w:szCs w:val="21"/>
              </w:rPr>
            </w:pPr>
          </w:p>
        </w:tc>
        <w:tc>
          <w:tcPr>
            <w:tcW w:w="1608" w:type="dxa"/>
            <w:noWrap w:val="0"/>
            <w:vAlign w:val="center"/>
          </w:tcPr>
          <w:p w14:paraId="4C313990">
            <w:pPr>
              <w:adjustRightInd w:val="0"/>
              <w:snapToGrid w:val="0"/>
              <w:spacing w:before="50" w:line="360" w:lineRule="auto"/>
              <w:ind w:left="-88" w:leftChars="-42"/>
              <w:jc w:val="center"/>
              <w:rPr>
                <w:color w:val="auto"/>
                <w:szCs w:val="21"/>
              </w:rPr>
            </w:pPr>
          </w:p>
        </w:tc>
        <w:tc>
          <w:tcPr>
            <w:tcW w:w="1513" w:type="dxa"/>
            <w:noWrap w:val="0"/>
            <w:vAlign w:val="center"/>
          </w:tcPr>
          <w:p w14:paraId="3282AE5D">
            <w:pPr>
              <w:adjustRightInd w:val="0"/>
              <w:snapToGrid w:val="0"/>
              <w:spacing w:before="50" w:line="360" w:lineRule="auto"/>
              <w:ind w:left="-88" w:leftChars="-42"/>
              <w:jc w:val="center"/>
              <w:rPr>
                <w:color w:val="auto"/>
                <w:szCs w:val="21"/>
              </w:rPr>
            </w:pPr>
          </w:p>
        </w:tc>
        <w:tc>
          <w:tcPr>
            <w:tcW w:w="1061" w:type="dxa"/>
            <w:noWrap w:val="0"/>
            <w:vAlign w:val="center"/>
          </w:tcPr>
          <w:p w14:paraId="031F9831">
            <w:pPr>
              <w:adjustRightInd w:val="0"/>
              <w:snapToGrid w:val="0"/>
              <w:spacing w:before="50" w:line="360" w:lineRule="auto"/>
              <w:ind w:left="-88" w:leftChars="-42"/>
              <w:jc w:val="center"/>
              <w:rPr>
                <w:color w:val="auto"/>
                <w:szCs w:val="21"/>
              </w:rPr>
            </w:pPr>
          </w:p>
        </w:tc>
      </w:tr>
      <w:tr w14:paraId="000159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AAB4EE">
            <w:pPr>
              <w:adjustRightInd w:val="0"/>
              <w:snapToGrid w:val="0"/>
              <w:spacing w:before="50" w:line="360" w:lineRule="auto"/>
              <w:ind w:left="-88" w:leftChars="-42"/>
              <w:jc w:val="center"/>
              <w:rPr>
                <w:color w:val="auto"/>
                <w:szCs w:val="21"/>
              </w:rPr>
            </w:pPr>
          </w:p>
        </w:tc>
        <w:tc>
          <w:tcPr>
            <w:tcW w:w="1877" w:type="dxa"/>
            <w:noWrap w:val="0"/>
            <w:vAlign w:val="center"/>
          </w:tcPr>
          <w:p w14:paraId="50AEF049">
            <w:pPr>
              <w:adjustRightInd w:val="0"/>
              <w:snapToGrid w:val="0"/>
              <w:spacing w:before="50" w:line="360" w:lineRule="auto"/>
              <w:ind w:left="-88" w:leftChars="-42"/>
              <w:jc w:val="center"/>
              <w:rPr>
                <w:color w:val="auto"/>
                <w:szCs w:val="21"/>
              </w:rPr>
            </w:pPr>
          </w:p>
        </w:tc>
        <w:tc>
          <w:tcPr>
            <w:tcW w:w="1671" w:type="dxa"/>
            <w:noWrap w:val="0"/>
            <w:vAlign w:val="center"/>
          </w:tcPr>
          <w:p w14:paraId="2A7B0A3E">
            <w:pPr>
              <w:adjustRightInd w:val="0"/>
              <w:snapToGrid w:val="0"/>
              <w:spacing w:before="50" w:line="360" w:lineRule="auto"/>
              <w:ind w:left="-88" w:leftChars="-42"/>
              <w:jc w:val="center"/>
              <w:rPr>
                <w:color w:val="auto"/>
                <w:szCs w:val="21"/>
              </w:rPr>
            </w:pPr>
          </w:p>
        </w:tc>
        <w:tc>
          <w:tcPr>
            <w:tcW w:w="1608" w:type="dxa"/>
            <w:noWrap w:val="0"/>
            <w:vAlign w:val="center"/>
          </w:tcPr>
          <w:p w14:paraId="4A601AAF">
            <w:pPr>
              <w:adjustRightInd w:val="0"/>
              <w:snapToGrid w:val="0"/>
              <w:spacing w:before="50" w:line="360" w:lineRule="auto"/>
              <w:ind w:left="-88" w:leftChars="-42"/>
              <w:jc w:val="center"/>
              <w:rPr>
                <w:color w:val="auto"/>
                <w:szCs w:val="21"/>
              </w:rPr>
            </w:pPr>
          </w:p>
        </w:tc>
        <w:tc>
          <w:tcPr>
            <w:tcW w:w="1513" w:type="dxa"/>
            <w:noWrap w:val="0"/>
            <w:vAlign w:val="center"/>
          </w:tcPr>
          <w:p w14:paraId="25C22211">
            <w:pPr>
              <w:adjustRightInd w:val="0"/>
              <w:snapToGrid w:val="0"/>
              <w:spacing w:before="50" w:line="360" w:lineRule="auto"/>
              <w:ind w:left="-88" w:leftChars="-42"/>
              <w:jc w:val="center"/>
              <w:rPr>
                <w:color w:val="auto"/>
                <w:szCs w:val="21"/>
              </w:rPr>
            </w:pPr>
          </w:p>
        </w:tc>
        <w:tc>
          <w:tcPr>
            <w:tcW w:w="1061" w:type="dxa"/>
            <w:noWrap w:val="0"/>
            <w:vAlign w:val="center"/>
          </w:tcPr>
          <w:p w14:paraId="571A0A5F">
            <w:pPr>
              <w:adjustRightInd w:val="0"/>
              <w:snapToGrid w:val="0"/>
              <w:spacing w:before="50" w:line="360" w:lineRule="auto"/>
              <w:ind w:left="-88" w:leftChars="-42"/>
              <w:jc w:val="center"/>
              <w:rPr>
                <w:color w:val="auto"/>
                <w:szCs w:val="21"/>
              </w:rPr>
            </w:pPr>
          </w:p>
        </w:tc>
      </w:tr>
      <w:tr w14:paraId="7492E7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A3B4144">
            <w:pPr>
              <w:adjustRightInd w:val="0"/>
              <w:snapToGrid w:val="0"/>
              <w:spacing w:before="50" w:line="360" w:lineRule="auto"/>
              <w:ind w:left="-88" w:leftChars="-42"/>
              <w:jc w:val="center"/>
              <w:rPr>
                <w:color w:val="auto"/>
                <w:szCs w:val="21"/>
              </w:rPr>
            </w:pPr>
          </w:p>
        </w:tc>
        <w:tc>
          <w:tcPr>
            <w:tcW w:w="1877" w:type="dxa"/>
            <w:noWrap w:val="0"/>
            <w:vAlign w:val="center"/>
          </w:tcPr>
          <w:p w14:paraId="5678C7D8">
            <w:pPr>
              <w:adjustRightInd w:val="0"/>
              <w:snapToGrid w:val="0"/>
              <w:spacing w:before="50" w:line="360" w:lineRule="auto"/>
              <w:ind w:left="-88" w:leftChars="-42"/>
              <w:jc w:val="center"/>
              <w:rPr>
                <w:color w:val="auto"/>
                <w:szCs w:val="21"/>
              </w:rPr>
            </w:pPr>
          </w:p>
        </w:tc>
        <w:tc>
          <w:tcPr>
            <w:tcW w:w="1671" w:type="dxa"/>
            <w:noWrap w:val="0"/>
            <w:vAlign w:val="center"/>
          </w:tcPr>
          <w:p w14:paraId="7AD96B66">
            <w:pPr>
              <w:adjustRightInd w:val="0"/>
              <w:snapToGrid w:val="0"/>
              <w:spacing w:before="50" w:line="360" w:lineRule="auto"/>
              <w:ind w:left="-88" w:leftChars="-42"/>
              <w:jc w:val="center"/>
              <w:rPr>
                <w:color w:val="auto"/>
                <w:szCs w:val="21"/>
              </w:rPr>
            </w:pPr>
          </w:p>
        </w:tc>
        <w:tc>
          <w:tcPr>
            <w:tcW w:w="1608" w:type="dxa"/>
            <w:noWrap w:val="0"/>
            <w:vAlign w:val="center"/>
          </w:tcPr>
          <w:p w14:paraId="368E095E">
            <w:pPr>
              <w:adjustRightInd w:val="0"/>
              <w:snapToGrid w:val="0"/>
              <w:spacing w:before="50" w:line="360" w:lineRule="auto"/>
              <w:ind w:left="-88" w:leftChars="-42"/>
              <w:jc w:val="center"/>
              <w:rPr>
                <w:color w:val="auto"/>
                <w:szCs w:val="21"/>
              </w:rPr>
            </w:pPr>
          </w:p>
        </w:tc>
        <w:tc>
          <w:tcPr>
            <w:tcW w:w="1513" w:type="dxa"/>
            <w:noWrap w:val="0"/>
            <w:vAlign w:val="center"/>
          </w:tcPr>
          <w:p w14:paraId="1E861332">
            <w:pPr>
              <w:adjustRightInd w:val="0"/>
              <w:snapToGrid w:val="0"/>
              <w:spacing w:before="50" w:line="360" w:lineRule="auto"/>
              <w:ind w:left="-88" w:leftChars="-42"/>
              <w:jc w:val="center"/>
              <w:rPr>
                <w:color w:val="auto"/>
                <w:szCs w:val="21"/>
              </w:rPr>
            </w:pPr>
          </w:p>
        </w:tc>
        <w:tc>
          <w:tcPr>
            <w:tcW w:w="1061" w:type="dxa"/>
            <w:noWrap w:val="0"/>
            <w:vAlign w:val="center"/>
          </w:tcPr>
          <w:p w14:paraId="1DDFBBC9">
            <w:pPr>
              <w:adjustRightInd w:val="0"/>
              <w:snapToGrid w:val="0"/>
              <w:spacing w:before="50" w:line="360" w:lineRule="auto"/>
              <w:ind w:left="-88" w:leftChars="-42"/>
              <w:jc w:val="center"/>
              <w:rPr>
                <w:color w:val="auto"/>
                <w:szCs w:val="21"/>
              </w:rPr>
            </w:pPr>
          </w:p>
        </w:tc>
      </w:tr>
      <w:tr w14:paraId="5ECFAF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5564F7E0">
            <w:pPr>
              <w:rPr>
                <w:b/>
                <w:color w:val="auto"/>
              </w:rPr>
            </w:pPr>
          </w:p>
        </w:tc>
      </w:tr>
    </w:tbl>
    <w:p w14:paraId="58C809C7">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2"/>
    <w:bookmarkEnd w:id="3"/>
    <w:p w14:paraId="559CC365">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5F3C4965">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38E3C596">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本项目为最低价评分法，所有参数必须全部响应，并在响应表中逐条应答，如有任何一条负偏离，则视为无效投标</w:t>
      </w:r>
    </w:p>
    <w:p w14:paraId="7546D202">
      <w:pPr>
        <w:pStyle w:val="24"/>
        <w:rPr>
          <w:color w:val="auto"/>
        </w:rPr>
      </w:pPr>
    </w:p>
    <w:p w14:paraId="5EEA99A1">
      <w:pPr>
        <w:pStyle w:val="23"/>
        <w:rPr>
          <w:rFonts w:hint="eastAsia"/>
          <w:lang w:eastAsia="zh-CN"/>
        </w:rPr>
      </w:pPr>
    </w:p>
    <w:p w14:paraId="4F73B9B6"/>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C24F79">
    <w:pPr>
      <w:pStyle w:val="11"/>
      <w:rPr>
        <w:rFonts w:hint="eastAsia" w:ascii="仿宋_GB2312" w:eastAsia="仿宋_GB2312"/>
        <w:bCs/>
        <w:u w:val="single"/>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1333E6">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C1333E6">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218840FB">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1645">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F0F794">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3F0F794">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67F2DAB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B277D">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6F2E55"/>
    <w:rsid w:val="00AE556A"/>
    <w:rsid w:val="01350E35"/>
    <w:rsid w:val="02390242"/>
    <w:rsid w:val="03E43FAE"/>
    <w:rsid w:val="04653F41"/>
    <w:rsid w:val="04B72FC8"/>
    <w:rsid w:val="04F57A38"/>
    <w:rsid w:val="050719CA"/>
    <w:rsid w:val="056B0EF3"/>
    <w:rsid w:val="05D47115"/>
    <w:rsid w:val="06934BAA"/>
    <w:rsid w:val="06E91EC4"/>
    <w:rsid w:val="07731DE6"/>
    <w:rsid w:val="07AD7CCC"/>
    <w:rsid w:val="086F75C9"/>
    <w:rsid w:val="09B73689"/>
    <w:rsid w:val="09C0303A"/>
    <w:rsid w:val="0A3F4F3C"/>
    <w:rsid w:val="0A6D3244"/>
    <w:rsid w:val="0A8A74D4"/>
    <w:rsid w:val="0C1D3DF2"/>
    <w:rsid w:val="0CAD5ABA"/>
    <w:rsid w:val="0CAD77BD"/>
    <w:rsid w:val="0CD87BD4"/>
    <w:rsid w:val="0E331420"/>
    <w:rsid w:val="0E3A4761"/>
    <w:rsid w:val="0EBC028B"/>
    <w:rsid w:val="0EDD1643"/>
    <w:rsid w:val="0FB9029C"/>
    <w:rsid w:val="10897B23"/>
    <w:rsid w:val="10914EF9"/>
    <w:rsid w:val="10B8663C"/>
    <w:rsid w:val="12080B62"/>
    <w:rsid w:val="12994AC5"/>
    <w:rsid w:val="129F447F"/>
    <w:rsid w:val="12C86253"/>
    <w:rsid w:val="14E40477"/>
    <w:rsid w:val="15060AC8"/>
    <w:rsid w:val="15125EAE"/>
    <w:rsid w:val="15675A4C"/>
    <w:rsid w:val="15B67DFF"/>
    <w:rsid w:val="163301F0"/>
    <w:rsid w:val="17F91BB8"/>
    <w:rsid w:val="193E7D91"/>
    <w:rsid w:val="1943608F"/>
    <w:rsid w:val="19E40286"/>
    <w:rsid w:val="19E91315"/>
    <w:rsid w:val="1AF56B46"/>
    <w:rsid w:val="1CE412C7"/>
    <w:rsid w:val="1D5071B5"/>
    <w:rsid w:val="1DD7486D"/>
    <w:rsid w:val="1E79119D"/>
    <w:rsid w:val="1EF47691"/>
    <w:rsid w:val="1F334F58"/>
    <w:rsid w:val="1F796B24"/>
    <w:rsid w:val="1F7E3A26"/>
    <w:rsid w:val="1FC602A8"/>
    <w:rsid w:val="1FE73549"/>
    <w:rsid w:val="2038045E"/>
    <w:rsid w:val="20AF0900"/>
    <w:rsid w:val="20B41DA7"/>
    <w:rsid w:val="21C61C7A"/>
    <w:rsid w:val="2280405B"/>
    <w:rsid w:val="2383771E"/>
    <w:rsid w:val="23F374DB"/>
    <w:rsid w:val="24881A32"/>
    <w:rsid w:val="25266F96"/>
    <w:rsid w:val="267547DF"/>
    <w:rsid w:val="272B6E6C"/>
    <w:rsid w:val="27B626C7"/>
    <w:rsid w:val="27CF2BB7"/>
    <w:rsid w:val="2821285F"/>
    <w:rsid w:val="28501465"/>
    <w:rsid w:val="28C15483"/>
    <w:rsid w:val="28E81B29"/>
    <w:rsid w:val="28FD390A"/>
    <w:rsid w:val="29B45A41"/>
    <w:rsid w:val="2A174DA9"/>
    <w:rsid w:val="2AB010A8"/>
    <w:rsid w:val="2AC66F99"/>
    <w:rsid w:val="2B6A7BF4"/>
    <w:rsid w:val="2BD64A85"/>
    <w:rsid w:val="2BF61ECB"/>
    <w:rsid w:val="2C0A2E19"/>
    <w:rsid w:val="2C7642D0"/>
    <w:rsid w:val="2C8B7C6A"/>
    <w:rsid w:val="2CC97A35"/>
    <w:rsid w:val="2D13578C"/>
    <w:rsid w:val="2DD77C64"/>
    <w:rsid w:val="2DDA1E78"/>
    <w:rsid w:val="2DE00B8C"/>
    <w:rsid w:val="2EAC037F"/>
    <w:rsid w:val="2EB67A5C"/>
    <w:rsid w:val="2F4B361C"/>
    <w:rsid w:val="302741D2"/>
    <w:rsid w:val="308B184D"/>
    <w:rsid w:val="309C1E01"/>
    <w:rsid w:val="30BB11DD"/>
    <w:rsid w:val="31F17CD1"/>
    <w:rsid w:val="324F4D43"/>
    <w:rsid w:val="33384C93"/>
    <w:rsid w:val="340F06E9"/>
    <w:rsid w:val="34C12F54"/>
    <w:rsid w:val="34F140E5"/>
    <w:rsid w:val="366241E2"/>
    <w:rsid w:val="3662711A"/>
    <w:rsid w:val="36B66AAC"/>
    <w:rsid w:val="36E47928"/>
    <w:rsid w:val="372F7378"/>
    <w:rsid w:val="37BA0809"/>
    <w:rsid w:val="397348CD"/>
    <w:rsid w:val="3A8E0AB7"/>
    <w:rsid w:val="3A994AB7"/>
    <w:rsid w:val="3B3B544D"/>
    <w:rsid w:val="3B654F2B"/>
    <w:rsid w:val="3BB72BAE"/>
    <w:rsid w:val="3BFC7D2B"/>
    <w:rsid w:val="3C7C799C"/>
    <w:rsid w:val="3C8A61A4"/>
    <w:rsid w:val="3D5E17FF"/>
    <w:rsid w:val="3DF93413"/>
    <w:rsid w:val="3DFD1951"/>
    <w:rsid w:val="3E1F0DA4"/>
    <w:rsid w:val="3E584E51"/>
    <w:rsid w:val="3E6E70D5"/>
    <w:rsid w:val="3EBE1ADE"/>
    <w:rsid w:val="403B4B34"/>
    <w:rsid w:val="407B5F4A"/>
    <w:rsid w:val="4140452A"/>
    <w:rsid w:val="414D7889"/>
    <w:rsid w:val="41BB0BAE"/>
    <w:rsid w:val="4222229D"/>
    <w:rsid w:val="425629F5"/>
    <w:rsid w:val="4284152B"/>
    <w:rsid w:val="428B1063"/>
    <w:rsid w:val="429A4992"/>
    <w:rsid w:val="435B161D"/>
    <w:rsid w:val="43B25DAC"/>
    <w:rsid w:val="44771DFD"/>
    <w:rsid w:val="45AE285D"/>
    <w:rsid w:val="45D569C3"/>
    <w:rsid w:val="479B74B7"/>
    <w:rsid w:val="48735221"/>
    <w:rsid w:val="48997E8F"/>
    <w:rsid w:val="49E92B05"/>
    <w:rsid w:val="4A354E62"/>
    <w:rsid w:val="4A75113F"/>
    <w:rsid w:val="4AEE1A11"/>
    <w:rsid w:val="4B7F39F4"/>
    <w:rsid w:val="4BAE646F"/>
    <w:rsid w:val="4C06451A"/>
    <w:rsid w:val="4CAC1559"/>
    <w:rsid w:val="4CB132D9"/>
    <w:rsid w:val="4D754257"/>
    <w:rsid w:val="4DCD6AB3"/>
    <w:rsid w:val="4DDD6104"/>
    <w:rsid w:val="4DE92593"/>
    <w:rsid w:val="4EE7662F"/>
    <w:rsid w:val="50216DCD"/>
    <w:rsid w:val="50540C20"/>
    <w:rsid w:val="506258C6"/>
    <w:rsid w:val="50743AC8"/>
    <w:rsid w:val="50FC2845"/>
    <w:rsid w:val="51AC28BD"/>
    <w:rsid w:val="52183ACC"/>
    <w:rsid w:val="53B55872"/>
    <w:rsid w:val="544055F2"/>
    <w:rsid w:val="54AD4386"/>
    <w:rsid w:val="54E30E5A"/>
    <w:rsid w:val="5587625E"/>
    <w:rsid w:val="55937F05"/>
    <w:rsid w:val="55D8243C"/>
    <w:rsid w:val="56483C8F"/>
    <w:rsid w:val="56C77AA7"/>
    <w:rsid w:val="57F52F2F"/>
    <w:rsid w:val="581A7C72"/>
    <w:rsid w:val="583A4BD7"/>
    <w:rsid w:val="58487501"/>
    <w:rsid w:val="59C74B1F"/>
    <w:rsid w:val="5A886F59"/>
    <w:rsid w:val="604D5946"/>
    <w:rsid w:val="611B6B1B"/>
    <w:rsid w:val="62030FF0"/>
    <w:rsid w:val="62C222C2"/>
    <w:rsid w:val="62DB090C"/>
    <w:rsid w:val="632D7C40"/>
    <w:rsid w:val="63414A93"/>
    <w:rsid w:val="64133D6A"/>
    <w:rsid w:val="64245572"/>
    <w:rsid w:val="66C30AF5"/>
    <w:rsid w:val="678E4F5D"/>
    <w:rsid w:val="67F3562A"/>
    <w:rsid w:val="680E122C"/>
    <w:rsid w:val="6A4E1D63"/>
    <w:rsid w:val="6A90762D"/>
    <w:rsid w:val="6AB9152E"/>
    <w:rsid w:val="6B592423"/>
    <w:rsid w:val="6C486FE4"/>
    <w:rsid w:val="6C8F7701"/>
    <w:rsid w:val="6CA409DF"/>
    <w:rsid w:val="6DE375E4"/>
    <w:rsid w:val="6E8E5287"/>
    <w:rsid w:val="6F6F4A62"/>
    <w:rsid w:val="6FAC3B48"/>
    <w:rsid w:val="6FAD463B"/>
    <w:rsid w:val="6FBE332C"/>
    <w:rsid w:val="70CE0BC9"/>
    <w:rsid w:val="71410A38"/>
    <w:rsid w:val="71554367"/>
    <w:rsid w:val="71584067"/>
    <w:rsid w:val="71F26E91"/>
    <w:rsid w:val="735201FF"/>
    <w:rsid w:val="737B50A4"/>
    <w:rsid w:val="73F40E72"/>
    <w:rsid w:val="74566F5C"/>
    <w:rsid w:val="750117A8"/>
    <w:rsid w:val="751301BD"/>
    <w:rsid w:val="755B2270"/>
    <w:rsid w:val="75E27514"/>
    <w:rsid w:val="7612420D"/>
    <w:rsid w:val="76920D75"/>
    <w:rsid w:val="76C47877"/>
    <w:rsid w:val="77423DFF"/>
    <w:rsid w:val="783B5EA9"/>
    <w:rsid w:val="783D7269"/>
    <w:rsid w:val="792B556E"/>
    <w:rsid w:val="79EB699D"/>
    <w:rsid w:val="7A104828"/>
    <w:rsid w:val="7B0620DE"/>
    <w:rsid w:val="7BBF44BB"/>
    <w:rsid w:val="7BF15CE4"/>
    <w:rsid w:val="7C3A27E5"/>
    <w:rsid w:val="7D9727DD"/>
    <w:rsid w:val="7EFB4F6E"/>
    <w:rsid w:val="7F164138"/>
    <w:rsid w:val="7F1A5E95"/>
    <w:rsid w:val="7FFB08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eastAsia="宋体" w:cs="宋体"/>
      <w:sz w:val="24"/>
      <w:szCs w:val="24"/>
      <w:lang w:val="en-US" w:eastAsia="en-US" w:bidi="ar-SA"/>
    </w:rPr>
  </w:style>
  <w:style w:type="paragraph" w:styleId="9">
    <w:name w:val="Body Text Indent"/>
    <w:basedOn w:val="1"/>
    <w:next w:val="1"/>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qFormat/>
    <w:uiPriority w:val="0"/>
    <w:pPr>
      <w:tabs>
        <w:tab w:val="center" w:pos="4153"/>
        <w:tab w:val="right" w:pos="8306"/>
      </w:tabs>
      <w:snapToGrid w:val="0"/>
      <w:jc w:val="left"/>
    </w:pPr>
    <w:rPr>
      <w:kern w:val="0"/>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qFormat/>
    <w:uiPriority w:val="0"/>
    <w:pPr>
      <w:spacing w:after="120" w:line="480" w:lineRule="auto"/>
    </w:pPr>
  </w:style>
  <w:style w:type="paragraph" w:styleId="14">
    <w:name w:val="Normal (Web)"/>
    <w:basedOn w:val="1"/>
    <w:qFormat/>
    <w:uiPriority w:val="0"/>
    <w:rPr>
      <w:sz w:val="24"/>
    </w:rPr>
  </w:style>
  <w:style w:type="paragraph" w:styleId="15">
    <w:name w:val="Body Text First Indent 2"/>
    <w:basedOn w:val="9"/>
    <w:next w:val="5"/>
    <w:qFormat/>
    <w:uiPriority w:val="0"/>
    <w:pPr>
      <w:overflowPunct w:val="0"/>
      <w:adjustRightInd w:val="0"/>
      <w:spacing w:line="500" w:lineRule="exact"/>
      <w:ind w:firstLine="420" w:firstLineChars="200"/>
      <w:textAlignment w:val="baseline"/>
    </w:pPr>
    <w:rPr>
      <w:rFonts w:eastAsia="仿宋_GB2312"/>
      <w:kern w:val="28"/>
      <w:sz w:val="28"/>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0"/>
    <w:rPr>
      <w:color w:val="0000FF"/>
      <w:u w:val="single"/>
    </w:rPr>
  </w:style>
  <w:style w:type="paragraph" w:customStyle="1" w:styleId="21">
    <w:name w:val="正文格式"/>
    <w:basedOn w:val="1"/>
    <w:qFormat/>
    <w:uiPriority w:val="0"/>
    <w:pPr>
      <w:widowControl/>
      <w:adjustRightInd w:val="0"/>
      <w:snapToGrid w:val="0"/>
      <w:spacing w:line="400" w:lineRule="atLeast"/>
      <w:ind w:firstLine="482"/>
      <w:textAlignment w:val="baseline"/>
    </w:pPr>
    <w:rPr>
      <w:kern w:val="0"/>
      <w:sz w:val="24"/>
    </w:rPr>
  </w:style>
  <w:style w:type="paragraph" w:customStyle="1" w:styleId="22">
    <w:name w:val="大标题"/>
    <w:basedOn w:val="1"/>
    <w:next w:val="15"/>
    <w:qFormat/>
    <w:uiPriority w:val="0"/>
    <w:pPr>
      <w:jc w:val="center"/>
    </w:pPr>
    <w:rPr>
      <w:rFonts w:ascii="Arial" w:hAnsi="Arial" w:eastAsia="宋体"/>
      <w:b/>
      <w:sz w:val="28"/>
      <w:szCs w:val="24"/>
    </w:rPr>
  </w:style>
  <w:style w:type="paragraph" w:customStyle="1" w:styleId="23">
    <w:name w:val="列出段落1"/>
    <w:basedOn w:val="1"/>
    <w:qFormat/>
    <w:uiPriority w:val="99"/>
    <w:pPr>
      <w:ind w:firstLine="420" w:firstLineChars="200"/>
    </w:pPr>
  </w:style>
  <w:style w:type="paragraph" w:customStyle="1" w:styleId="24">
    <w:name w:val="无间隔1"/>
    <w:qFormat/>
    <w:uiPriority w:val="0"/>
    <w:pPr>
      <w:widowControl w:val="0"/>
      <w:jc w:val="both"/>
    </w:pPr>
    <w:rPr>
      <w:rFonts w:ascii="Calibri" w:hAnsi="Calibri" w:eastAsia="宋体" w:cs="Times New Roman"/>
      <w:kern w:val="2"/>
      <w:sz w:val="21"/>
      <w:szCs w:val="22"/>
      <w:lang w:val="en-US" w:eastAsia="zh-CN" w:bidi="ar-SA"/>
    </w:rPr>
  </w:style>
  <w:style w:type="paragraph" w:styleId="25">
    <w:name w:val="List Paragraph"/>
    <w:basedOn w:val="1"/>
    <w:qFormat/>
    <w:uiPriority w:val="34"/>
    <w:pPr>
      <w:ind w:firstLine="420" w:firstLineChars="200"/>
    </w:pPr>
    <w:rPr>
      <w:rFonts w:ascii="Calibri" w:hAnsi="Calibri"/>
      <w:szCs w:val="22"/>
    </w:rPr>
  </w:style>
  <w:style w:type="paragraph" w:customStyle="1" w:styleId="26">
    <w:name w:val="列表段落1"/>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7701</Words>
  <Characters>8311</Characters>
  <Lines>0</Lines>
  <Paragraphs>0</Paragraphs>
  <TotalTime>0</TotalTime>
  <ScaleCrop>false</ScaleCrop>
  <LinksUpToDate>false</LinksUpToDate>
  <CharactersWithSpaces>9241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2023-07-17T09:45:00Z</dcterms:created>
  <dc:creator>是小豹子</dc:creator>
  <cp:lastModifiedBy>张思远</cp:lastModifiedBy>
  <dcterms:modified xsi:type="dcterms:W3CDTF">2026-09-11T01:25:55Z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693F405580CA4EF791A186399C2A22A8_13</vt:lpwstr>
  </property>
  <property fmtid="{D5CDD505-2E9C-101B-9397-08002B2CF9AE}" pid="4" name="KSOTemplateDocerSaveRecord">
    <vt:lpwstr>eyJoZGlkIjoiOWU3YmMxNGQ0NDE0NTRiYjQ3MWFkZjk1MWM2MTc2NWEiLCJ1c2VySWQiOiI0NDIzNjcyODQifQ==</vt:lpwstr>
  </property>
</Properties>
</file>