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5"/>
        <w:snapToGrid w:val="0"/>
        <w:jc w:val="center"/>
        <w:rPr>
          <w:rFonts w:hint="eastAsia" w:ascii="Arial" w:hAnsi="Arial" w:eastAsia="方正小标宋简体" w:cs="Arial"/>
          <w:color w:val="auto"/>
          <w:sz w:val="72"/>
          <w:szCs w:val="72"/>
          <w:lang w:eastAsia="zh-CN"/>
        </w:rPr>
      </w:pPr>
      <w:bookmarkStart w:id="0" w:name="_Toc16523570"/>
    </w:p>
    <w:p w14:paraId="624C34B6">
      <w:pPr>
        <w:pStyle w:val="5"/>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5"/>
        <w:snapToGrid w:val="0"/>
        <w:jc w:val="center"/>
        <w:rPr>
          <w:rFonts w:hint="eastAsia" w:ascii="Arial" w:hAnsi="Arial" w:eastAsia="方正小标宋简体" w:cs="Arial"/>
          <w:sz w:val="72"/>
          <w:szCs w:val="72"/>
        </w:rPr>
      </w:pPr>
    </w:p>
    <w:p w14:paraId="16E58BC0">
      <w:pPr>
        <w:pStyle w:val="5"/>
        <w:snapToGrid w:val="0"/>
        <w:jc w:val="center"/>
        <w:rPr>
          <w:rFonts w:hint="eastAsia" w:ascii="Arial" w:hAnsi="Arial" w:eastAsia="方正小标宋简体" w:cs="Arial"/>
          <w:sz w:val="72"/>
          <w:szCs w:val="72"/>
        </w:rPr>
      </w:pPr>
    </w:p>
    <w:p w14:paraId="7D3C3256">
      <w:pPr>
        <w:pStyle w:val="5"/>
        <w:snapToGrid w:val="0"/>
        <w:jc w:val="center"/>
        <w:rPr>
          <w:rFonts w:hint="eastAsia" w:ascii="Arial" w:hAnsi="Arial" w:eastAsia="方正小标宋简体" w:cs="Arial"/>
          <w:sz w:val="72"/>
          <w:szCs w:val="72"/>
        </w:rPr>
      </w:pPr>
    </w:p>
    <w:p w14:paraId="11608FC0">
      <w:pPr>
        <w:pStyle w:val="5"/>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5"/>
        <w:snapToGrid w:val="0"/>
        <w:jc w:val="center"/>
        <w:rPr>
          <w:rFonts w:ascii="Arial" w:hAnsi="Arial" w:cs="Arial"/>
          <w:sz w:val="32"/>
          <w:szCs w:val="32"/>
        </w:rPr>
      </w:pPr>
    </w:p>
    <w:p w14:paraId="46311545">
      <w:pPr>
        <w:pStyle w:val="19"/>
        <w:rPr>
          <w:rFonts w:ascii="Arial" w:hAnsi="Arial" w:cs="Arial"/>
          <w:sz w:val="32"/>
          <w:szCs w:val="32"/>
        </w:rPr>
      </w:pPr>
    </w:p>
    <w:p w14:paraId="5F00027D">
      <w:pPr>
        <w:pStyle w:val="13"/>
        <w:rPr>
          <w:rFonts w:ascii="Arial" w:hAnsi="Arial" w:cs="Arial"/>
          <w:sz w:val="32"/>
          <w:szCs w:val="32"/>
        </w:rPr>
      </w:pPr>
    </w:p>
    <w:p w14:paraId="790E99FE">
      <w:pPr>
        <w:pStyle w:val="13"/>
        <w:rPr>
          <w:rFonts w:ascii="Arial" w:hAnsi="Arial" w:cs="Arial"/>
          <w:sz w:val="32"/>
          <w:szCs w:val="32"/>
        </w:rPr>
      </w:pPr>
    </w:p>
    <w:p w14:paraId="6D6CF557">
      <w:pPr>
        <w:pStyle w:val="13"/>
        <w:rPr>
          <w:rFonts w:ascii="Arial" w:hAnsi="Arial" w:cs="Arial"/>
          <w:sz w:val="32"/>
          <w:szCs w:val="32"/>
        </w:rPr>
      </w:pPr>
    </w:p>
    <w:p w14:paraId="77BABE1C">
      <w:pPr>
        <w:pStyle w:val="13"/>
        <w:rPr>
          <w:rFonts w:ascii="Arial" w:hAnsi="Arial" w:cs="Arial"/>
          <w:sz w:val="32"/>
          <w:szCs w:val="32"/>
        </w:rPr>
      </w:pPr>
    </w:p>
    <w:p w14:paraId="1C0FB295">
      <w:pPr>
        <w:pStyle w:val="13"/>
        <w:rPr>
          <w:rFonts w:ascii="Arial" w:hAnsi="Arial" w:cs="Arial"/>
          <w:sz w:val="32"/>
          <w:szCs w:val="32"/>
        </w:rPr>
      </w:pPr>
    </w:p>
    <w:p w14:paraId="4C96CB97">
      <w:pPr>
        <w:pStyle w:val="13"/>
        <w:rPr>
          <w:rFonts w:ascii="Arial" w:hAnsi="Arial" w:cs="Arial"/>
          <w:sz w:val="32"/>
          <w:szCs w:val="32"/>
        </w:rPr>
      </w:pPr>
    </w:p>
    <w:p w14:paraId="1825AAC5">
      <w:pPr>
        <w:pStyle w:val="13"/>
        <w:rPr>
          <w:rFonts w:ascii="Arial" w:hAnsi="Arial" w:cs="Arial"/>
          <w:sz w:val="32"/>
          <w:szCs w:val="32"/>
        </w:rPr>
      </w:pPr>
    </w:p>
    <w:p w14:paraId="1B92FFA5">
      <w:pPr>
        <w:pStyle w:val="5"/>
        <w:snapToGrid w:val="0"/>
        <w:jc w:val="center"/>
        <w:rPr>
          <w:rFonts w:ascii="Arial" w:hAnsi="Arial" w:cs="Arial"/>
          <w:sz w:val="32"/>
          <w:szCs w:val="32"/>
        </w:rPr>
      </w:pPr>
    </w:p>
    <w:p w14:paraId="3EB4A47A">
      <w:pPr>
        <w:pStyle w:val="5"/>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娄底市中心医院设备科采购项目</w:t>
      </w:r>
    </w:p>
    <w:p w14:paraId="5CF2881B">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（半导体激光治疗机</w:t>
      </w:r>
      <w:r>
        <w:rPr>
          <w:rFonts w:hint="eastAsia" w:ascii="Times New Roman" w:hAnsi="Times New Roman" w:eastAsia="宋体" w:cs="Times New Roman"/>
          <w:b/>
          <w:bCs/>
          <w:kern w:val="44"/>
          <w:sz w:val="32"/>
          <w:szCs w:val="32"/>
          <w:lang w:val="en-US" w:eastAsia="zh-CN" w:bidi="ar-SA"/>
        </w:rPr>
        <w:t>公</w:t>
      </w:r>
      <w:r>
        <w:rPr>
          <w:rFonts w:hint="eastAsia" w:cs="Times New Roman"/>
          <w:b/>
          <w:bCs/>
          <w:kern w:val="44"/>
          <w:sz w:val="32"/>
          <w:szCs w:val="32"/>
          <w:lang w:val="en-US" w:eastAsia="zh-CN" w:bidi="ar-SA"/>
        </w:rPr>
        <w:t>开挂网）</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六</w:t>
      </w:r>
      <w:r>
        <w:rPr>
          <w:rFonts w:hint="eastAsia" w:ascii="宋体" w:hAnsi="宋体" w:cs="宋体"/>
          <w:bCs/>
          <w:sz w:val="32"/>
          <w:szCs w:val="32"/>
        </w:rPr>
        <w:t>年</w:t>
      </w:r>
      <w:r>
        <w:rPr>
          <w:rFonts w:hint="eastAsia" w:ascii="宋体" w:hAnsi="宋体" w:cs="宋体"/>
          <w:bCs/>
          <w:sz w:val="32"/>
          <w:szCs w:val="32"/>
          <w:lang w:eastAsia="zh-CN"/>
        </w:rPr>
        <w:t>八</w:t>
      </w:r>
      <w:r>
        <w:rPr>
          <w:rFonts w:hint="eastAsia" w:ascii="宋体" w:hAnsi="宋体" w:cs="宋体"/>
          <w:bCs/>
          <w:sz w:val="32"/>
          <w:szCs w:val="32"/>
        </w:rPr>
        <w:t>月</w:t>
      </w:r>
    </w:p>
    <w:p w14:paraId="2CC6C485">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12"/>
        <w:keepNext w:val="0"/>
        <w:keepLines w:val="0"/>
        <w:widowControl/>
        <w:suppressLineNumbers w:val="0"/>
        <w:spacing w:before="0" w:beforeAutospacing="0" w:after="0" w:afterAutospacing="0"/>
        <w:ind w:left="0" w:right="0" w:firstLine="480" w:firstLineChars="200"/>
        <w:jc w:val="both"/>
        <w:rPr>
          <w:rFonts w:hint="eastAsia" w:asciiTheme="minorEastAsia" w:hAnsiTheme="minorEastAsia" w:eastAsiaTheme="minorEastAsia" w:cstheme="minorEastAsia"/>
          <w:bCs/>
          <w:color w:val="auto"/>
          <w:sz w:val="24"/>
          <w:szCs w:val="24"/>
          <w:lang w:val="en-US" w:eastAsia="zh-CN"/>
        </w:rPr>
      </w:pPr>
      <w:r>
        <w:rPr>
          <w:rFonts w:hint="eastAsia" w:eastAsiaTheme="minorEastAsia"/>
          <w:u w:val="single"/>
          <w:lang w:eastAsia="zh-CN"/>
        </w:rPr>
        <w:t>半导体激光治疗机</w:t>
      </w:r>
      <w:r>
        <w:rPr>
          <w:rFonts w:hint="eastAsia" w:asciiTheme="minorEastAsia" w:hAnsiTheme="minorEastAsia" w:eastAsiaTheme="minorEastAsia" w:cstheme="minorEastAsia"/>
          <w:bCs/>
          <w:color w:val="auto"/>
          <w:sz w:val="24"/>
          <w:szCs w:val="24"/>
          <w:u w:val="singl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F9C7E5C">
      <w:pPr>
        <w:pStyle w:val="12"/>
        <w:keepNext w:val="0"/>
        <w:keepLines w:val="0"/>
        <w:widowControl/>
        <w:suppressLineNumbers w:val="0"/>
        <w:spacing w:before="0" w:beforeAutospacing="0" w:after="0" w:afterAutospacing="0"/>
        <w:ind w:left="0" w:right="0" w:firstLine="0"/>
        <w:jc w:val="both"/>
        <w:rPr>
          <w:rFonts w:hint="eastAsia" w:asciiTheme="minorEastAsia" w:hAnsiTheme="minorEastAsia" w:eastAsiaTheme="minorEastAsia" w:cstheme="minorEastAsia"/>
          <w:bCs/>
          <w:color w:val="auto"/>
          <w:sz w:val="24"/>
          <w:szCs w:val="24"/>
          <w:lang w:val="en-US" w:eastAsia="zh-CN"/>
        </w:rPr>
      </w:pPr>
    </w:p>
    <w:p w14:paraId="435321EC">
      <w:pPr>
        <w:pStyle w:val="5"/>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5"/>
        <w:numPr>
          <w:ilvl w:val="0"/>
          <w:numId w:val="0"/>
        </w:numPr>
        <w:tabs>
          <w:tab w:val="left" w:pos="312"/>
        </w:tabs>
        <w:snapToGrid w:val="0"/>
        <w:spacing w:line="480" w:lineRule="auto"/>
        <w:ind w:firstLine="480" w:firstLineChars="200"/>
        <w:rPr>
          <w:rFonts w:hint="eastAsia" w:ascii="Times New Roman" w:hAnsi="Times New Roman" w:eastAsia="宋体" w:cs="Times New Roman"/>
          <w:color w:val="auto"/>
          <w:kern w:val="0"/>
          <w:sz w:val="24"/>
          <w:szCs w:val="24"/>
          <w:u w:val="single"/>
          <w:lang w:val="en-US" w:eastAsia="zh-CN" w:bidi="ar"/>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eastAsiaTheme="minorEastAsia"/>
          <w:u w:val="single"/>
          <w:lang w:eastAsia="zh-CN"/>
        </w:rPr>
        <w:t>半导体激光治疗机</w:t>
      </w:r>
      <w:r>
        <w:rPr>
          <w:rFonts w:hint="eastAsia" w:asciiTheme="minorEastAsia" w:hAnsiTheme="minorEastAsia" w:eastAsiaTheme="minorEastAsia" w:cstheme="minorEastAsia"/>
          <w:bCs/>
          <w:color w:val="auto"/>
          <w:sz w:val="24"/>
          <w:szCs w:val="24"/>
          <w:u w:val="single"/>
          <w:lang w:val="en-US" w:eastAsia="zh-CN"/>
        </w:rPr>
        <w:t>项目</w:t>
      </w:r>
    </w:p>
    <w:p w14:paraId="0AC8FEC7">
      <w:pPr>
        <w:pStyle w:val="5"/>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left="360" w:leftChars="0" w:firstLine="480" w:firstLineChars="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14:paraId="376B190C">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1、医院公开挂网</w:t>
      </w:r>
      <w:r>
        <w:rPr>
          <w:rFonts w:hint="eastAsia" w:asciiTheme="minorEastAsia" w:hAnsiTheme="minorEastAsia" w:eastAsiaTheme="minorEastAsia" w:cstheme="minorEastAsia"/>
          <w:bCs/>
          <w:color w:val="auto"/>
          <w:sz w:val="24"/>
          <w:szCs w:val="24"/>
          <w:lang w:val="en-US" w:eastAsia="zh-CN"/>
        </w:rPr>
        <w:t>，最低评标价法，在满足所有参数的条件下，报价最低者中标，如有多个并列最低价，则由并列最低价投标人再次报价，直至出现最低报价为止。</w:t>
      </w:r>
    </w:p>
    <w:bookmarkEnd w:id="0"/>
    <w:p w14:paraId="03E8934C">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5AA2CA1D">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1、投标截止时间、开标时间：具体时间见采购项目公示表</w:t>
      </w:r>
    </w:p>
    <w:p w14:paraId="0808AD54">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75849F9">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731CB78F">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5"/>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2.2、经评标委员会评审后，有效投标人少于3家的。</w:t>
      </w:r>
    </w:p>
    <w:p w14:paraId="1D69A94E">
      <w:pPr>
        <w:pStyle w:val="19"/>
        <w:rPr>
          <w:rFonts w:hint="eastAsia"/>
          <w:lang w:val="en-US" w:eastAsia="zh-CN"/>
        </w:rPr>
      </w:pPr>
    </w:p>
    <w:p w14:paraId="6DB5460B">
      <w:pPr>
        <w:pStyle w:val="13"/>
        <w:rPr>
          <w:rFonts w:hint="eastAsia"/>
          <w:lang w:val="en-US" w:eastAsia="zh-CN"/>
        </w:rPr>
      </w:pPr>
    </w:p>
    <w:p w14:paraId="75DDD3EA">
      <w:pPr>
        <w:pStyle w:val="13"/>
        <w:rPr>
          <w:rFonts w:hint="eastAsia"/>
          <w:lang w:val="en-US" w:eastAsia="zh-CN"/>
        </w:rPr>
      </w:pPr>
    </w:p>
    <w:p w14:paraId="687E9235">
      <w:pPr>
        <w:pStyle w:val="19"/>
        <w:jc w:val="both"/>
        <w:rPr>
          <w:rFonts w:hint="default"/>
          <w:lang w:val="en-US" w:eastAsia="zh-CN"/>
        </w:rPr>
      </w:pPr>
    </w:p>
    <w:p w14:paraId="3DA8037E">
      <w:pPr>
        <w:pStyle w:val="5"/>
        <w:numPr>
          <w:ilvl w:val="0"/>
          <w:numId w:val="0"/>
        </w:numPr>
        <w:tabs>
          <w:tab w:val="left" w:pos="312"/>
        </w:tabs>
        <w:snapToGrid w:val="0"/>
        <w:spacing w:line="480" w:lineRule="auto"/>
        <w:jc w:val="both"/>
        <w:rPr>
          <w:rFonts w:hint="eastAsia" w:ascii="宋体" w:hAnsi="宋体" w:cs="宋体"/>
          <w:b/>
          <w:bCs/>
          <w:color w:val="auto"/>
          <w:sz w:val="44"/>
          <w:szCs w:val="44"/>
          <w:lang w:val="en-US" w:eastAsia="zh-CN"/>
        </w:rPr>
      </w:pPr>
    </w:p>
    <w:p w14:paraId="4FEB8055">
      <w:pPr>
        <w:pStyle w:val="5"/>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2A36132E">
      <w:pPr>
        <w:pStyle w:val="5"/>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DFCDC16">
      <w:pPr>
        <w:pStyle w:val="5"/>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  采购需求</w:t>
      </w:r>
    </w:p>
    <w:p w14:paraId="0DE823E3">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14:paraId="72D2BF8C">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4"/>
        <w:tblW w:w="80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17"/>
        <w:gridCol w:w="1369"/>
        <w:gridCol w:w="2090"/>
        <w:gridCol w:w="1820"/>
      </w:tblGrid>
      <w:tr w14:paraId="1655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3A7DBEB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rPr>
            </w:pPr>
            <w:r>
              <w:rPr>
                <w:rFonts w:hint="eastAsia"/>
                <w:lang w:val="en-US" w:eastAsia="zh-CN"/>
              </w:rPr>
              <w:t>项目名称</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02B3633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rPr>
            </w:pPr>
            <w:r>
              <w:rPr>
                <w:rFonts w:hint="eastAsia"/>
                <w:lang w:val="en-US" w:eastAsia="zh-CN"/>
              </w:rPr>
              <w:t>数量</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41F4ED7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lang w:val="en-US" w:eastAsia="zh-CN"/>
              </w:rPr>
            </w:pPr>
            <w:r>
              <w:rPr>
                <w:rFonts w:hint="eastAsia"/>
                <w:lang w:val="en-US" w:eastAsia="zh-CN"/>
              </w:rPr>
              <w:t>预算</w:t>
            </w:r>
          </w:p>
          <w:p w14:paraId="60C7CD5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rPr>
            </w:pPr>
            <w:r>
              <w:rPr>
                <w:rFonts w:hint="eastAsia"/>
                <w:lang w:val="en-US" w:eastAsia="zh-CN"/>
              </w:rPr>
              <w:t>（万元）</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4826CED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eastAsia="zh-CN"/>
              </w:rPr>
            </w:pPr>
            <w:r>
              <w:rPr>
                <w:rFonts w:hint="eastAsia" w:asciiTheme="minorEastAsia" w:hAnsiTheme="minorEastAsia" w:eastAsiaTheme="minorEastAsia" w:cstheme="minorEastAsia"/>
                <w:kern w:val="2"/>
                <w:sz w:val="24"/>
                <w:szCs w:val="24"/>
                <w:lang w:val="en-US" w:eastAsia="zh-CN" w:bidi="ar-SA"/>
              </w:rPr>
              <w:t>是否允许进口设备投标</w:t>
            </w:r>
          </w:p>
        </w:tc>
      </w:tr>
      <w:tr w14:paraId="09211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6DE04944">
            <w:pPr>
              <w:pStyle w:val="12"/>
              <w:keepNext w:val="0"/>
              <w:keepLines w:val="0"/>
              <w:widowControl/>
              <w:suppressLineNumbers w:val="0"/>
              <w:spacing w:before="0" w:beforeAutospacing="0" w:after="0" w:afterAutospacing="0"/>
              <w:ind w:left="0" w:right="0" w:firstLine="240" w:firstLineChars="100"/>
            </w:pPr>
            <w:r>
              <w:t>半导体激光治疗机</w:t>
            </w:r>
          </w:p>
          <w:p w14:paraId="2B3536AB">
            <w:pPr>
              <w:jc w:val="center"/>
              <w:rPr>
                <w:rFonts w:hint="eastAsia" w:ascii="宋体" w:hAnsi="宋体" w:eastAsiaTheme="minorEastAsia" w:cstheme="minorBidi"/>
                <w:color w:val="000000"/>
                <w:kern w:val="2"/>
                <w:sz w:val="22"/>
                <w:szCs w:val="24"/>
                <w:lang w:val="en-US" w:eastAsia="zh-CN" w:bidi="ar-SA"/>
              </w:rPr>
            </w:pP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2F30EFD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1台</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3BE2133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6.8</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283D869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否</w:t>
            </w:r>
          </w:p>
        </w:tc>
      </w:tr>
    </w:tbl>
    <w:p w14:paraId="336CF4AB">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07E105EA">
      <w:pPr>
        <w:spacing w:line="360" w:lineRule="auto"/>
        <w:rPr>
          <w:rFonts w:hint="eastAsia" w:asciiTheme="minorEastAsia" w:hAnsiTheme="minorEastAsia" w:eastAsiaTheme="minorEastAsia" w:cstheme="minorEastAsia"/>
          <w:bCs/>
          <w:color w:val="FF0000"/>
          <w:kern w:val="0"/>
          <w:sz w:val="28"/>
          <w:szCs w:val="28"/>
          <w:lang w:val="en-US" w:eastAsia="zh-CN" w:bidi="ar-SA"/>
        </w:rPr>
      </w:pPr>
      <w:r>
        <w:rPr>
          <w:rFonts w:hint="eastAsia" w:asciiTheme="minorEastAsia" w:hAnsiTheme="minorEastAsia" w:eastAsiaTheme="minorEastAsia" w:cstheme="minorEastAsia"/>
          <w:b/>
          <w:bCs w:val="0"/>
          <w:color w:val="auto"/>
          <w:kern w:val="0"/>
          <w:sz w:val="28"/>
          <w:szCs w:val="28"/>
          <w:lang w:val="en-US" w:eastAsia="zh-CN" w:bidi="ar-SA"/>
        </w:rPr>
        <w:t>二、项目内容及要求</w:t>
      </w:r>
      <w:r>
        <w:rPr>
          <w:rFonts w:hint="eastAsia" w:asciiTheme="minorEastAsia" w:hAnsiTheme="minorEastAsia" w:eastAsiaTheme="minorEastAsia" w:cstheme="minorEastAsia"/>
          <w:bCs/>
          <w:color w:val="FF0000"/>
          <w:kern w:val="0"/>
          <w:sz w:val="28"/>
          <w:szCs w:val="28"/>
          <w:lang w:val="en-US" w:eastAsia="zh-CN" w:bidi="ar-SA"/>
        </w:rPr>
        <w:t>（以下内容必须全部响应，否则视为无效投标）</w:t>
      </w:r>
    </w:p>
    <w:p w14:paraId="27363032">
      <w:pPr>
        <w:ind w:firstLine="281" w:firstLineChars="100"/>
        <w:jc w:val="both"/>
        <w:rPr>
          <w:rFonts w:hint="eastAsia" w:ascii="思源黑体 CN Light" w:hAnsi="思源黑体 CN Light" w:eastAsia="思源黑体 CN Light" w:cs="思源黑体 CN Light"/>
          <w:b/>
          <w:sz w:val="28"/>
          <w:szCs w:val="28"/>
        </w:rPr>
      </w:pPr>
      <w:r>
        <w:rPr>
          <w:rFonts w:hint="eastAsia" w:ascii="思源黑体 CN Light" w:hAnsi="思源黑体 CN Light" w:eastAsia="思源黑体 CN Light" w:cs="思源黑体 CN Light"/>
          <w:b/>
          <w:sz w:val="28"/>
          <w:szCs w:val="28"/>
          <w:lang w:eastAsia="zh-CN"/>
        </w:rPr>
        <w:t>（一）</w:t>
      </w:r>
      <w:r>
        <w:rPr>
          <w:rFonts w:hint="eastAsia" w:ascii="思源黑体 CN Light" w:hAnsi="思源黑体 CN Light" w:eastAsia="思源黑体 CN Light" w:cs="思源黑体 CN Light"/>
          <w:b/>
          <w:sz w:val="28"/>
          <w:szCs w:val="28"/>
        </w:rPr>
        <w:t>技术参数</w:t>
      </w:r>
    </w:p>
    <w:tbl>
      <w:tblPr>
        <w:tblStyle w:val="14"/>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40"/>
        <w:gridCol w:w="4665"/>
      </w:tblGrid>
      <w:tr w14:paraId="5406F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37EB83D9">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工作电压</w:t>
            </w:r>
          </w:p>
        </w:tc>
        <w:tc>
          <w:tcPr>
            <w:tcW w:w="4665" w:type="dxa"/>
            <w:noWrap w:val="0"/>
            <w:vAlign w:val="center"/>
          </w:tcPr>
          <w:p w14:paraId="21B2E9DD">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AC 220V±10%、50Hz</w:t>
            </w:r>
          </w:p>
        </w:tc>
      </w:tr>
      <w:tr w14:paraId="7A18C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52E91352">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激光波长</w:t>
            </w:r>
          </w:p>
        </w:tc>
        <w:tc>
          <w:tcPr>
            <w:tcW w:w="4665" w:type="dxa"/>
            <w:noWrap w:val="0"/>
            <w:vAlign w:val="center"/>
          </w:tcPr>
          <w:p w14:paraId="2A565993">
            <w:pPr>
              <w:pStyle w:val="25"/>
              <w:ind w:firstLine="0" w:firstLineChars="0"/>
              <w:jc w:val="center"/>
              <w:rPr>
                <w:rFonts w:hint="default" w:ascii="思源黑体 CN Light" w:hAnsi="思源黑体 CN Light" w:eastAsia="思源黑体 CN Light" w:cs="思源黑体 CN Light"/>
                <w:sz w:val="24"/>
                <w:szCs w:val="24"/>
                <w:lang w:val="en-US" w:eastAsia="zh-CN"/>
              </w:rPr>
            </w:pPr>
            <w:r>
              <w:rPr>
                <w:rFonts w:hint="eastAsia" w:ascii="思源黑体 CN Light" w:hAnsi="思源黑体 CN Light" w:eastAsia="思源黑体 CN Light" w:cs="思源黑体 CN Light"/>
                <w:bCs/>
                <w:sz w:val="24"/>
                <w:szCs w:val="24"/>
              </w:rPr>
              <w:t>808nm</w:t>
            </w:r>
            <w:r>
              <w:rPr>
                <w:rFonts w:hint="eastAsia" w:ascii="思源黑体 CN Light" w:hAnsi="思源黑体 CN Light" w:eastAsia="思源黑体 CN Light" w:cs="思源黑体 CN Light"/>
                <w:sz w:val="24"/>
                <w:szCs w:val="24"/>
              </w:rPr>
              <w:t>±10</w:t>
            </w:r>
            <w:r>
              <w:rPr>
                <w:rFonts w:hint="eastAsia" w:ascii="思源黑体 CN Light" w:hAnsi="思源黑体 CN Light" w:eastAsia="思源黑体 CN Light" w:cs="思源黑体 CN Light"/>
                <w:sz w:val="24"/>
                <w:szCs w:val="24"/>
                <w:lang w:val="en-US" w:eastAsia="zh-CN"/>
              </w:rPr>
              <w:t>nm</w:t>
            </w:r>
          </w:p>
        </w:tc>
      </w:tr>
      <w:tr w14:paraId="36452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17D6A0B3">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治疗手具</w:t>
            </w:r>
          </w:p>
        </w:tc>
        <w:tc>
          <w:tcPr>
            <w:tcW w:w="4665" w:type="dxa"/>
            <w:noWrap w:val="0"/>
            <w:vAlign w:val="center"/>
          </w:tcPr>
          <w:p w14:paraId="6FA9869F">
            <w:pPr>
              <w:pStyle w:val="25"/>
              <w:ind w:firstLine="0" w:firstLineChars="0"/>
              <w:jc w:val="center"/>
              <w:rPr>
                <w:rFonts w:hint="eastAsia" w:ascii="思源黑体 CN Light" w:hAnsi="思源黑体 CN Light" w:eastAsia="思源黑体 CN Light" w:cs="思源黑体 CN Light"/>
                <w:bCs/>
                <w:sz w:val="24"/>
                <w:szCs w:val="24"/>
              </w:rPr>
            </w:pPr>
            <w:r>
              <w:rPr>
                <w:rFonts w:hint="eastAsia" w:ascii="思源黑体 CN Light" w:hAnsi="思源黑体 CN Light" w:eastAsia="思源黑体 CN Light" w:cs="思源黑体 CN Light"/>
                <w:bCs/>
                <w:sz w:val="24"/>
                <w:szCs w:val="24"/>
              </w:rPr>
              <w:t>808nm治疗手具</w:t>
            </w:r>
          </w:p>
        </w:tc>
      </w:tr>
      <w:tr w14:paraId="009F3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17C46E62">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激光模式</w:t>
            </w:r>
          </w:p>
        </w:tc>
        <w:tc>
          <w:tcPr>
            <w:tcW w:w="4665" w:type="dxa"/>
            <w:noWrap w:val="0"/>
            <w:vAlign w:val="center"/>
          </w:tcPr>
          <w:p w14:paraId="28C320EA">
            <w:pPr>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脉冲</w:t>
            </w:r>
          </w:p>
        </w:tc>
      </w:tr>
      <w:tr w14:paraId="6E2C9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3331CF83">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工作方式</w:t>
            </w:r>
          </w:p>
        </w:tc>
        <w:tc>
          <w:tcPr>
            <w:tcW w:w="4665" w:type="dxa"/>
            <w:noWrap w:val="0"/>
            <w:vAlign w:val="center"/>
          </w:tcPr>
          <w:p w14:paraId="6C4C2BB1">
            <w:pPr>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间歇加载连续运行</w:t>
            </w:r>
          </w:p>
        </w:tc>
      </w:tr>
      <w:tr w14:paraId="2A293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4EAB1FFB">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图形面积</w:t>
            </w:r>
          </w:p>
        </w:tc>
        <w:tc>
          <w:tcPr>
            <w:tcW w:w="4665" w:type="dxa"/>
            <w:noWrap w:val="0"/>
            <w:vAlign w:val="center"/>
          </w:tcPr>
          <w:p w14:paraId="1A314DE8">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default" w:ascii="Arial" w:hAnsi="Arial" w:eastAsia="思源黑体 CN Light" w:cs="Arial"/>
                <w:bCs/>
                <w:color w:val="000000"/>
                <w:sz w:val="24"/>
                <w:szCs w:val="24"/>
              </w:rPr>
              <w:t>≥</w:t>
            </w:r>
            <w:r>
              <w:rPr>
                <w:rFonts w:hint="eastAsia" w:ascii="思源黑体 CN Light" w:hAnsi="思源黑体 CN Light" w:eastAsia="思源黑体 CN Light" w:cs="思源黑体 CN Light"/>
                <w:bCs/>
                <w:color w:val="000000"/>
                <w:sz w:val="24"/>
                <w:szCs w:val="24"/>
              </w:rPr>
              <w:t>12mm×12mm</w:t>
            </w:r>
          </w:p>
        </w:tc>
      </w:tr>
      <w:tr w14:paraId="03632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3427F9F2">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输出图形</w:t>
            </w:r>
          </w:p>
        </w:tc>
        <w:tc>
          <w:tcPr>
            <w:tcW w:w="4665" w:type="dxa"/>
            <w:noWrap w:val="0"/>
            <w:vAlign w:val="center"/>
          </w:tcPr>
          <w:p w14:paraId="41CCF7F8">
            <w:pPr>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bCs/>
                <w:color w:val="000000"/>
                <w:sz w:val="24"/>
                <w:szCs w:val="24"/>
              </w:rPr>
              <w:t>正方形</w:t>
            </w:r>
          </w:p>
        </w:tc>
      </w:tr>
      <w:tr w14:paraId="20C41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77106CB9">
            <w:pPr>
              <w:pStyle w:val="25"/>
              <w:adjustRightInd w:val="0"/>
              <w:snapToGrid w:val="0"/>
              <w:ind w:firstLine="0" w:firstLineChars="0"/>
              <w:jc w:val="center"/>
              <w:rPr>
                <w:rFonts w:hint="eastAsia" w:ascii="思源黑体 CN Light" w:hAnsi="思源黑体 CN Light" w:eastAsia="思源黑体 CN Light" w:cs="思源黑体 CN Light"/>
                <w:sz w:val="24"/>
                <w:szCs w:val="24"/>
                <w:lang w:val="en-US" w:eastAsia="zh-CN"/>
              </w:rPr>
            </w:pPr>
            <w:r>
              <w:rPr>
                <w:rFonts w:hint="eastAsia" w:ascii="思源黑体 CN Light" w:hAnsi="思源黑体 CN Light" w:eastAsia="思源黑体 CN Light" w:cs="思源黑体 CN Light"/>
                <w:sz w:val="24"/>
                <w:szCs w:val="24"/>
              </w:rPr>
              <w:t>终端激光输出功率不稳定度</w:t>
            </w:r>
          </w:p>
        </w:tc>
        <w:tc>
          <w:tcPr>
            <w:tcW w:w="4665" w:type="dxa"/>
            <w:noWrap w:val="0"/>
            <w:vAlign w:val="center"/>
          </w:tcPr>
          <w:p w14:paraId="3F1B2971">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default" w:ascii="Arial" w:hAnsi="Arial" w:eastAsia="思源黑体 CN Light" w:cs="Arial"/>
                <w:color w:val="000000"/>
                <w:sz w:val="24"/>
                <w:szCs w:val="24"/>
              </w:rPr>
              <w:t>≤</w:t>
            </w:r>
            <w:r>
              <w:rPr>
                <w:rFonts w:hint="eastAsia" w:ascii="思源黑体 CN Light" w:hAnsi="思源黑体 CN Light" w:eastAsia="思源黑体 CN Light" w:cs="思源黑体 CN Light"/>
                <w:color w:val="000000"/>
                <w:sz w:val="24"/>
                <w:szCs w:val="24"/>
              </w:rPr>
              <w:t>10%</w:t>
            </w:r>
          </w:p>
        </w:tc>
      </w:tr>
      <w:tr w14:paraId="6C61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41DD7627">
            <w:pPr>
              <w:pStyle w:val="25"/>
              <w:adjustRightInd w:val="0"/>
              <w:snapToGrid w:val="0"/>
              <w:ind w:firstLine="0" w:firstLineChars="0"/>
              <w:jc w:val="center"/>
              <w:rPr>
                <w:rFonts w:hint="eastAsia" w:ascii="思源黑体 CN Light" w:hAnsi="思源黑体 CN Light" w:eastAsia="思源黑体 CN Light" w:cs="思源黑体 CN Light"/>
                <w:color w:val="auto"/>
                <w:sz w:val="24"/>
                <w:szCs w:val="24"/>
                <w:lang w:val="en-US" w:eastAsia="zh-CN"/>
              </w:rPr>
            </w:pPr>
            <w:r>
              <w:rPr>
                <w:rFonts w:hint="eastAsia" w:ascii="思源黑体 CN Light" w:hAnsi="思源黑体 CN Light" w:eastAsia="思源黑体 CN Light" w:cs="思源黑体 CN Light"/>
                <w:color w:val="auto"/>
                <w:sz w:val="24"/>
                <w:szCs w:val="24"/>
              </w:rPr>
              <w:t>激光输出功率复现性</w:t>
            </w:r>
          </w:p>
        </w:tc>
        <w:tc>
          <w:tcPr>
            <w:tcW w:w="4665" w:type="dxa"/>
            <w:noWrap w:val="0"/>
            <w:vAlign w:val="center"/>
          </w:tcPr>
          <w:p w14:paraId="624F783C">
            <w:pPr>
              <w:jc w:val="center"/>
              <w:rPr>
                <w:rFonts w:hint="eastAsia" w:ascii="思源黑体 CN Light" w:hAnsi="思源黑体 CN Light" w:eastAsia="思源黑体 CN Light" w:cs="思源黑体 CN Light"/>
                <w:color w:val="auto"/>
                <w:sz w:val="24"/>
                <w:szCs w:val="24"/>
              </w:rPr>
            </w:pPr>
            <w:r>
              <w:rPr>
                <w:rFonts w:hint="eastAsia" w:ascii="思源黑体 CN Light" w:hAnsi="思源黑体 CN Light" w:eastAsia="思源黑体 CN Light" w:cs="思源黑体 CN Light"/>
                <w:color w:val="auto"/>
                <w:sz w:val="24"/>
                <w:szCs w:val="24"/>
                <w:lang w:eastAsia="zh-CN"/>
              </w:rPr>
              <w:t>优于</w:t>
            </w:r>
            <w:bookmarkStart w:id="4" w:name="_GoBack"/>
            <w:bookmarkEnd w:id="4"/>
            <w:r>
              <w:rPr>
                <w:rFonts w:hint="eastAsia" w:ascii="思源黑体 CN Light" w:hAnsi="思源黑体 CN Light" w:eastAsia="思源黑体 CN Light" w:cs="思源黑体 CN Light"/>
                <w:color w:val="auto"/>
                <w:sz w:val="24"/>
                <w:szCs w:val="24"/>
              </w:rPr>
              <w:t>±10%</w:t>
            </w:r>
          </w:p>
        </w:tc>
      </w:tr>
      <w:tr w14:paraId="7EAE3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61290652">
            <w:pPr>
              <w:pStyle w:val="25"/>
              <w:adjustRightInd w:val="0"/>
              <w:snapToGrid w:val="0"/>
              <w:ind w:firstLine="0" w:firstLineChars="0"/>
              <w:jc w:val="center"/>
              <w:rPr>
                <w:rFonts w:hint="eastAsia" w:ascii="思源黑体 CN Light" w:hAnsi="思源黑体 CN Light" w:eastAsia="思源黑体 CN Light" w:cs="思源黑体 CN Light"/>
                <w:color w:val="auto"/>
                <w:sz w:val="24"/>
                <w:szCs w:val="24"/>
                <w:lang w:val="en-US" w:eastAsia="zh-CN"/>
              </w:rPr>
            </w:pPr>
            <w:r>
              <w:rPr>
                <w:rFonts w:hint="eastAsia" w:ascii="思源黑体 CN Light" w:hAnsi="思源黑体 CN Light" w:eastAsia="思源黑体 CN Light" w:cs="思源黑体 CN Light"/>
                <w:color w:val="auto"/>
                <w:sz w:val="24"/>
                <w:szCs w:val="24"/>
              </w:rPr>
              <w:t>终端输出激光功率</w:t>
            </w:r>
          </w:p>
        </w:tc>
        <w:tc>
          <w:tcPr>
            <w:tcW w:w="4665" w:type="dxa"/>
            <w:noWrap w:val="0"/>
            <w:vAlign w:val="center"/>
          </w:tcPr>
          <w:p w14:paraId="45387B3D">
            <w:pPr>
              <w:pStyle w:val="25"/>
              <w:ind w:firstLine="0" w:firstLineChars="0"/>
              <w:jc w:val="center"/>
              <w:rPr>
                <w:rFonts w:hint="eastAsia" w:ascii="思源黑体 CN Light" w:hAnsi="思源黑体 CN Light" w:eastAsia="思源黑体 CN Light" w:cs="思源黑体 CN Light"/>
                <w:color w:val="auto"/>
                <w:sz w:val="24"/>
                <w:szCs w:val="24"/>
              </w:rPr>
            </w:pPr>
            <w:r>
              <w:rPr>
                <w:rFonts w:hint="default" w:ascii="Arial" w:hAnsi="Arial" w:eastAsia="思源黑体 CN Light" w:cs="Arial"/>
                <w:color w:val="auto"/>
                <w:sz w:val="24"/>
                <w:szCs w:val="24"/>
                <w:lang w:val="en-US"/>
              </w:rPr>
              <w:t>≥</w:t>
            </w:r>
            <w:r>
              <w:rPr>
                <w:rFonts w:hint="default" w:ascii="思源黑体 CN Light" w:hAnsi="思源黑体 CN Light" w:eastAsia="思源黑体 CN Light" w:cs="思源黑体 CN Light"/>
                <w:color w:val="auto"/>
                <w:sz w:val="24"/>
                <w:szCs w:val="24"/>
                <w:lang w:val="en-US"/>
              </w:rPr>
              <w:t>5</w:t>
            </w:r>
            <w:r>
              <w:rPr>
                <w:rFonts w:hint="eastAsia" w:ascii="思源黑体 CN Light" w:hAnsi="思源黑体 CN Light" w:eastAsia="思源黑体 CN Light" w:cs="思源黑体 CN Light"/>
                <w:color w:val="auto"/>
                <w:sz w:val="24"/>
                <w:szCs w:val="24"/>
              </w:rPr>
              <w:t>00W</w:t>
            </w:r>
          </w:p>
        </w:tc>
      </w:tr>
      <w:tr w14:paraId="5A21F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158CD8AA">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输入功率</w:t>
            </w:r>
          </w:p>
        </w:tc>
        <w:tc>
          <w:tcPr>
            <w:tcW w:w="4665" w:type="dxa"/>
            <w:noWrap w:val="0"/>
            <w:vAlign w:val="center"/>
          </w:tcPr>
          <w:p w14:paraId="20CE17B6">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default" w:ascii="Arial" w:hAnsi="Arial" w:eastAsia="思源黑体 CN Light" w:cs="Arial"/>
                <w:color w:val="000000"/>
                <w:sz w:val="24"/>
                <w:szCs w:val="24"/>
              </w:rPr>
              <w:t>≥</w:t>
            </w:r>
            <w:r>
              <w:rPr>
                <w:rFonts w:hint="eastAsia" w:ascii="思源黑体 CN Light" w:hAnsi="思源黑体 CN Light" w:eastAsia="思源黑体 CN Light" w:cs="思源黑体 CN Light"/>
                <w:color w:val="000000"/>
                <w:sz w:val="24"/>
                <w:szCs w:val="24"/>
              </w:rPr>
              <w:t>1800</w:t>
            </w:r>
            <w:r>
              <w:rPr>
                <w:rFonts w:hint="default" w:ascii="思源黑体 CN Light" w:hAnsi="思源黑体 CN Light" w:eastAsia="思源黑体 CN Light" w:cs="思源黑体 CN Light"/>
                <w:color w:val="000000"/>
                <w:sz w:val="24"/>
                <w:szCs w:val="24"/>
                <w:lang w:val="en-US"/>
              </w:rPr>
              <w:t>VA</w:t>
            </w:r>
          </w:p>
        </w:tc>
      </w:tr>
      <w:tr w14:paraId="727B6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3A05356A">
            <w:pPr>
              <w:pStyle w:val="25"/>
              <w:adjustRightInd w:val="0"/>
              <w:snapToGrid w:val="0"/>
              <w:ind w:firstLine="0" w:firstLineChars="0"/>
              <w:jc w:val="center"/>
              <w:rPr>
                <w:rFonts w:hint="eastAsia" w:ascii="思源黑体 CN Light" w:hAnsi="思源黑体 CN Light" w:eastAsia="思源黑体 CN Light" w:cs="思源黑体 CN Light"/>
                <w:sz w:val="24"/>
                <w:szCs w:val="24"/>
                <w:lang w:val="en-US" w:eastAsia="zh-CN"/>
              </w:rPr>
            </w:pPr>
            <w:r>
              <w:rPr>
                <w:rFonts w:hint="eastAsia" w:ascii="思源黑体 CN Light" w:hAnsi="思源黑体 CN Light" w:eastAsia="思源黑体 CN Light" w:cs="思源黑体 CN Light"/>
                <w:sz w:val="24"/>
                <w:szCs w:val="24"/>
              </w:rPr>
              <w:t>脉冲宽度</w:t>
            </w:r>
          </w:p>
        </w:tc>
        <w:tc>
          <w:tcPr>
            <w:tcW w:w="4665" w:type="dxa"/>
            <w:noWrap w:val="0"/>
            <w:vAlign w:val="center"/>
          </w:tcPr>
          <w:p w14:paraId="0F6CE892">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eastAsia" w:ascii="思源黑体 CN Light" w:hAnsi="思源黑体 CN Light" w:eastAsia="思源黑体 CN Light" w:cs="思源黑体 CN Light"/>
                <w:color w:val="000000"/>
                <w:sz w:val="24"/>
                <w:szCs w:val="24"/>
              </w:rPr>
              <w:t>10-300ms</w:t>
            </w:r>
          </w:p>
        </w:tc>
      </w:tr>
      <w:tr w14:paraId="6AFE7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19552D7F">
            <w:pPr>
              <w:pStyle w:val="25"/>
              <w:adjustRightInd w:val="0"/>
              <w:snapToGrid w:val="0"/>
              <w:ind w:firstLine="0" w:firstLineChars="0"/>
              <w:jc w:val="center"/>
              <w:rPr>
                <w:rFonts w:hint="eastAsia" w:ascii="思源黑体 CN Light" w:hAnsi="思源黑体 CN Light" w:eastAsia="思源黑体 CN Light" w:cs="思源黑体 CN Light"/>
                <w:b/>
                <w:sz w:val="24"/>
                <w:szCs w:val="24"/>
                <w:lang w:val="en-US" w:eastAsia="zh-CN"/>
              </w:rPr>
            </w:pPr>
            <w:r>
              <w:rPr>
                <w:rFonts w:hint="eastAsia" w:ascii="思源黑体 CN Light" w:hAnsi="思源黑体 CN Light" w:eastAsia="思源黑体 CN Light" w:cs="思源黑体 CN Light"/>
                <w:sz w:val="24"/>
                <w:szCs w:val="24"/>
              </w:rPr>
              <w:t>激光脉冲重复频率</w:t>
            </w:r>
          </w:p>
        </w:tc>
        <w:tc>
          <w:tcPr>
            <w:tcW w:w="4665" w:type="dxa"/>
            <w:noWrap w:val="0"/>
            <w:vAlign w:val="center"/>
          </w:tcPr>
          <w:p w14:paraId="38F9235D">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eastAsia" w:ascii="思源黑体 CN Light" w:hAnsi="思源黑体 CN Light" w:eastAsia="思源黑体 CN Light" w:cs="思源黑体 CN Light"/>
                <w:color w:val="000000"/>
                <w:sz w:val="24"/>
                <w:szCs w:val="24"/>
              </w:rPr>
              <w:t>1-10HZ</w:t>
            </w:r>
          </w:p>
        </w:tc>
      </w:tr>
      <w:tr w14:paraId="39312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71C641A3">
            <w:pPr>
              <w:pStyle w:val="25"/>
              <w:adjustRightInd w:val="0"/>
              <w:snapToGrid w:val="0"/>
              <w:ind w:firstLine="0" w:firstLineChars="0"/>
              <w:jc w:val="center"/>
              <w:rPr>
                <w:rFonts w:hint="eastAsia" w:ascii="思源黑体 CN Light" w:hAnsi="思源黑体 CN Light" w:eastAsia="思源黑体 CN Light" w:cs="思源黑体 CN Light"/>
                <w:color w:val="000000"/>
                <w:sz w:val="24"/>
                <w:szCs w:val="24"/>
              </w:rPr>
            </w:pPr>
            <w:r>
              <w:rPr>
                <w:rFonts w:hint="eastAsia" w:ascii="思源黑体 CN Light" w:hAnsi="思源黑体 CN Light" w:eastAsia="思源黑体 CN Light" w:cs="思源黑体 CN Light"/>
                <w:color w:val="000000"/>
                <w:sz w:val="24"/>
                <w:szCs w:val="24"/>
              </w:rPr>
              <w:t>脉冲能量</w:t>
            </w:r>
          </w:p>
        </w:tc>
        <w:tc>
          <w:tcPr>
            <w:tcW w:w="4665" w:type="dxa"/>
            <w:noWrap w:val="0"/>
            <w:vAlign w:val="center"/>
          </w:tcPr>
          <w:p w14:paraId="7863EC0B">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eastAsia" w:ascii="思源黑体 CN Light" w:hAnsi="思源黑体 CN Light" w:eastAsia="思源黑体 CN Light" w:cs="思源黑体 CN Light"/>
                <w:color w:val="000000"/>
                <w:sz w:val="24"/>
                <w:szCs w:val="24"/>
                <w:lang w:val="en-US" w:eastAsia="zh-CN"/>
              </w:rPr>
              <w:t>≥8</w:t>
            </w:r>
            <w:r>
              <w:rPr>
                <w:rFonts w:hint="eastAsia" w:ascii="思源黑体 CN Light" w:hAnsi="思源黑体 CN Light" w:eastAsia="思源黑体 CN Light" w:cs="思源黑体 CN Light"/>
                <w:color w:val="000000"/>
                <w:sz w:val="24"/>
                <w:szCs w:val="24"/>
              </w:rPr>
              <w:t>0</w:t>
            </w:r>
            <w:r>
              <w:rPr>
                <w:rFonts w:hint="eastAsia"/>
              </w:rPr>
              <w:t>J/cm²</w:t>
            </w:r>
          </w:p>
        </w:tc>
      </w:tr>
      <w:tr w14:paraId="37148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01CCC1C4">
            <w:pPr>
              <w:pStyle w:val="25"/>
              <w:adjustRightInd w:val="0"/>
              <w:snapToGrid w:val="0"/>
              <w:ind w:firstLine="0" w:firstLineChars="0"/>
              <w:jc w:val="center"/>
              <w:rPr>
                <w:rFonts w:hint="eastAsia" w:ascii="思源黑体 CN Light" w:hAnsi="思源黑体 CN Light" w:eastAsia="思源黑体 CN Light" w:cs="思源黑体 CN Light"/>
                <w:color w:val="000000"/>
                <w:sz w:val="24"/>
                <w:szCs w:val="24"/>
              </w:rPr>
            </w:pPr>
            <w:r>
              <w:rPr>
                <w:rFonts w:hint="eastAsia" w:ascii="思源黑体 CN Light" w:hAnsi="思源黑体 CN Light" w:eastAsia="思源黑体 CN Light" w:cs="思源黑体 CN Light"/>
                <w:color w:val="000000"/>
                <w:sz w:val="24"/>
                <w:szCs w:val="24"/>
              </w:rPr>
              <w:t>单脉冲间隔</w:t>
            </w:r>
          </w:p>
        </w:tc>
        <w:tc>
          <w:tcPr>
            <w:tcW w:w="4665" w:type="dxa"/>
            <w:noWrap w:val="0"/>
            <w:vAlign w:val="center"/>
          </w:tcPr>
          <w:p w14:paraId="48127FBA">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eastAsia" w:ascii="思源黑体 CN Light" w:hAnsi="思源黑体 CN Light" w:eastAsia="思源黑体 CN Light" w:cs="思源黑体 CN Light"/>
                <w:color w:val="000000"/>
                <w:sz w:val="24"/>
                <w:szCs w:val="24"/>
                <w:lang w:val="en-US" w:eastAsia="zh-CN"/>
              </w:rPr>
              <w:t>10</w:t>
            </w:r>
            <w:r>
              <w:rPr>
                <w:rFonts w:hint="eastAsia" w:ascii="思源黑体 CN Light" w:hAnsi="思源黑体 CN Light" w:eastAsia="思源黑体 CN Light" w:cs="思源黑体 CN Light"/>
                <w:color w:val="000000"/>
                <w:sz w:val="24"/>
                <w:szCs w:val="24"/>
              </w:rPr>
              <w:t>ms-</w:t>
            </w:r>
            <w:r>
              <w:rPr>
                <w:rFonts w:hint="eastAsia" w:ascii="思源黑体 CN Light" w:hAnsi="思源黑体 CN Light" w:eastAsia="思源黑体 CN Light" w:cs="思源黑体 CN Light"/>
                <w:color w:val="000000"/>
                <w:sz w:val="24"/>
                <w:szCs w:val="24"/>
                <w:lang w:val="en-US" w:eastAsia="zh-CN"/>
              </w:rPr>
              <w:t>300</w:t>
            </w:r>
            <w:r>
              <w:rPr>
                <w:rFonts w:hint="eastAsia" w:ascii="思源黑体 CN Light" w:hAnsi="思源黑体 CN Light" w:eastAsia="思源黑体 CN Light" w:cs="思源黑体 CN Light"/>
                <w:color w:val="000000"/>
                <w:sz w:val="24"/>
                <w:szCs w:val="24"/>
              </w:rPr>
              <w:t>ms</w:t>
            </w:r>
          </w:p>
        </w:tc>
      </w:tr>
      <w:tr w14:paraId="4E089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54B1CD90">
            <w:pPr>
              <w:pStyle w:val="25"/>
              <w:adjustRightInd w:val="0"/>
              <w:snapToGrid w:val="0"/>
              <w:ind w:firstLine="0" w:firstLineChars="0"/>
              <w:jc w:val="center"/>
              <w:rPr>
                <w:rFonts w:hint="eastAsia" w:ascii="思源黑体 CN Light" w:hAnsi="思源黑体 CN Light" w:eastAsia="思源黑体 CN Light" w:cs="思源黑体 CN Light"/>
                <w:color w:val="000000"/>
                <w:sz w:val="24"/>
                <w:szCs w:val="24"/>
                <w:lang w:val="en-US" w:eastAsia="zh-CN"/>
              </w:rPr>
            </w:pPr>
            <w:r>
              <w:rPr>
                <w:rFonts w:hint="eastAsia" w:ascii="思源黑体 CN Light" w:hAnsi="思源黑体 CN Light" w:eastAsia="思源黑体 CN Light" w:cs="思源黑体 CN Light"/>
                <w:color w:val="000000"/>
                <w:sz w:val="24"/>
                <w:szCs w:val="24"/>
                <w:lang w:val="en-US" w:eastAsia="zh-CN"/>
              </w:rPr>
              <w:t>系统冷却方式</w:t>
            </w:r>
          </w:p>
        </w:tc>
        <w:tc>
          <w:tcPr>
            <w:tcW w:w="4665" w:type="dxa"/>
            <w:noWrap w:val="0"/>
            <w:vAlign w:val="center"/>
          </w:tcPr>
          <w:p w14:paraId="68CD0129">
            <w:pPr>
              <w:pStyle w:val="25"/>
              <w:ind w:firstLine="0" w:firstLineChars="0"/>
              <w:jc w:val="center"/>
              <w:rPr>
                <w:rFonts w:hint="eastAsia" w:ascii="思源黑体 CN Light" w:hAnsi="思源黑体 CN Light" w:eastAsia="思源黑体 CN Light" w:cs="思源黑体 CN Light"/>
                <w:color w:val="000000"/>
                <w:sz w:val="24"/>
                <w:szCs w:val="24"/>
                <w:lang w:val="en-US" w:eastAsia="zh-CN"/>
              </w:rPr>
            </w:pPr>
            <w:r>
              <w:rPr>
                <w:rFonts w:hint="eastAsia" w:ascii="思源黑体 CN Light" w:hAnsi="思源黑体 CN Light" w:eastAsia="思源黑体 CN Light" w:cs="思源黑体 CN Light"/>
                <w:color w:val="000000"/>
                <w:sz w:val="24"/>
                <w:szCs w:val="24"/>
                <w:lang w:val="en-US" w:eastAsia="zh-CN"/>
              </w:rPr>
              <w:t>水冷</w:t>
            </w:r>
          </w:p>
        </w:tc>
      </w:tr>
      <w:tr w14:paraId="2D21A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1" w:hRule="atLeast"/>
          <w:jc w:val="center"/>
        </w:trPr>
        <w:tc>
          <w:tcPr>
            <w:tcW w:w="4140" w:type="dxa"/>
            <w:noWrap w:val="0"/>
            <w:vAlign w:val="center"/>
          </w:tcPr>
          <w:p w14:paraId="494B6C82">
            <w:pPr>
              <w:pStyle w:val="25"/>
              <w:adjustRightInd w:val="0"/>
              <w:snapToGrid w:val="0"/>
              <w:ind w:firstLine="0" w:firstLineChars="0"/>
              <w:jc w:val="center"/>
              <w:rPr>
                <w:rFonts w:hint="eastAsia" w:ascii="思源黑体 CN Light" w:hAnsi="思源黑体 CN Light" w:eastAsia="思源黑体 CN Light" w:cs="思源黑体 CN Light"/>
                <w:sz w:val="24"/>
                <w:szCs w:val="24"/>
                <w:lang w:val="en-US" w:eastAsia="zh-CN"/>
              </w:rPr>
            </w:pPr>
            <w:r>
              <w:rPr>
                <w:rFonts w:hint="eastAsia" w:ascii="思源黑体 CN Light" w:hAnsi="思源黑体 CN Light" w:eastAsia="思源黑体 CN Light" w:cs="思源黑体 CN Light"/>
                <w:sz w:val="24"/>
                <w:szCs w:val="24"/>
              </w:rPr>
              <w:t>制冷方式</w:t>
            </w:r>
          </w:p>
        </w:tc>
        <w:tc>
          <w:tcPr>
            <w:tcW w:w="4665" w:type="dxa"/>
            <w:noWrap w:val="0"/>
            <w:vAlign w:val="center"/>
          </w:tcPr>
          <w:p w14:paraId="72595847">
            <w:pPr>
              <w:pStyle w:val="25"/>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手具：半导体制冷；</w:t>
            </w:r>
          </w:p>
          <w:p w14:paraId="2A2C4A1A">
            <w:pPr>
              <w:pStyle w:val="25"/>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仪器本身：风冷+冷凝器恒温制冷</w:t>
            </w:r>
          </w:p>
        </w:tc>
      </w:tr>
      <w:tr w14:paraId="7CBA2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140" w:type="dxa"/>
            <w:noWrap w:val="0"/>
            <w:vAlign w:val="center"/>
          </w:tcPr>
          <w:p w14:paraId="3ABD74B2">
            <w:pPr>
              <w:pStyle w:val="25"/>
              <w:adjustRightInd w:val="0"/>
              <w:snapToGrid w:val="0"/>
              <w:ind w:firstLine="0" w:firstLineChars="0"/>
              <w:jc w:val="center"/>
              <w:rPr>
                <w:rFonts w:hint="eastAsia" w:ascii="思源黑体 CN Light" w:hAnsi="思源黑体 CN Light" w:eastAsia="思源黑体 CN Light" w:cs="思源黑体 CN Light"/>
                <w:sz w:val="24"/>
                <w:szCs w:val="24"/>
                <w:lang w:val="en-US" w:eastAsia="zh-CN"/>
              </w:rPr>
            </w:pPr>
            <w:r>
              <w:rPr>
                <w:rFonts w:hint="eastAsia" w:ascii="思源黑体 CN Light" w:hAnsi="思源黑体 CN Light" w:eastAsia="思源黑体 CN Light" w:cs="思源黑体 CN Light"/>
                <w:sz w:val="24"/>
                <w:szCs w:val="24"/>
                <w:lang w:val="en-US" w:eastAsia="zh-CN"/>
              </w:rPr>
              <w:t>皮肤冷却方式</w:t>
            </w:r>
          </w:p>
        </w:tc>
        <w:tc>
          <w:tcPr>
            <w:tcW w:w="4665" w:type="dxa"/>
            <w:noWrap w:val="0"/>
            <w:vAlign w:val="center"/>
          </w:tcPr>
          <w:p w14:paraId="69E1216E">
            <w:pPr>
              <w:pStyle w:val="25"/>
              <w:ind w:firstLine="0" w:firstLineChars="0"/>
              <w:jc w:val="center"/>
              <w:rPr>
                <w:rFonts w:hint="eastAsia" w:ascii="思源黑体 CN Light" w:hAnsi="思源黑体 CN Light" w:eastAsia="思源黑体 CN Light" w:cs="思源黑体 CN Light"/>
                <w:sz w:val="24"/>
                <w:szCs w:val="24"/>
                <w:lang w:val="en-US" w:eastAsia="zh-CN"/>
              </w:rPr>
            </w:pPr>
            <w:r>
              <w:rPr>
                <w:rFonts w:hint="eastAsia" w:ascii="思源黑体 CN Light" w:hAnsi="思源黑体 CN Light" w:eastAsia="思源黑体 CN Light" w:cs="思源黑体 CN Light"/>
                <w:sz w:val="24"/>
                <w:szCs w:val="24"/>
                <w:lang w:val="en-US" w:eastAsia="zh-CN"/>
              </w:rPr>
              <w:t>蓝宝石制冷</w:t>
            </w:r>
          </w:p>
        </w:tc>
      </w:tr>
      <w:tr w14:paraId="64847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3CCCB104">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温度限制</w:t>
            </w:r>
          </w:p>
        </w:tc>
        <w:tc>
          <w:tcPr>
            <w:tcW w:w="4665" w:type="dxa"/>
            <w:noWrap w:val="0"/>
            <w:vAlign w:val="center"/>
          </w:tcPr>
          <w:p w14:paraId="4FB803B6">
            <w:pPr>
              <w:jc w:val="center"/>
              <w:rPr>
                <w:rFonts w:hint="eastAsia" w:ascii="思源黑体 CN Light" w:hAnsi="思源黑体 CN Light" w:eastAsia="思源黑体 CN Light" w:cs="思源黑体 CN Light"/>
                <w:sz w:val="24"/>
                <w:szCs w:val="24"/>
              </w:rPr>
            </w:pPr>
            <w:r>
              <w:rPr>
                <w:rFonts w:hint="default" w:ascii="Arial" w:hAnsi="Arial" w:eastAsia="思源黑体 CN Light" w:cs="Arial"/>
                <w:sz w:val="24"/>
                <w:szCs w:val="24"/>
              </w:rPr>
              <w:t>≤</w:t>
            </w:r>
            <w:r>
              <w:rPr>
                <w:rFonts w:hint="eastAsia" w:ascii="思源黑体 CN Light" w:hAnsi="思源黑体 CN Light" w:eastAsia="思源黑体 CN Light" w:cs="思源黑体 CN Light"/>
                <w:sz w:val="24"/>
                <w:szCs w:val="24"/>
              </w:rPr>
              <w:t>75℃</w:t>
            </w:r>
          </w:p>
        </w:tc>
      </w:tr>
      <w:tr w14:paraId="184A7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4140" w:type="dxa"/>
            <w:noWrap w:val="0"/>
            <w:vAlign w:val="center"/>
          </w:tcPr>
          <w:p w14:paraId="1B8BA0B7">
            <w:pPr>
              <w:pStyle w:val="25"/>
              <w:adjustRightInd w:val="0"/>
              <w:snapToGrid w:val="0"/>
              <w:ind w:firstLine="0" w:firstLineChars="0"/>
              <w:jc w:val="center"/>
              <w:rPr>
                <w:rFonts w:hint="eastAsia" w:ascii="思源黑体 CN Light" w:hAnsi="思源黑体 CN Light" w:eastAsia="思源黑体 CN Light" w:cs="思源黑体 CN Light"/>
                <w:sz w:val="24"/>
                <w:szCs w:val="24"/>
              </w:rPr>
            </w:pPr>
            <w:r>
              <w:rPr>
                <w:rFonts w:hint="eastAsia" w:ascii="思源黑体 CN Light" w:hAnsi="思源黑体 CN Light" w:eastAsia="思源黑体 CN Light" w:cs="思源黑体 CN Light"/>
                <w:sz w:val="24"/>
                <w:szCs w:val="24"/>
              </w:rPr>
              <w:t>制冷水量</w:t>
            </w:r>
          </w:p>
        </w:tc>
        <w:tc>
          <w:tcPr>
            <w:tcW w:w="4665" w:type="dxa"/>
            <w:noWrap w:val="0"/>
            <w:vAlign w:val="center"/>
          </w:tcPr>
          <w:p w14:paraId="0F740B04">
            <w:pPr>
              <w:pStyle w:val="25"/>
              <w:ind w:firstLine="0" w:firstLineChars="0"/>
              <w:jc w:val="center"/>
              <w:rPr>
                <w:rFonts w:hint="eastAsia" w:ascii="思源黑体 CN Light" w:hAnsi="思源黑体 CN Light" w:eastAsia="思源黑体 CN Light" w:cs="思源黑体 CN Light"/>
                <w:color w:val="000000"/>
                <w:sz w:val="24"/>
                <w:szCs w:val="24"/>
              </w:rPr>
            </w:pPr>
            <w:r>
              <w:rPr>
                <w:rFonts w:hint="eastAsia" w:ascii="思源黑体 CN Light" w:hAnsi="思源黑体 CN Light" w:eastAsia="思源黑体 CN Light" w:cs="思源黑体 CN Light"/>
                <w:color w:val="000000"/>
                <w:sz w:val="24"/>
                <w:szCs w:val="24"/>
              </w:rPr>
              <w:t>大于1.8L/min</w:t>
            </w:r>
          </w:p>
        </w:tc>
      </w:tr>
    </w:tbl>
    <w:p w14:paraId="5513573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cs="宋体"/>
          <w:b/>
          <w:bCs/>
          <w:sz w:val="28"/>
          <w:szCs w:val="28"/>
        </w:rPr>
      </w:pPr>
      <w:r>
        <w:rPr>
          <w:rFonts w:hint="eastAsia" w:ascii="宋体" w:hAnsi="宋体" w:cs="宋体"/>
          <w:b/>
          <w:bCs/>
          <w:sz w:val="28"/>
          <w:szCs w:val="28"/>
        </w:rPr>
        <w:t>商务参数</w:t>
      </w:r>
    </w:p>
    <w:p w14:paraId="75C589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运输、装卸、培训、安装调试：由中标人负责承担，最终通过使用科室、设备科及相关部门确认验收交付使用。国产设备交付，设备必须为6个月内生产的产品；进口设备交付，设备必须为一年内生产的产品。</w:t>
      </w:r>
    </w:p>
    <w:p w14:paraId="7CEE55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★2、交货时间：按合同约定的日期交货。</w:t>
      </w:r>
    </w:p>
    <w:p w14:paraId="3F404C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★3、交货地点：娄底市中心医院指定地点。</w:t>
      </w:r>
    </w:p>
    <w:p w14:paraId="7E0D94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★4、付款方式：设备验收合格后，供应商将发票交到娄底市中心医院后按程序支付货款90%（一般情况下4个月内支付、特殊情况下最多不超过6个月），甲方在设备验收合格且质保期届满后支付10%余款给乙方。</w:t>
      </w:r>
    </w:p>
    <w:p w14:paraId="7CEED9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★5、质保与售后：整机保修 3年，终身维修。验收时出具原厂售后质保承诺书，质保期内每年巡检一次，并提交巡检记录。质保期内出现故障，1小时响应，响应后24小时上门服务。</w:t>
      </w:r>
    </w:p>
    <w:p w14:paraId="1A3978D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★6、在投标文件中必须提供相关佐证资料(加盖投标人公章的技术参数、技术白皮书、说明书、彩页)，并在响应表中备注该条参数响应或正偏离的佐证资料所在页码。</w:t>
      </w:r>
    </w:p>
    <w:p w14:paraId="61AB1A31">
      <w:pPr>
        <w:rPr>
          <w:rFonts w:hint="eastAsia" w:ascii="宋体" w:hAnsi="宋体" w:eastAsia="宋体" w:cs="宋体"/>
          <w:sz w:val="24"/>
          <w:szCs w:val="24"/>
        </w:rPr>
      </w:pPr>
    </w:p>
    <w:p w14:paraId="52EAA7A3">
      <w:pPr>
        <w:pStyle w:val="13"/>
        <w:keepNext w:val="0"/>
        <w:keepLines w:val="0"/>
        <w:pageBreakBefore w:val="0"/>
        <w:numPr>
          <w:ilvl w:val="0"/>
          <w:numId w:val="0"/>
        </w:numPr>
        <w:kinsoku/>
        <w:wordWrap/>
        <w:topLinePunct w:val="0"/>
        <w:autoSpaceDE/>
        <w:autoSpaceDN/>
        <w:bidi w:val="0"/>
        <w:ind w:leftChars="0" w:firstLine="560" w:firstLineChars="200"/>
        <w:rPr>
          <w:rFonts w:hint="default"/>
          <w:lang w:val="en-US" w:eastAsia="zh-CN"/>
        </w:rPr>
      </w:pPr>
    </w:p>
    <w:p w14:paraId="46A704C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jc w:val="both"/>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按法律规定提供证件）、生产厂家营业执照、生产许可证（如按法律规定需提供）、产品注册证（如按法律规定需提供）；</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50208034">
      <w:pPr>
        <w:keepNext w:val="0"/>
        <w:keepLines w:val="0"/>
        <w:pageBreakBefore w:val="0"/>
        <w:kinsoku/>
        <w:wordWrap/>
        <w:overflowPunct/>
        <w:topLinePunct w:val="0"/>
        <w:autoSpaceDE/>
        <w:autoSpaceDN/>
        <w:bidi w:val="0"/>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4E4C1C5F">
      <w:pPr>
        <w:pStyle w:val="13"/>
        <w:rPr>
          <w:rFonts w:hint="eastAsia" w:asciiTheme="minorEastAsia" w:hAnsiTheme="minorEastAsia" w:eastAsiaTheme="minorEastAsia" w:cstheme="minorEastAsia"/>
          <w:bCs/>
          <w:color w:val="auto"/>
          <w:kern w:val="0"/>
          <w:sz w:val="24"/>
          <w:szCs w:val="24"/>
          <w:lang w:val="en-US" w:eastAsia="zh-CN" w:bidi="ar-SA"/>
        </w:rPr>
      </w:pPr>
    </w:p>
    <w:p w14:paraId="7726A02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00F75EB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14:paraId="5F5BAF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44"/>
          <w:szCs w:val="44"/>
          <w:highlight w:val="none"/>
          <w:lang w:val="en-US" w:eastAsia="zh-CN"/>
          <w14:textFill>
            <w14:solidFill>
              <w14:schemeClr w14:val="tx1"/>
            </w14:solidFill>
          </w14:textFill>
        </w:rPr>
        <w:t>医疗设备采购合同</w:t>
      </w:r>
    </w:p>
    <w:p w14:paraId="5CD67D0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29F508D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娄底市中心医院</w:t>
      </w:r>
    </w:p>
    <w:p w14:paraId="5577890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eastAsia="宋体" w:cs="宋体"/>
          <w:color w:val="0000FF"/>
          <w:sz w:val="24"/>
          <w:szCs w:val="24"/>
          <w:highlight w:val="none"/>
          <w:lang w:val="en-US" w:eastAsia="zh-CN"/>
        </w:rPr>
        <w:t>杨吉军</w:t>
      </w:r>
    </w:p>
    <w:p w14:paraId="5083B53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14:paraId="05B41D46">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14:paraId="362E0B9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联系人：彭春涛</w:t>
      </w:r>
    </w:p>
    <w:p w14:paraId="0FC5BB9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联系电话：13027388172</w:t>
      </w:r>
    </w:p>
    <w:p w14:paraId="39A301C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14:paraId="4FC697A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p>
    <w:p w14:paraId="6B8B7EE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14:paraId="53D8418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14:paraId="07EEB1D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0148216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0B50EFE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323696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公开招标</w:t>
      </w:r>
      <w:r>
        <w:rPr>
          <w:rFonts w:hint="eastAsia" w:ascii="宋体" w:hAnsi="宋体" w:eastAsia="宋体" w:cs="宋体"/>
          <w:color w:val="000000" w:themeColor="text1"/>
          <w:sz w:val="24"/>
          <w:szCs w:val="24"/>
          <w:highlight w:val="none"/>
          <w:lang w:val="en-US" w:eastAsia="zh-CN"/>
          <w14:textFill>
            <w14:solidFill>
              <w14:schemeClr w14:val="tx1"/>
            </w14:solidFill>
          </w14:textFill>
        </w:rPr>
        <w:t>☑医院公开挂网□医院院内议价□湖南政府采购电子卖场竞价）</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半导体激光治疗机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项目编号：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半导体激光治疗机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14:paraId="06F0EC1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p>
    <w:p w14:paraId="0981DED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设备名称、品牌、型号、价格</w:t>
      </w:r>
    </w:p>
    <w:tbl>
      <w:tblPr>
        <w:tblStyle w:val="14"/>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940"/>
        <w:gridCol w:w="1654"/>
      </w:tblGrid>
      <w:tr w14:paraId="483C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vAlign w:val="top"/>
          </w:tcPr>
          <w:p w14:paraId="3EDEC3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设备</w:t>
            </w:r>
            <w:r>
              <w:rPr>
                <w:rFonts w:hint="eastAsia" w:ascii="宋体" w:hAnsi="宋体" w:eastAsia="宋体" w:cs="宋体"/>
                <w:color w:val="000000" w:themeColor="text1"/>
                <w:kern w:val="0"/>
                <w:sz w:val="24"/>
                <w:szCs w:val="24"/>
                <w:highlight w:val="none"/>
                <w14:textFill>
                  <w14:solidFill>
                    <w14:schemeClr w14:val="tx1"/>
                  </w14:solidFill>
                </w14:textFill>
              </w:rPr>
              <w:t>名称</w:t>
            </w:r>
          </w:p>
        </w:tc>
        <w:tc>
          <w:tcPr>
            <w:tcW w:w="1220" w:type="dxa"/>
            <w:vAlign w:val="top"/>
          </w:tcPr>
          <w:p w14:paraId="68D30D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品牌</w:t>
            </w:r>
          </w:p>
        </w:tc>
        <w:tc>
          <w:tcPr>
            <w:tcW w:w="1760" w:type="dxa"/>
            <w:vAlign w:val="top"/>
          </w:tcPr>
          <w:p w14:paraId="35C702A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型号</w:t>
            </w:r>
          </w:p>
        </w:tc>
        <w:tc>
          <w:tcPr>
            <w:tcW w:w="1320" w:type="dxa"/>
            <w:vAlign w:val="top"/>
          </w:tcPr>
          <w:p w14:paraId="7DD1C20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单价（元）</w:t>
            </w:r>
          </w:p>
        </w:tc>
        <w:tc>
          <w:tcPr>
            <w:tcW w:w="940" w:type="dxa"/>
            <w:vAlign w:val="top"/>
          </w:tcPr>
          <w:p w14:paraId="6C4E50C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数量</w:t>
            </w:r>
          </w:p>
        </w:tc>
        <w:tc>
          <w:tcPr>
            <w:tcW w:w="1654" w:type="dxa"/>
            <w:vAlign w:val="top"/>
          </w:tcPr>
          <w:p w14:paraId="718090D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金额（元）</w:t>
            </w:r>
          </w:p>
        </w:tc>
      </w:tr>
      <w:tr w14:paraId="0999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517" w:type="dxa"/>
            <w:vAlign w:val="top"/>
          </w:tcPr>
          <w:p w14:paraId="1469BBF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半导体激光治疗机</w:t>
            </w:r>
          </w:p>
        </w:tc>
        <w:tc>
          <w:tcPr>
            <w:tcW w:w="1220" w:type="dxa"/>
            <w:vAlign w:val="center"/>
          </w:tcPr>
          <w:p w14:paraId="15E622E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1760" w:type="dxa"/>
            <w:vAlign w:val="top"/>
          </w:tcPr>
          <w:p w14:paraId="2F0911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7F69A41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vAlign w:val="top"/>
          </w:tcPr>
          <w:p w14:paraId="07DC10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4213476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7616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vAlign w:val="top"/>
          </w:tcPr>
          <w:p w14:paraId="4117F42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合计</w:t>
            </w:r>
            <w:r>
              <w:rPr>
                <w:rFonts w:hint="eastAsia" w:ascii="宋体" w:hAnsi="宋体" w:eastAsia="宋体" w:cs="宋体"/>
                <w:color w:val="000000" w:themeColor="text1"/>
                <w:kern w:val="0"/>
                <w:sz w:val="24"/>
                <w:szCs w:val="24"/>
                <w:highlight w:val="none"/>
                <w:lang w:eastAsia="zh-CN"/>
                <w14:textFill>
                  <w14:solidFill>
                    <w14:schemeClr w14:val="tx1"/>
                  </w14:solidFill>
                </w14:textFill>
              </w:rPr>
              <w:t>价款</w:t>
            </w:r>
            <w:r>
              <w:rPr>
                <w:rFonts w:hint="eastAsia" w:ascii="宋体" w:hAnsi="宋体" w:eastAsia="宋体" w:cs="宋体"/>
                <w:color w:val="000000" w:themeColor="text1"/>
                <w:kern w:val="0"/>
                <w:sz w:val="24"/>
                <w:szCs w:val="24"/>
                <w:highlight w:val="none"/>
                <w14:textFill>
                  <w14:solidFill>
                    <w14:schemeClr w14:val="tx1"/>
                  </w14:solidFill>
                </w14:textFill>
              </w:rPr>
              <w:t>金额人民币（大写）：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元</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元</w:t>
            </w:r>
          </w:p>
        </w:tc>
      </w:tr>
    </w:tbl>
    <w:p w14:paraId="011B13E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总价□固定单价），不因物价、市场波动变更，约定价格包括且不限于设计费、材料费、人工费、安装费、包装费、运输费、装卸费、调试费、接口费、检测费、检验费、税费、保险费、售后服务费、附随服务费等在内所有费用。 </w:t>
      </w:r>
    </w:p>
    <w:p w14:paraId="59AE944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无需</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需要</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eastAsia="zh-CN"/>
          <w14:textFill>
            <w14:solidFill>
              <w14:schemeClr w14:val="tx1"/>
            </w14:solidFill>
          </w14:textFill>
        </w:rPr>
        <w:t>乙方及第三方需要收取的</w:t>
      </w:r>
      <w:r>
        <w:rPr>
          <w:rFonts w:hint="eastAsia" w:ascii="宋体" w:hAnsi="宋体" w:cs="宋体"/>
          <w:color w:val="000000" w:themeColor="text1"/>
          <w:sz w:val="24"/>
          <w:szCs w:val="24"/>
          <w:highlight w:val="none"/>
          <w14:textFill>
            <w14:solidFill>
              <w14:schemeClr w14:val="tx1"/>
            </w14:solidFill>
          </w14:textFill>
        </w:rPr>
        <w:t>全部费用均由乙方承担。</w:t>
      </w:r>
    </w:p>
    <w:p w14:paraId="1CC3299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14:paraId="063814F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交货时间：乙方应在</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☑自接到甲方通知之日起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将设备运至</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甲方指定交货</w:t>
      </w:r>
      <w:r>
        <w:rPr>
          <w:rFonts w:hint="default" w:ascii="宋体" w:hAnsi="宋体" w:eastAsia="宋体" w:cs="宋体"/>
          <w:color w:val="000000" w:themeColor="text1"/>
          <w:sz w:val="24"/>
          <w:szCs w:val="24"/>
          <w:highlight w:val="none"/>
          <w:lang w:val="en-US" w:eastAsia="zh-CN"/>
          <w14:textFill>
            <w14:solidFill>
              <w14:schemeClr w14:val="tx1"/>
            </w14:solidFill>
          </w14:textFill>
        </w:rPr>
        <w:t>地点，并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☑到货后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完成安装、调试，办理验收手续并交付甲方使用。</w:t>
      </w:r>
    </w:p>
    <w:p w14:paraId="6F612A4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娄底市中心医院</w:t>
      </w:r>
      <w:r>
        <w:rPr>
          <w:rFonts w:hint="eastAsia" w:ascii="宋体" w:hAnsi="宋体" w:eastAsia="宋体" w:cs="宋体"/>
          <w:color w:val="000000" w:themeColor="text1"/>
          <w:sz w:val="24"/>
          <w:szCs w:val="24"/>
          <w:highlight w:val="none"/>
          <w:lang w:val="en-US" w:eastAsia="zh-CN"/>
          <w14:textFill>
            <w14:solidFill>
              <w14:schemeClr w14:val="tx1"/>
            </w14:solidFill>
          </w14:textFill>
        </w:rPr>
        <w:t>设备科</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3546F41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：由乙方自备交通运输工具将设备运至合同约定地点，并负责设备装卸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14:paraId="60F5434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质量标准、质量验收、包装要求</w:t>
      </w:r>
    </w:p>
    <w:p w14:paraId="0DBC8AD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 质量标准：乙方</w:t>
      </w:r>
      <w:r>
        <w:rPr>
          <w:rFonts w:hint="eastAsia" w:ascii="宋体" w:hAnsi="宋体" w:eastAsia="宋体" w:cs="宋体"/>
          <w:color w:val="auto"/>
          <w:sz w:val="24"/>
          <w:szCs w:val="24"/>
          <w:highlight w:val="none"/>
          <w:lang w:val="en-US" w:eastAsia="zh-CN"/>
        </w:rPr>
        <w:t>提供设备的质量、安装应符合或优于国家标准；如投标文件/响应文件中的技术参数和质量标准高于国家标准，则设备的技术参数和质量标准以投标文件/响应文件为准；如乙方应交付的设备属于国产</w:t>
      </w:r>
      <w:r>
        <w:rPr>
          <w:rFonts w:hint="eastAsia" w:ascii="宋体" w:hAnsi="宋体" w:cs="宋体"/>
          <w:color w:val="auto"/>
          <w:sz w:val="24"/>
          <w:szCs w:val="24"/>
          <w:highlight w:val="none"/>
          <w:lang w:val="en-US" w:eastAsia="zh-CN"/>
        </w:rPr>
        <w:t>设备，则应保证该设备为交付时起近</w:t>
      </w:r>
      <w:r>
        <w:rPr>
          <w:rFonts w:hint="eastAsia" w:ascii="宋体" w:hAnsi="宋体" w:cs="宋体"/>
          <w:color w:val="auto"/>
          <w:sz w:val="24"/>
          <w:szCs w:val="24"/>
          <w:highlight w:val="none"/>
          <w:lang w:eastAsia="zh-CN"/>
        </w:rPr>
        <w:t>6个月内生产的产品；</w:t>
      </w:r>
      <w:r>
        <w:rPr>
          <w:rFonts w:hint="eastAsia" w:ascii="宋体" w:hAnsi="宋体" w:cs="宋体"/>
          <w:color w:val="auto"/>
          <w:sz w:val="24"/>
          <w:szCs w:val="24"/>
          <w:highlight w:val="none"/>
          <w:lang w:val="en-US" w:eastAsia="zh-CN"/>
        </w:rPr>
        <w:t>如乙方</w:t>
      </w:r>
      <w:r>
        <w:rPr>
          <w:rFonts w:hint="eastAsia" w:ascii="宋体" w:hAnsi="宋体" w:eastAsia="宋体" w:cs="宋体"/>
          <w:color w:val="auto"/>
          <w:sz w:val="24"/>
          <w:szCs w:val="24"/>
          <w:highlight w:val="none"/>
          <w:lang w:val="en-US" w:eastAsia="zh-CN"/>
        </w:rPr>
        <w:t>应</w:t>
      </w:r>
      <w:r>
        <w:rPr>
          <w:rFonts w:hint="eastAsia" w:ascii="宋体" w:hAnsi="宋体" w:cs="宋体"/>
          <w:color w:val="auto"/>
          <w:sz w:val="24"/>
          <w:szCs w:val="24"/>
          <w:highlight w:val="none"/>
          <w:lang w:val="en-US" w:eastAsia="zh-CN"/>
        </w:rPr>
        <w:t>交付的设备属于</w:t>
      </w:r>
      <w:r>
        <w:rPr>
          <w:rFonts w:hint="eastAsia" w:ascii="宋体" w:hAnsi="宋体" w:eastAsia="宋体" w:cs="宋体"/>
          <w:color w:val="auto"/>
          <w:sz w:val="24"/>
          <w:szCs w:val="24"/>
          <w:highlight w:val="none"/>
          <w:lang w:val="en-US" w:eastAsia="zh-CN"/>
        </w:rPr>
        <w:t>进口设备</w:t>
      </w:r>
      <w:r>
        <w:rPr>
          <w:rFonts w:hint="eastAsia" w:ascii="宋体" w:hAnsi="宋体" w:cs="宋体"/>
          <w:color w:val="auto"/>
          <w:sz w:val="24"/>
          <w:szCs w:val="24"/>
          <w:highlight w:val="none"/>
          <w:lang w:val="en-US" w:eastAsia="zh-CN"/>
        </w:rPr>
        <w:t>，则应保证该设备</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交付时起近一年</w:t>
      </w:r>
      <w:r>
        <w:rPr>
          <w:rFonts w:hint="eastAsia" w:ascii="宋体" w:hAnsi="宋体" w:cs="宋体"/>
          <w:color w:val="auto"/>
          <w:sz w:val="24"/>
          <w:szCs w:val="24"/>
          <w:highlight w:val="none"/>
          <w:lang w:eastAsia="zh-CN"/>
        </w:rPr>
        <w:t>内生产的产品</w:t>
      </w:r>
      <w:r>
        <w:rPr>
          <w:rFonts w:hint="eastAsia" w:ascii="宋体" w:hAnsi="宋体" w:eastAsia="宋体" w:cs="宋体"/>
          <w:color w:val="auto"/>
          <w:sz w:val="24"/>
          <w:szCs w:val="24"/>
          <w:highlight w:val="none"/>
          <w:lang w:val="en-US" w:eastAsia="zh-CN"/>
        </w:rPr>
        <w:t>。</w:t>
      </w:r>
    </w:p>
    <w:p w14:paraId="619DD7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3.2 质量验收：以本合同约定标准按以下方式进行验收： </w:t>
      </w:r>
    </w:p>
    <w:p w14:paraId="1F6499C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3.2.1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日内无</w:t>
      </w:r>
      <w:r>
        <w:rPr>
          <w:rFonts w:hint="eastAsia" w:ascii="宋体" w:hAnsi="宋体" w:eastAsia="宋体" w:cs="宋体"/>
          <w:color w:val="000000" w:themeColor="text1"/>
          <w:sz w:val="24"/>
          <w:szCs w:val="24"/>
          <w:highlight w:val="none"/>
          <w:lang w:val="en-US" w:eastAsia="zh-CN"/>
          <w14:textFill>
            <w14:solidFill>
              <w14:schemeClr w14:val="tx1"/>
            </w14:solidFill>
          </w14:textFill>
        </w:rPr>
        <w:t>条件予以更换。</w:t>
      </w:r>
    </w:p>
    <w:p w14:paraId="202D954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3.2.2 总体验收：乙方将设备全部拆包、安装、调试、培训后应及时通知甲方，甲方自接到乙方通知之日起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日内自行组织或委托第三方进行总体验收，验收合格后签署总体验收报告单。如经甲方或第三方验收不合格，乙方应在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日内无条件予以返工并承担所有费用。</w:t>
      </w:r>
    </w:p>
    <w:p w14:paraId="4A32F1A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3.2.3 甲方验收时如发现乙方所交付、安装的设备不符合本合同约定，甲方应做出详尽的现场记录，由甲乙双方签署备忘录，该现场记录和备忘录作为乙方补交缺少部件、更换不符标准部件的有效依据，由此产生的一切经济损失由乙方承担。</w:t>
      </w:r>
    </w:p>
    <w:p w14:paraId="01D9946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包装要求：乙方提供的设备必须为原厂包装，外包装到货时应保证完好无损，否则甲方有权拒绝收货，由此造成的延期交货违约责任和一切经济损失全部由乙方承担。</w:t>
      </w:r>
    </w:p>
    <w:p w14:paraId="1918CC5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第四条 安装、培训等事项</w:t>
      </w:r>
    </w:p>
    <w:p w14:paraId="7E62223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 甲方负责协调、处理与安装、调试有关事宜，为乙方创造良好的安装、调试环境。</w:t>
      </w:r>
    </w:p>
    <w:p w14:paraId="19E3ECC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 甲方委派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邓时敏</w:t>
      </w:r>
      <w:r>
        <w:rPr>
          <w:rFonts w:hint="eastAsia" w:ascii="宋体" w:hAnsi="宋体" w:eastAsia="宋体" w:cs="宋体"/>
          <w:color w:val="000000" w:themeColor="text1"/>
          <w:sz w:val="24"/>
          <w:u w:val="single"/>
          <w:lang w:val="en-US" w:eastAsia="zh-CN"/>
          <w14:textFill>
            <w14:solidFill>
              <w14:schemeClr w14:val="tx1"/>
            </w14:solidFill>
          </w14:textFill>
        </w:rPr>
        <w:t>13723814432</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作为代表，跟踪、检查安装、调试现场。</w:t>
      </w:r>
    </w:p>
    <w:p w14:paraId="46A6EF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 乙方负责对甲方的操作人员进行免费培训。</w:t>
      </w:r>
    </w:p>
    <w:p w14:paraId="7C41042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 乙方在安装、调试过程中应加强操作人员的安全教育，杜绝安全事故的发生。 </w:t>
      </w:r>
    </w:p>
    <w:p w14:paraId="4974DD8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第五条 售后服务</w:t>
      </w:r>
    </w:p>
    <w:p w14:paraId="4B7290F8">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5.1 本合同设备质保期为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叁 </w:t>
      </w:r>
      <w:r>
        <w:rPr>
          <w:rFonts w:hint="eastAsia" w:ascii="宋体" w:hAnsi="宋体" w:eastAsia="宋体" w:cs="宋体"/>
          <w:color w:val="000000" w:themeColor="text1"/>
          <w:sz w:val="24"/>
          <w:szCs w:val="24"/>
          <w:highlight w:val="none"/>
          <w:lang w:val="en-US" w:eastAsia="zh-CN"/>
          <w14:textFill>
            <w14:solidFill>
              <w14:schemeClr w14:val="tx1"/>
            </w14:solidFill>
          </w14:textFill>
        </w:rPr>
        <w:t>年，自甲方在总体验收报告单上签字确认合格之日起开始计算。</w:t>
      </w:r>
    </w:p>
    <w:p w14:paraId="1B4B460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5.2 </w:t>
      </w:r>
      <w:r>
        <w:rPr>
          <w:rFonts w:hint="eastAsia" w:ascii="宋体" w:hAnsi="宋体" w:eastAsia="宋体" w:cs="宋体"/>
          <w:color w:val="000000" w:themeColor="text1"/>
          <w:sz w:val="24"/>
          <w:highlight w:val="none"/>
          <w14:textFill>
            <w14:solidFill>
              <w14:schemeClr w14:val="tx1"/>
            </w14:solidFill>
          </w14:textFill>
        </w:rPr>
        <w:t>乙方在质保期内免费提供维修、更换、保养、咨询等服务。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如设备在</w:t>
      </w:r>
      <w:r>
        <w:rPr>
          <w:rFonts w:hint="eastAsia" w:ascii="宋体" w:hAnsi="宋体" w:eastAsia="宋体" w:cs="宋体"/>
          <w:color w:val="000000" w:themeColor="text1"/>
          <w:sz w:val="24"/>
          <w:highlight w:val="none"/>
          <w14:textFill>
            <w14:solidFill>
              <w14:schemeClr w14:val="tx1"/>
            </w14:solidFill>
          </w14:textFill>
        </w:rPr>
        <w:t>质</w:t>
      </w:r>
      <w:r>
        <w:rPr>
          <w:rFonts w:hint="eastAsia" w:ascii="宋体" w:hAnsi="宋体" w:eastAsia="宋体" w:cs="宋体"/>
          <w:color w:val="000000" w:themeColor="text1"/>
          <w:sz w:val="24"/>
          <w:szCs w:val="24"/>
          <w:highlight w:val="none"/>
          <w:lang w:val="en-US" w:eastAsia="zh-CN"/>
          <w14:textFill>
            <w14:solidFill>
              <w14:schemeClr w14:val="tx1"/>
            </w14:solidFill>
          </w14:textFill>
        </w:rPr>
        <w:t>保期内出现质量问题，乙方应在接到甲方通知（包括电话通知）后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小时内赶到甲方提供服务，相关费用由乙方承担。如乙方不及时提供服务，甲方有权委托第三方提供</w:t>
      </w:r>
      <w:r>
        <w:rPr>
          <w:rFonts w:hint="eastAsia" w:ascii="宋体" w:hAnsi="宋体" w:eastAsia="宋体" w:cs="宋体"/>
          <w:color w:val="000000" w:themeColor="text1"/>
          <w:sz w:val="24"/>
          <w:highlight w:val="none"/>
          <w14:textFill>
            <w14:solidFill>
              <w14:schemeClr w14:val="tx1"/>
            </w14:solidFill>
          </w14:textFill>
        </w:rPr>
        <w:t>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，由此产生的相关费用，甲方有权在应付款中扣除、不足部分由乙方另行补足，或要求乙方将第三方提供服务产生的相关费用直接支付给甲方。</w:t>
      </w:r>
    </w:p>
    <w:p w14:paraId="40C63A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 质保期内，乙方每年至少对设备进行一次巡检并向甲方提交巡检记录。</w:t>
      </w:r>
    </w:p>
    <w:p w14:paraId="1079FCC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5.4 质保期届满后，如设备出现问题，乙方应在接到甲方通知（包括电话通知）后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小时上门服务，相关费用由甲方承担。</w:t>
      </w:r>
    </w:p>
    <w:p w14:paraId="6838A21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14:textFill>
            <w14:solidFill>
              <w14:schemeClr w14:val="tx1"/>
            </w14:solidFill>
          </w14:textFill>
        </w:rPr>
        <w:t>乙方须指派</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专门负责与甲方联系售后服务事宜，如人员发生变动，应及时通知甲方。</w:t>
      </w:r>
    </w:p>
    <w:p w14:paraId="12855BE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第六条 付款时间、方式</w:t>
      </w:r>
    </w:p>
    <w:p w14:paraId="3A77BC6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 甲方通过银行转账方式向乙方指定银行账户支付款项；甲方在总体验收报告单上签字确认合格之日起4个月内，向乙方支付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合同约定总价款</w:t>
      </w:r>
      <w:r>
        <w:rPr>
          <w:rFonts w:hint="eastAsia" w:ascii="宋体" w:hAnsi="宋体" w:eastAsia="宋体" w:cs="宋体"/>
          <w:color w:val="000000" w:themeColor="text1"/>
          <w:sz w:val="24"/>
          <w:szCs w:val="24"/>
          <w:highlight w:val="none"/>
          <w:lang w:val="en-US" w:eastAsia="zh-CN"/>
          <w14:textFill>
            <w14:solidFill>
              <w14:schemeClr w14:val="tx1"/>
            </w14:solidFill>
          </w14:textFill>
        </w:rPr>
        <w:t>的90%；余款10%，甲方在质保期届满且不存在需被扣除情形之日起10个工作日内，免息支付给乙方。</w:t>
      </w:r>
    </w:p>
    <w:p w14:paraId="618A99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6.2 乙方指定收款银行账户的开户名：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账号：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color w:val="000000" w:themeColor="text1"/>
          <w:sz w:val="28"/>
          <w:szCs w:val="28"/>
          <w:highlight w:val="none"/>
          <w:u w:val="none"/>
          <w:lang w:val="en-US" w:eastAsia="zh-CN"/>
          <w14:textFill>
            <w14:solidFill>
              <w14:schemeClr w14:val="tx1"/>
            </w14:solidFill>
          </w14:textFill>
        </w:rPr>
        <w:t xml:space="preserve">  </w:t>
      </w:r>
    </w:p>
    <w:p w14:paraId="4B0EE2C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6.3 乙方应在甲方首次付款前，向甲方提供以乙方自己名义开具的与本合同总价等额的增值税普通发票；如乙方未及时提供发票，甲方有权顺延付款，由此产生的责任均由乙方自行承担。</w:t>
      </w:r>
    </w:p>
    <w:p w14:paraId="3303448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第七条 风险承担</w:t>
      </w:r>
    </w:p>
    <w:p w14:paraId="4971572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424D897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 本合同设备毁损、丢失的风险自甲方在总体验收报告单上签字确认合格后转移给甲方，此前设备的一切风险均由乙方承担。</w:t>
      </w:r>
    </w:p>
    <w:p w14:paraId="0B8D87B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 如甲方因乙方设备、质保服务等原因涉及纠纷、诉讼或被处以行政处罚，由乙方承担甲方因纠纷、诉讼、罚款等造成的全部经济损失。</w:t>
      </w:r>
    </w:p>
    <w:p w14:paraId="20B631C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第八条 廉洁条款</w:t>
      </w:r>
    </w:p>
    <w:p w14:paraId="47366FA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2ED975A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default" w:ascii="宋体" w:hAnsi="宋体" w:eastAsia="宋体" w:cs="宋体"/>
          <w:b/>
          <w:bCs/>
          <w:color w:val="000000" w:themeColor="text1"/>
          <w:sz w:val="24"/>
          <w:szCs w:val="24"/>
          <w:highlight w:val="none"/>
          <w:lang w:val="en-US" w:eastAsia="zh-CN"/>
          <w14:textFill>
            <w14:solidFill>
              <w14:schemeClr w14:val="tx1"/>
            </w14:solidFill>
          </w14:textFill>
        </w:rPr>
        <w:t xml:space="preserve">8.2 </w:t>
      </w:r>
      <w:r>
        <w:rPr>
          <w:rFonts w:hint="default" w:ascii="宋体" w:hAnsi="宋体" w:eastAsia="宋体" w:cs="宋体"/>
          <w:b/>
          <w:bCs/>
          <w:color w:val="000000" w:themeColor="text1"/>
          <w:sz w:val="24"/>
          <w:szCs w:val="24"/>
          <w:highlight w:val="none"/>
          <w:u w:val="single"/>
          <w:lang w:val="en-US" w:eastAsia="zh-CN"/>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2F4FD1A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第九条 保密条款</w:t>
      </w:r>
    </w:p>
    <w:p w14:paraId="1B9CDB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611085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9.2 乙方应对保密信息采取有效手段严格保密，不得用于非本合同之目的或向第三方泄露。如政府部门、法院或其他有权部门要求乙方提供保密信息，乙方应当立即向甲方通报。</w:t>
      </w:r>
    </w:p>
    <w:p w14:paraId="67DC819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9.3 因乙方未履行本合同保密义务造成甲方或第三方损失的，由乙方承担全部赔偿责任。</w:t>
      </w:r>
    </w:p>
    <w:p w14:paraId="7360AD7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9.4 本合同保密条款在合同被认定无效、被撤销或终止、解除后仍然有效。</w:t>
      </w:r>
    </w:p>
    <w:p w14:paraId="29704BD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第十条 </w:t>
      </w:r>
      <w:r>
        <w:rPr>
          <w:rFonts w:hint="default" w:ascii="宋体" w:hAnsi="宋体" w:eastAsia="宋体" w:cs="宋体"/>
          <w:b/>
          <w:bCs/>
          <w:color w:val="000000" w:themeColor="text1"/>
          <w:sz w:val="24"/>
          <w:highlight w:val="none"/>
          <w:lang w:val="en-US" w:eastAsia="zh-CN"/>
          <w14:textFill>
            <w14:solidFill>
              <w14:schemeClr w14:val="tx1"/>
            </w14:solidFill>
          </w14:textFill>
        </w:rPr>
        <w:t>通知</w:t>
      </w:r>
      <w:r>
        <w:rPr>
          <w:rFonts w:hint="eastAsia" w:ascii="宋体" w:hAnsi="宋体" w:eastAsia="宋体" w:cs="宋体"/>
          <w:b/>
          <w:bCs/>
          <w:color w:val="000000" w:themeColor="text1"/>
          <w:sz w:val="24"/>
          <w:highlight w:val="none"/>
          <w:lang w:val="en-US" w:eastAsia="zh-CN"/>
          <w14:textFill>
            <w14:solidFill>
              <w14:schemeClr w14:val="tx1"/>
            </w14:solidFill>
          </w14:textFill>
        </w:rPr>
        <w:t>与送达</w:t>
      </w:r>
    </w:p>
    <w:p w14:paraId="6FB6B62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10.1 甲乙双方同意，与本合同有关的任何文书，应以书面方式按照本合同约定发送，书面方式包括手机短信、微信、书面函件、电子邮件等形式。</w:t>
      </w:r>
    </w:p>
    <w:p w14:paraId="32A9A1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10.2 双方确认的文书（包括未来可能发生的诉讼或仲裁活动中法院或仲裁机构的送达法律文书）送达地址：</w:t>
      </w:r>
    </w:p>
    <w:p w14:paraId="1B16A4E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10.2.1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甲方的联系地址：</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娄底市娄星区</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娄底市中心医院设备科</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彭春涛</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721294732@qq.com</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6CD2A5B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10.2.2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乙方的联系地址：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55FD3E9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663E7DB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332909F9">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第十</w:t>
      </w:r>
      <w:r>
        <w:rPr>
          <w:rFonts w:hint="eastAsia" w:ascii="宋体" w:hAnsi="宋体" w:eastAsia="宋体" w:cs="宋体"/>
          <w:b/>
          <w:bCs/>
          <w:color w:val="000000" w:themeColor="text1"/>
          <w:sz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highlight w:val="none"/>
          <w:lang w:eastAsia="zh-CN"/>
          <w14:textFill>
            <w14:solidFill>
              <w14:schemeClr w14:val="tx1"/>
            </w14:solidFill>
          </w14:textFill>
        </w:rPr>
        <w:t>条</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合同的变更、解除</w:t>
      </w:r>
    </w:p>
    <w:p w14:paraId="7043000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11.1 本合同经双方协商一致后可以变更，双方应另行签订补充协议。</w:t>
      </w:r>
    </w:p>
    <w:p w14:paraId="5B80C46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11.2 如甲方因政策变化等非自身主观原因不需要购买本合同全部设备，经书面通知乙方后可以提前终止本合同；如甲方因运营需要等原因不需要购买本合同部分设备，不需要购买的部分自动从采购内容中剔除。</w:t>
      </w:r>
    </w:p>
    <w:p w14:paraId="49412BA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11.3 </w:t>
      </w:r>
      <w:r>
        <w:rPr>
          <w:rFonts w:hint="eastAsia" w:ascii="宋体" w:hAnsi="宋体" w:eastAsia="宋体" w:cs="宋体"/>
          <w:color w:val="000000" w:themeColor="text1"/>
          <w:sz w:val="24"/>
          <w:highlight w:val="none"/>
          <w14:textFill>
            <w14:solidFill>
              <w14:schemeClr w14:val="tx1"/>
            </w14:solidFill>
          </w14:textFill>
        </w:rPr>
        <w:t>乙方出现以下违约情形之一的，甲方有权拒绝支付任何价款并解除合同：</w:t>
      </w:r>
    </w:p>
    <w:p w14:paraId="5679FD7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.1 乙方逾期</w:t>
      </w:r>
      <w:r>
        <w:rPr>
          <w:rFonts w:hint="eastAsia" w:ascii="宋体" w:hAnsi="宋体" w:eastAsia="宋体" w:cs="宋体"/>
          <w:color w:val="000000" w:themeColor="text1"/>
          <w:sz w:val="24"/>
          <w:highlight w:val="none"/>
          <w:u w:val="single"/>
          <w14:textFill>
            <w14:solidFill>
              <w14:schemeClr w14:val="tx1"/>
            </w14:solidFill>
          </w14:textFill>
        </w:rPr>
        <w:t>30</w:t>
      </w:r>
      <w:r>
        <w:rPr>
          <w:rFonts w:hint="eastAsia" w:ascii="宋体" w:hAnsi="宋体" w:eastAsia="宋体" w:cs="宋体"/>
          <w:color w:val="000000" w:themeColor="text1"/>
          <w:sz w:val="24"/>
          <w:highlight w:val="none"/>
          <w14:textFill>
            <w14:solidFill>
              <w14:schemeClr w14:val="tx1"/>
            </w14:solidFill>
          </w14:textFill>
        </w:rPr>
        <w:t>日仍不能供货；</w:t>
      </w:r>
    </w:p>
    <w:p w14:paraId="37C5BC5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乙方提供的设备质量不符合国家标准、本合同标准或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14:paraId="4E910DA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14:paraId="1CA49F8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14:paraId="1C9CCAD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14:paraId="12BED9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14:paraId="56C5ACC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设备</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w:t>
      </w:r>
      <w:r>
        <w:rPr>
          <w:rFonts w:hint="eastAsia" w:ascii="宋体" w:hAnsi="宋体" w:eastAsia="宋体" w:cs="宋体"/>
          <w:color w:val="auto"/>
          <w:sz w:val="24"/>
          <w:highlight w:val="none"/>
        </w:rPr>
        <w:t>，每逾期一日，按</w:t>
      </w:r>
      <w:r>
        <w:rPr>
          <w:rFonts w:hint="eastAsia" w:ascii="宋体" w:hAnsi="宋体" w:eastAsia="宋体" w:cs="宋体"/>
          <w:color w:val="auto"/>
          <w:sz w:val="24"/>
          <w:highlight w:val="none"/>
          <w:lang w:eastAsia="zh-CN"/>
        </w:rPr>
        <w:t>（</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元 ☑</w:t>
      </w:r>
      <w:r>
        <w:rPr>
          <w:rFonts w:hint="eastAsia" w:ascii="宋体" w:hAnsi="宋体" w:eastAsia="宋体" w:cs="宋体"/>
          <w:color w:val="auto"/>
          <w:sz w:val="24"/>
          <w:highlight w:val="none"/>
          <w:u w:val="none"/>
        </w:rPr>
        <w:t>本合同约定总价款的</w:t>
      </w:r>
      <w:r>
        <w:rPr>
          <w:rFonts w:hint="eastAsia" w:ascii="宋体" w:hAnsi="宋体" w:eastAsia="宋体" w:cs="宋体"/>
          <w:color w:val="auto"/>
          <w:sz w:val="24"/>
          <w:highlight w:val="none"/>
          <w:u w:val="none"/>
          <w:lang w:eastAsia="zh-CN"/>
        </w:rPr>
        <w:t>千分之一</w:t>
      </w:r>
      <w:r>
        <w:rPr>
          <w:rFonts w:hint="eastAsia" w:ascii="宋体" w:hAnsi="宋体" w:eastAsia="宋体" w:cs="宋体"/>
          <w:color w:val="auto"/>
          <w:sz w:val="24"/>
          <w:highlight w:val="none"/>
          <w:lang w:eastAsia="zh-CN"/>
        </w:rPr>
        <w:t>）标准</w:t>
      </w:r>
      <w:r>
        <w:rPr>
          <w:rFonts w:hint="eastAsia" w:ascii="宋体" w:hAnsi="宋体" w:eastAsia="宋体" w:cs="宋体"/>
          <w:color w:val="auto"/>
          <w:sz w:val="24"/>
          <w:highlight w:val="none"/>
        </w:rPr>
        <w:t>向甲方支付违约金。</w:t>
      </w:r>
    </w:p>
    <w:p w14:paraId="732D9BE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.3 如乙方单方解除合同或甲方因</w:t>
      </w:r>
      <w:r>
        <w:rPr>
          <w:rFonts w:hint="eastAsia" w:ascii="宋体" w:hAnsi="宋体" w:eastAsia="宋体" w:cs="宋体"/>
          <w:color w:val="auto"/>
          <w:sz w:val="24"/>
          <w:highlight w:val="none"/>
          <w:lang w:val="en-US" w:eastAsia="zh-CN"/>
        </w:rPr>
        <w:t>11.3情形</w:t>
      </w:r>
      <w:r>
        <w:rPr>
          <w:rFonts w:hint="eastAsia" w:ascii="宋体" w:hAnsi="宋体" w:eastAsia="宋体" w:cs="宋体"/>
          <w:color w:val="auto"/>
          <w:sz w:val="24"/>
          <w:highlight w:val="none"/>
        </w:rPr>
        <w:t>解除合同，乙方应赔偿给甲方造成的全部经济损失，并按</w:t>
      </w:r>
      <w:r>
        <w:rPr>
          <w:rFonts w:hint="eastAsia" w:ascii="宋体" w:hAnsi="宋体" w:eastAsia="宋体" w:cs="宋体"/>
          <w:color w:val="auto"/>
          <w:sz w:val="24"/>
          <w:highlight w:val="none"/>
          <w:lang w:eastAsia="zh-CN"/>
        </w:rPr>
        <w:t>（</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元 ☑</w:t>
      </w:r>
      <w:r>
        <w:rPr>
          <w:rFonts w:hint="eastAsia" w:ascii="宋体" w:hAnsi="宋体" w:eastAsia="宋体" w:cs="宋体"/>
          <w:color w:val="auto"/>
          <w:sz w:val="24"/>
          <w:highlight w:val="none"/>
          <w:u w:val="none"/>
        </w:rPr>
        <w:t>本合同总价款30%</w:t>
      </w:r>
      <w:r>
        <w:rPr>
          <w:rFonts w:hint="eastAsia" w:ascii="宋体" w:hAnsi="宋体" w:eastAsia="宋体" w:cs="宋体"/>
          <w:color w:val="auto"/>
          <w:sz w:val="24"/>
          <w:highlight w:val="none"/>
          <w:u w:val="none"/>
          <w:lang w:eastAsia="zh-CN"/>
        </w:rPr>
        <w:t>）</w:t>
      </w:r>
      <w:r>
        <w:rPr>
          <w:rFonts w:hint="eastAsia" w:ascii="宋体" w:hAnsi="宋体" w:eastAsia="宋体" w:cs="宋体"/>
          <w:color w:val="auto"/>
          <w:sz w:val="24"/>
          <w:highlight w:val="none"/>
        </w:rPr>
        <w:t>标准</w:t>
      </w:r>
      <w:r>
        <w:rPr>
          <w:rFonts w:hint="eastAsia" w:ascii="宋体" w:hAnsi="宋体" w:eastAsia="宋体" w:cs="宋体"/>
          <w:color w:val="auto"/>
          <w:sz w:val="24"/>
          <w:highlight w:val="none"/>
          <w:lang w:val="en-US" w:eastAsia="zh-CN"/>
        </w:rPr>
        <w:t>向</w:t>
      </w:r>
      <w:r>
        <w:rPr>
          <w:rFonts w:hint="eastAsia" w:ascii="宋体" w:hAnsi="宋体" w:eastAsia="宋体" w:cs="宋体"/>
          <w:color w:val="auto"/>
          <w:sz w:val="24"/>
          <w:highlight w:val="none"/>
        </w:rPr>
        <w:t>甲方支付违约金。</w:t>
      </w:r>
    </w:p>
    <w:p w14:paraId="1FFC330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12.4 无论甲方在任意时候（不限于本合同履行期间）发现存在违反本合同廉洁条款及供应商考核管理制度约定的行为，乙方均须向甲方支付一次性惩罚性违约金，该违约金金额按以下较高者确定：（1）本合同总费用的10%；（2）根据《娄底市中心医院医疗器械供应商考核管理制度》规定计算的廉政违约金金额。如乙方除需承担违反廉洁条款及供应商考核管理制度的违约责任外，同时存在其他违约行为，乙方仍须就其他违约行为承担相应违约责任。</w:t>
      </w:r>
    </w:p>
    <w:p w14:paraId="593381C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u w:val="single"/>
          <w:lang w:val="en-US" w:eastAsia="zh-CN"/>
        </w:rPr>
      </w:pPr>
      <w:r>
        <w:rPr>
          <w:rFonts w:hint="eastAsia" w:ascii="宋体" w:hAnsi="宋体" w:eastAsia="宋体" w:cs="宋体"/>
          <w:b/>
          <w:bCs/>
          <w:color w:val="auto"/>
          <w:sz w:val="24"/>
          <w:highlight w:val="none"/>
          <w:u w:val="single"/>
          <w:lang w:val="en-US" w:eastAsia="zh-CN"/>
        </w:rPr>
        <w:t>12.5 依据本合同约定乙方应支付给甲方的违约金，甲方有权在应支付给乙方的任意价款中直接予以扣除，如扣除部分不足，乙方应在接到甲方通知后3日内补足。</w:t>
      </w:r>
    </w:p>
    <w:p w14:paraId="60F16F2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w:t>
      </w:r>
      <w:r>
        <w:rPr>
          <w:rFonts w:hint="eastAsia" w:ascii="宋体" w:hAnsi="宋体" w:cs="宋体"/>
          <w:b/>
          <w:bCs/>
          <w:color w:val="auto"/>
          <w:sz w:val="24"/>
          <w:highlight w:val="none"/>
          <w:lang w:val="en-US" w:eastAsia="zh-CN"/>
        </w:rPr>
        <w:t>十三</w:t>
      </w:r>
      <w:r>
        <w:rPr>
          <w:rFonts w:hint="eastAsia" w:ascii="宋体" w:hAnsi="宋体" w:eastAsia="宋体" w:cs="宋体"/>
          <w:b/>
          <w:bCs/>
          <w:color w:val="auto"/>
          <w:sz w:val="24"/>
          <w:highlight w:val="none"/>
        </w:rPr>
        <w:t>条 争议解决</w:t>
      </w:r>
    </w:p>
    <w:p w14:paraId="5921723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13.1 本合同适用中华人民共和国法律，并按其解释。</w:t>
      </w:r>
    </w:p>
    <w:p w14:paraId="3DCB190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13.2 </w:t>
      </w:r>
      <w:r>
        <w:rPr>
          <w:rFonts w:hint="eastAsia" w:ascii="宋体" w:hAnsi="宋体" w:eastAsia="宋体" w:cs="宋体"/>
          <w:color w:val="auto"/>
          <w:sz w:val="24"/>
          <w:highlight w:val="none"/>
        </w:rPr>
        <w:t>如双方在履行本合同过程中发生争议，双方应先协商解决，协商解决不成的，任一方均可向甲方所在地有管辖权的人民法院提起诉讼解决。</w:t>
      </w:r>
    </w:p>
    <w:p w14:paraId="3E8F58B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第十</w:t>
      </w:r>
      <w:r>
        <w:rPr>
          <w:rFonts w:hint="eastAsia" w:ascii="宋体" w:hAnsi="宋体" w:cs="宋体"/>
          <w:b/>
          <w:bCs/>
          <w:color w:val="auto"/>
          <w:sz w:val="24"/>
          <w:highlight w:val="none"/>
          <w:lang w:val="en-US" w:eastAsia="zh-CN"/>
        </w:rPr>
        <w:t>四</w:t>
      </w:r>
      <w:r>
        <w:rPr>
          <w:rFonts w:hint="eastAsia" w:ascii="宋体" w:hAnsi="宋体" w:eastAsia="宋体" w:cs="宋体"/>
          <w:b/>
          <w:bCs/>
          <w:color w:val="auto"/>
          <w:sz w:val="24"/>
          <w:highlight w:val="none"/>
        </w:rPr>
        <w:t>条 附则</w:t>
      </w:r>
    </w:p>
    <w:p w14:paraId="00CB60E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 甲方《娄底市中心医院医疗器械供应商考核管理制度》、</w:t>
      </w:r>
      <w:r>
        <w:rPr>
          <w:rFonts w:hint="eastAsia" w:ascii="宋体" w:hAnsi="宋体" w:eastAsia="宋体" w:cs="宋体"/>
          <w:color w:val="auto"/>
          <w:sz w:val="24"/>
          <w:highlight w:val="none"/>
          <w:lang w:eastAsia="zh-CN"/>
        </w:rPr>
        <w:t>乙方加盖公章的资质复印件、售后承诺等作为本合同附件。</w:t>
      </w:r>
    </w:p>
    <w:p w14:paraId="14CD2E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eastAsia="zh-CN"/>
        </w:rPr>
        <w:t xml:space="preserve">14.2 </w:t>
      </w:r>
      <w:r>
        <w:rPr>
          <w:rFonts w:hint="eastAsia" w:ascii="宋体" w:hAnsi="宋体" w:eastAsia="宋体" w:cs="宋体"/>
          <w:color w:val="auto"/>
          <w:sz w:val="24"/>
          <w:highlight w:val="none"/>
        </w:rPr>
        <w:t>本合同组成文件和优先解释顺序：</w:t>
      </w:r>
      <w:r>
        <w:rPr>
          <w:rFonts w:hint="eastAsia" w:ascii="宋体" w:hAnsi="宋体" w:eastAsia="宋体" w:cs="宋体"/>
          <w:color w:val="auto"/>
          <w:sz w:val="24"/>
          <w:highlight w:val="none"/>
          <w:lang w:eastAsia="zh-CN"/>
        </w:rPr>
        <w:t>乙方在履行本合同中作出的书面承诺；</w:t>
      </w:r>
      <w:r>
        <w:rPr>
          <w:rFonts w:hint="eastAsia" w:ascii="宋体" w:hAnsi="宋体" w:eastAsia="宋体" w:cs="宋体"/>
          <w:color w:val="auto"/>
          <w:sz w:val="24"/>
          <w:highlight w:val="none"/>
        </w:rPr>
        <w:t>本合同补充协议；本合同及附件；</w:t>
      </w:r>
      <w:r>
        <w:rPr>
          <w:rFonts w:hint="eastAsia" w:ascii="宋体" w:hAnsi="宋体" w:eastAsia="宋体" w:cs="宋体"/>
          <w:color w:val="auto"/>
          <w:sz w:val="24"/>
          <w:highlight w:val="none"/>
          <w:lang w:eastAsia="zh-CN"/>
        </w:rPr>
        <w:t>中标通知书</w:t>
      </w:r>
      <w:r>
        <w:rPr>
          <w:rFonts w:hint="eastAsia" w:ascii="宋体" w:hAnsi="宋体" w:eastAsia="宋体" w:cs="宋体"/>
          <w:color w:val="auto"/>
          <w:sz w:val="24"/>
          <w:highlight w:val="none"/>
          <w:lang w:val="en-US" w:eastAsia="zh-CN"/>
        </w:rPr>
        <w:t>/成交通知书/</w:t>
      </w:r>
      <w:r>
        <w:rPr>
          <w:rFonts w:hint="eastAsia" w:ascii="宋体" w:hAnsi="宋体" w:eastAsia="宋体" w:cs="宋体"/>
          <w:color w:val="auto"/>
          <w:sz w:val="24"/>
          <w:highlight w:val="none"/>
        </w:rPr>
        <w:t>议价结果公示</w:t>
      </w:r>
      <w:r>
        <w:rPr>
          <w:rFonts w:hint="eastAsia" w:ascii="宋体" w:hAnsi="宋体" w:eastAsia="宋体" w:cs="宋体"/>
          <w:color w:val="auto"/>
          <w:sz w:val="24"/>
          <w:highlight w:val="none"/>
          <w:lang w:val="en-US" w:eastAsia="zh-CN"/>
        </w:rPr>
        <w:t>/成交公告</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响应文件；</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采购文件</w:t>
      </w:r>
      <w:r>
        <w:rPr>
          <w:rFonts w:hint="eastAsia" w:ascii="宋体" w:hAnsi="宋体" w:eastAsia="宋体" w:cs="宋体"/>
          <w:color w:val="auto"/>
          <w:sz w:val="24"/>
          <w:highlight w:val="none"/>
          <w:lang w:val="en-US" w:eastAsia="zh-CN"/>
        </w:rPr>
        <w:t>/采购需求</w:t>
      </w:r>
      <w:r>
        <w:rPr>
          <w:rFonts w:hint="eastAsia" w:ascii="宋体" w:hAnsi="宋体" w:eastAsia="宋体" w:cs="宋体"/>
          <w:color w:val="auto"/>
          <w:sz w:val="24"/>
          <w:highlight w:val="none"/>
        </w:rPr>
        <w:t>；其他与本合同有关的资料。</w:t>
      </w:r>
    </w:p>
    <w:p w14:paraId="157BF3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 xml:space="preserve">3 </w:t>
      </w:r>
      <w:r>
        <w:rPr>
          <w:rFonts w:hint="eastAsia" w:ascii="宋体" w:hAnsi="宋体" w:eastAsia="宋体" w:cs="宋体"/>
          <w:color w:val="auto"/>
          <w:sz w:val="24"/>
          <w:highlight w:val="none"/>
        </w:rPr>
        <w:t>本合同一式</w:t>
      </w:r>
      <w:r>
        <w:rPr>
          <w:rFonts w:hint="eastAsia" w:ascii="宋体" w:hAnsi="宋体" w:eastAsia="宋体" w:cs="宋体"/>
          <w:color w:val="auto"/>
          <w:sz w:val="24"/>
          <w:highlight w:val="none"/>
          <w:lang w:val="en-US" w:eastAsia="zh-CN"/>
        </w:rPr>
        <w:t>伍</w:t>
      </w:r>
      <w:r>
        <w:rPr>
          <w:rFonts w:hint="eastAsia" w:ascii="宋体" w:hAnsi="宋体" w:eastAsia="宋体" w:cs="宋体"/>
          <w:color w:val="auto"/>
          <w:sz w:val="24"/>
          <w:highlight w:val="none"/>
        </w:rPr>
        <w:t>份，甲方执肆份、乙方执壹份，自双方签字并盖章</w:t>
      </w:r>
      <w:r>
        <w:rPr>
          <w:rFonts w:hint="eastAsia" w:ascii="宋体" w:hAnsi="宋体" w:eastAsia="宋体" w:cs="宋体"/>
          <w:color w:val="auto"/>
          <w:sz w:val="24"/>
          <w:highlight w:val="none"/>
          <w:lang w:eastAsia="zh-CN"/>
        </w:rPr>
        <w:t>后</w:t>
      </w:r>
      <w:r>
        <w:rPr>
          <w:rFonts w:hint="eastAsia" w:ascii="宋体" w:hAnsi="宋体" w:eastAsia="宋体" w:cs="宋体"/>
          <w:color w:val="auto"/>
          <w:sz w:val="24"/>
          <w:highlight w:val="none"/>
        </w:rPr>
        <w:t>生效。</w:t>
      </w:r>
    </w:p>
    <w:p w14:paraId="47CB3A15">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770591C8">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r>
        <w:rPr>
          <w:rFonts w:ascii="宋体" w:hAnsi="宋体" w:eastAsia="宋体" w:cs="宋体"/>
          <w:color w:val="auto"/>
          <w:sz w:val="24"/>
          <w:highlight w:val="none"/>
        </w:rPr>
        <w:t>甲方（盖章）：</w:t>
      </w:r>
      <w:r>
        <w:rPr>
          <w:rFonts w:hint="eastAsia" w:ascii="宋体" w:hAnsi="宋体" w:eastAsia="宋体" w:cs="宋体"/>
          <w:color w:val="auto"/>
          <w:sz w:val="24"/>
          <w:highlight w:val="none"/>
        </w:rPr>
        <w:t>娄底市中心医院</w:t>
      </w:r>
      <w:r>
        <w:rPr>
          <w:rFonts w:ascii="宋体" w:hAnsi="宋体" w:eastAsia="宋体" w:cs="宋体"/>
          <w:color w:val="auto"/>
          <w:sz w:val="24"/>
          <w:highlight w:val="none"/>
        </w:rPr>
        <w:t xml:space="preserve">      </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乙方（盖章）</w:t>
      </w:r>
      <w:r>
        <w:rPr>
          <w:rFonts w:hint="eastAsia" w:ascii="宋体" w:hAnsi="宋体" w:eastAsia="宋体" w:cs="宋体"/>
          <w:color w:val="auto"/>
          <w:sz w:val="24"/>
          <w:highlight w:val="none"/>
        </w:rPr>
        <w:t>：</w:t>
      </w:r>
    </w:p>
    <w:p w14:paraId="3CC95B47">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493139AE">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1D3B306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rPr>
      </w:pPr>
      <w:r>
        <w:rPr>
          <w:rFonts w:ascii="宋体" w:hAnsi="宋体" w:eastAsia="宋体" w:cs="宋体"/>
          <w:color w:val="auto"/>
          <w:sz w:val="24"/>
          <w:highlight w:val="none"/>
        </w:rPr>
        <w:t xml:space="preserve">法定代表人（签字）：        </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 xml:space="preserve">法定代表人（签字）：  </w:t>
      </w:r>
    </w:p>
    <w:p w14:paraId="7518CFE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rPr>
      </w:pPr>
    </w:p>
    <w:p w14:paraId="285015B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p>
    <w:p w14:paraId="22DB96AF">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14:paraId="49C53F94">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4B8CEB55">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1DEABAEF">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14:paraId="1C305D6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241CE3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drawing>
          <wp:inline distT="0" distB="0" distL="114300" distR="114300">
            <wp:extent cx="5682615" cy="8084185"/>
            <wp:effectExtent l="0" t="0" r="13335" b="1206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82615" cy="808418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906135" cy="8448675"/>
            <wp:effectExtent l="0" t="0" r="18415" b="9525"/>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906135" cy="844867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897880" cy="8319135"/>
            <wp:effectExtent l="0" t="0" r="7620" b="5715"/>
            <wp:docPr id="8" name="图片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
                    <pic:cNvPicPr>
                      <a:picLocks noChangeAspect="1"/>
                    </pic:cNvPicPr>
                  </pic:nvPicPr>
                  <pic:blipFill>
                    <a:blip r:embed="rId9"/>
                    <a:stretch>
                      <a:fillRect/>
                    </a:stretch>
                  </pic:blipFill>
                  <pic:spPr>
                    <a:xfrm>
                      <a:off x="0" y="0"/>
                      <a:ext cx="5897880" cy="831913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936615" cy="8377555"/>
            <wp:effectExtent l="0" t="0" r="6985" b="4445"/>
            <wp:docPr id="9" name="图片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
                    <pic:cNvPicPr>
                      <a:picLocks noChangeAspect="1"/>
                    </pic:cNvPicPr>
                  </pic:nvPicPr>
                  <pic:blipFill>
                    <a:blip r:embed="rId10"/>
                    <a:stretch>
                      <a:fillRect/>
                    </a:stretch>
                  </pic:blipFill>
                  <pic:spPr>
                    <a:xfrm>
                      <a:off x="0" y="0"/>
                      <a:ext cx="5936615" cy="8377555"/>
                    </a:xfrm>
                    <a:prstGeom prst="rect">
                      <a:avLst/>
                    </a:prstGeom>
                  </pic:spPr>
                </pic:pic>
              </a:graphicData>
            </a:graphic>
          </wp:inline>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4092A6A2">
      <w:pPr>
        <w:pStyle w:val="2"/>
        <w:numPr>
          <w:ilvl w:val="0"/>
          <w:numId w:val="0"/>
        </w:numPr>
        <w:spacing w:line="240" w:lineRule="auto"/>
        <w:ind w:left="2940" w:leftChars="0"/>
        <w:jc w:val="both"/>
        <w:rPr>
          <w:rFonts w:hint="eastAsia" w:ascii="宋体" w:hAnsi="宋体" w:cs="宋体"/>
          <w:color w:val="auto"/>
          <w:sz w:val="30"/>
          <w:szCs w:val="30"/>
        </w:rPr>
      </w:pPr>
      <w:bookmarkStart w:id="1"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14:paraId="050DC92C">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CBD06C8">
      <w:pPr>
        <w:rPr>
          <w:rFonts w:hint="eastAsia"/>
          <w:color w:val="auto"/>
        </w:rPr>
      </w:pPr>
    </w:p>
    <w:p w14:paraId="0D1AAE7E">
      <w:pPr>
        <w:jc w:val="center"/>
        <w:rPr>
          <w:b/>
          <w:color w:val="auto"/>
          <w:sz w:val="24"/>
        </w:rPr>
      </w:pPr>
      <w:r>
        <w:rPr>
          <w:b/>
          <w:color w:val="auto"/>
          <w:sz w:val="28"/>
          <w:szCs w:val="28"/>
        </w:rPr>
        <w:t>第一部分、开标一览表</w:t>
      </w:r>
    </w:p>
    <w:p w14:paraId="1EEBDB94">
      <w:pPr>
        <w:jc w:val="center"/>
        <w:rPr>
          <w:b/>
          <w:color w:val="auto"/>
          <w:sz w:val="24"/>
        </w:rPr>
      </w:pPr>
    </w:p>
    <w:p w14:paraId="011010E4">
      <w:pPr>
        <w:jc w:val="center"/>
        <w:rPr>
          <w:rFonts w:hint="eastAsia" w:ascii="宋体" w:hAnsi="宋体" w:cs="宋体"/>
          <w:b/>
          <w:color w:val="auto"/>
          <w:sz w:val="28"/>
          <w:szCs w:val="28"/>
        </w:rPr>
      </w:pPr>
      <w:r>
        <w:rPr>
          <w:rFonts w:hint="eastAsia"/>
          <w:b/>
          <w:color w:val="auto"/>
          <w:sz w:val="24"/>
          <w:lang w:eastAsia="zh-CN"/>
        </w:rPr>
        <w:t>注：此项内容需包含投标商品名称、数量、品牌、型号、单价、总价、等信息</w:t>
      </w:r>
    </w:p>
    <w:p w14:paraId="79160DB8">
      <w:pPr>
        <w:adjustRightInd w:val="0"/>
        <w:snapToGrid w:val="0"/>
        <w:spacing w:line="360" w:lineRule="auto"/>
        <w:jc w:val="center"/>
        <w:rPr>
          <w:rFonts w:hint="eastAsia" w:ascii="宋体" w:hAnsi="宋体" w:cs="宋体"/>
          <w:b/>
          <w:color w:val="auto"/>
          <w:sz w:val="28"/>
          <w:szCs w:val="28"/>
        </w:rPr>
      </w:pPr>
    </w:p>
    <w:p w14:paraId="0BE5A1F4">
      <w:pPr>
        <w:adjustRightInd w:val="0"/>
        <w:snapToGrid w:val="0"/>
        <w:spacing w:line="360" w:lineRule="auto"/>
        <w:jc w:val="center"/>
        <w:rPr>
          <w:rFonts w:hint="eastAsia" w:ascii="宋体" w:hAnsi="宋体" w:cs="宋体"/>
          <w:b/>
          <w:color w:val="auto"/>
          <w:sz w:val="28"/>
          <w:szCs w:val="28"/>
        </w:rPr>
      </w:pPr>
    </w:p>
    <w:p w14:paraId="6879CD5C">
      <w:pPr>
        <w:adjustRightInd w:val="0"/>
        <w:snapToGrid w:val="0"/>
        <w:spacing w:line="360" w:lineRule="auto"/>
        <w:jc w:val="center"/>
        <w:rPr>
          <w:rFonts w:hint="eastAsia" w:ascii="宋体" w:hAnsi="宋体" w:cs="宋体"/>
          <w:b/>
          <w:color w:val="auto"/>
          <w:sz w:val="28"/>
          <w:szCs w:val="28"/>
        </w:rPr>
      </w:pPr>
    </w:p>
    <w:p w14:paraId="0E1A3DC9">
      <w:pPr>
        <w:adjustRightInd w:val="0"/>
        <w:snapToGrid w:val="0"/>
        <w:spacing w:line="360" w:lineRule="auto"/>
        <w:jc w:val="center"/>
        <w:rPr>
          <w:rFonts w:hint="eastAsia" w:ascii="宋体" w:hAnsi="宋体" w:cs="宋体"/>
          <w:b/>
          <w:color w:val="auto"/>
          <w:sz w:val="28"/>
          <w:szCs w:val="28"/>
        </w:rPr>
      </w:pPr>
    </w:p>
    <w:p w14:paraId="44CED749">
      <w:pPr>
        <w:adjustRightInd w:val="0"/>
        <w:snapToGrid w:val="0"/>
        <w:spacing w:line="360" w:lineRule="auto"/>
        <w:jc w:val="center"/>
        <w:rPr>
          <w:rFonts w:hint="eastAsia" w:ascii="宋体" w:hAnsi="宋体" w:cs="宋体"/>
          <w:b/>
          <w:color w:val="auto"/>
          <w:sz w:val="28"/>
          <w:szCs w:val="28"/>
        </w:rPr>
      </w:pPr>
    </w:p>
    <w:p w14:paraId="3396CEE6">
      <w:pPr>
        <w:adjustRightInd w:val="0"/>
        <w:snapToGrid w:val="0"/>
        <w:spacing w:line="360" w:lineRule="auto"/>
        <w:jc w:val="center"/>
        <w:rPr>
          <w:rFonts w:hint="eastAsia" w:ascii="宋体" w:hAnsi="宋体" w:cs="宋体"/>
          <w:b/>
          <w:color w:val="auto"/>
          <w:sz w:val="28"/>
          <w:szCs w:val="28"/>
        </w:rPr>
      </w:pPr>
    </w:p>
    <w:p w14:paraId="4400F2F1">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602F2EFA">
      <w:pPr>
        <w:pStyle w:val="20"/>
        <w:rPr>
          <w:rFonts w:hint="eastAsia"/>
          <w:lang w:eastAsia="zh-CN"/>
        </w:rPr>
      </w:pPr>
    </w:p>
    <w:p w14:paraId="069AF88A">
      <w:pPr>
        <w:adjustRightInd w:val="0"/>
        <w:snapToGrid w:val="0"/>
        <w:spacing w:line="360" w:lineRule="auto"/>
        <w:jc w:val="center"/>
        <w:rPr>
          <w:rFonts w:hint="eastAsia" w:ascii="宋体" w:hAnsi="宋体" w:cs="宋体"/>
          <w:b/>
          <w:color w:val="auto"/>
          <w:sz w:val="24"/>
          <w:szCs w:val="20"/>
        </w:rPr>
      </w:pPr>
    </w:p>
    <w:p w14:paraId="4CB647FB">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5629EB4D">
      <w:pPr>
        <w:adjustRightInd w:val="0"/>
        <w:snapToGrid w:val="0"/>
        <w:spacing w:line="360" w:lineRule="auto"/>
        <w:rPr>
          <w:rFonts w:hint="eastAsia" w:ascii="宋体" w:hAnsi="宋体" w:cs="宋体"/>
          <w:b/>
          <w:color w:val="auto"/>
          <w:sz w:val="28"/>
          <w:szCs w:val="28"/>
        </w:rPr>
      </w:pPr>
    </w:p>
    <w:p w14:paraId="0DD83CC2">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3C09BC4B">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65C723BA">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0916DBD9">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6DBFDD25">
      <w:pPr>
        <w:adjustRightInd w:val="0"/>
        <w:snapToGrid w:val="0"/>
        <w:spacing w:line="360" w:lineRule="auto"/>
        <w:ind w:firstLine="480" w:firstLineChars="200"/>
        <w:rPr>
          <w:rFonts w:hint="eastAsia" w:ascii="宋体" w:hAnsi="宋体" w:cs="宋体"/>
          <w:color w:val="auto"/>
          <w:sz w:val="24"/>
        </w:rPr>
      </w:pPr>
    </w:p>
    <w:tbl>
      <w:tblPr>
        <w:tblStyle w:val="14"/>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F3D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65FAF201">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547FE906">
      <w:pPr>
        <w:adjustRightInd w:val="0"/>
        <w:snapToGrid w:val="0"/>
        <w:spacing w:line="360" w:lineRule="auto"/>
        <w:rPr>
          <w:rFonts w:hint="eastAsia" w:ascii="宋体" w:hAnsi="宋体" w:cs="宋体"/>
          <w:color w:val="auto"/>
          <w:sz w:val="24"/>
        </w:rPr>
      </w:pPr>
    </w:p>
    <w:tbl>
      <w:tblPr>
        <w:tblStyle w:val="14"/>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4A39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1DBC5970">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0CC1D5FE">
      <w:pPr>
        <w:adjustRightInd w:val="0"/>
        <w:snapToGrid w:val="0"/>
        <w:spacing w:line="360" w:lineRule="auto"/>
        <w:rPr>
          <w:rFonts w:hint="eastAsia" w:ascii="宋体" w:hAnsi="宋体" w:cs="宋体"/>
          <w:color w:val="auto"/>
          <w:sz w:val="24"/>
        </w:rPr>
      </w:pPr>
    </w:p>
    <w:p w14:paraId="4A416976">
      <w:pPr>
        <w:adjustRightInd w:val="0"/>
        <w:snapToGrid w:val="0"/>
        <w:spacing w:line="360" w:lineRule="auto"/>
        <w:rPr>
          <w:rFonts w:hint="eastAsia" w:ascii="宋体" w:hAnsi="宋体" w:cs="宋体"/>
          <w:color w:val="auto"/>
          <w:sz w:val="24"/>
        </w:rPr>
      </w:pPr>
    </w:p>
    <w:p w14:paraId="48D5494A">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6E54FF5C">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E594EA3">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40070DFE">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28852BC7">
      <w:pPr>
        <w:adjustRightInd w:val="0"/>
        <w:snapToGrid w:val="0"/>
        <w:spacing w:line="360" w:lineRule="auto"/>
        <w:rPr>
          <w:rFonts w:hint="eastAsia" w:ascii="宋体" w:hAnsi="宋体" w:cs="宋体"/>
          <w:b/>
          <w:color w:val="auto"/>
          <w:sz w:val="28"/>
          <w:szCs w:val="28"/>
        </w:rPr>
      </w:pPr>
    </w:p>
    <w:p w14:paraId="2BCEF149">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14:paraId="6A676043">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068D0CFF">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27C4634A">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79E7D59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4CEFAC">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5D0752E4">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3E5920E8">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14:paraId="1F0E9A66">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23BA05FA">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27C57242">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0F619370">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1417F85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51F51C13">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2A52A24E">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0AC48021">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14:paraId="020DC2AF">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4115B870">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2D495595">
      <w:pPr>
        <w:adjustRightInd w:val="0"/>
        <w:snapToGrid w:val="0"/>
        <w:spacing w:line="360" w:lineRule="auto"/>
        <w:jc w:val="center"/>
        <w:rPr>
          <w:rFonts w:hint="eastAsia" w:ascii="宋体" w:hAnsi="宋体" w:cs="宋体"/>
          <w:b/>
          <w:color w:val="auto"/>
          <w:sz w:val="24"/>
          <w:szCs w:val="20"/>
        </w:rPr>
      </w:pPr>
    </w:p>
    <w:p w14:paraId="13C35CA6">
      <w:pPr>
        <w:adjustRightInd w:val="0"/>
        <w:snapToGrid w:val="0"/>
        <w:spacing w:line="360" w:lineRule="auto"/>
        <w:rPr>
          <w:rFonts w:hint="eastAsia" w:ascii="宋体" w:hAnsi="宋体" w:cs="宋体"/>
          <w:b/>
          <w:color w:val="auto"/>
          <w:sz w:val="24"/>
          <w:szCs w:val="20"/>
        </w:rPr>
      </w:pPr>
    </w:p>
    <w:p w14:paraId="0913BEFE">
      <w:pPr>
        <w:adjustRightInd w:val="0"/>
        <w:snapToGrid w:val="0"/>
        <w:spacing w:line="360" w:lineRule="auto"/>
        <w:rPr>
          <w:rFonts w:hint="eastAsia" w:ascii="宋体" w:hAnsi="宋体" w:cs="宋体"/>
          <w:b/>
          <w:color w:val="auto"/>
          <w:sz w:val="24"/>
          <w:szCs w:val="20"/>
        </w:rPr>
      </w:pPr>
    </w:p>
    <w:p w14:paraId="189C25A2">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4F954E55">
      <w:pPr>
        <w:adjustRightInd w:val="0"/>
        <w:snapToGrid w:val="0"/>
        <w:spacing w:line="360" w:lineRule="auto"/>
        <w:jc w:val="center"/>
        <w:rPr>
          <w:rFonts w:hint="eastAsia" w:ascii="宋体" w:hAnsi="宋体" w:cs="宋体"/>
          <w:b/>
          <w:color w:val="auto"/>
          <w:sz w:val="24"/>
          <w:szCs w:val="20"/>
        </w:rPr>
      </w:pPr>
    </w:p>
    <w:p w14:paraId="3982638B">
      <w:pPr>
        <w:pStyle w:val="3"/>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061BCDB5">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61D8EA74">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3F2ADCE7">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187F7981">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46B4753">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0D78684B">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5571EDE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43D71FAB">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08FB1DCF">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46158D28">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45281946">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EDA356">
      <w:pPr>
        <w:jc w:val="left"/>
        <w:rPr>
          <w:rFonts w:hint="eastAsia" w:ascii="宋体" w:hAnsi="宋体" w:eastAsia="宋体" w:cs="Times New Roman"/>
          <w:b w:val="0"/>
          <w:bCs w:val="0"/>
          <w:color w:val="auto"/>
          <w:kern w:val="2"/>
          <w:sz w:val="24"/>
          <w:szCs w:val="24"/>
          <w:lang w:val="en-US" w:eastAsia="zh-CN" w:bidi="ar-SA"/>
        </w:rPr>
      </w:pPr>
    </w:p>
    <w:p w14:paraId="0969E2AC">
      <w:pPr>
        <w:jc w:val="left"/>
        <w:rPr>
          <w:rFonts w:hint="eastAsia" w:ascii="宋体" w:hAnsi="宋体" w:eastAsia="宋体" w:cs="Times New Roman"/>
          <w:b w:val="0"/>
          <w:bCs w:val="0"/>
          <w:color w:val="auto"/>
          <w:kern w:val="2"/>
          <w:sz w:val="24"/>
          <w:szCs w:val="24"/>
          <w:lang w:val="en-US" w:eastAsia="zh-CN" w:bidi="ar-SA"/>
        </w:rPr>
      </w:pPr>
    </w:p>
    <w:p w14:paraId="1D3076D7">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272F242D">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74DD467D">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2" w:name="_Toc486424819"/>
      <w:bookmarkStart w:id="3" w:name="_Toc476514128"/>
    </w:p>
    <w:p w14:paraId="43CAB480">
      <w:pPr>
        <w:pStyle w:val="20"/>
        <w:rPr>
          <w:rFonts w:hint="eastAsia"/>
          <w:lang w:eastAsia="zh-CN"/>
        </w:rPr>
      </w:pPr>
    </w:p>
    <w:p w14:paraId="55C1296F">
      <w:pPr>
        <w:spacing w:before="120" w:beforeLines="50" w:after="120" w:afterLines="50" w:line="276" w:lineRule="auto"/>
        <w:jc w:val="center"/>
        <w:rPr>
          <w:b/>
          <w:color w:val="auto"/>
          <w:sz w:val="24"/>
        </w:rPr>
      </w:pPr>
      <w:r>
        <w:rPr>
          <w:b/>
          <w:color w:val="auto"/>
          <w:sz w:val="24"/>
        </w:rPr>
        <w:t>采购需求响应/偏离表</w:t>
      </w:r>
    </w:p>
    <w:p w14:paraId="038EC2EB">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4"/>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627"/>
        <w:gridCol w:w="1877"/>
        <w:gridCol w:w="1671"/>
        <w:gridCol w:w="1608"/>
        <w:gridCol w:w="1513"/>
        <w:gridCol w:w="1061"/>
      </w:tblGrid>
      <w:tr w14:paraId="562B1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75" w:type="pct"/>
            <w:noWrap w:val="0"/>
            <w:vAlign w:val="center"/>
          </w:tcPr>
          <w:p w14:paraId="46FBF141">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123" w:type="pct"/>
            <w:noWrap w:val="0"/>
            <w:vAlign w:val="center"/>
          </w:tcPr>
          <w:p w14:paraId="7FCA7CF6">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000" w:type="pct"/>
            <w:noWrap w:val="0"/>
            <w:vAlign w:val="top"/>
          </w:tcPr>
          <w:p w14:paraId="253845A2">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962" w:type="pct"/>
            <w:noWrap w:val="0"/>
            <w:vAlign w:val="top"/>
          </w:tcPr>
          <w:p w14:paraId="2FA202EC">
            <w:pPr>
              <w:adjustRightInd w:val="0"/>
              <w:snapToGrid w:val="0"/>
              <w:spacing w:before="50" w:line="360" w:lineRule="auto"/>
              <w:jc w:val="center"/>
              <w:rPr>
                <w:color w:val="auto"/>
              </w:rPr>
            </w:pPr>
            <w:r>
              <w:rPr>
                <w:color w:val="auto"/>
              </w:rPr>
              <w:t>投标文件应答</w:t>
            </w:r>
          </w:p>
        </w:tc>
        <w:tc>
          <w:tcPr>
            <w:tcW w:w="905" w:type="pct"/>
            <w:noWrap w:val="0"/>
            <w:vAlign w:val="center"/>
          </w:tcPr>
          <w:p w14:paraId="76B74959">
            <w:pPr>
              <w:adjustRightInd w:val="0"/>
              <w:snapToGrid w:val="0"/>
              <w:spacing w:before="50" w:line="360" w:lineRule="auto"/>
              <w:ind w:left="-88" w:leftChars="-42"/>
              <w:jc w:val="center"/>
              <w:rPr>
                <w:color w:val="auto"/>
                <w:szCs w:val="21"/>
              </w:rPr>
            </w:pPr>
            <w:r>
              <w:rPr>
                <w:color w:val="auto"/>
                <w:szCs w:val="21"/>
              </w:rPr>
              <w:t>响应/偏离</w:t>
            </w:r>
          </w:p>
        </w:tc>
        <w:tc>
          <w:tcPr>
            <w:tcW w:w="634" w:type="pct"/>
            <w:noWrap w:val="0"/>
            <w:vAlign w:val="center"/>
          </w:tcPr>
          <w:p w14:paraId="662DB399">
            <w:pPr>
              <w:adjustRightInd w:val="0"/>
              <w:snapToGrid w:val="0"/>
              <w:spacing w:before="50" w:line="360" w:lineRule="auto"/>
              <w:ind w:left="-88" w:leftChars="-42"/>
              <w:jc w:val="center"/>
              <w:rPr>
                <w:color w:val="auto"/>
                <w:szCs w:val="21"/>
              </w:rPr>
            </w:pPr>
            <w:r>
              <w:rPr>
                <w:color w:val="auto"/>
                <w:szCs w:val="21"/>
              </w:rPr>
              <w:t>偏离说明</w:t>
            </w:r>
          </w:p>
        </w:tc>
      </w:tr>
      <w:tr w14:paraId="16C8A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06C29C91">
            <w:pPr>
              <w:adjustRightInd w:val="0"/>
              <w:snapToGrid w:val="0"/>
              <w:spacing w:before="50" w:line="360" w:lineRule="auto"/>
              <w:ind w:left="-88" w:leftChars="-42"/>
              <w:jc w:val="center"/>
              <w:rPr>
                <w:color w:val="auto"/>
                <w:szCs w:val="21"/>
              </w:rPr>
            </w:pPr>
          </w:p>
        </w:tc>
        <w:tc>
          <w:tcPr>
            <w:tcW w:w="1123" w:type="pct"/>
            <w:noWrap w:val="0"/>
            <w:vAlign w:val="center"/>
          </w:tcPr>
          <w:p w14:paraId="51DC3F32">
            <w:pPr>
              <w:adjustRightInd w:val="0"/>
              <w:snapToGrid w:val="0"/>
              <w:spacing w:before="50" w:line="360" w:lineRule="auto"/>
              <w:ind w:left="-88" w:leftChars="-42"/>
              <w:jc w:val="center"/>
              <w:rPr>
                <w:color w:val="auto"/>
                <w:szCs w:val="21"/>
              </w:rPr>
            </w:pPr>
          </w:p>
        </w:tc>
        <w:tc>
          <w:tcPr>
            <w:tcW w:w="1000" w:type="pct"/>
            <w:noWrap w:val="0"/>
            <w:vAlign w:val="center"/>
          </w:tcPr>
          <w:p w14:paraId="1EBAE3AB">
            <w:pPr>
              <w:adjustRightInd w:val="0"/>
              <w:snapToGrid w:val="0"/>
              <w:spacing w:before="50" w:line="360" w:lineRule="auto"/>
              <w:ind w:left="-88" w:leftChars="-42"/>
              <w:jc w:val="center"/>
              <w:rPr>
                <w:color w:val="auto"/>
                <w:szCs w:val="21"/>
              </w:rPr>
            </w:pPr>
          </w:p>
        </w:tc>
        <w:tc>
          <w:tcPr>
            <w:tcW w:w="962" w:type="pct"/>
            <w:noWrap w:val="0"/>
            <w:vAlign w:val="center"/>
          </w:tcPr>
          <w:p w14:paraId="6B23B89E">
            <w:pPr>
              <w:adjustRightInd w:val="0"/>
              <w:snapToGrid w:val="0"/>
              <w:spacing w:before="50" w:line="360" w:lineRule="auto"/>
              <w:ind w:left="-88" w:leftChars="-42"/>
              <w:jc w:val="center"/>
              <w:rPr>
                <w:color w:val="auto"/>
                <w:szCs w:val="21"/>
              </w:rPr>
            </w:pPr>
          </w:p>
        </w:tc>
        <w:tc>
          <w:tcPr>
            <w:tcW w:w="905" w:type="pct"/>
            <w:noWrap w:val="0"/>
            <w:vAlign w:val="center"/>
          </w:tcPr>
          <w:p w14:paraId="169BBCCC">
            <w:pPr>
              <w:adjustRightInd w:val="0"/>
              <w:snapToGrid w:val="0"/>
              <w:spacing w:before="50" w:line="360" w:lineRule="auto"/>
              <w:ind w:left="-88" w:leftChars="-42"/>
              <w:jc w:val="center"/>
              <w:rPr>
                <w:color w:val="auto"/>
                <w:szCs w:val="21"/>
              </w:rPr>
            </w:pPr>
          </w:p>
        </w:tc>
        <w:tc>
          <w:tcPr>
            <w:tcW w:w="634" w:type="pct"/>
            <w:noWrap w:val="0"/>
            <w:vAlign w:val="center"/>
          </w:tcPr>
          <w:p w14:paraId="788F8009">
            <w:pPr>
              <w:adjustRightInd w:val="0"/>
              <w:snapToGrid w:val="0"/>
              <w:spacing w:before="50" w:line="360" w:lineRule="auto"/>
              <w:ind w:left="-88" w:leftChars="-42"/>
              <w:jc w:val="center"/>
              <w:rPr>
                <w:color w:val="auto"/>
                <w:szCs w:val="21"/>
              </w:rPr>
            </w:pPr>
          </w:p>
        </w:tc>
      </w:tr>
      <w:tr w14:paraId="4E512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27A5B36E">
            <w:pPr>
              <w:adjustRightInd w:val="0"/>
              <w:snapToGrid w:val="0"/>
              <w:spacing w:before="50" w:line="360" w:lineRule="auto"/>
              <w:ind w:left="-88" w:leftChars="-42"/>
              <w:jc w:val="center"/>
              <w:rPr>
                <w:color w:val="auto"/>
                <w:szCs w:val="21"/>
              </w:rPr>
            </w:pPr>
          </w:p>
        </w:tc>
        <w:tc>
          <w:tcPr>
            <w:tcW w:w="1123" w:type="pct"/>
            <w:noWrap w:val="0"/>
            <w:vAlign w:val="center"/>
          </w:tcPr>
          <w:p w14:paraId="34E0801C">
            <w:pPr>
              <w:adjustRightInd w:val="0"/>
              <w:snapToGrid w:val="0"/>
              <w:spacing w:before="50" w:line="360" w:lineRule="auto"/>
              <w:ind w:left="-88" w:leftChars="-42"/>
              <w:jc w:val="center"/>
              <w:rPr>
                <w:color w:val="auto"/>
                <w:szCs w:val="21"/>
              </w:rPr>
            </w:pPr>
          </w:p>
        </w:tc>
        <w:tc>
          <w:tcPr>
            <w:tcW w:w="1000" w:type="pct"/>
            <w:noWrap w:val="0"/>
            <w:vAlign w:val="center"/>
          </w:tcPr>
          <w:p w14:paraId="14CA9B06">
            <w:pPr>
              <w:adjustRightInd w:val="0"/>
              <w:snapToGrid w:val="0"/>
              <w:spacing w:before="50" w:line="360" w:lineRule="auto"/>
              <w:ind w:left="-88" w:leftChars="-42"/>
              <w:jc w:val="center"/>
              <w:rPr>
                <w:color w:val="auto"/>
                <w:szCs w:val="21"/>
              </w:rPr>
            </w:pPr>
          </w:p>
        </w:tc>
        <w:tc>
          <w:tcPr>
            <w:tcW w:w="962" w:type="pct"/>
            <w:noWrap w:val="0"/>
            <w:vAlign w:val="center"/>
          </w:tcPr>
          <w:p w14:paraId="00F4A073">
            <w:pPr>
              <w:adjustRightInd w:val="0"/>
              <w:snapToGrid w:val="0"/>
              <w:spacing w:before="50" w:line="360" w:lineRule="auto"/>
              <w:ind w:left="-88" w:leftChars="-42"/>
              <w:jc w:val="center"/>
              <w:rPr>
                <w:color w:val="auto"/>
                <w:szCs w:val="21"/>
              </w:rPr>
            </w:pPr>
          </w:p>
        </w:tc>
        <w:tc>
          <w:tcPr>
            <w:tcW w:w="905" w:type="pct"/>
            <w:noWrap w:val="0"/>
            <w:vAlign w:val="center"/>
          </w:tcPr>
          <w:p w14:paraId="6370D7D1">
            <w:pPr>
              <w:adjustRightInd w:val="0"/>
              <w:snapToGrid w:val="0"/>
              <w:spacing w:before="50" w:line="360" w:lineRule="auto"/>
              <w:ind w:left="-88" w:leftChars="-42"/>
              <w:jc w:val="center"/>
              <w:rPr>
                <w:color w:val="auto"/>
                <w:szCs w:val="21"/>
              </w:rPr>
            </w:pPr>
          </w:p>
        </w:tc>
        <w:tc>
          <w:tcPr>
            <w:tcW w:w="634" w:type="pct"/>
            <w:noWrap w:val="0"/>
            <w:vAlign w:val="center"/>
          </w:tcPr>
          <w:p w14:paraId="686B08F9">
            <w:pPr>
              <w:adjustRightInd w:val="0"/>
              <w:snapToGrid w:val="0"/>
              <w:spacing w:before="50" w:line="360" w:lineRule="auto"/>
              <w:ind w:left="-88" w:leftChars="-42"/>
              <w:jc w:val="center"/>
              <w:rPr>
                <w:color w:val="auto"/>
                <w:szCs w:val="21"/>
              </w:rPr>
            </w:pPr>
          </w:p>
        </w:tc>
      </w:tr>
      <w:tr w14:paraId="58778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7EBFCA4A">
            <w:pPr>
              <w:adjustRightInd w:val="0"/>
              <w:snapToGrid w:val="0"/>
              <w:spacing w:before="50" w:line="360" w:lineRule="auto"/>
              <w:ind w:left="-88" w:leftChars="-42"/>
              <w:jc w:val="center"/>
              <w:rPr>
                <w:color w:val="auto"/>
                <w:szCs w:val="21"/>
              </w:rPr>
            </w:pPr>
          </w:p>
        </w:tc>
        <w:tc>
          <w:tcPr>
            <w:tcW w:w="1123" w:type="pct"/>
            <w:noWrap w:val="0"/>
            <w:vAlign w:val="center"/>
          </w:tcPr>
          <w:p w14:paraId="5AF639AE">
            <w:pPr>
              <w:adjustRightInd w:val="0"/>
              <w:snapToGrid w:val="0"/>
              <w:spacing w:before="50" w:line="360" w:lineRule="auto"/>
              <w:ind w:left="-88" w:leftChars="-42"/>
              <w:jc w:val="center"/>
              <w:rPr>
                <w:color w:val="auto"/>
                <w:szCs w:val="21"/>
              </w:rPr>
            </w:pPr>
          </w:p>
        </w:tc>
        <w:tc>
          <w:tcPr>
            <w:tcW w:w="1000" w:type="pct"/>
            <w:noWrap w:val="0"/>
            <w:vAlign w:val="center"/>
          </w:tcPr>
          <w:p w14:paraId="4D3D97BB">
            <w:pPr>
              <w:adjustRightInd w:val="0"/>
              <w:snapToGrid w:val="0"/>
              <w:spacing w:before="50" w:line="360" w:lineRule="auto"/>
              <w:ind w:left="-88" w:leftChars="-42"/>
              <w:jc w:val="center"/>
              <w:rPr>
                <w:color w:val="auto"/>
                <w:szCs w:val="21"/>
              </w:rPr>
            </w:pPr>
          </w:p>
        </w:tc>
        <w:tc>
          <w:tcPr>
            <w:tcW w:w="962" w:type="pct"/>
            <w:noWrap w:val="0"/>
            <w:vAlign w:val="center"/>
          </w:tcPr>
          <w:p w14:paraId="3B1F36DB">
            <w:pPr>
              <w:adjustRightInd w:val="0"/>
              <w:snapToGrid w:val="0"/>
              <w:spacing w:before="50" w:line="360" w:lineRule="auto"/>
              <w:ind w:left="-88" w:leftChars="-42"/>
              <w:jc w:val="center"/>
              <w:rPr>
                <w:color w:val="auto"/>
                <w:szCs w:val="21"/>
              </w:rPr>
            </w:pPr>
          </w:p>
        </w:tc>
        <w:tc>
          <w:tcPr>
            <w:tcW w:w="905" w:type="pct"/>
            <w:noWrap w:val="0"/>
            <w:vAlign w:val="center"/>
          </w:tcPr>
          <w:p w14:paraId="49C5B28A">
            <w:pPr>
              <w:adjustRightInd w:val="0"/>
              <w:snapToGrid w:val="0"/>
              <w:spacing w:before="50" w:line="360" w:lineRule="auto"/>
              <w:ind w:left="-88" w:leftChars="-42"/>
              <w:jc w:val="center"/>
              <w:rPr>
                <w:color w:val="auto"/>
                <w:szCs w:val="21"/>
              </w:rPr>
            </w:pPr>
          </w:p>
        </w:tc>
        <w:tc>
          <w:tcPr>
            <w:tcW w:w="634" w:type="pct"/>
            <w:noWrap w:val="0"/>
            <w:vAlign w:val="center"/>
          </w:tcPr>
          <w:p w14:paraId="7A8757A7">
            <w:pPr>
              <w:adjustRightInd w:val="0"/>
              <w:snapToGrid w:val="0"/>
              <w:spacing w:before="50" w:line="360" w:lineRule="auto"/>
              <w:ind w:left="-88" w:leftChars="-42"/>
              <w:jc w:val="center"/>
              <w:rPr>
                <w:color w:val="auto"/>
                <w:szCs w:val="21"/>
              </w:rPr>
            </w:pPr>
          </w:p>
        </w:tc>
      </w:tr>
      <w:tr w14:paraId="1F7DC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000" w:type="pct"/>
            <w:gridSpan w:val="6"/>
            <w:noWrap w:val="0"/>
            <w:vAlign w:val="center"/>
          </w:tcPr>
          <w:p w14:paraId="0212869A">
            <w:pPr>
              <w:rPr>
                <w:b/>
                <w:color w:val="auto"/>
              </w:rPr>
            </w:pPr>
          </w:p>
        </w:tc>
      </w:tr>
    </w:tbl>
    <w:p w14:paraId="634413FD">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2"/>
    <w:bookmarkEnd w:id="3"/>
    <w:p w14:paraId="38E7B0C5">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2ADED0DF">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1DA1BBCC">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本项目为最低价评分法，所有参数必须全部响应，并在响应表中逐条应答，如有任何一条负偏离，则视为无效投标</w:t>
      </w:r>
    </w:p>
    <w:p w14:paraId="1E9CA764">
      <w:pPr>
        <w:pStyle w:val="21"/>
        <w:rPr>
          <w:color w:val="auto"/>
        </w:rPr>
      </w:pPr>
    </w:p>
    <w:p w14:paraId="43E00E01">
      <w:pPr>
        <w:pStyle w:val="20"/>
        <w:rPr>
          <w:rFonts w:hint="eastAsia"/>
          <w:lang w:eastAsia="zh-CN"/>
        </w:rPr>
      </w:pPr>
    </w:p>
    <w:p w14:paraId="53FA0AAC"/>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思源黑体 CN Light">
    <w:altName w:val="方正黑体_GBK"/>
    <w:panose1 w:val="020B0300000000000000"/>
    <w:charset w:val="00"/>
    <w:family w:val="auto"/>
    <w:pitch w:val="default"/>
    <w:sig w:usb0="00000000" w:usb1="00000000" w:usb2="00000016" w:usb3="00000000" w:csb0="60060107"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FB56B">
    <w:pPr>
      <w:pStyle w:val="10"/>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701D5">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B701D5">
                    <w:pPr>
                      <w:pStyle w:val="10"/>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44838E22">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0"/>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0"/>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B0877">
    <w:pPr>
      <w:pStyle w:val="11"/>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pPr>
        <w:ind w:left="360"/>
      </w:pPr>
      <w:rPr>
        <w:rFonts w:hint="eastAsia"/>
      </w:rPr>
    </w:lvl>
  </w:abstractNum>
  <w:abstractNum w:abstractNumId="1">
    <w:nsid w:val="FFB590B7"/>
    <w:multiLevelType w:val="singleLevel"/>
    <w:tmpl w:val="FFB590B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AE556A"/>
    <w:rsid w:val="00DF14BB"/>
    <w:rsid w:val="02390242"/>
    <w:rsid w:val="03471EC9"/>
    <w:rsid w:val="03943AE1"/>
    <w:rsid w:val="03E43FAE"/>
    <w:rsid w:val="04653F41"/>
    <w:rsid w:val="04B72FC8"/>
    <w:rsid w:val="04F57A38"/>
    <w:rsid w:val="06934BAA"/>
    <w:rsid w:val="06E91EC4"/>
    <w:rsid w:val="086F75C9"/>
    <w:rsid w:val="09556D4B"/>
    <w:rsid w:val="09C0303A"/>
    <w:rsid w:val="0A3F4F3C"/>
    <w:rsid w:val="0CA247DD"/>
    <w:rsid w:val="0E331420"/>
    <w:rsid w:val="0ED35847"/>
    <w:rsid w:val="0EDD1643"/>
    <w:rsid w:val="0F6C4862"/>
    <w:rsid w:val="0FB86C6D"/>
    <w:rsid w:val="0FB9029C"/>
    <w:rsid w:val="10897B23"/>
    <w:rsid w:val="10914EF9"/>
    <w:rsid w:val="10B8663C"/>
    <w:rsid w:val="10C1529F"/>
    <w:rsid w:val="10C718CF"/>
    <w:rsid w:val="11875983"/>
    <w:rsid w:val="11CE53BE"/>
    <w:rsid w:val="12080B62"/>
    <w:rsid w:val="120B0362"/>
    <w:rsid w:val="12994AC5"/>
    <w:rsid w:val="129F447F"/>
    <w:rsid w:val="12C86253"/>
    <w:rsid w:val="133B07BF"/>
    <w:rsid w:val="144D4C62"/>
    <w:rsid w:val="15060AC8"/>
    <w:rsid w:val="15675A4C"/>
    <w:rsid w:val="16D33FBD"/>
    <w:rsid w:val="17F91BB8"/>
    <w:rsid w:val="1A8149C4"/>
    <w:rsid w:val="1AF56B46"/>
    <w:rsid w:val="1DD7486D"/>
    <w:rsid w:val="1E79119D"/>
    <w:rsid w:val="1F334F58"/>
    <w:rsid w:val="1F796B24"/>
    <w:rsid w:val="1FE73549"/>
    <w:rsid w:val="1FFE8DC4"/>
    <w:rsid w:val="2038045E"/>
    <w:rsid w:val="208C08C0"/>
    <w:rsid w:val="20AF0900"/>
    <w:rsid w:val="20B41DA7"/>
    <w:rsid w:val="21C61C7A"/>
    <w:rsid w:val="24881A32"/>
    <w:rsid w:val="270A69E3"/>
    <w:rsid w:val="272B6E6C"/>
    <w:rsid w:val="27CF2BB7"/>
    <w:rsid w:val="28E81B29"/>
    <w:rsid w:val="28FD390A"/>
    <w:rsid w:val="29182E7A"/>
    <w:rsid w:val="29B45A41"/>
    <w:rsid w:val="2A005E7B"/>
    <w:rsid w:val="2A174DA9"/>
    <w:rsid w:val="2AB010A8"/>
    <w:rsid w:val="2AC66F99"/>
    <w:rsid w:val="2BF364BC"/>
    <w:rsid w:val="2BFF460B"/>
    <w:rsid w:val="2C0A2E19"/>
    <w:rsid w:val="2C7642D0"/>
    <w:rsid w:val="2DD77C64"/>
    <w:rsid w:val="2DDA1E78"/>
    <w:rsid w:val="2DE00B8C"/>
    <w:rsid w:val="2E7F5792"/>
    <w:rsid w:val="2E9E448B"/>
    <w:rsid w:val="2EAC037F"/>
    <w:rsid w:val="2EB67A5C"/>
    <w:rsid w:val="2F1D4B15"/>
    <w:rsid w:val="2FDE13AA"/>
    <w:rsid w:val="30022251"/>
    <w:rsid w:val="302741D2"/>
    <w:rsid w:val="308B184D"/>
    <w:rsid w:val="309C1E01"/>
    <w:rsid w:val="30BB11DD"/>
    <w:rsid w:val="31F17CD1"/>
    <w:rsid w:val="32E941A9"/>
    <w:rsid w:val="33330659"/>
    <w:rsid w:val="33384C93"/>
    <w:rsid w:val="33D578E6"/>
    <w:rsid w:val="340F06E9"/>
    <w:rsid w:val="35F67516"/>
    <w:rsid w:val="36E47928"/>
    <w:rsid w:val="372F7378"/>
    <w:rsid w:val="397348CD"/>
    <w:rsid w:val="3A994AB7"/>
    <w:rsid w:val="3A9B5E78"/>
    <w:rsid w:val="3AFB6916"/>
    <w:rsid w:val="3B3B544D"/>
    <w:rsid w:val="3B654F2B"/>
    <w:rsid w:val="3BB72BAE"/>
    <w:rsid w:val="3BFC7D2B"/>
    <w:rsid w:val="3C7C799C"/>
    <w:rsid w:val="3C8A61A4"/>
    <w:rsid w:val="3D5E17FF"/>
    <w:rsid w:val="3DAF329E"/>
    <w:rsid w:val="3DDF65DD"/>
    <w:rsid w:val="3DDFAD58"/>
    <w:rsid w:val="3DEFD228"/>
    <w:rsid w:val="3DFD1951"/>
    <w:rsid w:val="3DFF7085"/>
    <w:rsid w:val="3E1F0DA4"/>
    <w:rsid w:val="3E584E51"/>
    <w:rsid w:val="3EBE1ADE"/>
    <w:rsid w:val="3EDB34AA"/>
    <w:rsid w:val="3EFF54ED"/>
    <w:rsid w:val="3F3ED556"/>
    <w:rsid w:val="403B4B34"/>
    <w:rsid w:val="40AA0BC3"/>
    <w:rsid w:val="4140452A"/>
    <w:rsid w:val="414D7889"/>
    <w:rsid w:val="41BB0BAE"/>
    <w:rsid w:val="41BB6567"/>
    <w:rsid w:val="429A4992"/>
    <w:rsid w:val="435B161D"/>
    <w:rsid w:val="43B25DAC"/>
    <w:rsid w:val="44771DFD"/>
    <w:rsid w:val="45D569C3"/>
    <w:rsid w:val="4803505C"/>
    <w:rsid w:val="49883A6B"/>
    <w:rsid w:val="49EB47FF"/>
    <w:rsid w:val="4A354E62"/>
    <w:rsid w:val="4AEE1A11"/>
    <w:rsid w:val="4B7F39F4"/>
    <w:rsid w:val="4B8B15F1"/>
    <w:rsid w:val="4BAE646F"/>
    <w:rsid w:val="4BFDAB87"/>
    <w:rsid w:val="4CAC1559"/>
    <w:rsid w:val="4CDA6125"/>
    <w:rsid w:val="4CDD40CE"/>
    <w:rsid w:val="4D1B4BF6"/>
    <w:rsid w:val="4D754257"/>
    <w:rsid w:val="4DCD6AB3"/>
    <w:rsid w:val="4FBBF41E"/>
    <w:rsid w:val="50216DCD"/>
    <w:rsid w:val="50540C20"/>
    <w:rsid w:val="506258C6"/>
    <w:rsid w:val="51622D02"/>
    <w:rsid w:val="51AC28BD"/>
    <w:rsid w:val="51FA6D9D"/>
    <w:rsid w:val="52183ACC"/>
    <w:rsid w:val="52DE4780"/>
    <w:rsid w:val="53B55872"/>
    <w:rsid w:val="54AD4386"/>
    <w:rsid w:val="57FB1D0D"/>
    <w:rsid w:val="581A7C72"/>
    <w:rsid w:val="583A4BD7"/>
    <w:rsid w:val="587C2104"/>
    <w:rsid w:val="59C74B1F"/>
    <w:rsid w:val="5B14693C"/>
    <w:rsid w:val="5D7F001C"/>
    <w:rsid w:val="5FFD1BC0"/>
    <w:rsid w:val="611B6B1B"/>
    <w:rsid w:val="61994610"/>
    <w:rsid w:val="62C222C2"/>
    <w:rsid w:val="63163E86"/>
    <w:rsid w:val="632D7C40"/>
    <w:rsid w:val="64133D6A"/>
    <w:rsid w:val="66065FEC"/>
    <w:rsid w:val="664FB872"/>
    <w:rsid w:val="678E4F5D"/>
    <w:rsid w:val="680E122C"/>
    <w:rsid w:val="68152516"/>
    <w:rsid w:val="683A01CF"/>
    <w:rsid w:val="69EF1C3D"/>
    <w:rsid w:val="69F60125"/>
    <w:rsid w:val="6A437A66"/>
    <w:rsid w:val="6A4E1D63"/>
    <w:rsid w:val="6BFF5451"/>
    <w:rsid w:val="6C3F4006"/>
    <w:rsid w:val="6D81609C"/>
    <w:rsid w:val="6DB78219"/>
    <w:rsid w:val="6DE375E4"/>
    <w:rsid w:val="6E8E5287"/>
    <w:rsid w:val="6F95BBE0"/>
    <w:rsid w:val="6FBE332C"/>
    <w:rsid w:val="6FFE674D"/>
    <w:rsid w:val="71554367"/>
    <w:rsid w:val="71584067"/>
    <w:rsid w:val="72A44BC2"/>
    <w:rsid w:val="735201FF"/>
    <w:rsid w:val="737B50A4"/>
    <w:rsid w:val="73F40E72"/>
    <w:rsid w:val="74566F5C"/>
    <w:rsid w:val="750117A8"/>
    <w:rsid w:val="753FFD1E"/>
    <w:rsid w:val="755B2270"/>
    <w:rsid w:val="75AF26A1"/>
    <w:rsid w:val="763C3EEB"/>
    <w:rsid w:val="76920D75"/>
    <w:rsid w:val="77423DFF"/>
    <w:rsid w:val="77C35AEB"/>
    <w:rsid w:val="77DF2953"/>
    <w:rsid w:val="77EB1015"/>
    <w:rsid w:val="77F3B357"/>
    <w:rsid w:val="77FF47FD"/>
    <w:rsid w:val="783B5EA9"/>
    <w:rsid w:val="79EB699D"/>
    <w:rsid w:val="7B0620DE"/>
    <w:rsid w:val="7B3FF170"/>
    <w:rsid w:val="7B737828"/>
    <w:rsid w:val="7BBF44BB"/>
    <w:rsid w:val="7BF15CE4"/>
    <w:rsid w:val="7BFD0231"/>
    <w:rsid w:val="7BFE214E"/>
    <w:rsid w:val="7BFE6874"/>
    <w:rsid w:val="7C3A27E5"/>
    <w:rsid w:val="7D9727DD"/>
    <w:rsid w:val="7DED12BC"/>
    <w:rsid w:val="7DEF7843"/>
    <w:rsid w:val="7EEF464F"/>
    <w:rsid w:val="7EFB4F6E"/>
    <w:rsid w:val="7EFB590A"/>
    <w:rsid w:val="7EFDD0AC"/>
    <w:rsid w:val="7EFFA824"/>
    <w:rsid w:val="7EFFBC65"/>
    <w:rsid w:val="7F1A5E95"/>
    <w:rsid w:val="7F3BB701"/>
    <w:rsid w:val="7F4F4481"/>
    <w:rsid w:val="7F518B89"/>
    <w:rsid w:val="7F6FEEC0"/>
    <w:rsid w:val="7F701FB2"/>
    <w:rsid w:val="7F7DB6C1"/>
    <w:rsid w:val="7FBB16A4"/>
    <w:rsid w:val="7FBF8655"/>
    <w:rsid w:val="7FC73A7F"/>
    <w:rsid w:val="7FCF9EC3"/>
    <w:rsid w:val="7FFB0877"/>
    <w:rsid w:val="8BFF47A6"/>
    <w:rsid w:val="8FD3402E"/>
    <w:rsid w:val="9FF598B3"/>
    <w:rsid w:val="9FFE6217"/>
    <w:rsid w:val="AFC64CDF"/>
    <w:rsid w:val="B5EF4601"/>
    <w:rsid w:val="B86F54DC"/>
    <w:rsid w:val="BAFCE429"/>
    <w:rsid w:val="BBBFA355"/>
    <w:rsid w:val="BC6DF6B1"/>
    <w:rsid w:val="BCCF8A52"/>
    <w:rsid w:val="BCF7C341"/>
    <w:rsid w:val="BDF94BB8"/>
    <w:rsid w:val="BE8FE2EB"/>
    <w:rsid w:val="C5F70C5F"/>
    <w:rsid w:val="D357D72B"/>
    <w:rsid w:val="D377DE0B"/>
    <w:rsid w:val="D5F7B18F"/>
    <w:rsid w:val="D7A51AD4"/>
    <w:rsid w:val="DB7FAF40"/>
    <w:rsid w:val="DBB7234C"/>
    <w:rsid w:val="DBBF1F3B"/>
    <w:rsid w:val="DE7F4760"/>
    <w:rsid w:val="DEBF26D3"/>
    <w:rsid w:val="DEFBBDB3"/>
    <w:rsid w:val="DFC1FAEF"/>
    <w:rsid w:val="DFCF8CDC"/>
    <w:rsid w:val="DFDFB7DB"/>
    <w:rsid w:val="DFFDD2E4"/>
    <w:rsid w:val="DFFEC6EA"/>
    <w:rsid w:val="DFFF4225"/>
    <w:rsid w:val="E3D90C1B"/>
    <w:rsid w:val="EBE6D05A"/>
    <w:rsid w:val="EBF7FA9A"/>
    <w:rsid w:val="F3D57EA3"/>
    <w:rsid w:val="F3FA5550"/>
    <w:rsid w:val="F4FF4064"/>
    <w:rsid w:val="F5DFE752"/>
    <w:rsid w:val="F6FF429A"/>
    <w:rsid w:val="F7316CB6"/>
    <w:rsid w:val="F74E0DF2"/>
    <w:rsid w:val="F777EA89"/>
    <w:rsid w:val="F7BF42C9"/>
    <w:rsid w:val="F7EF8D4D"/>
    <w:rsid w:val="F7FD6C16"/>
    <w:rsid w:val="FA9E7B93"/>
    <w:rsid w:val="FB5D5E8D"/>
    <w:rsid w:val="FBFB2650"/>
    <w:rsid w:val="FBFB7919"/>
    <w:rsid w:val="FDEFAEF4"/>
    <w:rsid w:val="FDFF324A"/>
    <w:rsid w:val="FDFFF1F3"/>
    <w:rsid w:val="FE7F1178"/>
    <w:rsid w:val="FEDE768D"/>
    <w:rsid w:val="FEF7E49E"/>
    <w:rsid w:val="FF337CA6"/>
    <w:rsid w:val="FF96C0BE"/>
    <w:rsid w:val="FFDEC4CA"/>
    <w:rsid w:val="FFFBD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widowControl/>
      <w:ind w:firstLine="420"/>
      <w:jc w:val="left"/>
    </w:pPr>
    <w:rPr>
      <w:kern w:val="0"/>
      <w:sz w:val="20"/>
      <w:szCs w:val="20"/>
    </w:rPr>
  </w:style>
  <w:style w:type="paragraph" w:customStyle="1" w:styleId="5">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6">
    <w:name w:val="annotation text"/>
    <w:basedOn w:val="1"/>
    <w:qFormat/>
    <w:uiPriority w:val="0"/>
    <w:pPr>
      <w:jc w:val="left"/>
    </w:pPr>
  </w:style>
  <w:style w:type="paragraph" w:styleId="7">
    <w:name w:val="Body Text"/>
    <w:basedOn w:val="1"/>
    <w:next w:val="8"/>
    <w:qFormat/>
    <w:uiPriority w:val="0"/>
    <w:pPr>
      <w:spacing w:line="360" w:lineRule="auto"/>
    </w:pPr>
    <w:rPr>
      <w:sz w:val="24"/>
      <w:szCs w:val="20"/>
    </w:rPr>
  </w:style>
  <w:style w:type="paragraph" w:styleId="8">
    <w:name w:val="Date"/>
    <w:basedOn w:val="1"/>
    <w:next w:val="1"/>
    <w:qFormat/>
    <w:uiPriority w:val="0"/>
    <w:pPr>
      <w:ind w:left="100" w:leftChars="2500"/>
    </w:pPr>
    <w:rPr>
      <w:rFonts w:eastAsia="黑体"/>
      <w:b/>
      <w:spacing w:val="-2"/>
      <w:sz w:val="30"/>
    </w:rPr>
  </w:style>
  <w:style w:type="paragraph" w:styleId="9">
    <w:name w:val="Body Text Indent"/>
    <w:basedOn w:val="1"/>
    <w:autoRedefine/>
    <w:qFormat/>
    <w:uiPriority w:val="99"/>
    <w:pPr>
      <w:spacing w:line="400" w:lineRule="exact"/>
      <w:ind w:left="630"/>
    </w:pPr>
    <w:rPr>
      <w:rFonts w:ascii="楷体_GB2312"/>
      <w:sz w:val="30"/>
      <w:szCs w:val="30"/>
    </w:rPr>
  </w:style>
  <w:style w:type="paragraph" w:styleId="10">
    <w:name w:val="footer"/>
    <w:basedOn w:val="1"/>
    <w:autoRedefine/>
    <w:qFormat/>
    <w:uiPriority w:val="0"/>
    <w:pPr>
      <w:tabs>
        <w:tab w:val="center" w:pos="4153"/>
        <w:tab w:val="right" w:pos="8306"/>
      </w:tabs>
      <w:snapToGrid w:val="0"/>
      <w:jc w:val="left"/>
    </w:pPr>
    <w:rPr>
      <w:kern w:val="0"/>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9"/>
    <w:autoRedefine/>
    <w:qFormat/>
    <w:uiPriority w:val="0"/>
    <w:pPr>
      <w:overflowPunct w:val="0"/>
      <w:adjustRightInd w:val="0"/>
      <w:spacing w:line="500" w:lineRule="exact"/>
      <w:ind w:firstLine="420" w:firstLineChars="200"/>
      <w:textAlignment w:val="baseline"/>
    </w:pPr>
    <w:rPr>
      <w:rFonts w:eastAsia="仿宋_GB2312"/>
      <w:kern w:val="28"/>
      <w:sz w:val="28"/>
    </w:rPr>
  </w:style>
  <w:style w:type="table" w:styleId="15">
    <w:name w:val="Table Grid"/>
    <w:basedOn w:val="14"/>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19">
    <w:name w:val="大标题"/>
    <w:basedOn w:val="1"/>
    <w:next w:val="13"/>
    <w:autoRedefine/>
    <w:qFormat/>
    <w:uiPriority w:val="0"/>
    <w:pPr>
      <w:jc w:val="center"/>
    </w:pPr>
    <w:rPr>
      <w:rFonts w:ascii="Arial" w:hAnsi="Arial" w:eastAsia="宋体"/>
      <w:b/>
      <w:sz w:val="28"/>
      <w:szCs w:val="24"/>
    </w:rPr>
  </w:style>
  <w:style w:type="paragraph" w:customStyle="1" w:styleId="20">
    <w:name w:val="列出段落1"/>
    <w:basedOn w:val="1"/>
    <w:autoRedefine/>
    <w:qFormat/>
    <w:uiPriority w:val="99"/>
    <w:pPr>
      <w:ind w:firstLine="420" w:firstLineChars="200"/>
    </w:pPr>
  </w:style>
  <w:style w:type="paragraph" w:customStyle="1" w:styleId="21">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2">
    <w:name w:val="List Paragraph"/>
    <w:basedOn w:val="1"/>
    <w:autoRedefine/>
    <w:qFormat/>
    <w:uiPriority w:val="34"/>
    <w:pPr>
      <w:ind w:firstLine="420" w:firstLineChars="200"/>
    </w:pPr>
    <w:rPr>
      <w:rFonts w:ascii="Calibri" w:hAnsi="Calibri"/>
      <w:szCs w:val="22"/>
    </w:rPr>
  </w:style>
  <w:style w:type="character" w:customStyle="1" w:styleId="23">
    <w:name w:val="NormalCharacter"/>
    <w:semiHidden/>
    <w:qFormat/>
    <w:uiPriority w:val="0"/>
  </w:style>
  <w:style w:type="paragraph" w:customStyle="1" w:styleId="24">
    <w:name w:val="列表段落1"/>
    <w:basedOn w:val="1"/>
    <w:qFormat/>
    <w:uiPriority w:val="34"/>
    <w:pPr>
      <w:ind w:firstLine="420" w:firstLineChars="200"/>
    </w:pPr>
  </w:style>
  <w:style w:type="paragraph" w:customStyle="1" w:styleId="25">
    <w:name w:val="段"/>
    <w:qFormat/>
    <w:uiPriority w:val="0"/>
    <w:pPr>
      <w:tabs>
        <w:tab w:val="center" w:pos="4201"/>
        <w:tab w:val="right" w:leader="dot" w:pos="9298"/>
      </w:tabs>
      <w:autoSpaceDE w:val="0"/>
      <w:autoSpaceDN w:val="0"/>
      <w:ind w:firstLine="420" w:firstLineChars="200"/>
      <w:jc w:val="both"/>
    </w:pPr>
    <w:rPr>
      <w:rFonts w:ascii="宋体" w:hAnsi="Calibri"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2199</Words>
  <Characters>2389</Characters>
  <Lines>0</Lines>
  <Paragraphs>0</Paragraphs>
  <TotalTime>0</TotalTime>
  <ScaleCrop>false</ScaleCrop>
  <LinksUpToDate>false</LinksUpToDate>
  <CharactersWithSpaces>2398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2023-07-29T17:45:00Z</dcterms:created>
  <dc:creator>是小豹子</dc:creator>
  <cp:lastModifiedBy>沁sqr</cp:lastModifiedBy>
  <dcterms:modified xsi:type="dcterms:W3CDTF">2026-09-09T15:08:46Z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166FF6551A92AC5323FBC5696F7E22A2_43</vt:lpwstr>
  </property>
  <property fmtid="{D5CDD505-2E9C-101B-9397-08002B2CF9AE}" pid="4" name="KSOTemplateDocerSaveRecord">
    <vt:lpwstr>eyJoZGlkIjoiYjhlYmE2MWY2NTY0MzZmZTc1MzE0ZTI3ZDViMDM4ZWEiLCJ1c2VySWQiOiIxMDY1NzYwODA4In0=</vt:lpwstr>
  </property>
</Properties>
</file>