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CA4B2E">
      <w:pPr>
        <w:pStyle w:val="8"/>
        <w:tabs>
          <w:tab w:val="left" w:pos="312"/>
        </w:tabs>
        <w:snapToGrid w:val="0"/>
        <w:spacing w:line="288" w:lineRule="auto"/>
        <w:jc w:val="center"/>
        <w:rPr>
          <w:rFonts w:ascii="Arial" w:hAnsi="Arial" w:eastAsia="方正小标宋简体" w:cs="Arial"/>
          <w:sz w:val="72"/>
          <w:szCs w:val="72"/>
        </w:rPr>
      </w:pPr>
      <w:bookmarkStart w:id="0" w:name="_Toc16523570"/>
      <w:r>
        <w:rPr>
          <w:rFonts w:hint="eastAsia" w:ascii="Arial" w:hAnsi="Arial" w:eastAsia="方正小标宋简体" w:cs="Arial"/>
          <w:sz w:val="60"/>
          <w:szCs w:val="60"/>
        </w:rPr>
        <w:t>娄底市中心医院</w:t>
      </w:r>
    </w:p>
    <w:p w14:paraId="636A93F4">
      <w:pPr>
        <w:pStyle w:val="8"/>
        <w:snapToGrid w:val="0"/>
        <w:jc w:val="center"/>
        <w:rPr>
          <w:rFonts w:hint="eastAsia" w:ascii="Arial" w:hAnsi="Arial" w:eastAsia="方正小标宋简体" w:cs="Arial"/>
          <w:sz w:val="72"/>
          <w:szCs w:val="72"/>
        </w:rPr>
      </w:pPr>
    </w:p>
    <w:p w14:paraId="04C5E832">
      <w:pPr>
        <w:pStyle w:val="8"/>
        <w:snapToGrid w:val="0"/>
        <w:jc w:val="center"/>
        <w:rPr>
          <w:rFonts w:ascii="Arial" w:hAnsi="Arial" w:eastAsia="方正小标宋简体" w:cs="Arial"/>
          <w:sz w:val="72"/>
          <w:szCs w:val="72"/>
        </w:rPr>
      </w:pPr>
      <w:r>
        <w:rPr>
          <w:rFonts w:hint="eastAsia" w:ascii="Arial" w:hAnsi="Arial" w:eastAsia="方正小标宋简体" w:cs="Arial"/>
          <w:sz w:val="72"/>
          <w:szCs w:val="72"/>
        </w:rPr>
        <w:t>招</w:t>
      </w:r>
    </w:p>
    <w:p w14:paraId="00DA6D4B">
      <w:pPr>
        <w:pStyle w:val="8"/>
        <w:snapToGrid w:val="0"/>
        <w:jc w:val="center"/>
        <w:rPr>
          <w:rFonts w:ascii="Arial" w:hAnsi="Arial" w:eastAsia="方正小标宋简体" w:cs="Arial"/>
          <w:sz w:val="72"/>
          <w:szCs w:val="72"/>
        </w:rPr>
      </w:pPr>
    </w:p>
    <w:p w14:paraId="6898D477">
      <w:pPr>
        <w:pStyle w:val="8"/>
        <w:snapToGrid w:val="0"/>
        <w:jc w:val="center"/>
        <w:rPr>
          <w:rFonts w:ascii="Arial" w:hAnsi="Arial" w:eastAsia="方正小标宋简体" w:cs="Arial"/>
          <w:sz w:val="72"/>
          <w:szCs w:val="72"/>
        </w:rPr>
      </w:pPr>
      <w:r>
        <w:rPr>
          <w:rFonts w:ascii="Arial" w:hAnsi="Arial" w:eastAsia="方正小标宋简体" w:cs="Arial"/>
          <w:sz w:val="72"/>
          <w:szCs w:val="72"/>
        </w:rPr>
        <w:t>标</w:t>
      </w:r>
    </w:p>
    <w:p w14:paraId="7680DC58">
      <w:pPr>
        <w:pStyle w:val="8"/>
        <w:snapToGrid w:val="0"/>
        <w:jc w:val="center"/>
        <w:rPr>
          <w:rFonts w:ascii="Arial" w:hAnsi="Arial" w:eastAsia="方正小标宋简体" w:cs="Arial"/>
          <w:sz w:val="72"/>
          <w:szCs w:val="72"/>
        </w:rPr>
      </w:pPr>
    </w:p>
    <w:p w14:paraId="007B2F11">
      <w:pPr>
        <w:pStyle w:val="8"/>
        <w:snapToGrid w:val="0"/>
        <w:jc w:val="center"/>
        <w:rPr>
          <w:rFonts w:ascii="Arial" w:hAnsi="Arial" w:eastAsia="方正小标宋简体" w:cs="Arial"/>
          <w:sz w:val="72"/>
          <w:szCs w:val="72"/>
        </w:rPr>
      </w:pPr>
      <w:r>
        <w:rPr>
          <w:rFonts w:ascii="Arial" w:hAnsi="Arial" w:eastAsia="方正小标宋简体" w:cs="Arial"/>
          <w:sz w:val="72"/>
          <w:szCs w:val="72"/>
        </w:rPr>
        <w:t>文</w:t>
      </w:r>
    </w:p>
    <w:p w14:paraId="53560A9C">
      <w:pPr>
        <w:pStyle w:val="8"/>
        <w:snapToGrid w:val="0"/>
        <w:jc w:val="center"/>
        <w:rPr>
          <w:rFonts w:ascii="Arial" w:hAnsi="Arial" w:eastAsia="方正小标宋简体" w:cs="Arial"/>
          <w:sz w:val="72"/>
          <w:szCs w:val="72"/>
        </w:rPr>
      </w:pPr>
    </w:p>
    <w:p w14:paraId="16A48FA7">
      <w:pPr>
        <w:pStyle w:val="8"/>
        <w:snapToGrid w:val="0"/>
        <w:jc w:val="center"/>
        <w:rPr>
          <w:rFonts w:ascii="Arial" w:hAnsi="Arial" w:eastAsia="方正小标宋简体" w:cs="Arial"/>
          <w:sz w:val="36"/>
          <w:szCs w:val="36"/>
        </w:rPr>
      </w:pPr>
      <w:r>
        <w:rPr>
          <w:rFonts w:ascii="Arial" w:hAnsi="Arial" w:eastAsia="方正小标宋简体" w:cs="Arial"/>
          <w:sz w:val="72"/>
          <w:szCs w:val="72"/>
        </w:rPr>
        <w:t>件</w:t>
      </w:r>
    </w:p>
    <w:p w14:paraId="537CDBC3">
      <w:pPr>
        <w:pStyle w:val="8"/>
        <w:snapToGrid w:val="0"/>
        <w:jc w:val="center"/>
        <w:rPr>
          <w:rFonts w:ascii="Arial" w:hAnsi="Arial" w:cs="Arial"/>
          <w:sz w:val="32"/>
          <w:szCs w:val="32"/>
        </w:rPr>
      </w:pPr>
    </w:p>
    <w:p w14:paraId="4D89A09A">
      <w:pPr>
        <w:pStyle w:val="8"/>
        <w:snapToGrid w:val="0"/>
        <w:jc w:val="center"/>
        <w:rPr>
          <w:rFonts w:ascii="Arial" w:hAnsi="Arial" w:cs="Arial"/>
          <w:sz w:val="32"/>
          <w:szCs w:val="32"/>
        </w:rPr>
      </w:pPr>
    </w:p>
    <w:p w14:paraId="61EB017D">
      <w:pPr>
        <w:spacing w:line="360" w:lineRule="auto"/>
        <w:rPr>
          <w:rFonts w:hint="eastAsia"/>
          <w:bCs/>
          <w:sz w:val="32"/>
          <w:szCs w:val="32"/>
        </w:rPr>
      </w:pPr>
    </w:p>
    <w:p w14:paraId="01C7A4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项目名称：娄底市中心医院（娄底医院）消防设备设施维护保养</w:t>
      </w:r>
      <w:r>
        <w:rPr>
          <w:rFonts w:hint="eastAsia"/>
          <w:bCs/>
          <w:sz w:val="32"/>
          <w:szCs w:val="32"/>
          <w:lang w:eastAsia="zh-CN"/>
        </w:rPr>
        <w:t>服务</w:t>
      </w:r>
      <w:r>
        <w:rPr>
          <w:rFonts w:hint="eastAsia"/>
          <w:bCs/>
          <w:sz w:val="32"/>
          <w:szCs w:val="32"/>
        </w:rPr>
        <w:t>采购招标文件</w:t>
      </w:r>
      <w:r>
        <w:rPr>
          <w:rFonts w:hint="eastAsia"/>
          <w:bCs/>
          <w:color w:val="auto"/>
          <w:sz w:val="32"/>
          <w:szCs w:val="32"/>
          <w:lang w:eastAsia="zh-CN"/>
        </w:rPr>
        <w:t>（院内招标）</w:t>
      </w:r>
    </w:p>
    <w:p w14:paraId="058C9A61">
      <w:pPr>
        <w:spacing w:line="320" w:lineRule="exact"/>
        <w:jc w:val="left"/>
        <w:rPr>
          <w:sz w:val="24"/>
        </w:rPr>
      </w:pPr>
    </w:p>
    <w:p w14:paraId="2C90B592">
      <w:pPr>
        <w:spacing w:line="320" w:lineRule="exact"/>
        <w:ind w:firstLine="3200" w:firstLineChars="10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eastAsia="zh-CN"/>
        </w:rPr>
        <w:t>六</w:t>
      </w:r>
      <w:r>
        <w:rPr>
          <w:rFonts w:hint="eastAsia" w:ascii="宋体" w:hAnsi="宋体" w:cs="宋体"/>
          <w:bCs/>
          <w:sz w:val="32"/>
          <w:szCs w:val="32"/>
        </w:rPr>
        <w:t>年</w:t>
      </w:r>
      <w:r>
        <w:rPr>
          <w:rFonts w:hint="eastAsia" w:ascii="宋体" w:hAnsi="宋体" w:cs="宋体"/>
          <w:bCs/>
          <w:sz w:val="32"/>
          <w:szCs w:val="32"/>
          <w:lang w:eastAsia="zh-CN"/>
        </w:rPr>
        <w:t>九</w:t>
      </w:r>
      <w:r>
        <w:rPr>
          <w:rFonts w:hint="eastAsia" w:ascii="宋体" w:hAnsi="宋体" w:cs="宋体"/>
          <w:bCs/>
          <w:sz w:val="32"/>
          <w:szCs w:val="32"/>
        </w:rPr>
        <w:t>月</w:t>
      </w:r>
    </w:p>
    <w:p w14:paraId="312A09BC">
      <w:pPr>
        <w:rPr>
          <w:rFonts w:hint="eastAsia" w:ascii="宋体" w:hAnsi="宋体" w:cs="宋体"/>
          <w:color w:val="auto"/>
          <w:sz w:val="44"/>
          <w:szCs w:val="44"/>
          <w:lang w:val="en-US" w:eastAsia="zh-CN"/>
        </w:rPr>
      </w:pPr>
    </w:p>
    <w:p w14:paraId="04AA9FFA">
      <w:pPr>
        <w:pStyle w:val="2"/>
        <w:numPr>
          <w:ilvl w:val="0"/>
          <w:numId w:val="0"/>
        </w:numPr>
        <w:spacing w:line="240" w:lineRule="auto"/>
        <w:ind w:leftChars="0"/>
        <w:jc w:val="center"/>
        <w:rPr>
          <w:rFonts w:hint="eastAsia" w:ascii="宋体" w:hAnsi="宋体" w:cs="宋体"/>
          <w:color w:val="auto"/>
          <w:sz w:val="44"/>
          <w:szCs w:val="44"/>
          <w:lang w:val="en-US" w:eastAsia="zh-CN"/>
        </w:rPr>
      </w:pPr>
    </w:p>
    <w:p w14:paraId="2C2484D6">
      <w:pPr>
        <w:pStyle w:val="2"/>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bookmarkEnd w:id="0"/>
    </w:p>
    <w:p w14:paraId="7AF3E66B">
      <w:pPr>
        <w:pStyle w:val="8"/>
        <w:numPr>
          <w:ilvl w:val="0"/>
          <w:numId w:val="0"/>
        </w:numPr>
        <w:tabs>
          <w:tab w:val="left" w:pos="312"/>
        </w:tabs>
        <w:snapToGrid w:val="0"/>
        <w:spacing w:line="480" w:lineRule="auto"/>
        <w:ind w:firstLine="560" w:firstLineChars="200"/>
        <w:rPr>
          <w:rFonts w:hint="eastAsia" w:ascii="仿宋" w:hAnsi="仿宋" w:eastAsia="仿宋" w:cs="仿宋"/>
          <w:sz w:val="28"/>
          <w:szCs w:val="28"/>
          <w:lang w:eastAsia="zh-CN"/>
        </w:rPr>
      </w:pPr>
      <w:r>
        <w:rPr>
          <w:rFonts w:hint="eastAsia" w:ascii="仿宋" w:hAnsi="仿宋" w:eastAsia="仿宋" w:cs="仿宋"/>
          <w:bCs/>
          <w:sz w:val="28"/>
          <w:szCs w:val="28"/>
          <w:lang w:eastAsia="zh-CN"/>
        </w:rPr>
        <w:t>现就娄底市中心医院（娄底医院）消防设备设施维护保养服务项目</w:t>
      </w:r>
      <w:r>
        <w:rPr>
          <w:rFonts w:hint="eastAsia" w:ascii="仿宋" w:hAnsi="仿宋" w:eastAsia="仿宋" w:cs="仿宋"/>
          <w:bCs/>
          <w:color w:val="auto"/>
          <w:sz w:val="28"/>
          <w:szCs w:val="28"/>
          <w:lang w:val="en-US" w:eastAsia="zh-CN"/>
        </w:rPr>
        <w:t>进行挂网招标，相关事项公告如下：</w:t>
      </w:r>
    </w:p>
    <w:p w14:paraId="2F88E88B">
      <w:pPr>
        <w:pStyle w:val="8"/>
        <w:numPr>
          <w:ilvl w:val="0"/>
          <w:numId w:val="0"/>
        </w:numPr>
        <w:tabs>
          <w:tab w:val="left" w:pos="312"/>
        </w:tabs>
        <w:snapToGrid w:val="0"/>
        <w:spacing w:line="480" w:lineRule="auto"/>
        <w:ind w:firstLine="560" w:firstLineChars="200"/>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一、项目信息</w:t>
      </w:r>
    </w:p>
    <w:p w14:paraId="2738BBCE">
      <w:pPr>
        <w:pStyle w:val="8"/>
        <w:numPr>
          <w:ilvl w:val="0"/>
          <w:numId w:val="0"/>
        </w:numPr>
        <w:tabs>
          <w:tab w:val="left" w:pos="312"/>
        </w:tabs>
        <w:snapToGrid w:val="0"/>
        <w:spacing w:line="480" w:lineRule="auto"/>
        <w:ind w:firstLine="560" w:firstLineChars="200"/>
        <w:rPr>
          <w:rFonts w:hint="eastAsia" w:ascii="仿宋" w:hAnsi="仿宋" w:eastAsia="仿宋" w:cs="仿宋"/>
          <w:bCs/>
          <w:sz w:val="28"/>
          <w:szCs w:val="28"/>
          <w:lang w:eastAsia="zh-CN"/>
        </w:rPr>
      </w:pPr>
      <w:r>
        <w:rPr>
          <w:rFonts w:hint="eastAsia" w:ascii="仿宋" w:hAnsi="仿宋" w:eastAsia="仿宋" w:cs="仿宋"/>
          <w:b w:val="0"/>
          <w:bCs/>
          <w:color w:val="auto"/>
          <w:sz w:val="28"/>
          <w:szCs w:val="28"/>
          <w:lang w:val="en-US" w:eastAsia="zh-CN"/>
        </w:rPr>
        <w:t>项目名称：</w:t>
      </w:r>
      <w:r>
        <w:rPr>
          <w:rFonts w:hint="eastAsia" w:ascii="仿宋" w:hAnsi="仿宋" w:eastAsia="仿宋" w:cs="仿宋"/>
          <w:bCs/>
          <w:sz w:val="28"/>
          <w:szCs w:val="28"/>
          <w:lang w:eastAsia="zh-CN"/>
        </w:rPr>
        <w:t>娄底市中心医院（娄底医院）消防设备设施维护保养服务</w:t>
      </w:r>
    </w:p>
    <w:p w14:paraId="7AC0C65D">
      <w:pPr>
        <w:pStyle w:val="8"/>
        <w:numPr>
          <w:ilvl w:val="0"/>
          <w:numId w:val="0"/>
        </w:numPr>
        <w:tabs>
          <w:tab w:val="left" w:pos="312"/>
        </w:tabs>
        <w:snapToGrid w:val="0"/>
        <w:spacing w:line="480" w:lineRule="auto"/>
        <w:ind w:firstLine="560" w:firstLineChars="200"/>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二、采购方式</w:t>
      </w:r>
    </w:p>
    <w:p w14:paraId="0C191493">
      <w:pPr>
        <w:pStyle w:val="8"/>
        <w:numPr>
          <w:ilvl w:val="0"/>
          <w:numId w:val="0"/>
        </w:numPr>
        <w:tabs>
          <w:tab w:val="left" w:pos="312"/>
        </w:tabs>
        <w:snapToGrid w:val="0"/>
        <w:spacing w:line="480" w:lineRule="auto"/>
        <w:ind w:firstLine="560" w:firstLineChars="200"/>
        <w:rPr>
          <w:rFonts w:hint="eastAsia" w:ascii="仿宋" w:hAnsi="仿宋" w:eastAsia="仿宋" w:cs="仿宋"/>
          <w:sz w:val="28"/>
          <w:szCs w:val="28"/>
          <w:lang w:eastAsia="zh-CN"/>
        </w:rPr>
      </w:pPr>
      <w:r>
        <w:rPr>
          <w:rFonts w:hint="eastAsia" w:ascii="仿宋" w:hAnsi="仿宋" w:eastAsia="仿宋" w:cs="仿宋"/>
          <w:bCs/>
          <w:color w:val="auto"/>
          <w:kern w:val="0"/>
          <w:sz w:val="28"/>
          <w:szCs w:val="28"/>
          <w:lang w:val="en-US" w:eastAsia="zh-CN" w:bidi="ar-SA"/>
        </w:rPr>
        <w:t>医院公开挂网采购，采用综合评分法（附件2）。评分小组对投标人的各项指标进行符合性审查、核对并给出分数值，最后汇总比较，取分数值最高者为中标人。</w:t>
      </w:r>
    </w:p>
    <w:p w14:paraId="02792F41">
      <w:pPr>
        <w:pStyle w:val="8"/>
        <w:numPr>
          <w:ilvl w:val="0"/>
          <w:numId w:val="1"/>
        </w:numPr>
        <w:tabs>
          <w:tab w:val="left" w:pos="312"/>
        </w:tabs>
        <w:snapToGrid w:val="0"/>
        <w:spacing w:line="480" w:lineRule="auto"/>
        <w:ind w:firstLine="560" w:firstLineChars="200"/>
        <w:rPr>
          <w:rFonts w:hint="eastAsia" w:ascii="仿宋" w:hAnsi="仿宋" w:eastAsia="仿宋" w:cs="仿宋"/>
          <w:sz w:val="28"/>
          <w:szCs w:val="28"/>
        </w:rPr>
      </w:pPr>
      <w:r>
        <w:rPr>
          <w:rFonts w:hint="eastAsia" w:ascii="仿宋" w:hAnsi="仿宋" w:eastAsia="仿宋" w:cs="仿宋"/>
          <w:bCs/>
          <w:color w:val="auto"/>
          <w:sz w:val="28"/>
          <w:szCs w:val="28"/>
          <w:lang w:val="en-US" w:eastAsia="zh-CN"/>
        </w:rPr>
        <w:t>投标人资格要求</w:t>
      </w:r>
    </w:p>
    <w:p w14:paraId="5E187C79">
      <w:pPr>
        <w:pStyle w:val="8"/>
        <w:numPr>
          <w:ilvl w:val="0"/>
          <w:numId w:val="2"/>
        </w:numPr>
        <w:snapToGrid w:val="0"/>
        <w:spacing w:line="480" w:lineRule="auto"/>
        <w:ind w:firstLine="840" w:firstLineChars="300"/>
        <w:rPr>
          <w:rFonts w:hint="eastAsia" w:ascii="仿宋" w:hAnsi="仿宋" w:eastAsia="仿宋" w:cs="仿宋"/>
          <w:sz w:val="28"/>
          <w:szCs w:val="28"/>
        </w:rPr>
      </w:pPr>
      <w:r>
        <w:rPr>
          <w:rFonts w:hint="eastAsia" w:ascii="仿宋" w:hAnsi="仿宋" w:eastAsia="仿宋" w:cs="仿宋"/>
          <w:sz w:val="28"/>
          <w:szCs w:val="28"/>
        </w:rPr>
        <w:t> 在中华人民共和国境内注册，具有独立承担民事责任能力的法人或其他组织。</w:t>
      </w:r>
    </w:p>
    <w:p w14:paraId="2600FFDC">
      <w:pPr>
        <w:pStyle w:val="8"/>
        <w:numPr>
          <w:ilvl w:val="0"/>
          <w:numId w:val="2"/>
        </w:numPr>
        <w:snapToGrid w:val="0"/>
        <w:spacing w:line="480" w:lineRule="auto"/>
        <w:ind w:left="0" w:leftChars="0" w:firstLine="840" w:firstLineChars="300"/>
        <w:rPr>
          <w:rFonts w:hint="eastAsia" w:ascii="仿宋" w:hAnsi="仿宋" w:eastAsia="仿宋" w:cs="仿宋"/>
          <w:sz w:val="28"/>
          <w:szCs w:val="28"/>
        </w:rPr>
      </w:pPr>
      <w:r>
        <w:rPr>
          <w:rFonts w:hint="eastAsia" w:ascii="仿宋" w:hAnsi="仿宋" w:eastAsia="仿宋" w:cs="仿宋"/>
          <w:sz w:val="28"/>
          <w:szCs w:val="28"/>
        </w:rPr>
        <w:t> 具有有效的《营业执照》，经营范围包含消防器材销售、安装或机电设备安装等相关内容。</w:t>
      </w:r>
    </w:p>
    <w:p w14:paraId="1B7CC312">
      <w:pPr>
        <w:pStyle w:val="8"/>
        <w:numPr>
          <w:ilvl w:val="0"/>
          <w:numId w:val="2"/>
        </w:numPr>
        <w:snapToGrid w:val="0"/>
        <w:spacing w:line="480" w:lineRule="auto"/>
        <w:ind w:left="0" w:leftChars="0" w:firstLine="840" w:firstLineChars="300"/>
        <w:rPr>
          <w:rFonts w:hint="eastAsia" w:ascii="仿宋" w:hAnsi="仿宋" w:eastAsia="仿宋" w:cs="仿宋"/>
          <w:sz w:val="28"/>
          <w:szCs w:val="28"/>
        </w:rPr>
      </w:pPr>
      <w:r>
        <w:rPr>
          <w:rFonts w:hint="eastAsia" w:ascii="仿宋" w:hAnsi="仿宋" w:eastAsia="仿宋" w:cs="仿宋"/>
          <w:sz w:val="28"/>
          <w:szCs w:val="28"/>
        </w:rPr>
        <w:t> 具有消防设施工程专业承包资质或建筑机电安装工程专业承包资质（</w:t>
      </w:r>
      <w:r>
        <w:rPr>
          <w:rFonts w:hint="eastAsia" w:ascii="仿宋" w:hAnsi="仿宋" w:eastAsia="仿宋" w:cs="仿宋"/>
          <w:sz w:val="28"/>
          <w:szCs w:val="28"/>
          <w:lang w:eastAsia="zh-CN"/>
        </w:rPr>
        <w:t>二</w:t>
      </w:r>
      <w:r>
        <w:rPr>
          <w:rFonts w:hint="eastAsia" w:ascii="仿宋" w:hAnsi="仿宋" w:eastAsia="仿宋" w:cs="仿宋"/>
          <w:sz w:val="28"/>
          <w:szCs w:val="28"/>
        </w:rPr>
        <w:t>级及以上）。</w:t>
      </w:r>
    </w:p>
    <w:p w14:paraId="1D4C500A">
      <w:pPr>
        <w:pStyle w:val="8"/>
        <w:numPr>
          <w:ilvl w:val="0"/>
          <w:numId w:val="2"/>
        </w:numPr>
        <w:snapToGrid w:val="0"/>
        <w:spacing w:line="480" w:lineRule="auto"/>
        <w:ind w:left="0" w:leftChars="0" w:firstLine="840" w:firstLineChars="300"/>
        <w:rPr>
          <w:rFonts w:hint="eastAsia" w:ascii="仿宋" w:hAnsi="仿宋" w:eastAsia="仿宋" w:cs="仿宋"/>
          <w:sz w:val="28"/>
          <w:szCs w:val="28"/>
        </w:rPr>
      </w:pPr>
      <w:r>
        <w:rPr>
          <w:rFonts w:hint="eastAsia" w:ascii="仿宋" w:hAnsi="仿宋" w:eastAsia="仿宋" w:cs="仿宋"/>
          <w:sz w:val="28"/>
          <w:szCs w:val="28"/>
        </w:rPr>
        <w:t> 拟派项目经理需具备机电工程专业注册建造师执业资格及有效的安全生产考核合格证书（B证）。</w:t>
      </w:r>
    </w:p>
    <w:p w14:paraId="1CF32ADA">
      <w:pPr>
        <w:pStyle w:val="8"/>
        <w:numPr>
          <w:ilvl w:val="0"/>
          <w:numId w:val="2"/>
        </w:numPr>
        <w:snapToGrid w:val="0"/>
        <w:spacing w:line="480" w:lineRule="auto"/>
        <w:ind w:left="0" w:leftChars="0" w:firstLine="840" w:firstLineChars="300"/>
        <w:rPr>
          <w:rFonts w:hint="eastAsia" w:ascii="仿宋" w:hAnsi="仿宋" w:eastAsia="仿宋" w:cs="仿宋"/>
          <w:sz w:val="28"/>
          <w:szCs w:val="28"/>
        </w:rPr>
      </w:pPr>
      <w:r>
        <w:rPr>
          <w:rFonts w:hint="eastAsia" w:ascii="仿宋" w:hAnsi="仿宋" w:eastAsia="仿宋" w:cs="仿宋"/>
          <w:sz w:val="28"/>
          <w:szCs w:val="28"/>
        </w:rPr>
        <w:t> 提供近三年内（202</w:t>
      </w:r>
      <w:r>
        <w:rPr>
          <w:rFonts w:hint="eastAsia" w:ascii="仿宋" w:hAnsi="仿宋" w:eastAsia="仿宋" w:cs="仿宋"/>
          <w:sz w:val="28"/>
          <w:szCs w:val="28"/>
          <w:lang w:val="en-US" w:eastAsia="zh-CN"/>
        </w:rPr>
        <w:t>3</w:t>
      </w:r>
      <w:r>
        <w:rPr>
          <w:rFonts w:hint="eastAsia" w:ascii="仿宋" w:hAnsi="仿宋" w:eastAsia="仿宋" w:cs="仿宋"/>
          <w:sz w:val="28"/>
          <w:szCs w:val="28"/>
        </w:rPr>
        <w:t>年至今）至少1个类似的业绩证明（合同复印件）。</w:t>
      </w:r>
    </w:p>
    <w:p w14:paraId="6D2B0376">
      <w:pPr>
        <w:pStyle w:val="8"/>
        <w:numPr>
          <w:ilvl w:val="0"/>
          <w:numId w:val="0"/>
        </w:numPr>
        <w:tabs>
          <w:tab w:val="left" w:pos="312"/>
        </w:tabs>
        <w:snapToGrid w:val="0"/>
        <w:spacing w:line="480" w:lineRule="auto"/>
        <w:ind w:firstLine="840" w:firstLineChars="300"/>
        <w:rPr>
          <w:rFonts w:hint="eastAsia" w:ascii="仿宋" w:hAnsi="仿宋" w:eastAsia="仿宋" w:cs="仿宋"/>
          <w:sz w:val="28"/>
          <w:szCs w:val="28"/>
          <w:lang w:eastAsia="zh-CN"/>
        </w:rPr>
      </w:pPr>
      <w:r>
        <w:rPr>
          <w:rFonts w:hint="eastAsia" w:ascii="仿宋" w:hAnsi="仿宋" w:eastAsia="仿宋" w:cs="仿宋"/>
          <w:bCs/>
          <w:color w:val="auto"/>
          <w:sz w:val="28"/>
          <w:szCs w:val="28"/>
          <w:lang w:val="en-US" w:eastAsia="zh-CN"/>
        </w:rPr>
        <w:t>6、参加政府采购活动近3年内，在经营活动中无重大违法记录；</w:t>
      </w:r>
    </w:p>
    <w:p w14:paraId="6B391545">
      <w:pPr>
        <w:pStyle w:val="8"/>
        <w:numPr>
          <w:ilvl w:val="0"/>
          <w:numId w:val="0"/>
        </w:numPr>
        <w:tabs>
          <w:tab w:val="left" w:pos="312"/>
        </w:tabs>
        <w:snapToGrid w:val="0"/>
        <w:spacing w:line="480" w:lineRule="auto"/>
        <w:ind w:firstLine="840" w:firstLineChars="300"/>
        <w:rPr>
          <w:rFonts w:hint="eastAsia" w:ascii="仿宋" w:hAnsi="仿宋" w:eastAsia="仿宋" w:cs="仿宋"/>
          <w:sz w:val="28"/>
          <w:szCs w:val="28"/>
          <w:lang w:eastAsia="zh-CN"/>
        </w:rPr>
      </w:pPr>
      <w:r>
        <w:rPr>
          <w:rFonts w:hint="eastAsia" w:ascii="仿宋" w:hAnsi="仿宋" w:eastAsia="仿宋" w:cs="仿宋"/>
          <w:bCs/>
          <w:color w:val="auto"/>
          <w:sz w:val="28"/>
          <w:szCs w:val="28"/>
          <w:lang w:val="en-US" w:eastAsia="zh-CN"/>
        </w:rPr>
        <w:t>7、投标人未被列入经营异常名录和严重违法失信企业名单（黑名单），企业法人代表未被列入失信被执行人名单；且在“信用中国”（www.creditchina.gov.cn）、中国政府采购网（www.ccgp.gov.cn）等网站中，未被列入“失信被执行人”“重大税收违法案件当事人名单”“政府采购严重违法失信行为记录名单”；</w:t>
      </w:r>
    </w:p>
    <w:p w14:paraId="694600F2">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left="630" w:leftChars="0"/>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8、本项目不接受联合体投标，不得分包、转包；</w:t>
      </w:r>
    </w:p>
    <w:p w14:paraId="42F59BE6">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left="630" w:leftChars="0"/>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9、 单位负责人为同一人或存在直接控股、管理关系的不同投</w:t>
      </w:r>
    </w:p>
    <w:p w14:paraId="717E645A">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标人，不得参与本次采购活动；</w:t>
      </w:r>
    </w:p>
    <w:p w14:paraId="3FE51B2B">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left="630" w:leftChars="0"/>
        <w:textAlignment w:val="auto"/>
        <w:rPr>
          <w:rFonts w:hint="eastAsia" w:ascii="仿宋" w:hAnsi="仿宋" w:eastAsia="仿宋" w:cs="仿宋"/>
          <w:sz w:val="28"/>
          <w:szCs w:val="28"/>
          <w:lang w:eastAsia="zh-CN"/>
        </w:rPr>
      </w:pPr>
      <w:r>
        <w:rPr>
          <w:rFonts w:hint="eastAsia" w:ascii="仿宋" w:hAnsi="仿宋" w:eastAsia="仿宋" w:cs="仿宋"/>
          <w:color w:val="auto"/>
          <w:sz w:val="28"/>
          <w:szCs w:val="28"/>
          <w:lang w:val="en-US" w:eastAsia="zh-CN"/>
        </w:rPr>
        <w:t>10、 以上所有要求均需提供相应证明材料。</w:t>
      </w:r>
    </w:p>
    <w:p w14:paraId="6246C876">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textAlignment w:val="auto"/>
        <w:rPr>
          <w:rFonts w:hint="eastAsia"/>
          <w:bCs/>
          <w:color w:val="auto"/>
          <w:sz w:val="28"/>
          <w:szCs w:val="28"/>
          <w:lang w:val="en-US" w:eastAsia="zh-CN"/>
        </w:rPr>
      </w:pPr>
      <w:r>
        <w:rPr>
          <w:rFonts w:hint="eastAsia"/>
          <w:bCs/>
          <w:color w:val="auto"/>
          <w:sz w:val="28"/>
          <w:szCs w:val="28"/>
          <w:lang w:val="en-US" w:eastAsia="zh-CN"/>
        </w:rPr>
        <w:t>四、投标截止时间、开标时间及地点：</w:t>
      </w:r>
    </w:p>
    <w:p w14:paraId="01B838F0">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firstLine="560" w:firstLineChars="200"/>
        <w:textAlignment w:val="auto"/>
        <w:rPr>
          <w:rFonts w:hint="eastAsia"/>
          <w:bCs/>
          <w:color w:val="auto"/>
          <w:sz w:val="28"/>
          <w:szCs w:val="28"/>
          <w:lang w:val="en-US" w:eastAsia="zh-CN"/>
        </w:rPr>
      </w:pPr>
      <w:r>
        <w:rPr>
          <w:rFonts w:hint="eastAsia"/>
          <w:bCs/>
          <w:color w:val="auto"/>
          <w:sz w:val="28"/>
          <w:szCs w:val="28"/>
          <w:lang w:val="en-US" w:eastAsia="zh-CN"/>
        </w:rPr>
        <w:t xml:space="preserve">1、投标截止时间：       </w:t>
      </w:r>
    </w:p>
    <w:p w14:paraId="098DF66E">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firstLine="560" w:firstLineChars="200"/>
        <w:textAlignment w:val="auto"/>
        <w:rPr>
          <w:rFonts w:hint="eastAsia"/>
          <w:bCs/>
          <w:color w:val="auto"/>
          <w:sz w:val="28"/>
          <w:szCs w:val="28"/>
          <w:lang w:val="en-US" w:eastAsia="zh-CN"/>
        </w:rPr>
      </w:pPr>
      <w:r>
        <w:rPr>
          <w:rFonts w:hint="eastAsia"/>
          <w:bCs/>
          <w:color w:val="auto"/>
          <w:sz w:val="28"/>
          <w:szCs w:val="28"/>
          <w:lang w:val="en-US" w:eastAsia="zh-CN"/>
        </w:rPr>
        <w:t>2、开标时间：另行通知</w:t>
      </w:r>
    </w:p>
    <w:p w14:paraId="55B8173E">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firstLine="560" w:firstLineChars="200"/>
        <w:textAlignment w:val="auto"/>
        <w:rPr>
          <w:rFonts w:hint="eastAsia"/>
          <w:bCs/>
          <w:color w:val="auto"/>
          <w:sz w:val="28"/>
          <w:szCs w:val="28"/>
          <w:lang w:val="en-US" w:eastAsia="zh-CN"/>
        </w:rPr>
      </w:pPr>
      <w:r>
        <w:rPr>
          <w:rFonts w:hint="eastAsia"/>
          <w:bCs/>
          <w:color w:val="auto"/>
          <w:sz w:val="28"/>
          <w:szCs w:val="28"/>
          <w:lang w:val="en-US" w:eastAsia="zh-CN"/>
        </w:rPr>
        <w:t>3、开标地点：娄底市中心医院综合楼</w:t>
      </w:r>
    </w:p>
    <w:p w14:paraId="28CD2B07">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textAlignment w:val="auto"/>
        <w:rPr>
          <w:rFonts w:hint="eastAsia"/>
          <w:bCs/>
          <w:color w:val="auto"/>
          <w:sz w:val="28"/>
          <w:szCs w:val="28"/>
          <w:lang w:val="en-US" w:eastAsia="zh-CN"/>
        </w:rPr>
      </w:pPr>
      <w:r>
        <w:rPr>
          <w:rFonts w:hint="eastAsia"/>
          <w:bCs/>
          <w:color w:val="auto"/>
          <w:sz w:val="28"/>
          <w:szCs w:val="28"/>
          <w:lang w:val="en-US" w:eastAsia="zh-CN"/>
        </w:rPr>
        <w:t>五、招标人地址和联系方法：</w:t>
      </w:r>
    </w:p>
    <w:p w14:paraId="39E34EF0">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firstLine="560" w:firstLineChars="200"/>
        <w:textAlignment w:val="auto"/>
        <w:rPr>
          <w:rFonts w:hint="default"/>
          <w:bCs/>
          <w:color w:val="auto"/>
          <w:sz w:val="28"/>
          <w:szCs w:val="28"/>
          <w:lang w:val="en-US" w:eastAsia="zh-CN"/>
        </w:rPr>
      </w:pPr>
      <w:r>
        <w:rPr>
          <w:rFonts w:hint="eastAsia"/>
          <w:bCs/>
          <w:color w:val="auto"/>
          <w:sz w:val="28"/>
          <w:szCs w:val="28"/>
          <w:lang w:val="en-US" w:eastAsia="zh-CN"/>
        </w:rPr>
        <w:t>1、招标人名称：娄底市中心医院</w:t>
      </w:r>
    </w:p>
    <w:p w14:paraId="64DFCE76">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firstLine="560" w:firstLineChars="200"/>
        <w:textAlignment w:val="auto"/>
        <w:rPr>
          <w:rFonts w:hint="eastAsia"/>
          <w:bCs/>
          <w:color w:val="auto"/>
          <w:sz w:val="28"/>
          <w:szCs w:val="28"/>
          <w:lang w:val="en-US" w:eastAsia="zh-CN"/>
        </w:rPr>
      </w:pPr>
      <w:r>
        <w:rPr>
          <w:rFonts w:hint="eastAsia"/>
          <w:bCs/>
          <w:color w:val="auto"/>
          <w:sz w:val="28"/>
          <w:szCs w:val="28"/>
          <w:lang w:val="en-US" w:eastAsia="zh-CN"/>
        </w:rPr>
        <w:t>2、联系人及联系方式：杨斯 13875424543</w:t>
      </w:r>
    </w:p>
    <w:p w14:paraId="1CB8E646">
      <w:pPr>
        <w:pStyle w:val="8"/>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480" w:lineRule="auto"/>
        <w:ind w:firstLine="560" w:firstLineChars="200"/>
        <w:textAlignment w:val="auto"/>
      </w:pPr>
      <w:r>
        <w:rPr>
          <w:rFonts w:hint="eastAsia"/>
          <w:bCs/>
          <w:color w:val="auto"/>
          <w:sz w:val="28"/>
          <w:szCs w:val="28"/>
          <w:lang w:val="en-US" w:eastAsia="zh-CN"/>
        </w:rPr>
        <w:t>3、招标人地址：</w:t>
      </w:r>
      <w:r>
        <w:rPr>
          <w:rFonts w:hint="eastAsia" w:ascii="仿宋_GB2312" w:hAnsi="Times New Roman" w:eastAsia="仿宋_GB2312" w:cs="仿宋_GB2312"/>
          <w:bCs/>
          <w:color w:val="auto"/>
          <w:kern w:val="0"/>
          <w:sz w:val="28"/>
          <w:szCs w:val="28"/>
          <w:lang w:val="en-US" w:eastAsia="zh-CN" w:bidi="ar-SA"/>
        </w:rPr>
        <w:t>娄底市长青中街51号</w:t>
      </w:r>
      <w:r>
        <w:rPr>
          <w:rFonts w:hint="eastAsia"/>
          <w:bCs/>
          <w:color w:val="auto"/>
          <w:sz w:val="28"/>
          <w:szCs w:val="28"/>
          <w:lang w:val="en-US" w:eastAsia="zh-CN"/>
        </w:rPr>
        <w:t>娄底市中心医院综合楼307</w:t>
      </w:r>
    </w:p>
    <w:p w14:paraId="058E24D9">
      <w:pPr>
        <w:pStyle w:val="5"/>
      </w:pPr>
    </w:p>
    <w:p w14:paraId="74C370CF">
      <w:pPr>
        <w:pStyle w:val="5"/>
      </w:pPr>
    </w:p>
    <w:p w14:paraId="311A81DC">
      <w:pPr>
        <w:pStyle w:val="5"/>
      </w:pPr>
    </w:p>
    <w:p w14:paraId="1283558D">
      <w:pPr>
        <w:pStyle w:val="5"/>
      </w:pPr>
    </w:p>
    <w:p w14:paraId="12BA07E7">
      <w:pPr>
        <w:pStyle w:val="5"/>
      </w:pPr>
      <w:r>
        <w:t>娄底市中心医院（娄底医院）消防设备设施维护保养</w:t>
      </w:r>
      <w:r>
        <w:br w:type="textWrapping"/>
      </w:r>
      <w:r>
        <w:t>采购需求</w:t>
      </w:r>
    </w:p>
    <w:p w14:paraId="33A848DE">
      <w:pPr>
        <w:pStyle w:val="2"/>
        <w:numPr>
          <w:ilvl w:val="0"/>
          <w:numId w:val="3"/>
        </w:numPr>
        <w:topLinePunct w:val="0"/>
        <w:ind w:left="0" w:leftChars="0" w:firstLine="0" w:firstLineChars="0"/>
        <w:rPr>
          <w:rFonts w:hint="eastAsia" w:ascii="黑体" w:hAnsi="黑体" w:eastAsia="黑体" w:cs="黑体"/>
          <w:b w:val="0"/>
          <w:sz w:val="30"/>
          <w:szCs w:val="30"/>
        </w:rPr>
      </w:pPr>
      <w:r>
        <w:rPr>
          <w:sz w:val="30"/>
          <w:szCs w:val="30"/>
        </w:rPr>
        <w:t>采购项目、交付或者实施的时间和地点</w:t>
      </w:r>
    </w:p>
    <w:p w14:paraId="145A7DBA">
      <w:pPr>
        <w:pStyle w:val="4"/>
        <w:numPr>
          <w:ilvl w:val="0"/>
          <w:numId w:val="4"/>
        </w:numPr>
        <w:topLinePunct w:val="0"/>
        <w:ind w:left="0" w:leftChars="0" w:firstLine="480" w:firstLineChars="0"/>
        <w:rPr>
          <w:rFonts w:hint="eastAsia" w:ascii="宋体" w:hAnsi="宋体" w:eastAsia="宋体" w:cs="宋体"/>
          <w:b w:val="0"/>
          <w:color w:val="auto"/>
          <w:sz w:val="24"/>
          <w:szCs w:val="24"/>
        </w:rPr>
      </w:pPr>
      <w:r>
        <w:rPr>
          <w:rFonts w:ascii="Times New Roman" w:hAnsi="Times New Roman" w:eastAsia="宋体" w:cs="Times New Roman"/>
          <w:color w:val="auto"/>
          <w:sz w:val="24"/>
          <w:szCs w:val="24"/>
        </w:rPr>
        <w:t>采购项目：娄底市中心医院（娄底医院）消防设备设施维护保养项目；</w:t>
      </w:r>
    </w:p>
    <w:p w14:paraId="2187E75F">
      <w:pPr>
        <w:pStyle w:val="4"/>
        <w:numPr>
          <w:ilvl w:val="0"/>
          <w:numId w:val="4"/>
        </w:numPr>
        <w:topLinePunct w:val="0"/>
        <w:ind w:left="0" w:leftChars="0" w:firstLine="480" w:firstLineChars="0"/>
        <w:rPr>
          <w:rFonts w:hint="eastAsia" w:ascii="宋体" w:hAnsi="宋体" w:eastAsia="宋体" w:cs="宋体"/>
          <w:b w:val="0"/>
          <w:color w:val="auto"/>
          <w:sz w:val="24"/>
          <w:szCs w:val="24"/>
        </w:rPr>
      </w:pPr>
      <w:r>
        <w:rPr>
          <w:rFonts w:ascii="Times New Roman" w:hAnsi="Times New Roman" w:eastAsia="宋体" w:cs="Times New Roman"/>
          <w:color w:val="auto"/>
          <w:sz w:val="24"/>
          <w:szCs w:val="24"/>
        </w:rPr>
        <w:t>服务时间：双方签订合同时具体约定；</w:t>
      </w:r>
    </w:p>
    <w:p w14:paraId="0735BBCF">
      <w:pPr>
        <w:pStyle w:val="4"/>
        <w:numPr>
          <w:ilvl w:val="0"/>
          <w:numId w:val="4"/>
        </w:numPr>
        <w:topLinePunct w:val="0"/>
        <w:ind w:left="0" w:leftChars="0" w:firstLine="480" w:firstLineChars="0"/>
        <w:rPr>
          <w:rFonts w:hint="eastAsia" w:ascii="宋体" w:hAnsi="宋体" w:eastAsia="宋体" w:cs="宋体"/>
          <w:b w:val="0"/>
          <w:color w:val="auto"/>
          <w:sz w:val="24"/>
          <w:szCs w:val="24"/>
        </w:rPr>
      </w:pPr>
      <w:r>
        <w:rPr>
          <w:rFonts w:ascii="Times New Roman" w:hAnsi="Times New Roman" w:eastAsia="宋体" w:cs="Times New Roman"/>
          <w:color w:val="auto"/>
          <w:sz w:val="24"/>
          <w:szCs w:val="24"/>
        </w:rPr>
        <w:t>服务地点：娄底市中心医院（娄底医院）；</w:t>
      </w:r>
    </w:p>
    <w:p w14:paraId="4527BAEE">
      <w:pPr>
        <w:pStyle w:val="4"/>
        <w:numPr>
          <w:ilvl w:val="0"/>
          <w:numId w:val="4"/>
        </w:numPr>
        <w:topLinePunct w:val="0"/>
        <w:ind w:left="0" w:leftChars="0" w:firstLine="480" w:firstLineChars="0"/>
        <w:rPr>
          <w:rFonts w:hint="eastAsia" w:ascii="宋体" w:hAnsi="宋体" w:eastAsia="宋体" w:cs="宋体"/>
          <w:b w:val="0"/>
          <w:sz w:val="24"/>
          <w:szCs w:val="24"/>
        </w:rPr>
      </w:pPr>
      <w:r>
        <w:rPr>
          <w:rFonts w:ascii="Times New Roman" w:hAnsi="Times New Roman" w:eastAsia="宋体" w:cs="Times New Roman"/>
          <w:color w:val="auto"/>
          <w:sz w:val="24"/>
          <w:szCs w:val="24"/>
        </w:rPr>
        <w:t>服务范围：娄底市中心医院（娄底医院），建筑面积约26万平方米。</w:t>
      </w:r>
    </w:p>
    <w:p w14:paraId="1CE53852">
      <w:pPr>
        <w:pStyle w:val="2"/>
        <w:numPr>
          <w:ilvl w:val="0"/>
          <w:numId w:val="3"/>
        </w:numPr>
        <w:topLinePunct w:val="0"/>
        <w:ind w:left="0" w:leftChars="0" w:firstLine="0" w:firstLineChars="0"/>
        <w:rPr>
          <w:rFonts w:hint="eastAsia" w:ascii="黑体" w:hAnsi="黑体" w:eastAsia="黑体" w:cs="黑体"/>
          <w:b w:val="0"/>
          <w:sz w:val="30"/>
          <w:szCs w:val="30"/>
        </w:rPr>
      </w:pPr>
      <w:r>
        <w:rPr>
          <w:sz w:val="30"/>
          <w:szCs w:val="30"/>
        </w:rPr>
        <w:t>企业资质要求</w:t>
      </w:r>
    </w:p>
    <w:p w14:paraId="1510E5D3">
      <w:pPr>
        <w:pStyle w:val="4"/>
        <w:numPr>
          <w:ilvl w:val="0"/>
          <w:numId w:val="5"/>
        </w:numPr>
        <w:topLinePunct w:val="0"/>
        <w:ind w:left="0" w:leftChars="0" w:firstLine="480" w:firstLineChars="0"/>
        <w:rPr>
          <w:rFonts w:hint="eastAsia" w:ascii="宋体" w:hAnsi="宋体" w:eastAsia="宋体" w:cs="宋体"/>
          <w:b w:val="0"/>
          <w:color w:val="auto"/>
          <w:sz w:val="24"/>
          <w:szCs w:val="24"/>
        </w:rPr>
      </w:pPr>
      <w:r>
        <w:rPr>
          <w:rFonts w:ascii="Times New Roman" w:hAnsi="Times New Roman" w:eastAsia="宋体" w:cs="Times New Roman"/>
          <w:color w:val="auto"/>
          <w:sz w:val="24"/>
          <w:szCs w:val="24"/>
        </w:rPr>
        <w:t>要求消防设施工程专业承包资质</w:t>
      </w:r>
      <w:r>
        <w:rPr>
          <w:rFonts w:ascii="Times New Roman" w:hAnsi="Times New Roman" w:eastAsia="宋体" w:cs="Times New Roman"/>
          <w:color w:val="auto"/>
          <w:sz w:val="24"/>
          <w:szCs w:val="24"/>
          <w:highlight w:val="none"/>
        </w:rPr>
        <w:t>二级</w:t>
      </w:r>
      <w:r>
        <w:rPr>
          <w:rFonts w:ascii="Times New Roman" w:hAnsi="Times New Roman" w:eastAsia="宋体" w:cs="Times New Roman"/>
          <w:color w:val="auto"/>
          <w:sz w:val="24"/>
          <w:szCs w:val="24"/>
        </w:rPr>
        <w:t>及以上与安全许可证；</w:t>
      </w:r>
    </w:p>
    <w:p w14:paraId="6600C447">
      <w:pPr>
        <w:pStyle w:val="4"/>
        <w:numPr>
          <w:ilvl w:val="0"/>
          <w:numId w:val="5"/>
        </w:numPr>
        <w:topLinePunct w:val="0"/>
        <w:ind w:left="0" w:leftChars="0" w:firstLine="480" w:firstLineChars="0"/>
        <w:rPr>
          <w:rFonts w:hint="eastAsia" w:ascii="宋体" w:hAnsi="宋体" w:eastAsia="宋体" w:cs="宋体"/>
          <w:b w:val="0"/>
          <w:color w:val="auto"/>
          <w:sz w:val="24"/>
          <w:szCs w:val="24"/>
        </w:rPr>
      </w:pPr>
      <w:r>
        <w:rPr>
          <w:rFonts w:ascii="Times New Roman" w:hAnsi="Times New Roman" w:eastAsia="宋体" w:cs="Times New Roman"/>
          <w:color w:val="auto"/>
          <w:sz w:val="24"/>
          <w:szCs w:val="24"/>
        </w:rPr>
        <w:t>维护保养检测资质符合应急管理部关于印发《消防技术服务机构从业条件》的通知（应急【2019】[88号]）第三条，另结合我单位要求符合如下条件:</w:t>
      </w:r>
    </w:p>
    <w:p w14:paraId="39A9D047">
      <w:pPr>
        <w:pStyle w:val="4"/>
        <w:numPr>
          <w:ilvl w:val="0"/>
          <w:numId w:val="6"/>
        </w:numPr>
        <w:ind w:left="0" w:leftChars="0" w:firstLine="480" w:firstLineChars="0"/>
        <w:rPr>
          <w:rFonts w:hint="eastAsia" w:ascii="宋体" w:hAnsi="宋体" w:eastAsia="宋体" w:cs="宋体"/>
          <w:b w:val="0"/>
          <w:color w:val="auto"/>
          <w:sz w:val="24"/>
          <w:szCs w:val="24"/>
        </w:rPr>
      </w:pPr>
      <w:r>
        <w:rPr>
          <w:rFonts w:ascii="Times New Roman" w:hAnsi="Times New Roman" w:eastAsia="宋体" w:cs="Times New Roman"/>
          <w:color w:val="auto"/>
          <w:sz w:val="24"/>
          <w:szCs w:val="24"/>
        </w:rPr>
        <w:t>企业法人资格;</w:t>
      </w:r>
    </w:p>
    <w:p w14:paraId="54245BB3">
      <w:pPr>
        <w:pStyle w:val="4"/>
        <w:numPr>
          <w:ilvl w:val="0"/>
          <w:numId w:val="6"/>
        </w:numPr>
        <w:ind w:left="0" w:leftChars="0" w:firstLine="480" w:firstLineChars="0"/>
        <w:rPr>
          <w:rFonts w:hint="eastAsia" w:ascii="宋体" w:hAnsi="宋体" w:eastAsia="宋体" w:cs="宋体"/>
          <w:b w:val="0"/>
          <w:color w:val="auto"/>
          <w:sz w:val="24"/>
          <w:szCs w:val="24"/>
        </w:rPr>
      </w:pPr>
      <w:r>
        <w:rPr>
          <w:rFonts w:ascii="Times New Roman" w:hAnsi="Times New Roman" w:eastAsia="宋体" w:cs="Times New Roman"/>
          <w:color w:val="auto"/>
          <w:sz w:val="24"/>
          <w:szCs w:val="24"/>
        </w:rPr>
        <w:t>工作场所建筑面积不少于200平方米;</w:t>
      </w:r>
    </w:p>
    <w:p w14:paraId="7782CC01">
      <w:pPr>
        <w:pStyle w:val="4"/>
        <w:numPr>
          <w:ilvl w:val="0"/>
          <w:numId w:val="6"/>
        </w:numPr>
        <w:ind w:left="0" w:leftChars="0" w:firstLine="480" w:firstLineChars="0"/>
        <w:rPr>
          <w:rFonts w:hint="eastAsia" w:ascii="宋体" w:hAnsi="宋体" w:eastAsia="宋体" w:cs="宋体"/>
          <w:b w:val="0"/>
          <w:color w:val="auto"/>
          <w:sz w:val="24"/>
          <w:szCs w:val="24"/>
        </w:rPr>
      </w:pPr>
      <w:r>
        <w:rPr>
          <w:rFonts w:ascii="Times New Roman" w:hAnsi="Times New Roman" w:eastAsia="宋体" w:cs="Times New Roman"/>
          <w:color w:val="auto"/>
          <w:sz w:val="24"/>
          <w:szCs w:val="24"/>
        </w:rPr>
        <w:t>注册消防工程师不少于2人，且企业技术负责人由一级注册消防工程师担任，并提供近3个月的社保记录；</w:t>
      </w:r>
    </w:p>
    <w:p w14:paraId="6EF2C8F5">
      <w:pPr>
        <w:pStyle w:val="4"/>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color w:val="auto"/>
          <w:sz w:val="24"/>
          <w:szCs w:val="24"/>
        </w:rPr>
        <w:t>取得消防设施操作员国家职业资格证书的人员不少于</w:t>
      </w:r>
      <w:r>
        <w:rPr>
          <w:rFonts w:ascii="Times New Roman" w:hAnsi="Times New Roman" w:eastAsia="宋体" w:cs="Times New Roman"/>
          <w:color w:val="000000" w:themeColor="text1"/>
          <w:sz w:val="24"/>
          <w:szCs w:val="24"/>
          <w:highlight w:val="none"/>
          <w14:textFill>
            <w14:solidFill>
              <w14:schemeClr w14:val="tx1"/>
            </w14:solidFill>
          </w14:textFill>
        </w:rPr>
        <w:t>8</w:t>
      </w:r>
      <w:r>
        <w:rPr>
          <w:rFonts w:ascii="Times New Roman" w:hAnsi="Times New Roman" w:eastAsia="宋体" w:cs="Times New Roman"/>
          <w:color w:val="auto"/>
          <w:sz w:val="24"/>
          <w:szCs w:val="24"/>
        </w:rPr>
        <w:t>人，其中具备中级及以上技能等级的不少于</w:t>
      </w:r>
      <w:r>
        <w:rPr>
          <w:rFonts w:ascii="Times New Roman" w:hAnsi="Times New Roman" w:eastAsia="宋体" w:cs="Times New Roman"/>
          <w:color w:val="auto"/>
          <w:sz w:val="24"/>
          <w:szCs w:val="24"/>
          <w:highlight w:val="none"/>
        </w:rPr>
        <w:t>4</w:t>
      </w:r>
      <w:r>
        <w:rPr>
          <w:rFonts w:ascii="Times New Roman" w:hAnsi="Times New Roman" w:eastAsia="宋体" w:cs="Times New Roman"/>
          <w:color w:val="auto"/>
          <w:sz w:val="24"/>
          <w:szCs w:val="24"/>
        </w:rPr>
        <w:t>人；</w:t>
      </w:r>
    </w:p>
    <w:p w14:paraId="635C9123">
      <w:pPr>
        <w:pStyle w:val="4"/>
        <w:numPr>
          <w:ilvl w:val="0"/>
          <w:numId w:val="6"/>
        </w:numPr>
        <w:ind w:left="0" w:leftChars="0" w:firstLine="480" w:firstLineChars="0"/>
        <w:rPr>
          <w:rFonts w:hint="eastAsia" w:ascii="宋体" w:hAnsi="宋体" w:eastAsia="宋体" w:cs="宋体"/>
          <w:b w:val="0"/>
          <w:color w:val="auto"/>
          <w:sz w:val="24"/>
          <w:szCs w:val="24"/>
        </w:rPr>
      </w:pPr>
      <w:r>
        <w:rPr>
          <w:rFonts w:ascii="Times New Roman" w:hAnsi="Times New Roman" w:eastAsia="宋体" w:cs="Times New Roman"/>
          <w:color w:val="auto"/>
          <w:sz w:val="24"/>
          <w:szCs w:val="24"/>
        </w:rPr>
        <w:t>质量管理三体系相关证明材料；</w:t>
      </w:r>
    </w:p>
    <w:p w14:paraId="3E4805CC">
      <w:pPr>
        <w:pStyle w:val="4"/>
        <w:numPr>
          <w:ilvl w:val="0"/>
          <w:numId w:val="6"/>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color w:val="auto"/>
          <w:sz w:val="24"/>
          <w:szCs w:val="24"/>
        </w:rPr>
        <w:t>需提供类似业绩证明：金额不低于15万元的合同2份、金额不低于10万元的合同2份；</w:t>
      </w:r>
    </w:p>
    <w:p w14:paraId="579C01E8">
      <w:pPr>
        <w:pStyle w:val="4"/>
        <w:numPr>
          <w:ilvl w:val="0"/>
          <w:numId w:val="5"/>
        </w:numPr>
        <w:topLinePunct w:val="0"/>
        <w:ind w:left="0" w:leftChars="0" w:firstLine="480" w:firstLineChars="0"/>
        <w:rPr>
          <w:rFonts w:hint="eastAsia" w:ascii="仿宋_GB2312" w:eastAsia="仿宋_GB2312" w:cs="仿宋_GB2312"/>
          <w:bCs/>
          <w:color w:val="auto"/>
          <w:kern w:val="0"/>
          <w:sz w:val="28"/>
          <w:szCs w:val="28"/>
          <w:lang w:val="en-US" w:eastAsia="zh-CN" w:bidi="ar-SA"/>
        </w:rPr>
      </w:pPr>
      <w:r>
        <w:rPr>
          <w:rFonts w:ascii="Times New Roman" w:hAnsi="Times New Roman" w:eastAsia="宋体" w:cs="Times New Roman"/>
          <w:color w:val="auto"/>
          <w:sz w:val="24"/>
          <w:szCs w:val="24"/>
        </w:rPr>
        <w:t>以上要求均需提供证明。</w:t>
      </w:r>
    </w:p>
    <w:p w14:paraId="20D5B60B">
      <w:pPr>
        <w:pStyle w:val="2"/>
        <w:numPr>
          <w:ilvl w:val="0"/>
          <w:numId w:val="3"/>
        </w:numPr>
        <w:topLinePunct w:val="0"/>
        <w:ind w:left="0" w:leftChars="0" w:firstLine="0" w:firstLineChars="0"/>
        <w:rPr>
          <w:rFonts w:hint="eastAsia" w:ascii="黑体" w:hAnsi="黑体" w:eastAsia="黑体" w:cs="黑体"/>
          <w:b w:val="0"/>
          <w:sz w:val="30"/>
          <w:szCs w:val="30"/>
        </w:rPr>
      </w:pPr>
      <w:r>
        <w:rPr>
          <w:sz w:val="30"/>
          <w:szCs w:val="30"/>
        </w:rPr>
        <w:t>维护保养内容：</w:t>
      </w:r>
    </w:p>
    <w:p w14:paraId="69EE9A17">
      <w:pPr>
        <w:pStyle w:val="4"/>
        <w:rPr>
          <w:rFonts w:ascii="Times New Roman" w:hAnsi="Times New Roman" w:eastAsia="宋体" w:cs="Times New Roman"/>
          <w:sz w:val="24"/>
          <w:szCs w:val="24"/>
        </w:rPr>
      </w:pPr>
      <w:r>
        <w:rPr>
          <w:rFonts w:ascii="Times New Roman" w:hAnsi="Times New Roman" w:eastAsia="宋体" w:cs="Times New Roman"/>
          <w:sz w:val="24"/>
          <w:szCs w:val="24"/>
        </w:rPr>
        <w:t>1、消防供配电设施；2、火灾自动报警系统；3、消防供水设施；4、消火栓系统；5、自动喷水灭火系统；6.泡沫灭火系统；7、气体灭火系统；8、防排烟系统；9、应急照明和疏散指示标志；10、应急广播系统；11、消防专用电话；12、防火分隔设施；13、智能疏散系统； 14、电气火灾监控系统；15、室外消火栓系统;16、灭火器和自救呼吸器；17、与消防有关的其他设施设备。</w:t>
      </w:r>
    </w:p>
    <w:p w14:paraId="5E859BD0">
      <w:pPr>
        <w:pStyle w:val="2"/>
        <w:numPr>
          <w:ilvl w:val="0"/>
          <w:numId w:val="3"/>
        </w:numPr>
        <w:topLinePunct w:val="0"/>
        <w:ind w:left="0" w:leftChars="0" w:firstLine="0" w:firstLineChars="0"/>
        <w:rPr>
          <w:rFonts w:hint="eastAsia" w:ascii="黑体" w:hAnsi="黑体" w:eastAsia="黑体" w:cs="黑体"/>
          <w:b w:val="0"/>
          <w:sz w:val="30"/>
          <w:szCs w:val="30"/>
        </w:rPr>
      </w:pPr>
      <w:r>
        <w:rPr>
          <w:sz w:val="30"/>
          <w:szCs w:val="30"/>
        </w:rPr>
        <w:t>建筑消防设施维护保养工作内容：</w:t>
      </w:r>
    </w:p>
    <w:p w14:paraId="233646D2">
      <w:pPr>
        <w:pStyle w:val="3"/>
        <w:numPr>
          <w:ilvl w:val="0"/>
          <w:numId w:val="7"/>
        </w:numPr>
        <w:topLinePunct w:val="0"/>
        <w:ind w:left="0" w:leftChars="0" w:firstLine="0" w:firstLineChars="0"/>
        <w:rPr>
          <w:rFonts w:hint="eastAsia" w:ascii="黑体" w:hAnsi="黑体" w:eastAsia="黑体" w:cs="黑体"/>
          <w:b w:val="0"/>
        </w:rPr>
      </w:pPr>
      <w:r>
        <w:t>每月巡查内容：</w:t>
      </w:r>
    </w:p>
    <w:p w14:paraId="60BD8E64">
      <w:pPr>
        <w:pStyle w:val="4"/>
        <w:numPr>
          <w:ilvl w:val="0"/>
          <w:numId w:val="8"/>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消防供配电设施：消防电源工作状态，自备发电设备状况，消防配电房与发电机房环境，消防电源末端切换装置工作状态。</w:t>
      </w:r>
    </w:p>
    <w:p w14:paraId="1E0139EC">
      <w:pPr>
        <w:pStyle w:val="4"/>
        <w:numPr>
          <w:ilvl w:val="0"/>
          <w:numId w:val="8"/>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火灾自动报警系统：火灾报警探测器外观，区域显示器运行状况，CRT图形显示器运行状况，火灾报警控制器运行状况，消防联动控制器外观及运行状况，手动报警按钮外观，火灾警报装置外观，消防控制室工作环境。</w:t>
      </w:r>
    </w:p>
    <w:p w14:paraId="080D4DBD">
      <w:pPr>
        <w:pStyle w:val="4"/>
        <w:numPr>
          <w:ilvl w:val="0"/>
          <w:numId w:val="8"/>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消防供水设施：消防水池外观，消防水箱外观，消防水泵及控制柜工作状态，稳压泵、增压泵与气压水罐工作状态，水泵结合器外观及标识，管网控制阀门启闭状态，泵房工作环境。</w:t>
      </w:r>
    </w:p>
    <w:p w14:paraId="38856DA0">
      <w:pPr>
        <w:pStyle w:val="4"/>
        <w:numPr>
          <w:ilvl w:val="0"/>
          <w:numId w:val="8"/>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消火栓灭火系统：室内消火栓外观，消防卷盘外观，室外消火栓外观，启泵按钮外观。</w:t>
      </w:r>
    </w:p>
    <w:p w14:paraId="3D7BD596">
      <w:pPr>
        <w:pStyle w:val="4"/>
        <w:numPr>
          <w:ilvl w:val="0"/>
          <w:numId w:val="8"/>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自动喷水灭火系统：喷头外观，报警阀组外观，末端试水装置压力值。</w:t>
      </w:r>
    </w:p>
    <w:p w14:paraId="51D1C914">
      <w:pPr>
        <w:pStyle w:val="4"/>
        <w:numPr>
          <w:ilvl w:val="0"/>
          <w:numId w:val="8"/>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气体灭火系统：气体灭火控制器工作状态，储瓶间环境，气体瓶组或储罐外观，选择阀、驱动装置等组件外观，紧急启/停按钮外观，放气指示灯及报警器外观，喷嘴外观，防护区状况。</w:t>
      </w:r>
    </w:p>
    <w:p w14:paraId="51874E15">
      <w:pPr>
        <w:pStyle w:val="4"/>
        <w:numPr>
          <w:ilvl w:val="0"/>
          <w:numId w:val="8"/>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防烟排烟系统：挡烟垂壁外观，送风阀外观，送风机工作状态，排烟阀外观，电动排烟窗外观，自然排烟窗外观，排烟机工作状态，送风与排烟机房环境。</w:t>
      </w:r>
    </w:p>
    <w:p w14:paraId="54C55CF7">
      <w:pPr>
        <w:pStyle w:val="4"/>
        <w:numPr>
          <w:ilvl w:val="0"/>
          <w:numId w:val="8"/>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应急照明和疏散指示标志：应急灯外观，应急灯工作状态，疏散指示标志外观，疏散指示标志工作状态。</w:t>
      </w:r>
    </w:p>
    <w:p w14:paraId="726BB1B0">
      <w:pPr>
        <w:pStyle w:val="4"/>
        <w:numPr>
          <w:ilvl w:val="0"/>
          <w:numId w:val="8"/>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应急广播系统：扬声器外观，扩音机工作状态。</w:t>
      </w:r>
    </w:p>
    <w:p w14:paraId="78C7250A">
      <w:pPr>
        <w:pStyle w:val="4"/>
        <w:numPr>
          <w:ilvl w:val="0"/>
          <w:numId w:val="8"/>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消防专用电话：分机电话外观，插孔电话外观。</w:t>
      </w:r>
    </w:p>
    <w:p w14:paraId="230F1504">
      <w:pPr>
        <w:pStyle w:val="4"/>
        <w:numPr>
          <w:ilvl w:val="0"/>
          <w:numId w:val="8"/>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防火分隔设施：防火门外观，防火门启闭状况，防火卷帘外观，防火卷帘工作状态。</w:t>
      </w:r>
    </w:p>
    <w:p w14:paraId="335DC663">
      <w:pPr>
        <w:pStyle w:val="4"/>
        <w:numPr>
          <w:ilvl w:val="0"/>
          <w:numId w:val="8"/>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消防电梯：紧急按钮外观，轿厢内电话外观，消防电梯工作状态。</w:t>
      </w:r>
    </w:p>
    <w:p w14:paraId="34D6C9F4">
      <w:pPr>
        <w:pStyle w:val="4"/>
        <w:numPr>
          <w:ilvl w:val="0"/>
          <w:numId w:val="8"/>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灭火器：灭火器外观，设置位置状况。</w:t>
      </w:r>
    </w:p>
    <w:p w14:paraId="09CD2769">
      <w:pPr>
        <w:pStyle w:val="3"/>
        <w:numPr>
          <w:ilvl w:val="0"/>
          <w:numId w:val="7"/>
        </w:numPr>
        <w:topLinePunct w:val="0"/>
        <w:ind w:left="0" w:leftChars="0" w:firstLine="0" w:firstLineChars="0"/>
        <w:rPr>
          <w:rFonts w:hint="eastAsia" w:ascii="黑体" w:hAnsi="黑体" w:eastAsia="黑体" w:cs="黑体"/>
          <w:b w:val="0"/>
        </w:rPr>
      </w:pPr>
      <w:r>
        <w:t>每月检查测试内容：</w:t>
      </w:r>
    </w:p>
    <w:p w14:paraId="7A2DA8C7">
      <w:pPr>
        <w:pStyle w:val="4"/>
        <w:numPr>
          <w:ilvl w:val="0"/>
          <w:numId w:val="9"/>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消防供配电设施：消防用电设备电源末级配电箱处主、备电切换功能，发电机自动与手动启动试验，发电机燃料检查。</w:t>
      </w:r>
    </w:p>
    <w:p w14:paraId="3E042283">
      <w:pPr>
        <w:pStyle w:val="4"/>
        <w:numPr>
          <w:ilvl w:val="0"/>
          <w:numId w:val="9"/>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火灾自动报警系统：警报装置的警报功能，火灾报警探测器、手动报警按钮、火灾报警控制器、CRT图形显示器、火灾显示盘的报警显示功能，消防联动控制设备的联动控制与显示功能。其中火灾报警探测器和手动报警按钮的报警功能检查数量不少于总数的5%。</w:t>
      </w:r>
    </w:p>
    <w:p w14:paraId="6F06080E">
      <w:pPr>
        <w:pStyle w:val="4"/>
        <w:numPr>
          <w:ilvl w:val="0"/>
          <w:numId w:val="9"/>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消防供水设施：消防水池与水箱水量，增压设施压力工况，消防水泵及水泵控制柜的启泵和主备泵切换功能，管道阀门启闭功能。</w:t>
      </w:r>
    </w:p>
    <w:p w14:paraId="38856D2A">
      <w:pPr>
        <w:pStyle w:val="4"/>
        <w:numPr>
          <w:ilvl w:val="0"/>
          <w:numId w:val="9"/>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消火栓灭火系统：室内外消火栓、消火栓启泵按钮及系统功能。</w:t>
      </w:r>
      <w:r>
        <w:rPr>
          <w:rFonts w:ascii="Times New Roman" w:hAnsi="Times New Roman" w:eastAsia="宋体" w:cs="Times New Roman"/>
          <w:sz w:val="24"/>
          <w:szCs w:val="24"/>
          <w:u w:val="single" w:color="auto"/>
        </w:rPr>
        <w:t>检查数量不少于总数量的25%。</w:t>
      </w:r>
    </w:p>
    <w:p w14:paraId="3AA850F4">
      <w:pPr>
        <w:pStyle w:val="4"/>
        <w:numPr>
          <w:ilvl w:val="0"/>
          <w:numId w:val="9"/>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自动喷水灭火系统：报警阀组放水，末端试水装置放水。</w:t>
      </w:r>
      <w:r>
        <w:rPr>
          <w:rFonts w:ascii="Times New Roman" w:hAnsi="Times New Roman" w:eastAsia="宋体" w:cs="Times New Roman"/>
          <w:sz w:val="24"/>
          <w:szCs w:val="24"/>
          <w:u w:val="single" w:color="auto"/>
        </w:rPr>
        <w:t>其中末端试水装置放水检查数量不少于总数量的25%。</w:t>
      </w:r>
    </w:p>
    <w:p w14:paraId="65758381">
      <w:pPr>
        <w:pStyle w:val="4"/>
        <w:numPr>
          <w:ilvl w:val="0"/>
          <w:numId w:val="9"/>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气体灭火系统：灭火剂储存量，模拟自动启动系统功能。</w:t>
      </w:r>
    </w:p>
    <w:p w14:paraId="4642EEB7">
      <w:pPr>
        <w:pStyle w:val="4"/>
        <w:numPr>
          <w:ilvl w:val="0"/>
          <w:numId w:val="9"/>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防烟和排烟设施：机械加压送风机及其系统功能、送风机控制柜；机械排烟风机、排烟阀及其系统功能、排烟风机控制柜；电动排烟窗启、闭功能。</w:t>
      </w:r>
    </w:p>
    <w:p w14:paraId="320E2333">
      <w:pPr>
        <w:pStyle w:val="4"/>
        <w:numPr>
          <w:ilvl w:val="0"/>
          <w:numId w:val="9"/>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应急照明、疏散指示标志：电源切换和充电功能，标识正确性。</w:t>
      </w:r>
    </w:p>
    <w:p w14:paraId="2B5F0CD2">
      <w:pPr>
        <w:pStyle w:val="4"/>
        <w:numPr>
          <w:ilvl w:val="0"/>
          <w:numId w:val="9"/>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消防电话和应急广播：通话与广播质量，应急情况下强制切换功能。</w:t>
      </w:r>
    </w:p>
    <w:p w14:paraId="1A982367">
      <w:pPr>
        <w:pStyle w:val="4"/>
        <w:numPr>
          <w:ilvl w:val="0"/>
          <w:numId w:val="9"/>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防火分隔设施：防火门启闭功能，防火卷帘自动启动和现场手动功能，电动防火门联动功能，电动防火阀的启、闭功能。</w:t>
      </w:r>
    </w:p>
    <w:p w14:paraId="6A4D3BAE">
      <w:pPr>
        <w:pStyle w:val="4"/>
        <w:numPr>
          <w:ilvl w:val="0"/>
          <w:numId w:val="9"/>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消防电梯：首层按钮控制和联动电梯返回首层功能，电梯轿厢内消防电话，电梯井排水设备。</w:t>
      </w:r>
    </w:p>
    <w:p w14:paraId="192F33B4">
      <w:pPr>
        <w:pStyle w:val="4"/>
        <w:numPr>
          <w:ilvl w:val="0"/>
          <w:numId w:val="9"/>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灭火器：检查灭火器型号、压力值和维护期限。</w:t>
      </w:r>
      <w:r>
        <w:rPr>
          <w:rFonts w:ascii="Times New Roman" w:hAnsi="Times New Roman" w:eastAsia="宋体" w:cs="Times New Roman"/>
          <w:sz w:val="24"/>
          <w:szCs w:val="24"/>
          <w:u w:val="single" w:color="auto"/>
        </w:rPr>
        <w:t>检查数量不少于总数量的5%</w:t>
      </w:r>
      <w:r>
        <w:rPr>
          <w:rFonts w:ascii="Times New Roman" w:hAnsi="Times New Roman" w:eastAsia="宋体" w:cs="Times New Roman"/>
          <w:sz w:val="24"/>
          <w:szCs w:val="24"/>
        </w:rPr>
        <w:t>。</w:t>
      </w:r>
    </w:p>
    <w:p w14:paraId="373A8ABF">
      <w:pPr>
        <w:pStyle w:val="3"/>
        <w:numPr>
          <w:ilvl w:val="0"/>
          <w:numId w:val="7"/>
        </w:numPr>
        <w:topLinePunct w:val="0"/>
        <w:ind w:left="0" w:leftChars="0" w:firstLine="0" w:firstLineChars="0"/>
        <w:rPr>
          <w:rFonts w:hint="eastAsia" w:ascii="黑体" w:hAnsi="黑体" w:eastAsia="黑体" w:cs="黑体"/>
          <w:b w:val="0"/>
        </w:rPr>
      </w:pPr>
      <w:r>
        <w:t>每年联动检查内容：</w:t>
      </w:r>
    </w:p>
    <w:p w14:paraId="04C625CD">
      <w:pPr>
        <w:pStyle w:val="4"/>
        <w:numPr>
          <w:ilvl w:val="0"/>
          <w:numId w:val="10"/>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消防供电设施供电功能和主备电源切换功能检查，检验供电能力。</w:t>
      </w:r>
    </w:p>
    <w:p w14:paraId="2611CB17">
      <w:pPr>
        <w:pStyle w:val="4"/>
        <w:numPr>
          <w:ilvl w:val="0"/>
          <w:numId w:val="10"/>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火灾自动报警装置每层、每回路报警系统和联动控制设备的功能试验。每12个月对每只探测器、手动报警按钮检查不少于1次。</w:t>
      </w:r>
    </w:p>
    <w:p w14:paraId="68631350">
      <w:pPr>
        <w:pStyle w:val="4"/>
        <w:numPr>
          <w:ilvl w:val="0"/>
          <w:numId w:val="10"/>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自动喷水灭火系统在末端放水，进行系统功能联动试验，水流指示器报警，压力开关、水力警铃动作。对消防设施上的仪器仪表进行校验；每12个月对每个末端放水阀的检查不少于1次。</w:t>
      </w:r>
    </w:p>
    <w:p w14:paraId="79069397">
      <w:pPr>
        <w:pStyle w:val="4"/>
        <w:numPr>
          <w:ilvl w:val="0"/>
          <w:numId w:val="1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消防给水系统最不利点消火栓出水测试，分别采用消防水箱和消防水泵供水方式。每12个月累计对每个消火栓、卷盘的检查不少于1次。</w:t>
      </w:r>
    </w:p>
    <w:p w14:paraId="6EB452C1">
      <w:pPr>
        <w:pStyle w:val="4"/>
        <w:numPr>
          <w:ilvl w:val="0"/>
          <w:numId w:val="1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通过报警联动机制，检验系统功能并开展模拟喷气试验；校验仪器仪表，对存储容器进行称重检查。</w:t>
      </w:r>
    </w:p>
    <w:p w14:paraId="5FAB524D">
      <w:pPr>
        <w:pStyle w:val="4"/>
        <w:numPr>
          <w:ilvl w:val="0"/>
          <w:numId w:val="1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通过报警联动，依次检查电梯迫降功能、防火卷帘门及防火门功能、消防广播切换功能、应急照明与疏散指示标志功能、正压送风或机械排烟系统功能，并测试风速、风压值。</w:t>
      </w:r>
    </w:p>
    <w:p w14:paraId="16C710A9">
      <w:pPr>
        <w:pStyle w:val="4"/>
        <w:numPr>
          <w:ilvl w:val="0"/>
          <w:numId w:val="10"/>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每12个月对每只灭火器的选型、压力及有效期检查不少于1次。</w:t>
      </w:r>
    </w:p>
    <w:p w14:paraId="2AB0D62B">
      <w:pPr>
        <w:pStyle w:val="2"/>
        <w:numPr>
          <w:ilvl w:val="0"/>
          <w:numId w:val="0"/>
        </w:numPr>
        <w:topLinePunct w:val="0"/>
        <w:ind w:leftChars="0"/>
        <w:rPr>
          <w:rFonts w:hint="eastAsia"/>
          <w:sz w:val="30"/>
          <w:szCs w:val="30"/>
        </w:rPr>
      </w:pPr>
      <w:r>
        <w:rPr>
          <w:rFonts w:hint="eastAsia"/>
          <w:sz w:val="30"/>
          <w:szCs w:val="30"/>
          <w:lang w:eastAsia="zh-CN"/>
        </w:rPr>
        <w:t>五、</w:t>
      </w:r>
      <w:r>
        <w:rPr>
          <w:sz w:val="30"/>
          <w:szCs w:val="30"/>
        </w:rPr>
        <w:t>其他要求</w:t>
      </w:r>
    </w:p>
    <w:p w14:paraId="3C8F5DD8">
      <w:pPr>
        <w:pStyle w:val="4"/>
        <w:numPr>
          <w:ilvl w:val="0"/>
          <w:numId w:val="1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严格依照《建筑消防设施的维护管理》GB25201-2010标准执行，做好维保范围内消防设施的日常检查、检测、维护保养及资料建档工作，确保医院消防设施随时处于良好运行状态。</w:t>
      </w:r>
    </w:p>
    <w:p w14:paraId="54C75522">
      <w:pPr>
        <w:pStyle w:val="4"/>
        <w:numPr>
          <w:ilvl w:val="0"/>
          <w:numId w:val="11"/>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参与维保的队伍人员需满足以下要求：</w:t>
      </w:r>
    </w:p>
    <w:p w14:paraId="120B1A7C">
      <w:pPr>
        <w:pStyle w:val="4"/>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维保项目人员应具备相应工种中级以上职称或资质证书，拥有相关项目维保经验，善于沟通，具备较强的统筹规划能力与业务能力。负责消防维保工作的具体实施，包括消防设施的维修、测试、安装、更换等，需持有机电类工程师证书或相关工程专业技术岗位证书（如质量员、安全员证书等）及建（构）筑消防员证，服从管理，具备较强的动手能力与执行力。</w:t>
      </w:r>
    </w:p>
    <w:p w14:paraId="547F2525">
      <w:pPr>
        <w:pStyle w:val="4"/>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值班人员</w:t>
      </w:r>
      <w:r>
        <w:rPr>
          <w:rFonts w:ascii="Times New Roman" w:hAnsi="Times New Roman" w:eastAsia="宋体" w:cs="Times New Roman"/>
          <w:color w:val="auto"/>
          <w:sz w:val="24"/>
        </w:rPr>
        <w:t>实行24小时值班制，保持通信畅通，确保医院</w:t>
      </w:r>
      <w:r>
        <w:rPr>
          <w:rFonts w:hint="eastAsia" w:cs="Times New Roman"/>
          <w:color w:val="auto"/>
          <w:sz w:val="24"/>
          <w:lang w:eastAsia="zh-CN"/>
        </w:rPr>
        <w:t>消防设施</w:t>
      </w:r>
      <w:r>
        <w:rPr>
          <w:rFonts w:ascii="Times New Roman" w:hAnsi="Times New Roman" w:eastAsia="宋体" w:cs="Times New Roman"/>
          <w:color w:val="auto"/>
          <w:sz w:val="24"/>
        </w:rPr>
        <w:t>的正常运行。</w:t>
      </w:r>
    </w:p>
    <w:p w14:paraId="10B7D7EB">
      <w:pPr>
        <w:pStyle w:val="4"/>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消防设施误报率应符合国家标准，报警出现后需立即前往现场处理并查明原因；确认为误报时，须在四小时内处理完毕并做好记录。维保人员定期对设备运行情况进行巡检，发现问题应立即处理。常见问题处理完毕后，须另报甲方保卫科备案；对无法及时处理或涉及需更换材料且数额较大的情况，应以书面形式及时向甲方汇报，甲方现场核实后，应尽快将书面处理意见反馈乙方。期间乙方须采取相应应急处理措施，保障安全。</w:t>
      </w:r>
    </w:p>
    <w:p w14:paraId="37FBC6AD">
      <w:pPr>
        <w:pStyle w:val="4"/>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在火灾、消防水管爆裂等紧急情况发生时，须在</w:t>
      </w:r>
      <w:r>
        <w:rPr>
          <w:rFonts w:hint="eastAsia" w:cs="Times New Roman"/>
          <w:sz w:val="24"/>
          <w:szCs w:val="24"/>
          <w:lang w:val="en-US" w:eastAsia="zh-CN"/>
        </w:rPr>
        <w:t>5</w:t>
      </w:r>
      <w:r>
        <w:rPr>
          <w:rFonts w:ascii="Times New Roman" w:hAnsi="Times New Roman" w:eastAsia="宋体" w:cs="Times New Roman"/>
          <w:sz w:val="24"/>
          <w:szCs w:val="24"/>
        </w:rPr>
        <w:t>分钟内到达现场进行事故应急处理。</w:t>
      </w:r>
    </w:p>
    <w:p w14:paraId="2846DA3B">
      <w:pPr>
        <w:pStyle w:val="4"/>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对维护范围内的消防设施，按日、周、月、季、半年、年等周期逐个开展单项或系统检查；每月向甲方汇报下月维护保养工作内容，在做好相关记录的同时，于每月初将上月检查情况提交甲方；</w:t>
      </w:r>
      <w:r>
        <w:rPr>
          <w:rFonts w:hint="eastAsia" w:cs="Times New Roman"/>
          <w:sz w:val="24"/>
          <w:szCs w:val="24"/>
          <w:lang w:eastAsia="zh-CN"/>
        </w:rPr>
        <w:t>每个支付周期进行考核，考核表附后，支付比例按考核相应得分支付，如考核得分低于要求，我方有权解除合同。</w:t>
      </w:r>
    </w:p>
    <w:p w14:paraId="11571F02">
      <w:pPr>
        <w:pStyle w:val="4"/>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每月第一周，向甲方书面提交具体维保设施的位置、名称，提出正常维保所需备品、配件、材料及相关型号，并说明更换维保理由，由甲方确认后负责采购。特别紧急情况下的应急用配件、材料，若甲方来不及按正常程序采购，经甲方保卫科现场确认后，可由乙方临时采购，但需向甲方提供正规发票及相关购入配件或设施的材质资料，价格不得高于市场价，相关费用由甲方承担。</w:t>
      </w:r>
    </w:p>
    <w:p w14:paraId="40BB0753">
      <w:pPr>
        <w:pStyle w:val="4"/>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因乙方专职维保人员配置不足或维保技术水平、质量等问题，导致甲方消防设备维护不及时且超过7天的，每次扣除500元；由于乙方专职维保人员配置不足、不到位或维保技术水平、质量等问题，致使消防设备无法正常运行并造成经济损失的，乙方须承担相应经济和法律责任。</w:t>
      </w:r>
    </w:p>
    <w:p w14:paraId="3350CC3A">
      <w:pPr>
        <w:pStyle w:val="4"/>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因甲方原因，如原系统违反消防规范要求、原设计不合理或设备及原安装本身存在固有质量问题等导致的不良后果，责任不由乙方承担。但乙方须在合同执行一个月内以书面形式具体说明，并提出改进方案，配合甲方进行整改。</w:t>
      </w:r>
    </w:p>
    <w:p w14:paraId="6812FD14">
      <w:pPr>
        <w:pStyle w:val="4"/>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对下列重大问题向甲方及时提出整改意见，并报请甲方对其消防设施进行整改或更换。</w:t>
      </w:r>
    </w:p>
    <w:p w14:paraId="77864924">
      <w:pPr>
        <w:pStyle w:val="4"/>
        <w:numPr>
          <w:ilvl w:val="0"/>
          <w:numId w:val="13"/>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因设备老化，导致消防设施出现重大故障或功能瘫痪。</w:t>
      </w:r>
    </w:p>
    <w:p w14:paraId="5B0622D6">
      <w:pPr>
        <w:pStyle w:val="4"/>
        <w:numPr>
          <w:ilvl w:val="0"/>
          <w:numId w:val="13"/>
        </w:numPr>
        <w:ind w:left="0" w:leftChars="0" w:firstLine="480" w:firstLineChars="0"/>
        <w:rPr>
          <w:rFonts w:hint="eastAsia" w:ascii="宋体" w:hAnsi="宋体" w:eastAsia="宋体" w:cs="宋体"/>
          <w:b w:val="0"/>
          <w:sz w:val="24"/>
          <w:szCs w:val="24"/>
        </w:rPr>
      </w:pPr>
      <w:r>
        <w:rPr>
          <w:rFonts w:ascii="Times New Roman" w:hAnsi="Times New Roman" w:eastAsia="宋体" w:cs="Times New Roman"/>
          <w:sz w:val="24"/>
          <w:szCs w:val="24"/>
        </w:rPr>
        <w:t>消防设施已被淘汰，或其品牌不明、相关资料不齐，零配件无法保障供应。</w:t>
      </w:r>
    </w:p>
    <w:p w14:paraId="45976726">
      <w:pPr>
        <w:pStyle w:val="4"/>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甲方如有装修改造项目，涉及消防系统的费用由甲方承担；若不涉及消防系统改动，则由乙方负责恢复。</w:t>
      </w:r>
    </w:p>
    <w:p w14:paraId="77766254">
      <w:pPr>
        <w:pStyle w:val="4"/>
        <w:numPr>
          <w:ilvl w:val="0"/>
          <w:numId w:val="12"/>
        </w:numPr>
        <w:ind w:left="0" w:leftChars="0" w:firstLine="480" w:firstLineChars="0"/>
        <w:rPr>
          <w:rFonts w:ascii="Times New Roman" w:hAnsi="Times New Roman" w:eastAsia="宋体" w:cs="Times New Roman"/>
          <w:b w:val="0"/>
          <w:sz w:val="24"/>
          <w:szCs w:val="24"/>
        </w:rPr>
      </w:pPr>
      <w:r>
        <w:rPr>
          <w:rFonts w:ascii="Times New Roman" w:hAnsi="Times New Roman" w:eastAsia="宋体" w:cs="Times New Roman"/>
          <w:sz w:val="24"/>
          <w:szCs w:val="24"/>
        </w:rPr>
        <w:t>及时有效配合公安消防监督机关、各级卫生健康委员会等部门开展消防检查，确保甲方通过检查。</w:t>
      </w:r>
    </w:p>
    <w:p w14:paraId="68145F43">
      <w:pPr>
        <w:pStyle w:val="4"/>
        <w:numPr>
          <w:ilvl w:val="0"/>
          <w:numId w:val="12"/>
        </w:numPr>
        <w:ind w:left="0" w:leftChars="0" w:firstLine="480" w:firstLineChars="0"/>
        <w:rPr>
          <w:rFonts w:ascii="Times New Roman" w:hAnsi="Times New Roman" w:eastAsia="宋体" w:cs="Times New Roman"/>
          <w:sz w:val="24"/>
          <w:szCs w:val="24"/>
        </w:rPr>
      </w:pPr>
      <w:r>
        <w:rPr>
          <w:rFonts w:ascii="Times New Roman" w:hAnsi="Times New Roman" w:eastAsia="宋体" w:cs="Times New Roman"/>
          <w:sz w:val="24"/>
          <w:szCs w:val="24"/>
        </w:rPr>
        <w:t>严格遵守甲方相关规章制度，配合甲方开展内部消防安全检查及消防安全演练。</w:t>
      </w:r>
    </w:p>
    <w:tbl>
      <w:tblPr>
        <w:tblStyle w:val="6"/>
        <w:tblW w:w="99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9"/>
        <w:gridCol w:w="2233"/>
        <w:gridCol w:w="838"/>
        <w:gridCol w:w="5511"/>
        <w:gridCol w:w="799"/>
      </w:tblGrid>
      <w:tr w14:paraId="51507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6" w:hRule="atLeast"/>
        </w:trPr>
        <w:tc>
          <w:tcPr>
            <w:tcW w:w="9960" w:type="dxa"/>
            <w:gridSpan w:val="5"/>
            <w:tcBorders>
              <w:top w:val="nil"/>
              <w:left w:val="nil"/>
              <w:bottom w:val="nil"/>
              <w:right w:val="nil"/>
            </w:tcBorders>
            <w:shd w:val="clear" w:color="auto" w:fill="auto"/>
            <w:vAlign w:val="center"/>
          </w:tcPr>
          <w:p w14:paraId="64C97D76">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608104A9">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73738B20">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0081A8B3">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20634BE5">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3932E626">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413B273E">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36832B35">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7D444339">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5139CE49">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5BDA564C">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3C784F2E">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6F76A28E">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38C875B9">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37D0FF5B">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12DC6428">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6E07FDD1">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5ABC1F0D">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282E5FAE">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p>
          <w:p w14:paraId="6F4E60A0">
            <w:pPr>
              <w:keepNext w:val="0"/>
              <w:keepLines w:val="0"/>
              <w:widowControl/>
              <w:suppressLineNumbers w:val="0"/>
              <w:jc w:val="left"/>
              <w:textAlignment w:val="center"/>
              <w:rPr>
                <w:rFonts w:hint="eastAsia" w:ascii="宋体" w:hAnsi="宋体" w:eastAsia="宋体" w:cs="宋体"/>
                <w:b/>
                <w:bCs/>
                <w:i w:val="0"/>
                <w:iCs w:val="0"/>
                <w:color w:val="0F1115"/>
                <w:kern w:val="0"/>
                <w:sz w:val="24"/>
                <w:szCs w:val="24"/>
                <w:u w:val="none"/>
                <w:lang w:val="en-US" w:eastAsia="zh-CN" w:bidi="ar"/>
              </w:rPr>
            </w:pPr>
            <w:r>
              <w:rPr>
                <w:rFonts w:hint="eastAsia" w:ascii="宋体" w:hAnsi="宋体" w:eastAsia="宋体" w:cs="宋体"/>
                <w:b/>
                <w:bCs/>
                <w:i w:val="0"/>
                <w:iCs w:val="0"/>
                <w:color w:val="0F1115"/>
                <w:kern w:val="0"/>
                <w:sz w:val="24"/>
                <w:szCs w:val="24"/>
                <w:u w:val="none"/>
                <w:lang w:val="en-US" w:eastAsia="zh-CN" w:bidi="ar"/>
              </w:rPr>
              <w:t>附件1</w:t>
            </w:r>
          </w:p>
          <w:p w14:paraId="3C1EBB9A">
            <w:pPr>
              <w:keepNext w:val="0"/>
              <w:keepLines w:val="0"/>
              <w:widowControl/>
              <w:suppressLineNumbers w:val="0"/>
              <w:jc w:val="center"/>
              <w:textAlignment w:val="center"/>
              <w:rPr>
                <w:rFonts w:hint="eastAsia" w:ascii="宋体" w:hAnsi="宋体" w:eastAsia="宋体" w:cs="宋体"/>
                <w:b/>
                <w:bCs/>
                <w:i w:val="0"/>
                <w:iCs w:val="0"/>
                <w:color w:val="0F1115"/>
                <w:kern w:val="0"/>
                <w:sz w:val="40"/>
                <w:szCs w:val="40"/>
                <w:u w:val="none"/>
                <w:lang w:val="en-US" w:eastAsia="zh-CN" w:bidi="ar"/>
              </w:rPr>
            </w:pPr>
            <w:r>
              <w:rPr>
                <w:rFonts w:hint="eastAsia" w:ascii="宋体" w:hAnsi="宋体" w:eastAsia="宋体" w:cs="宋体"/>
                <w:b/>
                <w:bCs/>
                <w:i w:val="0"/>
                <w:iCs w:val="0"/>
                <w:color w:val="0F1115"/>
                <w:kern w:val="0"/>
                <w:sz w:val="40"/>
                <w:szCs w:val="40"/>
                <w:u w:val="none"/>
                <w:lang w:val="en-US" w:eastAsia="zh-CN" w:bidi="ar"/>
              </w:rPr>
              <w:t>娄底市中心医院医院（娄底医院）消防维护保养</w:t>
            </w:r>
          </w:p>
          <w:p w14:paraId="0A4F6429">
            <w:pPr>
              <w:keepNext w:val="0"/>
              <w:keepLines w:val="0"/>
              <w:widowControl/>
              <w:suppressLineNumbers w:val="0"/>
              <w:jc w:val="center"/>
              <w:textAlignment w:val="center"/>
              <w:rPr>
                <w:rFonts w:hint="eastAsia" w:ascii="宋体" w:hAnsi="宋体" w:eastAsia="宋体" w:cs="宋体"/>
                <w:b/>
                <w:bCs/>
                <w:i w:val="0"/>
                <w:iCs w:val="0"/>
                <w:color w:val="0F1115"/>
                <w:sz w:val="44"/>
                <w:szCs w:val="44"/>
                <w:u w:val="none"/>
              </w:rPr>
            </w:pPr>
            <w:r>
              <w:rPr>
                <w:rFonts w:hint="eastAsia" w:ascii="宋体" w:hAnsi="宋体" w:eastAsia="宋体" w:cs="宋体"/>
                <w:b/>
                <w:bCs/>
                <w:i w:val="0"/>
                <w:iCs w:val="0"/>
                <w:color w:val="0F1115"/>
                <w:kern w:val="0"/>
                <w:sz w:val="40"/>
                <w:szCs w:val="40"/>
                <w:u w:val="none"/>
                <w:lang w:val="en-US" w:eastAsia="zh-CN" w:bidi="ar"/>
              </w:rPr>
              <w:t>周期考核表（     年</w:t>
            </w:r>
            <w:r>
              <w:rPr>
                <w:rStyle w:val="9"/>
                <w:sz w:val="40"/>
                <w:szCs w:val="40"/>
                <w:lang w:val="en-US" w:eastAsia="zh-CN" w:bidi="ar"/>
              </w:rPr>
              <w:t>）</w:t>
            </w:r>
          </w:p>
        </w:tc>
      </w:tr>
      <w:tr w14:paraId="2141D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9960" w:type="dxa"/>
            <w:gridSpan w:val="5"/>
            <w:tcBorders>
              <w:top w:val="nil"/>
              <w:left w:val="nil"/>
              <w:bottom w:val="nil"/>
              <w:right w:val="nil"/>
            </w:tcBorders>
            <w:shd w:val="clear" w:color="auto" w:fill="auto"/>
            <w:vAlign w:val="center"/>
          </w:tcPr>
          <w:p w14:paraId="05A5DF25">
            <w:pPr>
              <w:keepNext w:val="0"/>
              <w:keepLines w:val="0"/>
              <w:widowControl/>
              <w:suppressLineNumbers w:val="0"/>
              <w:jc w:val="left"/>
              <w:textAlignment w:val="center"/>
              <w:rPr>
                <w:rFonts w:hint="eastAsia" w:ascii="宋体" w:hAnsi="宋体" w:eastAsia="宋体" w:cs="宋体"/>
                <w:i w:val="0"/>
                <w:iCs w:val="0"/>
                <w:color w:val="0F1115"/>
                <w:sz w:val="24"/>
                <w:szCs w:val="24"/>
                <w:u w:val="none"/>
              </w:rPr>
            </w:pPr>
            <w:r>
              <w:rPr>
                <w:rFonts w:hint="eastAsia" w:ascii="宋体" w:hAnsi="宋体" w:eastAsia="宋体" w:cs="宋体"/>
                <w:i w:val="0"/>
                <w:iCs w:val="0"/>
                <w:color w:val="0F1115"/>
                <w:kern w:val="0"/>
                <w:sz w:val="24"/>
                <w:szCs w:val="24"/>
                <w:u w:val="none"/>
                <w:lang w:val="en-US" w:eastAsia="zh-CN" w:bidi="ar"/>
              </w:rPr>
              <w:t>维保单位：</w:t>
            </w:r>
            <w:r>
              <w:rPr>
                <w:rFonts w:hint="eastAsia" w:ascii="宋体" w:hAnsi="宋体" w:eastAsia="宋体" w:cs="宋体"/>
                <w:i w:val="0"/>
                <w:iCs w:val="0"/>
                <w:color w:val="0F1115"/>
                <w:kern w:val="0"/>
                <w:sz w:val="24"/>
                <w:szCs w:val="24"/>
                <w:u w:val="single"/>
                <w:lang w:val="en-US" w:eastAsia="zh-CN" w:bidi="ar"/>
              </w:rPr>
              <w:t xml:space="preserve">               </w:t>
            </w:r>
            <w:r>
              <w:rPr>
                <w:rStyle w:val="10"/>
                <w:lang w:val="en-US" w:eastAsia="zh-CN" w:bidi="ar"/>
              </w:rPr>
              <w:t>考核周期（三个月）：</w:t>
            </w:r>
            <w:r>
              <w:rPr>
                <w:rStyle w:val="11"/>
                <w:rFonts w:hint="eastAsia"/>
                <w:lang w:val="en-US" w:eastAsia="zh-CN" w:bidi="ar"/>
              </w:rPr>
              <w:t xml:space="preserve">    </w:t>
            </w:r>
            <w:r>
              <w:rPr>
                <w:rStyle w:val="10"/>
                <w:lang w:val="en-US" w:eastAsia="zh-CN" w:bidi="ar"/>
              </w:rPr>
              <w:t>年</w:t>
            </w:r>
            <w:r>
              <w:rPr>
                <w:rStyle w:val="11"/>
                <w:rFonts w:hint="eastAsia"/>
                <w:lang w:val="en-US" w:eastAsia="zh-CN" w:bidi="ar"/>
              </w:rPr>
              <w:t xml:space="preserve">   </w:t>
            </w:r>
            <w:r>
              <w:rPr>
                <w:rStyle w:val="10"/>
                <w:lang w:val="en-US" w:eastAsia="zh-CN" w:bidi="ar"/>
              </w:rPr>
              <w:t>月</w:t>
            </w:r>
            <w:r>
              <w:rPr>
                <w:rStyle w:val="11"/>
                <w:rFonts w:hint="eastAsia"/>
                <w:lang w:val="en-US" w:eastAsia="zh-CN" w:bidi="ar"/>
              </w:rPr>
              <w:t xml:space="preserve">--   </w:t>
            </w:r>
            <w:r>
              <w:rPr>
                <w:rStyle w:val="10"/>
                <w:lang w:val="en-US" w:eastAsia="zh-CN" w:bidi="ar"/>
              </w:rPr>
              <w:t>年</w:t>
            </w:r>
            <w:r>
              <w:rPr>
                <w:rStyle w:val="10"/>
                <w:rFonts w:hint="eastAsia"/>
                <w:lang w:val="en-US" w:eastAsia="zh-CN" w:bidi="ar"/>
              </w:rPr>
              <w:t xml:space="preserve">  </w:t>
            </w:r>
            <w:r>
              <w:rPr>
                <w:rStyle w:val="10"/>
                <w:lang w:val="en-US" w:eastAsia="zh-CN" w:bidi="ar"/>
              </w:rPr>
              <w:t>月</w:t>
            </w:r>
            <w:r>
              <w:rPr>
                <w:rStyle w:val="10"/>
                <w:rFonts w:hint="eastAsia"/>
                <w:lang w:val="en-US" w:eastAsia="zh-CN" w:bidi="ar"/>
              </w:rPr>
              <w:t xml:space="preserve"> </w:t>
            </w:r>
            <w:r>
              <w:rPr>
                <w:rStyle w:val="10"/>
                <w:lang w:val="en-US" w:eastAsia="zh-CN" w:bidi="ar"/>
              </w:rPr>
              <w:t>考核日期：</w:t>
            </w:r>
            <w:r>
              <w:rPr>
                <w:rStyle w:val="11"/>
                <w:lang w:val="en-US" w:eastAsia="zh-CN" w:bidi="ar"/>
              </w:rPr>
              <w:t xml:space="preserve"> ________</w:t>
            </w:r>
          </w:p>
        </w:tc>
      </w:tr>
      <w:tr w14:paraId="36190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99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57137A">
            <w:pPr>
              <w:keepNext w:val="0"/>
              <w:keepLines w:val="0"/>
              <w:widowControl/>
              <w:suppressLineNumbers w:val="0"/>
              <w:jc w:val="center"/>
              <w:textAlignment w:val="center"/>
              <w:rPr>
                <w:rFonts w:hint="eastAsia" w:ascii="仿宋" w:hAnsi="仿宋" w:eastAsia="仿宋" w:cs="仿宋"/>
                <w:b/>
                <w:bCs/>
                <w:i w:val="0"/>
                <w:iCs w:val="0"/>
                <w:color w:val="0F1115"/>
                <w:sz w:val="24"/>
                <w:szCs w:val="24"/>
                <w:u w:val="none"/>
              </w:rPr>
            </w:pPr>
            <w:r>
              <w:rPr>
                <w:rFonts w:hint="eastAsia" w:ascii="仿宋" w:hAnsi="仿宋" w:eastAsia="仿宋" w:cs="仿宋"/>
                <w:b/>
                <w:bCs/>
                <w:i w:val="0"/>
                <w:iCs w:val="0"/>
                <w:color w:val="0F1115"/>
                <w:kern w:val="0"/>
                <w:sz w:val="24"/>
                <w:szCs w:val="24"/>
                <w:u w:val="none"/>
                <w:lang w:val="en-US" w:eastAsia="zh-CN" w:bidi="ar"/>
              </w:rPr>
              <w:t>考核评分总表（满分100分）</w:t>
            </w:r>
          </w:p>
        </w:tc>
      </w:tr>
      <w:tr w14:paraId="3743A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579" w:type="dxa"/>
            <w:tcBorders>
              <w:top w:val="single" w:color="000000" w:sz="4" w:space="0"/>
              <w:left w:val="single" w:color="000000" w:sz="4" w:space="0"/>
              <w:bottom w:val="single" w:color="auto" w:sz="4" w:space="0"/>
              <w:right w:val="single" w:color="000000" w:sz="4" w:space="0"/>
            </w:tcBorders>
            <w:shd w:val="clear" w:color="auto" w:fill="auto"/>
            <w:vAlign w:val="center"/>
          </w:tcPr>
          <w:p w14:paraId="3FDCA888">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2233" w:type="dxa"/>
            <w:tcBorders>
              <w:top w:val="nil"/>
              <w:left w:val="nil"/>
              <w:bottom w:val="nil"/>
              <w:right w:val="nil"/>
            </w:tcBorders>
            <w:shd w:val="clear" w:color="auto" w:fill="auto"/>
            <w:noWrap/>
            <w:vAlign w:val="center"/>
          </w:tcPr>
          <w:p w14:paraId="216DDC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考核项目</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BEF4">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分值</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59D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评分标准</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73F7A">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得分</w:t>
            </w:r>
          </w:p>
        </w:tc>
      </w:tr>
      <w:tr w14:paraId="0FEFF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5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23EA7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2233" w:type="dxa"/>
            <w:tcBorders>
              <w:top w:val="single" w:color="000000" w:sz="4" w:space="0"/>
              <w:left w:val="single" w:color="auto" w:sz="4" w:space="0"/>
              <w:bottom w:val="single" w:color="000000" w:sz="4" w:space="0"/>
              <w:right w:val="single" w:color="000000" w:sz="4" w:space="0"/>
            </w:tcBorders>
            <w:shd w:val="clear" w:color="auto" w:fill="auto"/>
            <w:vAlign w:val="center"/>
          </w:tcPr>
          <w:p w14:paraId="5E4A5F8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每日巡查完成率</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706B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15分</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4E53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缺1天扣0.5分，扣完为止</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028F">
            <w:pPr>
              <w:rPr>
                <w:rFonts w:hint="eastAsia" w:ascii="仿宋" w:hAnsi="仿宋" w:eastAsia="仿宋" w:cs="仿宋"/>
                <w:i w:val="0"/>
                <w:iCs w:val="0"/>
                <w:color w:val="000000"/>
                <w:sz w:val="24"/>
                <w:szCs w:val="24"/>
                <w:u w:val="none"/>
              </w:rPr>
            </w:pPr>
          </w:p>
        </w:tc>
      </w:tr>
      <w:tr w14:paraId="0C0D1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9703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2233" w:type="dxa"/>
            <w:tcBorders>
              <w:top w:val="single" w:color="000000" w:sz="4" w:space="0"/>
              <w:left w:val="single" w:color="auto" w:sz="4" w:space="0"/>
              <w:bottom w:val="single" w:color="000000" w:sz="4" w:space="0"/>
              <w:right w:val="single" w:color="000000" w:sz="4" w:space="0"/>
            </w:tcBorders>
            <w:shd w:val="clear" w:color="auto" w:fill="auto"/>
            <w:vAlign w:val="center"/>
          </w:tcPr>
          <w:p w14:paraId="2337393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每日巡查记录质量</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62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10分</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37F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记录不完整或代签，每处扣0.5分</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D00A">
            <w:pPr>
              <w:rPr>
                <w:rFonts w:hint="eastAsia" w:ascii="仿宋" w:hAnsi="仿宋" w:eastAsia="仿宋" w:cs="仿宋"/>
                <w:i w:val="0"/>
                <w:iCs w:val="0"/>
                <w:color w:val="000000"/>
                <w:sz w:val="24"/>
                <w:szCs w:val="24"/>
                <w:u w:val="none"/>
              </w:rPr>
            </w:pPr>
          </w:p>
        </w:tc>
      </w:tr>
      <w:tr w14:paraId="161D7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5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E0857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2233" w:type="dxa"/>
            <w:tcBorders>
              <w:top w:val="single" w:color="000000" w:sz="4" w:space="0"/>
              <w:left w:val="single" w:color="auto" w:sz="4" w:space="0"/>
              <w:bottom w:val="single" w:color="000000" w:sz="4" w:space="0"/>
              <w:right w:val="single" w:color="000000" w:sz="4" w:space="0"/>
            </w:tcBorders>
            <w:shd w:val="clear" w:color="auto" w:fill="auto"/>
            <w:vAlign w:val="center"/>
          </w:tcPr>
          <w:p w14:paraId="35BF18F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每月检查完成率</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2DE2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15分</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B18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缺1个月扣5分，扣完为止</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9CD0">
            <w:pPr>
              <w:rPr>
                <w:rFonts w:hint="eastAsia" w:ascii="仿宋" w:hAnsi="仿宋" w:eastAsia="仿宋" w:cs="仿宋"/>
                <w:i w:val="0"/>
                <w:iCs w:val="0"/>
                <w:color w:val="000000"/>
                <w:sz w:val="24"/>
                <w:szCs w:val="24"/>
                <w:u w:val="none"/>
              </w:rPr>
            </w:pPr>
          </w:p>
        </w:tc>
      </w:tr>
      <w:tr w14:paraId="6005F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06C1B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233" w:type="dxa"/>
            <w:tcBorders>
              <w:top w:val="single" w:color="000000" w:sz="4" w:space="0"/>
              <w:left w:val="single" w:color="auto" w:sz="4" w:space="0"/>
              <w:bottom w:val="single" w:color="000000" w:sz="4" w:space="0"/>
              <w:right w:val="single" w:color="000000" w:sz="4" w:space="0"/>
            </w:tcBorders>
            <w:shd w:val="clear" w:color="auto" w:fill="auto"/>
            <w:vAlign w:val="center"/>
          </w:tcPr>
          <w:p w14:paraId="29A0F38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每月检查内容质量</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AA95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10分</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2D84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漏项或测试不全，每项扣1分</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CA6D">
            <w:pPr>
              <w:rPr>
                <w:rFonts w:hint="eastAsia" w:ascii="仿宋" w:hAnsi="仿宋" w:eastAsia="仿宋" w:cs="仿宋"/>
                <w:i w:val="0"/>
                <w:iCs w:val="0"/>
                <w:color w:val="000000"/>
                <w:sz w:val="24"/>
                <w:szCs w:val="24"/>
                <w:u w:val="none"/>
              </w:rPr>
            </w:pPr>
          </w:p>
        </w:tc>
      </w:tr>
      <w:tr w14:paraId="15D20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5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22719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2233" w:type="dxa"/>
            <w:tcBorders>
              <w:top w:val="single" w:color="000000" w:sz="4" w:space="0"/>
              <w:left w:val="single" w:color="auto" w:sz="4" w:space="0"/>
              <w:bottom w:val="single" w:color="000000" w:sz="4" w:space="0"/>
              <w:right w:val="single" w:color="000000" w:sz="4" w:space="0"/>
            </w:tcBorders>
            <w:shd w:val="clear" w:color="auto" w:fill="auto"/>
            <w:vAlign w:val="center"/>
          </w:tcPr>
          <w:p w14:paraId="3A57B2A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每周期检查完成率</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EC0B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15分</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91A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缺1次扣8分</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2EC04">
            <w:pPr>
              <w:rPr>
                <w:rFonts w:hint="eastAsia" w:ascii="仿宋" w:hAnsi="仿宋" w:eastAsia="仿宋" w:cs="仿宋"/>
                <w:i w:val="0"/>
                <w:iCs w:val="0"/>
                <w:color w:val="000000"/>
                <w:sz w:val="24"/>
                <w:szCs w:val="24"/>
                <w:u w:val="none"/>
              </w:rPr>
            </w:pPr>
          </w:p>
        </w:tc>
      </w:tr>
      <w:tr w14:paraId="79A11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5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C9A4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2233" w:type="dxa"/>
            <w:tcBorders>
              <w:top w:val="single" w:color="000000" w:sz="4" w:space="0"/>
              <w:left w:val="single" w:color="auto" w:sz="4" w:space="0"/>
              <w:bottom w:val="single" w:color="000000" w:sz="4" w:space="0"/>
              <w:right w:val="single" w:color="000000" w:sz="4" w:space="0"/>
            </w:tcBorders>
            <w:shd w:val="clear" w:color="auto" w:fill="auto"/>
            <w:vAlign w:val="center"/>
          </w:tcPr>
          <w:p w14:paraId="46ADEF3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每周期检查内容质量</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ED52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10分</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822D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漏项或联动测试不全，每项扣1.5分</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92FF">
            <w:pPr>
              <w:rPr>
                <w:rFonts w:hint="eastAsia" w:ascii="仿宋" w:hAnsi="仿宋" w:eastAsia="仿宋" w:cs="仿宋"/>
                <w:i w:val="0"/>
                <w:iCs w:val="0"/>
                <w:color w:val="000000"/>
                <w:sz w:val="24"/>
                <w:szCs w:val="24"/>
                <w:u w:val="none"/>
              </w:rPr>
            </w:pPr>
          </w:p>
        </w:tc>
      </w:tr>
      <w:tr w14:paraId="4223D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5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E31B0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2233" w:type="dxa"/>
            <w:tcBorders>
              <w:top w:val="single" w:color="000000" w:sz="4" w:space="0"/>
              <w:left w:val="single" w:color="auto" w:sz="4" w:space="0"/>
              <w:bottom w:val="single" w:color="000000" w:sz="4" w:space="0"/>
              <w:right w:val="single" w:color="000000" w:sz="4" w:space="0"/>
            </w:tcBorders>
            <w:shd w:val="clear" w:color="auto" w:fill="auto"/>
            <w:vAlign w:val="center"/>
          </w:tcPr>
          <w:p w14:paraId="5DCB233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故障维修及时率</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5FE7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10分</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9DE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一般故障超过48小时扣1分/起；重大故障超过24小时扣3分/起</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E72AD">
            <w:pPr>
              <w:rPr>
                <w:rFonts w:hint="eastAsia" w:ascii="仿宋" w:hAnsi="仿宋" w:eastAsia="仿宋" w:cs="仿宋"/>
                <w:i w:val="0"/>
                <w:iCs w:val="0"/>
                <w:color w:val="000000"/>
                <w:sz w:val="24"/>
                <w:szCs w:val="24"/>
                <w:u w:val="none"/>
              </w:rPr>
            </w:pPr>
          </w:p>
        </w:tc>
      </w:tr>
      <w:tr w14:paraId="762BC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5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B3DF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2233" w:type="dxa"/>
            <w:tcBorders>
              <w:top w:val="single" w:color="000000" w:sz="4" w:space="0"/>
              <w:left w:val="single" w:color="auto" w:sz="4" w:space="0"/>
              <w:bottom w:val="single" w:color="000000" w:sz="4" w:space="0"/>
              <w:right w:val="single" w:color="000000" w:sz="4" w:space="0"/>
            </w:tcBorders>
            <w:shd w:val="clear" w:color="auto" w:fill="auto"/>
            <w:vAlign w:val="center"/>
          </w:tcPr>
          <w:p w14:paraId="647C379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维修闭环与返修率</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535D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10分</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AE70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未闭环验收每起扣1分；重复维修每起扣1分（人为因素除外）</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CD28">
            <w:pPr>
              <w:rPr>
                <w:rFonts w:hint="eastAsia" w:ascii="仿宋" w:hAnsi="仿宋" w:eastAsia="仿宋" w:cs="仿宋"/>
                <w:i w:val="0"/>
                <w:iCs w:val="0"/>
                <w:color w:val="000000"/>
                <w:sz w:val="24"/>
                <w:szCs w:val="24"/>
                <w:u w:val="none"/>
              </w:rPr>
            </w:pPr>
          </w:p>
        </w:tc>
      </w:tr>
      <w:tr w14:paraId="7385A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5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9085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2233" w:type="dxa"/>
            <w:tcBorders>
              <w:top w:val="single" w:color="000000" w:sz="4" w:space="0"/>
              <w:left w:val="single" w:color="auto" w:sz="4" w:space="0"/>
              <w:bottom w:val="single" w:color="000000" w:sz="4" w:space="0"/>
              <w:right w:val="single" w:color="000000" w:sz="4" w:space="0"/>
            </w:tcBorders>
            <w:shd w:val="clear" w:color="auto" w:fill="auto"/>
            <w:vAlign w:val="center"/>
          </w:tcPr>
          <w:p w14:paraId="7F269C4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台账资料完整性</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772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5分</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C37B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台账缺失每项扣1分；伪造记录该项0分</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1DD7">
            <w:pPr>
              <w:rPr>
                <w:rFonts w:hint="eastAsia" w:ascii="仿宋" w:hAnsi="仿宋" w:eastAsia="仿宋" w:cs="仿宋"/>
                <w:i w:val="0"/>
                <w:iCs w:val="0"/>
                <w:color w:val="000000"/>
                <w:sz w:val="24"/>
                <w:szCs w:val="24"/>
                <w:u w:val="none"/>
              </w:rPr>
            </w:pPr>
          </w:p>
        </w:tc>
      </w:tr>
      <w:tr w14:paraId="614B6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2812"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1559C0E4">
            <w:pPr>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32B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100分</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A1219">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≥85分100%支付；85分以下每少1分扣100元；低于60分70%支付；低于50分50%支付，并有权单方解除合同。</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39B2">
            <w:pPr>
              <w:rPr>
                <w:rFonts w:hint="eastAsia" w:ascii="仿宋" w:hAnsi="仿宋" w:eastAsia="仿宋" w:cs="仿宋"/>
                <w:i w:val="0"/>
                <w:iCs w:val="0"/>
                <w:color w:val="000000"/>
                <w:sz w:val="24"/>
                <w:szCs w:val="24"/>
                <w:u w:val="none"/>
              </w:rPr>
            </w:pPr>
          </w:p>
        </w:tc>
      </w:tr>
      <w:tr w14:paraId="6E4F6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579" w:type="dxa"/>
            <w:tcBorders>
              <w:top w:val="single" w:color="auto" w:sz="4" w:space="0"/>
              <w:left w:val="single" w:color="000000" w:sz="4" w:space="0"/>
              <w:bottom w:val="single" w:color="auto" w:sz="4" w:space="0"/>
              <w:right w:val="single" w:color="000000" w:sz="4" w:space="0"/>
            </w:tcBorders>
            <w:shd w:val="clear" w:color="auto" w:fill="auto"/>
            <w:vAlign w:val="center"/>
          </w:tcPr>
          <w:p w14:paraId="4F464382">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2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6EEB5">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资料名称</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3666">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有无</w:t>
            </w:r>
          </w:p>
        </w:tc>
        <w:tc>
          <w:tcPr>
            <w:tcW w:w="5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FE5AB">
            <w:pPr>
              <w:keepNext w:val="0"/>
              <w:keepLines w:val="0"/>
              <w:widowControl/>
              <w:suppressLineNumbers w:val="0"/>
              <w:jc w:val="lef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备注</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A1D25">
            <w:pPr>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得分</w:t>
            </w:r>
          </w:p>
        </w:tc>
      </w:tr>
      <w:tr w14:paraId="71CFC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5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F0517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2233" w:type="dxa"/>
            <w:tcBorders>
              <w:top w:val="single" w:color="000000" w:sz="4" w:space="0"/>
              <w:left w:val="single" w:color="auto" w:sz="4" w:space="0"/>
              <w:bottom w:val="single" w:color="000000" w:sz="4" w:space="0"/>
              <w:right w:val="single" w:color="000000" w:sz="4" w:space="0"/>
            </w:tcBorders>
            <w:shd w:val="clear" w:color="auto" w:fill="auto"/>
            <w:vAlign w:val="center"/>
          </w:tcPr>
          <w:p w14:paraId="4C1CAD6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消防设备设施总台账</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E7CD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p>
        </w:tc>
        <w:tc>
          <w:tcPr>
            <w:tcW w:w="5511" w:type="dxa"/>
            <w:vMerge w:val="restart"/>
            <w:tcBorders>
              <w:top w:val="single" w:color="000000" w:sz="4" w:space="0"/>
              <w:left w:val="single" w:color="000000" w:sz="4" w:space="0"/>
              <w:right w:val="single" w:color="000000" w:sz="4" w:space="0"/>
            </w:tcBorders>
            <w:shd w:val="clear" w:color="auto" w:fill="auto"/>
            <w:vAlign w:val="center"/>
          </w:tcPr>
          <w:p w14:paraId="488386C8">
            <w:pP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eastAsia="zh-CN"/>
              </w:rPr>
              <w:t>每缺一项在总得分的基础上扣</w:t>
            </w:r>
            <w:r>
              <w:rPr>
                <w:rFonts w:hint="eastAsia" w:ascii="仿宋" w:hAnsi="仿宋" w:eastAsia="仿宋" w:cs="仿宋"/>
                <w:i w:val="0"/>
                <w:iCs w:val="0"/>
                <w:color w:val="000000"/>
                <w:sz w:val="24"/>
                <w:szCs w:val="24"/>
                <w:u w:val="none"/>
                <w:lang w:val="en-US" w:eastAsia="zh-CN"/>
              </w:rPr>
              <w:t>1分，单项资料完整可加0.5分。</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EE376">
            <w:pPr>
              <w:rPr>
                <w:rFonts w:hint="eastAsia" w:ascii="仿宋" w:hAnsi="仿宋" w:eastAsia="仿宋" w:cs="仿宋"/>
                <w:i w:val="0"/>
                <w:iCs w:val="0"/>
                <w:color w:val="000000"/>
                <w:sz w:val="24"/>
                <w:szCs w:val="24"/>
                <w:u w:val="none"/>
              </w:rPr>
            </w:pPr>
          </w:p>
        </w:tc>
      </w:tr>
      <w:tr w14:paraId="0865C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5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C85A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2233" w:type="dxa"/>
            <w:tcBorders>
              <w:top w:val="single" w:color="000000" w:sz="4" w:space="0"/>
              <w:left w:val="single" w:color="auto" w:sz="4" w:space="0"/>
              <w:bottom w:val="single" w:color="000000" w:sz="4" w:space="0"/>
              <w:right w:val="single" w:color="000000" w:sz="4" w:space="0"/>
            </w:tcBorders>
            <w:shd w:val="clear" w:color="auto" w:fill="auto"/>
            <w:vAlign w:val="center"/>
          </w:tcPr>
          <w:p w14:paraId="483D5C5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每日巡查记录（按月装订）</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C201">
            <w:pPr>
              <w:keepNext w:val="0"/>
              <w:keepLines w:val="0"/>
              <w:widowControl/>
              <w:suppressLineNumbers w:val="0"/>
              <w:tabs>
                <w:tab w:val="left" w:pos="402"/>
              </w:tabs>
              <w:jc w:val="left"/>
              <w:textAlignment w:val="center"/>
              <w:rPr>
                <w:rFonts w:hint="eastAsia" w:ascii="仿宋" w:hAnsi="仿宋" w:eastAsia="仿宋" w:cs="仿宋"/>
                <w:i w:val="0"/>
                <w:iCs w:val="0"/>
                <w:color w:val="000000"/>
                <w:sz w:val="24"/>
                <w:szCs w:val="24"/>
                <w:u w:val="none"/>
              </w:rPr>
            </w:pPr>
          </w:p>
        </w:tc>
        <w:tc>
          <w:tcPr>
            <w:tcW w:w="5511" w:type="dxa"/>
            <w:vMerge w:val="continue"/>
            <w:tcBorders>
              <w:left w:val="single" w:color="000000" w:sz="4" w:space="0"/>
              <w:right w:val="single" w:color="000000" w:sz="4" w:space="0"/>
            </w:tcBorders>
            <w:shd w:val="clear" w:color="auto" w:fill="auto"/>
            <w:vAlign w:val="center"/>
          </w:tcPr>
          <w:p w14:paraId="3EB31775">
            <w:pPr>
              <w:rPr>
                <w:rFonts w:hint="eastAsia" w:ascii="仿宋" w:hAnsi="仿宋" w:eastAsia="仿宋" w:cs="仿宋"/>
                <w:i w:val="0"/>
                <w:iCs w:val="0"/>
                <w:color w:val="000000"/>
                <w:sz w:val="24"/>
                <w:szCs w:val="24"/>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25562">
            <w:pPr>
              <w:rPr>
                <w:rFonts w:hint="eastAsia" w:ascii="仿宋" w:hAnsi="仿宋" w:eastAsia="仿宋" w:cs="仿宋"/>
                <w:i w:val="0"/>
                <w:iCs w:val="0"/>
                <w:color w:val="000000"/>
                <w:sz w:val="24"/>
                <w:szCs w:val="24"/>
                <w:u w:val="none"/>
              </w:rPr>
            </w:pPr>
          </w:p>
        </w:tc>
      </w:tr>
      <w:tr w14:paraId="5BD4A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5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F15A9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2233" w:type="dxa"/>
            <w:tcBorders>
              <w:top w:val="single" w:color="000000" w:sz="4" w:space="0"/>
              <w:left w:val="single" w:color="auto" w:sz="4" w:space="0"/>
              <w:bottom w:val="single" w:color="000000" w:sz="4" w:space="0"/>
              <w:right w:val="single" w:color="000000" w:sz="4" w:space="0"/>
            </w:tcBorders>
            <w:shd w:val="clear" w:color="auto" w:fill="auto"/>
            <w:vAlign w:val="center"/>
          </w:tcPr>
          <w:p w14:paraId="45DD217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月度检查报告（含记录）</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950E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p>
        </w:tc>
        <w:tc>
          <w:tcPr>
            <w:tcW w:w="5511" w:type="dxa"/>
            <w:vMerge w:val="continue"/>
            <w:tcBorders>
              <w:left w:val="single" w:color="000000" w:sz="4" w:space="0"/>
              <w:right w:val="single" w:color="000000" w:sz="4" w:space="0"/>
            </w:tcBorders>
            <w:shd w:val="clear" w:color="auto" w:fill="auto"/>
            <w:vAlign w:val="center"/>
          </w:tcPr>
          <w:p w14:paraId="00808981">
            <w:pPr>
              <w:rPr>
                <w:rFonts w:hint="eastAsia" w:ascii="仿宋" w:hAnsi="仿宋" w:eastAsia="仿宋" w:cs="仿宋"/>
                <w:i w:val="0"/>
                <w:iCs w:val="0"/>
                <w:color w:val="000000"/>
                <w:sz w:val="24"/>
                <w:szCs w:val="24"/>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ED109">
            <w:pPr>
              <w:rPr>
                <w:rFonts w:hint="eastAsia" w:ascii="仿宋" w:hAnsi="仿宋" w:eastAsia="仿宋" w:cs="仿宋"/>
                <w:i w:val="0"/>
                <w:iCs w:val="0"/>
                <w:color w:val="000000"/>
                <w:sz w:val="24"/>
                <w:szCs w:val="24"/>
                <w:u w:val="none"/>
              </w:rPr>
            </w:pPr>
          </w:p>
        </w:tc>
      </w:tr>
      <w:tr w14:paraId="1B73A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1" w:hRule="atLeast"/>
        </w:trPr>
        <w:tc>
          <w:tcPr>
            <w:tcW w:w="5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AF62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233" w:type="dxa"/>
            <w:tcBorders>
              <w:top w:val="single" w:color="000000" w:sz="4" w:space="0"/>
              <w:left w:val="single" w:color="auto" w:sz="4" w:space="0"/>
              <w:bottom w:val="single" w:color="000000" w:sz="4" w:space="0"/>
              <w:right w:val="single" w:color="000000" w:sz="4" w:space="0"/>
            </w:tcBorders>
            <w:shd w:val="clear" w:color="auto" w:fill="auto"/>
            <w:vAlign w:val="center"/>
          </w:tcPr>
          <w:p w14:paraId="1192C8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周期检查报告（含联动测试记录）</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266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p>
        </w:tc>
        <w:tc>
          <w:tcPr>
            <w:tcW w:w="5511" w:type="dxa"/>
            <w:vMerge w:val="continue"/>
            <w:tcBorders>
              <w:left w:val="single" w:color="000000" w:sz="4" w:space="0"/>
              <w:right w:val="single" w:color="000000" w:sz="4" w:space="0"/>
            </w:tcBorders>
            <w:shd w:val="clear" w:color="auto" w:fill="auto"/>
            <w:vAlign w:val="center"/>
          </w:tcPr>
          <w:p w14:paraId="066AEAB3">
            <w:pPr>
              <w:rPr>
                <w:rFonts w:hint="eastAsia" w:ascii="仿宋" w:hAnsi="仿宋" w:eastAsia="仿宋" w:cs="仿宋"/>
                <w:i w:val="0"/>
                <w:iCs w:val="0"/>
                <w:color w:val="000000"/>
                <w:sz w:val="24"/>
                <w:szCs w:val="24"/>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62A8">
            <w:pPr>
              <w:rPr>
                <w:rFonts w:hint="eastAsia" w:ascii="仿宋" w:hAnsi="仿宋" w:eastAsia="仿宋" w:cs="仿宋"/>
                <w:i w:val="0"/>
                <w:iCs w:val="0"/>
                <w:color w:val="000000"/>
                <w:sz w:val="24"/>
                <w:szCs w:val="24"/>
                <w:u w:val="none"/>
              </w:rPr>
            </w:pPr>
          </w:p>
        </w:tc>
      </w:tr>
      <w:tr w14:paraId="27302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5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EB5B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2233" w:type="dxa"/>
            <w:tcBorders>
              <w:top w:val="single" w:color="000000" w:sz="4" w:space="0"/>
              <w:left w:val="single" w:color="auto" w:sz="4" w:space="0"/>
              <w:bottom w:val="single" w:color="000000" w:sz="4" w:space="0"/>
              <w:right w:val="single" w:color="000000" w:sz="4" w:space="0"/>
            </w:tcBorders>
            <w:shd w:val="clear" w:color="auto" w:fill="auto"/>
            <w:vAlign w:val="center"/>
          </w:tcPr>
          <w:p w14:paraId="661DC71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故障维修记录（含闭环签字）</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DE66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p>
        </w:tc>
        <w:tc>
          <w:tcPr>
            <w:tcW w:w="5511" w:type="dxa"/>
            <w:vMerge w:val="continue"/>
            <w:tcBorders>
              <w:left w:val="single" w:color="000000" w:sz="4" w:space="0"/>
              <w:bottom w:val="single" w:color="000000" w:sz="4" w:space="0"/>
              <w:right w:val="single" w:color="000000" w:sz="4" w:space="0"/>
            </w:tcBorders>
            <w:shd w:val="clear" w:color="auto" w:fill="auto"/>
            <w:vAlign w:val="center"/>
          </w:tcPr>
          <w:p w14:paraId="6114FEC2">
            <w:pPr>
              <w:rPr>
                <w:rFonts w:hint="eastAsia" w:ascii="仿宋" w:hAnsi="仿宋" w:eastAsia="仿宋" w:cs="仿宋"/>
                <w:i w:val="0"/>
                <w:iCs w:val="0"/>
                <w:color w:val="000000"/>
                <w:sz w:val="24"/>
                <w:szCs w:val="24"/>
                <w:u w:val="none"/>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96866">
            <w:pPr>
              <w:rPr>
                <w:rFonts w:hint="eastAsia" w:ascii="仿宋" w:hAnsi="仿宋" w:eastAsia="仿宋" w:cs="仿宋"/>
                <w:i w:val="0"/>
                <w:iCs w:val="0"/>
                <w:color w:val="000000"/>
                <w:sz w:val="24"/>
                <w:szCs w:val="24"/>
                <w:u w:val="none"/>
              </w:rPr>
            </w:pPr>
          </w:p>
        </w:tc>
      </w:tr>
    </w:tbl>
    <w:p w14:paraId="0AE8A9B1">
      <w:pPr>
        <w:rPr>
          <w:rFonts w:hint="eastAsia"/>
          <w:sz w:val="24"/>
          <w:szCs w:val="24"/>
          <w:lang w:val="en-US" w:eastAsia="zh-CN"/>
        </w:rPr>
      </w:pPr>
      <w:r>
        <w:rPr>
          <w:rFonts w:hint="eastAsia"/>
          <w:sz w:val="24"/>
          <w:szCs w:val="24"/>
          <w:lang w:eastAsia="zh-CN"/>
        </w:rPr>
        <w:t>注：考核需至少</w:t>
      </w:r>
      <w:r>
        <w:rPr>
          <w:rFonts w:hint="eastAsia"/>
          <w:sz w:val="24"/>
          <w:szCs w:val="24"/>
          <w:lang w:val="en-US" w:eastAsia="zh-CN"/>
        </w:rPr>
        <w:t>2人以上签字（含管理科室负责人）。</w:t>
      </w:r>
    </w:p>
    <w:p w14:paraId="3A84C060">
      <w:pPr>
        <w:rPr>
          <w:rFonts w:hint="eastAsia"/>
          <w:sz w:val="24"/>
          <w:szCs w:val="24"/>
          <w:lang w:val="en-US" w:eastAsia="zh-CN"/>
        </w:rPr>
      </w:pPr>
      <w:r>
        <w:rPr>
          <w:rFonts w:hint="eastAsia"/>
          <w:sz w:val="24"/>
          <w:szCs w:val="24"/>
          <w:lang w:val="en-US" w:eastAsia="zh-CN"/>
        </w:rPr>
        <w:t>考核得分：</w:t>
      </w:r>
    </w:p>
    <w:p w14:paraId="072FD1BD">
      <w:pPr>
        <w:rPr>
          <w:rFonts w:hint="eastAsia"/>
          <w:sz w:val="24"/>
          <w:szCs w:val="24"/>
          <w:lang w:val="en-US" w:eastAsia="zh-CN"/>
        </w:rPr>
      </w:pPr>
      <w:r>
        <w:rPr>
          <w:rFonts w:hint="eastAsia"/>
          <w:sz w:val="24"/>
          <w:szCs w:val="24"/>
          <w:lang w:val="en-US" w:eastAsia="zh-CN"/>
        </w:rPr>
        <w:t>支付比例：</w:t>
      </w:r>
    </w:p>
    <w:p w14:paraId="0B396800">
      <w:pPr>
        <w:rPr>
          <w:rFonts w:hint="eastAsia"/>
          <w:sz w:val="24"/>
          <w:szCs w:val="24"/>
          <w:lang w:val="en-US" w:eastAsia="zh-CN"/>
        </w:rPr>
      </w:pPr>
      <w:r>
        <w:rPr>
          <w:rFonts w:hint="eastAsia"/>
          <w:sz w:val="24"/>
          <w:szCs w:val="24"/>
          <w:lang w:val="en-US" w:eastAsia="zh-CN"/>
        </w:rPr>
        <w:t>合同约定周期费用：</w:t>
      </w:r>
    </w:p>
    <w:p w14:paraId="2A624648">
      <w:pPr>
        <w:rPr>
          <w:rFonts w:hint="eastAsia"/>
          <w:sz w:val="24"/>
          <w:szCs w:val="24"/>
          <w:lang w:val="en-US" w:eastAsia="zh-CN"/>
        </w:rPr>
      </w:pPr>
      <w:r>
        <w:rPr>
          <w:rFonts w:hint="eastAsia"/>
          <w:sz w:val="24"/>
          <w:szCs w:val="24"/>
          <w:lang w:val="en-US" w:eastAsia="zh-CN"/>
        </w:rPr>
        <w:t>实际支付费用：</w:t>
      </w:r>
    </w:p>
    <w:p w14:paraId="35C95063">
      <w:pPr>
        <w:rPr>
          <w:rFonts w:hint="eastAsia"/>
          <w:sz w:val="24"/>
          <w:szCs w:val="24"/>
          <w:lang w:val="en-US" w:eastAsia="zh-CN"/>
        </w:rPr>
      </w:pPr>
      <w:r>
        <w:rPr>
          <w:rFonts w:hint="eastAsia"/>
          <w:sz w:val="24"/>
          <w:szCs w:val="24"/>
          <w:lang w:val="en-US" w:eastAsia="zh-CN"/>
        </w:rPr>
        <w:t xml:space="preserve">维保公司签字：                  保卫科签字：   </w:t>
      </w:r>
    </w:p>
    <w:p w14:paraId="340B9046">
      <w:pPr>
        <w:rPr>
          <w:rFonts w:hint="eastAsia"/>
          <w:sz w:val="24"/>
          <w:szCs w:val="24"/>
          <w:lang w:val="en-US" w:eastAsia="zh-CN"/>
        </w:rPr>
      </w:pPr>
    </w:p>
    <w:p w14:paraId="6ECDCAD5">
      <w:pPr>
        <w:rPr>
          <w:rFonts w:hint="eastAsia"/>
          <w:sz w:val="24"/>
          <w:szCs w:val="24"/>
          <w:lang w:val="en-US" w:eastAsia="zh-CN"/>
        </w:rPr>
      </w:pPr>
    </w:p>
    <w:p w14:paraId="5DB2D925">
      <w:pPr>
        <w:numPr>
          <w:ilvl w:val="0"/>
          <w:numId w:val="0"/>
        </w:numPr>
        <w:adjustRightInd w:val="0"/>
        <w:snapToGrid w:val="0"/>
        <w:spacing w:line="360" w:lineRule="auto"/>
        <w:jc w:val="center"/>
        <w:rPr>
          <w:rFonts w:hint="default" w:ascii="Times New Roman" w:hAnsi="Times New Roman" w:eastAsia="宋体" w:cs="Times New Roman"/>
          <w:b/>
          <w:color w:val="auto"/>
          <w:kern w:val="2"/>
          <w:sz w:val="28"/>
          <w:szCs w:val="21"/>
          <w:highlight w:val="none"/>
          <w:lang w:val="en-US" w:eastAsia="zh-CN" w:bidi="ar-SA"/>
        </w:rPr>
      </w:pPr>
    </w:p>
    <w:p w14:paraId="7D12B9F1">
      <w:pPr>
        <w:numPr>
          <w:ilvl w:val="0"/>
          <w:numId w:val="0"/>
        </w:numPr>
        <w:adjustRightInd w:val="0"/>
        <w:snapToGrid w:val="0"/>
        <w:spacing w:line="360" w:lineRule="auto"/>
        <w:jc w:val="both"/>
        <w:rPr>
          <w:rFonts w:hint="default" w:ascii="Times New Roman" w:hAnsi="Times New Roman" w:eastAsia="宋体" w:cs="Times New Roman"/>
          <w:b/>
          <w:color w:val="auto"/>
          <w:kern w:val="2"/>
          <w:sz w:val="28"/>
          <w:szCs w:val="21"/>
          <w:highlight w:val="none"/>
          <w:lang w:val="en-US" w:eastAsia="zh-CN" w:bidi="ar-SA"/>
        </w:rPr>
      </w:pPr>
      <w:r>
        <w:rPr>
          <w:rFonts w:hint="eastAsia" w:ascii="Times New Roman" w:hAnsi="Times New Roman" w:eastAsia="宋体" w:cs="Times New Roman"/>
          <w:b/>
          <w:color w:val="auto"/>
          <w:kern w:val="2"/>
          <w:sz w:val="28"/>
          <w:szCs w:val="21"/>
          <w:highlight w:val="none"/>
          <w:lang w:val="en-US" w:eastAsia="zh-CN" w:bidi="ar-SA"/>
        </w:rPr>
        <w:t>附件2</w:t>
      </w:r>
    </w:p>
    <w:p w14:paraId="0A50B6C6">
      <w:pPr>
        <w:numPr>
          <w:ilvl w:val="0"/>
          <w:numId w:val="0"/>
        </w:numPr>
        <w:adjustRightInd w:val="0"/>
        <w:snapToGrid w:val="0"/>
        <w:spacing w:line="360" w:lineRule="auto"/>
        <w:jc w:val="center"/>
        <w:rPr>
          <w:rFonts w:hint="default" w:ascii="Times New Roman" w:hAnsi="Times New Roman" w:cs="Times New Roman"/>
          <w:b/>
          <w:color w:val="auto"/>
          <w:sz w:val="24"/>
          <w:szCs w:val="20"/>
          <w:highlight w:val="none"/>
        </w:rPr>
      </w:pPr>
      <w:r>
        <w:rPr>
          <w:rFonts w:hint="default" w:ascii="Times New Roman" w:hAnsi="Times New Roman" w:eastAsia="宋体" w:cs="Times New Roman"/>
          <w:b/>
          <w:color w:val="auto"/>
          <w:kern w:val="2"/>
          <w:sz w:val="28"/>
          <w:szCs w:val="21"/>
          <w:highlight w:val="none"/>
          <w:lang w:val="en-US" w:eastAsia="zh-CN" w:bidi="ar-SA"/>
        </w:rPr>
        <w:t>综合评分表</w:t>
      </w:r>
    </w:p>
    <w:tbl>
      <w:tblPr>
        <w:tblStyle w:val="6"/>
        <w:tblW w:w="5394" w:type="pct"/>
        <w:tblInd w:w="-371"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1208"/>
        <w:gridCol w:w="1165"/>
        <w:gridCol w:w="6997"/>
        <w:gridCol w:w="848"/>
      </w:tblGrid>
      <w:tr w14:paraId="482C0C5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33" w:hRule="atLeast"/>
        </w:trPr>
        <w:tc>
          <w:tcPr>
            <w:tcW w:w="1130" w:type="dxa"/>
            <w:tcBorders>
              <w:tl2br w:val="nil"/>
              <w:tr2bl w:val="nil"/>
            </w:tcBorders>
            <w:noWrap w:val="0"/>
            <w:vAlign w:val="center"/>
          </w:tcPr>
          <w:p w14:paraId="163FFF8E">
            <w:pPr>
              <w:spacing w:line="276" w:lineRule="auto"/>
              <w:jc w:val="center"/>
              <w:rPr>
                <w:rFonts w:ascii="Times New Roman" w:hAnsi="Times New Roman" w:eastAsia="宋体" w:cs="Times New Roman"/>
                <w:b/>
                <w:color w:val="auto"/>
                <w:szCs w:val="22"/>
                <w:highlight w:val="none"/>
              </w:rPr>
            </w:pPr>
            <w:r>
              <w:rPr>
                <w:rFonts w:hint="eastAsia" w:ascii="Times New Roman" w:hAnsi="Times New Roman" w:eastAsia="宋体" w:cs="Times New Roman"/>
                <w:b/>
                <w:color w:val="auto"/>
                <w:szCs w:val="22"/>
                <w:highlight w:val="none"/>
              </w:rPr>
              <w:t>评审因素</w:t>
            </w:r>
          </w:p>
        </w:tc>
        <w:tc>
          <w:tcPr>
            <w:tcW w:w="1090" w:type="dxa"/>
            <w:tcBorders>
              <w:tl2br w:val="nil"/>
              <w:tr2bl w:val="nil"/>
            </w:tcBorders>
            <w:noWrap w:val="0"/>
            <w:vAlign w:val="center"/>
          </w:tcPr>
          <w:p w14:paraId="34602B96">
            <w:pPr>
              <w:spacing w:line="276" w:lineRule="auto"/>
              <w:jc w:val="center"/>
              <w:rPr>
                <w:rFonts w:ascii="Times New Roman" w:hAnsi="Times New Roman" w:eastAsia="宋体" w:cs="Times New Roman"/>
                <w:b/>
                <w:color w:val="auto"/>
                <w:szCs w:val="22"/>
                <w:highlight w:val="none"/>
              </w:rPr>
            </w:pPr>
            <w:r>
              <w:rPr>
                <w:rFonts w:hint="eastAsia" w:ascii="Times New Roman" w:hAnsi="Times New Roman" w:eastAsia="宋体" w:cs="Times New Roman"/>
                <w:b/>
                <w:color w:val="auto"/>
                <w:szCs w:val="22"/>
                <w:highlight w:val="none"/>
              </w:rPr>
              <w:t>评分项目</w:t>
            </w:r>
          </w:p>
        </w:tc>
        <w:tc>
          <w:tcPr>
            <w:tcW w:w="6545" w:type="dxa"/>
            <w:tcBorders>
              <w:tl2br w:val="nil"/>
              <w:tr2bl w:val="nil"/>
            </w:tcBorders>
            <w:noWrap w:val="0"/>
            <w:vAlign w:val="center"/>
          </w:tcPr>
          <w:p w14:paraId="3842EE53">
            <w:pPr>
              <w:spacing w:line="276" w:lineRule="auto"/>
              <w:ind w:firstLine="480"/>
              <w:jc w:val="center"/>
              <w:rPr>
                <w:rFonts w:ascii="Times New Roman" w:hAnsi="Times New Roman" w:eastAsia="宋体" w:cs="Times New Roman"/>
                <w:b/>
                <w:color w:val="auto"/>
                <w:szCs w:val="22"/>
                <w:highlight w:val="none"/>
              </w:rPr>
            </w:pPr>
            <w:r>
              <w:rPr>
                <w:rFonts w:hint="eastAsia" w:ascii="Times New Roman" w:hAnsi="Times New Roman" w:eastAsia="宋体" w:cs="Times New Roman"/>
                <w:b/>
                <w:color w:val="auto"/>
                <w:szCs w:val="22"/>
                <w:highlight w:val="none"/>
              </w:rPr>
              <w:t>评审内容</w:t>
            </w:r>
          </w:p>
        </w:tc>
        <w:tc>
          <w:tcPr>
            <w:tcW w:w="793" w:type="dxa"/>
            <w:tcBorders>
              <w:tl2br w:val="nil"/>
              <w:tr2bl w:val="nil"/>
            </w:tcBorders>
            <w:noWrap w:val="0"/>
            <w:vAlign w:val="center"/>
          </w:tcPr>
          <w:p w14:paraId="58A07256">
            <w:pPr>
              <w:spacing w:line="276" w:lineRule="auto"/>
              <w:jc w:val="center"/>
              <w:rPr>
                <w:rFonts w:ascii="Times New Roman" w:hAnsi="Times New Roman" w:eastAsia="宋体" w:cs="Times New Roman"/>
                <w:b/>
                <w:color w:val="auto"/>
                <w:szCs w:val="22"/>
                <w:highlight w:val="none"/>
              </w:rPr>
            </w:pPr>
            <w:r>
              <w:rPr>
                <w:rFonts w:hint="eastAsia" w:ascii="Times New Roman" w:hAnsi="Times New Roman" w:eastAsia="宋体" w:cs="Times New Roman"/>
                <w:b/>
                <w:color w:val="auto"/>
                <w:szCs w:val="22"/>
                <w:highlight w:val="none"/>
              </w:rPr>
              <w:t>分值</w:t>
            </w:r>
          </w:p>
        </w:tc>
      </w:tr>
      <w:tr w14:paraId="6824468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55" w:hRule="atLeast"/>
        </w:trPr>
        <w:tc>
          <w:tcPr>
            <w:tcW w:w="1130" w:type="dxa"/>
            <w:tcBorders>
              <w:tl2br w:val="nil"/>
              <w:tr2bl w:val="nil"/>
            </w:tcBorders>
            <w:noWrap w:val="0"/>
            <w:vAlign w:val="center"/>
          </w:tcPr>
          <w:p w14:paraId="3CA558AD">
            <w:pPr>
              <w:spacing w:line="276"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价格</w:t>
            </w:r>
          </w:p>
          <w:p w14:paraId="4180D601">
            <w:pPr>
              <w:spacing w:line="276"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0）</w:t>
            </w:r>
          </w:p>
        </w:tc>
        <w:tc>
          <w:tcPr>
            <w:tcW w:w="1090" w:type="dxa"/>
            <w:tcBorders>
              <w:tl2br w:val="nil"/>
              <w:tr2bl w:val="nil"/>
            </w:tcBorders>
            <w:noWrap w:val="0"/>
            <w:vAlign w:val="center"/>
          </w:tcPr>
          <w:p w14:paraId="303C41DC">
            <w:pPr>
              <w:spacing w:line="276"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投标</w:t>
            </w:r>
          </w:p>
          <w:p w14:paraId="591DB812">
            <w:pPr>
              <w:spacing w:line="276"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报价</w:t>
            </w:r>
          </w:p>
        </w:tc>
        <w:tc>
          <w:tcPr>
            <w:tcW w:w="6545" w:type="dxa"/>
            <w:tcBorders>
              <w:tl2br w:val="nil"/>
              <w:tr2bl w:val="nil"/>
            </w:tcBorders>
            <w:noWrap w:val="0"/>
            <w:vAlign w:val="center"/>
          </w:tcPr>
          <w:p w14:paraId="3BE502ED">
            <w:pPr>
              <w:rPr>
                <w:rFonts w:hint="eastAsia" w:ascii="宋体" w:hAnsi="宋体" w:eastAsia="宋体" w:cs="宋体"/>
                <w:szCs w:val="21"/>
                <w:lang w:val="en-US" w:eastAsia="zh-CN"/>
              </w:rPr>
            </w:pPr>
            <w:r>
              <w:rPr>
                <w:rFonts w:hint="eastAsia" w:ascii="宋体" w:hAnsi="宋体" w:eastAsia="宋体" w:cs="宋体"/>
                <w:szCs w:val="21"/>
              </w:rPr>
              <w:t>满足招标文件要求且</w:t>
            </w:r>
            <w:r>
              <w:rPr>
                <w:rFonts w:hint="eastAsia" w:ascii="宋体" w:hAnsi="宋体" w:eastAsia="宋体" w:cs="宋体"/>
                <w:szCs w:val="21"/>
                <w:lang w:val="en-US" w:eastAsia="zh-CN"/>
              </w:rPr>
              <w:t>价格</w:t>
            </w:r>
            <w:r>
              <w:rPr>
                <w:rFonts w:hint="eastAsia" w:ascii="宋体" w:hAnsi="宋体" w:eastAsia="宋体" w:cs="宋体"/>
                <w:szCs w:val="21"/>
              </w:rPr>
              <w:t>最</w:t>
            </w:r>
            <w:r>
              <w:rPr>
                <w:rFonts w:hint="eastAsia" w:ascii="宋体" w:hAnsi="宋体" w:eastAsia="宋体" w:cs="宋体"/>
                <w:szCs w:val="21"/>
                <w:lang w:val="en-US" w:eastAsia="zh-CN"/>
              </w:rPr>
              <w:t>低</w:t>
            </w:r>
            <w:r>
              <w:rPr>
                <w:rFonts w:hint="eastAsia" w:ascii="宋体" w:hAnsi="宋体" w:eastAsia="宋体" w:cs="宋体"/>
                <w:szCs w:val="21"/>
              </w:rPr>
              <w:t>的投标报价为评标基准价，其价格分为满分，其他有效投标人的价格分按照下列公式计算：投标报价得分=（评标基准价／投标报价）×</w:t>
            </w:r>
            <w:r>
              <w:rPr>
                <w:rFonts w:hint="eastAsia" w:ascii="宋体" w:hAnsi="宋体" w:cs="宋体"/>
                <w:szCs w:val="21"/>
                <w:lang w:val="en-US" w:eastAsia="zh-CN"/>
              </w:rPr>
              <w:t>2</w:t>
            </w:r>
            <w:r>
              <w:rPr>
                <w:rFonts w:hint="eastAsia" w:ascii="宋体" w:hAnsi="宋体" w:eastAsia="宋体" w:cs="宋体"/>
                <w:szCs w:val="21"/>
              </w:rPr>
              <w:t>0</w:t>
            </w:r>
          </w:p>
        </w:tc>
        <w:tc>
          <w:tcPr>
            <w:tcW w:w="793" w:type="dxa"/>
            <w:tcBorders>
              <w:tl2br w:val="nil"/>
              <w:tr2bl w:val="nil"/>
            </w:tcBorders>
            <w:noWrap w:val="0"/>
            <w:vAlign w:val="center"/>
          </w:tcPr>
          <w:p w14:paraId="6C852733">
            <w:pPr>
              <w:spacing w:line="276" w:lineRule="auto"/>
              <w:jc w:val="center"/>
              <w:rPr>
                <w:rFonts w:hint="eastAsia" w:ascii="宋体" w:hAnsi="宋体" w:eastAsia="宋体" w:cs="宋体"/>
                <w:color w:val="auto"/>
                <w:szCs w:val="22"/>
                <w:highlight w:val="none"/>
              </w:rPr>
            </w:pPr>
            <w:r>
              <w:rPr>
                <w:rFonts w:hint="eastAsia" w:ascii="宋体" w:hAnsi="宋体" w:cs="宋体"/>
                <w:color w:val="auto"/>
                <w:szCs w:val="22"/>
                <w:highlight w:val="none"/>
                <w:lang w:val="en-US" w:eastAsia="zh-CN"/>
              </w:rPr>
              <w:t>2</w:t>
            </w:r>
            <w:r>
              <w:rPr>
                <w:rFonts w:hint="eastAsia" w:ascii="宋体" w:hAnsi="宋体" w:eastAsia="宋体" w:cs="宋体"/>
                <w:color w:val="auto"/>
                <w:szCs w:val="22"/>
                <w:highlight w:val="none"/>
              </w:rPr>
              <w:t>0</w:t>
            </w:r>
          </w:p>
        </w:tc>
      </w:tr>
      <w:tr w14:paraId="6D72C39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374" w:hRule="atLeast"/>
        </w:trPr>
        <w:tc>
          <w:tcPr>
            <w:tcW w:w="1130" w:type="dxa"/>
            <w:vMerge w:val="restart"/>
            <w:tcBorders>
              <w:tl2br w:val="nil"/>
              <w:tr2bl w:val="nil"/>
            </w:tcBorders>
            <w:noWrap w:val="0"/>
            <w:vAlign w:val="center"/>
          </w:tcPr>
          <w:p w14:paraId="05987D59">
            <w:pPr>
              <w:spacing w:line="276" w:lineRule="auto"/>
              <w:jc w:val="center"/>
              <w:rPr>
                <w:rFonts w:hint="eastAsia" w:ascii="宋体" w:hAnsi="宋体" w:eastAsia="宋体" w:cs="宋体"/>
                <w:color w:val="auto"/>
                <w:szCs w:val="22"/>
                <w:highlight w:val="none"/>
                <w:lang w:val="en-US" w:eastAsia="zh-CN"/>
              </w:rPr>
            </w:pPr>
            <w:r>
              <w:rPr>
                <w:rFonts w:hint="eastAsia" w:ascii="宋体" w:hAnsi="宋体" w:eastAsia="宋体" w:cs="宋体"/>
                <w:color w:val="auto"/>
                <w:szCs w:val="22"/>
                <w:highlight w:val="none"/>
                <w:lang w:val="en-US" w:eastAsia="zh-CN"/>
              </w:rPr>
              <w:t>商务</w:t>
            </w:r>
          </w:p>
          <w:p w14:paraId="1998382D">
            <w:pPr>
              <w:spacing w:line="276" w:lineRule="auto"/>
              <w:jc w:val="center"/>
              <w:rPr>
                <w:rFonts w:hint="eastAsia" w:ascii="宋体" w:hAnsi="宋体" w:eastAsia="宋体" w:cs="宋体"/>
                <w:color w:val="auto"/>
                <w:szCs w:val="22"/>
                <w:highlight w:val="none"/>
                <w:lang w:val="en-US" w:eastAsia="zh-CN"/>
              </w:rPr>
            </w:pPr>
            <w:r>
              <w:rPr>
                <w:rFonts w:hint="eastAsia" w:ascii="宋体" w:hAnsi="宋体" w:eastAsia="宋体" w:cs="宋体"/>
                <w:color w:val="auto"/>
                <w:szCs w:val="22"/>
                <w:highlight w:val="none"/>
                <w:lang w:val="en-US" w:eastAsia="zh-CN"/>
              </w:rPr>
              <w:t>（</w:t>
            </w:r>
            <w:r>
              <w:rPr>
                <w:rFonts w:hint="eastAsia" w:ascii="宋体" w:hAnsi="宋体" w:cs="宋体"/>
                <w:color w:val="auto"/>
                <w:szCs w:val="22"/>
                <w:highlight w:val="none"/>
                <w:lang w:val="en-US" w:eastAsia="zh-CN"/>
              </w:rPr>
              <w:t>35</w:t>
            </w:r>
            <w:r>
              <w:rPr>
                <w:rFonts w:hint="eastAsia" w:ascii="宋体" w:hAnsi="宋体" w:eastAsia="宋体" w:cs="宋体"/>
                <w:color w:val="auto"/>
                <w:szCs w:val="22"/>
                <w:highlight w:val="none"/>
                <w:lang w:val="en-US" w:eastAsia="zh-CN"/>
              </w:rPr>
              <w:t>分）</w:t>
            </w:r>
          </w:p>
        </w:tc>
        <w:tc>
          <w:tcPr>
            <w:tcW w:w="1090" w:type="dxa"/>
            <w:tcBorders>
              <w:tl2br w:val="nil"/>
              <w:tr2bl w:val="nil"/>
            </w:tcBorders>
            <w:noWrap w:val="0"/>
            <w:vAlign w:val="center"/>
          </w:tcPr>
          <w:p w14:paraId="4AD9C383">
            <w:pPr>
              <w:spacing w:line="276"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公司</w:t>
            </w:r>
          </w:p>
          <w:p w14:paraId="1347A699">
            <w:pPr>
              <w:spacing w:line="276" w:lineRule="auto"/>
              <w:jc w:val="center"/>
              <w:rPr>
                <w:rFonts w:hint="default"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质量体系</w:t>
            </w:r>
          </w:p>
        </w:tc>
        <w:tc>
          <w:tcPr>
            <w:tcW w:w="6545" w:type="dxa"/>
            <w:tcBorders>
              <w:tl2br w:val="nil"/>
              <w:tr2bl w:val="nil"/>
            </w:tcBorders>
            <w:noWrap w:val="0"/>
            <w:vAlign w:val="center"/>
          </w:tcPr>
          <w:p w14:paraId="1F349CDA">
            <w:pPr>
              <w:rPr>
                <w:rFonts w:hint="eastAsia" w:ascii="宋体" w:hAnsi="宋体" w:eastAsia="宋体" w:cs="宋体"/>
                <w:szCs w:val="21"/>
              </w:rPr>
            </w:pPr>
            <w:r>
              <w:rPr>
                <w:rFonts w:hint="eastAsia" w:ascii="宋体" w:hAnsi="宋体" w:eastAsia="宋体" w:cs="宋体"/>
                <w:szCs w:val="21"/>
              </w:rPr>
              <w:t>1、投标人</w:t>
            </w:r>
            <w:r>
              <w:rPr>
                <w:rFonts w:hint="eastAsia" w:ascii="宋体" w:hAnsi="宋体" w:eastAsia="宋体" w:cs="宋体"/>
                <w:szCs w:val="21"/>
                <w:lang w:val="en-US" w:eastAsia="zh-CN"/>
              </w:rPr>
              <w:t>具有</w:t>
            </w:r>
            <w:r>
              <w:rPr>
                <w:rFonts w:hint="eastAsia" w:ascii="宋体" w:hAnsi="宋体" w:eastAsia="宋体" w:cs="宋体"/>
                <w:szCs w:val="21"/>
              </w:rPr>
              <w:t>质量管理体系认证；</w:t>
            </w:r>
          </w:p>
          <w:p w14:paraId="19DDB633">
            <w:pPr>
              <w:rPr>
                <w:rFonts w:hint="eastAsia" w:ascii="宋体" w:hAnsi="宋体" w:eastAsia="宋体" w:cs="宋体"/>
                <w:szCs w:val="21"/>
              </w:rPr>
            </w:pPr>
            <w:r>
              <w:rPr>
                <w:rFonts w:hint="eastAsia" w:ascii="宋体" w:hAnsi="宋体" w:eastAsia="宋体" w:cs="宋体"/>
                <w:szCs w:val="21"/>
              </w:rPr>
              <w:t>2、投标人</w:t>
            </w:r>
            <w:r>
              <w:rPr>
                <w:rFonts w:hint="eastAsia" w:ascii="宋体" w:hAnsi="宋体" w:eastAsia="宋体" w:cs="宋体"/>
                <w:szCs w:val="21"/>
                <w:lang w:val="en-US" w:eastAsia="zh-CN"/>
              </w:rPr>
              <w:t>具有环境</w:t>
            </w:r>
            <w:r>
              <w:rPr>
                <w:rFonts w:hint="eastAsia" w:ascii="宋体" w:hAnsi="宋体" w:eastAsia="宋体" w:cs="宋体"/>
                <w:szCs w:val="21"/>
              </w:rPr>
              <w:t>管理体系认证；</w:t>
            </w:r>
          </w:p>
          <w:p w14:paraId="3D3AD487">
            <w:pPr>
              <w:rPr>
                <w:rFonts w:hint="eastAsia" w:ascii="宋体" w:hAnsi="宋体" w:eastAsia="宋体" w:cs="宋体"/>
                <w:szCs w:val="21"/>
              </w:rPr>
            </w:pPr>
            <w:r>
              <w:rPr>
                <w:rFonts w:hint="eastAsia" w:ascii="宋体" w:hAnsi="宋体" w:eastAsia="宋体" w:cs="宋体"/>
                <w:szCs w:val="21"/>
              </w:rPr>
              <w:t>3、投标人</w:t>
            </w:r>
            <w:r>
              <w:rPr>
                <w:rFonts w:hint="eastAsia" w:ascii="宋体" w:hAnsi="宋体" w:eastAsia="宋体" w:cs="宋体"/>
                <w:szCs w:val="21"/>
                <w:lang w:val="en-US" w:eastAsia="zh-CN"/>
              </w:rPr>
              <w:t>具有职业健康</w:t>
            </w:r>
            <w:r>
              <w:rPr>
                <w:rFonts w:hint="eastAsia" w:ascii="宋体" w:hAnsi="宋体" w:eastAsia="宋体" w:cs="宋体"/>
                <w:szCs w:val="21"/>
              </w:rPr>
              <w:t>管理体系认证；</w:t>
            </w:r>
          </w:p>
          <w:p w14:paraId="61E7657A">
            <w:pPr>
              <w:rPr>
                <w:rFonts w:hint="eastAsia" w:ascii="宋体" w:hAnsi="宋体" w:eastAsia="宋体" w:cs="宋体"/>
                <w:szCs w:val="21"/>
                <w:lang w:val="en-US" w:eastAsia="zh-CN"/>
              </w:rPr>
            </w:pPr>
            <w:r>
              <w:rPr>
                <w:rFonts w:hint="eastAsia" w:ascii="宋体" w:hAnsi="宋体" w:eastAsia="宋体" w:cs="宋体"/>
                <w:szCs w:val="21"/>
              </w:rPr>
              <w:t>以上累计得分，每满足一项得</w:t>
            </w:r>
            <w:r>
              <w:rPr>
                <w:rFonts w:hint="eastAsia" w:ascii="宋体" w:hAnsi="宋体" w:cs="宋体"/>
                <w:szCs w:val="21"/>
                <w:lang w:val="en-US" w:eastAsia="zh-CN"/>
              </w:rPr>
              <w:t>2</w:t>
            </w:r>
            <w:r>
              <w:rPr>
                <w:rFonts w:hint="eastAsia" w:ascii="宋体" w:hAnsi="宋体" w:eastAsia="宋体" w:cs="宋体"/>
                <w:szCs w:val="21"/>
              </w:rPr>
              <w:t>分，最高得</w:t>
            </w:r>
            <w:r>
              <w:rPr>
                <w:rFonts w:hint="eastAsia" w:ascii="宋体" w:hAnsi="宋体" w:cs="宋体"/>
                <w:szCs w:val="21"/>
                <w:lang w:val="en-US" w:eastAsia="zh-CN"/>
              </w:rPr>
              <w:t>6</w:t>
            </w:r>
            <w:r>
              <w:rPr>
                <w:rFonts w:hint="eastAsia" w:ascii="宋体" w:hAnsi="宋体" w:eastAsia="宋体" w:cs="宋体"/>
                <w:szCs w:val="21"/>
              </w:rPr>
              <w:t>分（需提供证书复印件或相关佐证材料加盖公章，不提供或资料不符不得分）；</w:t>
            </w:r>
          </w:p>
        </w:tc>
        <w:tc>
          <w:tcPr>
            <w:tcW w:w="793" w:type="dxa"/>
            <w:tcBorders>
              <w:tl2br w:val="nil"/>
              <w:tr2bl w:val="nil"/>
            </w:tcBorders>
            <w:noWrap w:val="0"/>
            <w:vAlign w:val="center"/>
          </w:tcPr>
          <w:p w14:paraId="21ED2064">
            <w:pPr>
              <w:spacing w:line="276" w:lineRule="auto"/>
              <w:jc w:val="center"/>
              <w:rPr>
                <w:rFonts w:hint="eastAsia" w:ascii="宋体" w:hAnsi="宋体" w:eastAsia="宋体" w:cs="宋体"/>
                <w:color w:val="auto"/>
                <w:szCs w:val="22"/>
                <w:highlight w:val="none"/>
                <w:lang w:val="en-US" w:eastAsia="zh-CN"/>
              </w:rPr>
            </w:pPr>
            <w:r>
              <w:rPr>
                <w:rFonts w:hint="eastAsia" w:ascii="宋体" w:hAnsi="宋体" w:cs="宋体"/>
                <w:color w:val="auto"/>
                <w:szCs w:val="22"/>
                <w:highlight w:val="none"/>
                <w:lang w:val="en-US" w:eastAsia="zh-CN"/>
              </w:rPr>
              <w:t>6</w:t>
            </w:r>
          </w:p>
        </w:tc>
      </w:tr>
      <w:tr w14:paraId="7B5027F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40" w:hRule="atLeast"/>
        </w:trPr>
        <w:tc>
          <w:tcPr>
            <w:tcW w:w="1130" w:type="dxa"/>
            <w:vMerge w:val="continue"/>
            <w:tcBorders>
              <w:tl2br w:val="nil"/>
              <w:tr2bl w:val="nil"/>
            </w:tcBorders>
            <w:noWrap w:val="0"/>
            <w:vAlign w:val="center"/>
          </w:tcPr>
          <w:p w14:paraId="69AF5FDF">
            <w:pPr>
              <w:spacing w:line="276" w:lineRule="auto"/>
              <w:jc w:val="center"/>
              <w:rPr>
                <w:rFonts w:hint="eastAsia" w:ascii="宋体" w:hAnsi="宋体" w:eastAsia="宋体" w:cs="宋体"/>
                <w:color w:val="auto"/>
                <w:szCs w:val="22"/>
                <w:highlight w:val="none"/>
              </w:rPr>
            </w:pPr>
          </w:p>
        </w:tc>
        <w:tc>
          <w:tcPr>
            <w:tcW w:w="1090" w:type="dxa"/>
            <w:tcBorders>
              <w:tl2br w:val="nil"/>
              <w:tr2bl w:val="nil"/>
            </w:tcBorders>
            <w:noWrap w:val="0"/>
            <w:vAlign w:val="center"/>
          </w:tcPr>
          <w:p w14:paraId="30882135">
            <w:pPr>
              <w:spacing w:line="276"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类似</w:t>
            </w:r>
          </w:p>
          <w:p w14:paraId="6BA32423">
            <w:pPr>
              <w:spacing w:line="276"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业绩</w:t>
            </w:r>
          </w:p>
        </w:tc>
        <w:tc>
          <w:tcPr>
            <w:tcW w:w="6545" w:type="dxa"/>
            <w:tcBorders>
              <w:tl2br w:val="nil"/>
              <w:tr2bl w:val="nil"/>
            </w:tcBorders>
            <w:noWrap w:val="0"/>
            <w:vAlign w:val="center"/>
          </w:tcPr>
          <w:p w14:paraId="09E99564">
            <w:pPr>
              <w:rPr>
                <w:rFonts w:hint="default" w:ascii="宋体" w:hAnsi="宋体" w:eastAsia="宋体" w:cs="宋体"/>
                <w:szCs w:val="21"/>
                <w:lang w:val="en-US" w:eastAsia="zh-CN"/>
              </w:rPr>
            </w:pPr>
            <w:r>
              <w:rPr>
                <w:rFonts w:hint="eastAsia" w:ascii="宋体" w:hAnsi="宋体" w:eastAsia="宋体" w:cs="宋体"/>
                <w:szCs w:val="21"/>
              </w:rPr>
              <w:t>投标人</w:t>
            </w:r>
            <w:r>
              <w:rPr>
                <w:rFonts w:hint="eastAsia" w:ascii="宋体" w:hAnsi="宋体" w:cs="宋体"/>
                <w:szCs w:val="21"/>
                <w:lang w:val="en-US" w:eastAsia="zh-CN"/>
              </w:rPr>
              <w:t>提供近3年（合同签定日期不早于投标截止之日起前3年）类似完整业绩证明文件；具有</w:t>
            </w:r>
            <w:r>
              <w:rPr>
                <w:rFonts w:hint="eastAsia" w:ascii="宋体" w:hAnsi="宋体" w:eastAsia="宋体" w:cs="宋体"/>
                <w:szCs w:val="21"/>
              </w:rPr>
              <w:t>类似业绩</w:t>
            </w:r>
            <w:r>
              <w:rPr>
                <w:rFonts w:hint="eastAsia" w:ascii="宋体" w:hAnsi="宋体" w:cs="宋体"/>
                <w:szCs w:val="21"/>
                <w:lang w:val="en-US" w:eastAsia="zh-CN"/>
              </w:rPr>
              <w:t>合同</w:t>
            </w:r>
            <w:r>
              <w:rPr>
                <w:rFonts w:hint="eastAsia" w:ascii="宋体" w:hAnsi="宋体" w:eastAsia="宋体" w:cs="宋体"/>
                <w:szCs w:val="21"/>
                <w:lang w:val="en-US" w:eastAsia="zh-CN"/>
              </w:rPr>
              <w:t>金额</w:t>
            </w:r>
            <w:r>
              <w:rPr>
                <w:rFonts w:hint="eastAsia" w:ascii="宋体" w:hAnsi="宋体" w:cs="宋体"/>
                <w:szCs w:val="21"/>
                <w:lang w:val="en-US" w:eastAsia="zh-CN"/>
              </w:rPr>
              <w:t>在</w:t>
            </w:r>
            <w:r>
              <w:rPr>
                <w:rFonts w:hint="eastAsia" w:ascii="宋体" w:hAnsi="宋体" w:eastAsia="宋体" w:cs="宋体"/>
                <w:szCs w:val="21"/>
                <w:lang w:val="en-US" w:eastAsia="zh-CN"/>
              </w:rPr>
              <w:t>15万元</w:t>
            </w:r>
            <w:r>
              <w:rPr>
                <w:rFonts w:hint="eastAsia" w:ascii="宋体" w:hAnsi="宋体" w:cs="宋体"/>
                <w:szCs w:val="21"/>
                <w:lang w:val="en-US" w:eastAsia="zh-CN"/>
              </w:rPr>
              <w:t>及以上的</w:t>
            </w:r>
            <w:r>
              <w:rPr>
                <w:rFonts w:hint="eastAsia" w:ascii="宋体" w:hAnsi="宋体" w:eastAsia="宋体" w:cs="宋体"/>
                <w:szCs w:val="21"/>
              </w:rPr>
              <w:t>每个计</w:t>
            </w:r>
            <w:r>
              <w:rPr>
                <w:rFonts w:hint="eastAsia" w:ascii="宋体" w:hAnsi="宋体" w:cs="宋体"/>
                <w:szCs w:val="21"/>
                <w:lang w:val="en-US" w:eastAsia="zh-CN"/>
              </w:rPr>
              <w:t>5</w:t>
            </w:r>
            <w:r>
              <w:rPr>
                <w:rFonts w:hint="eastAsia" w:ascii="宋体" w:hAnsi="宋体" w:eastAsia="宋体" w:cs="宋体"/>
                <w:szCs w:val="21"/>
              </w:rPr>
              <w:t>分，</w:t>
            </w:r>
            <w:r>
              <w:rPr>
                <w:rFonts w:hint="eastAsia" w:ascii="宋体" w:hAnsi="宋体" w:cs="宋体"/>
                <w:szCs w:val="21"/>
                <w:lang w:val="en-US" w:eastAsia="zh-CN"/>
              </w:rPr>
              <w:t>合同</w:t>
            </w:r>
            <w:r>
              <w:rPr>
                <w:rFonts w:hint="eastAsia" w:ascii="宋体" w:hAnsi="宋体" w:eastAsia="宋体" w:cs="宋体"/>
                <w:szCs w:val="21"/>
                <w:lang w:val="en-US" w:eastAsia="zh-CN"/>
              </w:rPr>
              <w:t>金额</w:t>
            </w:r>
            <w:r>
              <w:rPr>
                <w:rFonts w:hint="eastAsia" w:ascii="宋体" w:hAnsi="宋体" w:cs="宋体"/>
                <w:szCs w:val="21"/>
                <w:lang w:val="en-US" w:eastAsia="zh-CN"/>
              </w:rPr>
              <w:t>在</w:t>
            </w:r>
            <w:r>
              <w:rPr>
                <w:rFonts w:hint="eastAsia" w:ascii="宋体" w:hAnsi="宋体" w:eastAsia="宋体" w:cs="宋体"/>
                <w:szCs w:val="21"/>
                <w:lang w:val="en-US" w:eastAsia="zh-CN"/>
              </w:rPr>
              <w:t>10万元</w:t>
            </w:r>
            <w:r>
              <w:rPr>
                <w:rFonts w:hint="eastAsia" w:ascii="宋体" w:hAnsi="宋体" w:cs="宋体"/>
                <w:szCs w:val="21"/>
                <w:lang w:val="en-US" w:eastAsia="zh-CN"/>
              </w:rPr>
              <w:t>及以上，低于15万元</w:t>
            </w:r>
            <w:r>
              <w:rPr>
                <w:rFonts w:hint="eastAsia" w:ascii="宋体" w:hAnsi="宋体" w:eastAsia="宋体" w:cs="宋体"/>
                <w:szCs w:val="21"/>
                <w:lang w:val="en-US" w:eastAsia="zh-CN"/>
              </w:rPr>
              <w:t>的合同每个计3分，</w:t>
            </w:r>
            <w:r>
              <w:rPr>
                <w:rFonts w:hint="eastAsia" w:ascii="宋体" w:hAnsi="宋体" w:cs="宋体"/>
                <w:szCs w:val="21"/>
                <w:lang w:val="en-US" w:eastAsia="zh-CN"/>
              </w:rPr>
              <w:t>合同</w:t>
            </w:r>
            <w:r>
              <w:rPr>
                <w:rFonts w:hint="eastAsia" w:ascii="宋体" w:hAnsi="宋体" w:eastAsia="宋体" w:cs="宋体"/>
                <w:szCs w:val="21"/>
                <w:lang w:val="en-US" w:eastAsia="zh-CN"/>
              </w:rPr>
              <w:t>金额</w:t>
            </w:r>
            <w:r>
              <w:rPr>
                <w:rFonts w:hint="eastAsia" w:ascii="宋体" w:hAnsi="宋体" w:cs="宋体"/>
                <w:szCs w:val="21"/>
                <w:lang w:val="en-US" w:eastAsia="zh-CN"/>
              </w:rPr>
              <w:t>在</w:t>
            </w:r>
            <w:r>
              <w:rPr>
                <w:rFonts w:hint="eastAsia" w:ascii="宋体" w:hAnsi="宋体" w:eastAsia="宋体" w:cs="宋体"/>
                <w:szCs w:val="21"/>
                <w:lang w:val="en-US" w:eastAsia="zh-CN"/>
              </w:rPr>
              <w:t>10万元</w:t>
            </w:r>
            <w:r>
              <w:rPr>
                <w:rFonts w:hint="eastAsia" w:ascii="宋体" w:hAnsi="宋体" w:cs="宋体"/>
                <w:szCs w:val="21"/>
                <w:lang w:val="en-US" w:eastAsia="zh-CN"/>
              </w:rPr>
              <w:t>以下的，</w:t>
            </w:r>
            <w:r>
              <w:rPr>
                <w:rFonts w:hint="eastAsia" w:ascii="宋体" w:hAnsi="宋体" w:eastAsia="宋体" w:cs="宋体"/>
                <w:szCs w:val="21"/>
                <w:lang w:val="en-US" w:eastAsia="zh-CN"/>
              </w:rPr>
              <w:t>每个计</w:t>
            </w:r>
            <w:r>
              <w:rPr>
                <w:rFonts w:hint="eastAsia" w:ascii="宋体" w:hAnsi="宋体" w:cs="宋体"/>
                <w:szCs w:val="21"/>
                <w:lang w:val="en-US" w:eastAsia="zh-CN"/>
              </w:rPr>
              <w:t>1</w:t>
            </w:r>
            <w:r>
              <w:rPr>
                <w:rFonts w:hint="eastAsia" w:ascii="宋体" w:hAnsi="宋体" w:eastAsia="宋体" w:cs="宋体"/>
                <w:szCs w:val="21"/>
                <w:lang w:val="en-US" w:eastAsia="zh-CN"/>
              </w:rPr>
              <w:t>分，</w:t>
            </w:r>
            <w:r>
              <w:rPr>
                <w:rFonts w:hint="eastAsia" w:ascii="宋体" w:hAnsi="宋体" w:eastAsia="宋体" w:cs="宋体"/>
                <w:szCs w:val="21"/>
              </w:rPr>
              <w:t>最多计</w:t>
            </w:r>
            <w:r>
              <w:rPr>
                <w:rFonts w:hint="eastAsia" w:ascii="宋体" w:hAnsi="宋体" w:cs="宋体"/>
                <w:szCs w:val="21"/>
                <w:lang w:val="en-US" w:eastAsia="zh-CN"/>
              </w:rPr>
              <w:t>15</w:t>
            </w:r>
            <w:r>
              <w:rPr>
                <w:rFonts w:hint="eastAsia" w:ascii="宋体" w:hAnsi="宋体" w:eastAsia="宋体" w:cs="宋体"/>
                <w:szCs w:val="21"/>
              </w:rPr>
              <w:t>分</w:t>
            </w:r>
            <w:r>
              <w:rPr>
                <w:rFonts w:hint="eastAsia" w:ascii="宋体" w:hAnsi="宋体" w:cs="宋体"/>
                <w:szCs w:val="21"/>
                <w:lang w:eastAsia="zh-CN"/>
              </w:rPr>
              <w:t>；</w:t>
            </w:r>
            <w:r>
              <w:rPr>
                <w:rFonts w:hint="eastAsia" w:ascii="宋体" w:hAnsi="宋体" w:cs="宋体"/>
                <w:szCs w:val="21"/>
                <w:lang w:val="en-US" w:eastAsia="zh-CN"/>
              </w:rPr>
              <w:t>业绩证明文件不完整的每个扣1分</w:t>
            </w:r>
            <w:r>
              <w:rPr>
                <w:rFonts w:hint="eastAsia" w:ascii="宋体" w:hAnsi="宋体" w:cs="宋体"/>
                <w:szCs w:val="21"/>
                <w:lang w:eastAsia="zh-CN"/>
              </w:rPr>
              <w:t>；</w:t>
            </w:r>
            <w:r>
              <w:rPr>
                <w:rFonts w:hint="eastAsia" w:ascii="宋体" w:hAnsi="宋体" w:cs="宋体"/>
                <w:szCs w:val="21"/>
                <w:lang w:val="en-US" w:eastAsia="zh-CN"/>
              </w:rPr>
              <w:t>同一个项目的不重复计分。</w:t>
            </w:r>
          </w:p>
          <w:p w14:paraId="72E80E77">
            <w:pPr>
              <w:rPr>
                <w:rFonts w:hint="eastAsia" w:ascii="宋体" w:hAnsi="宋体" w:eastAsia="宋体" w:cs="宋体"/>
                <w:szCs w:val="21"/>
                <w:lang w:val="en-US" w:eastAsia="zh-CN"/>
              </w:rPr>
            </w:pPr>
            <w:r>
              <w:rPr>
                <w:rFonts w:hint="eastAsia" w:ascii="宋体" w:hAnsi="宋体" w:eastAsia="宋体" w:cs="宋体"/>
                <w:szCs w:val="21"/>
              </w:rPr>
              <w:t>注：</w:t>
            </w:r>
            <w:r>
              <w:rPr>
                <w:rFonts w:hint="eastAsia" w:ascii="宋体" w:hAnsi="宋体" w:cs="宋体"/>
                <w:szCs w:val="21"/>
                <w:lang w:val="en-US" w:eastAsia="zh-CN"/>
              </w:rPr>
              <w:t>完整业绩证明文件=完整合同+合同期内消防报告或使用说明；</w:t>
            </w:r>
            <w:r>
              <w:rPr>
                <w:rFonts w:hint="eastAsia" w:ascii="宋体" w:hAnsi="宋体" w:eastAsia="宋体" w:cs="宋体"/>
                <w:szCs w:val="21"/>
              </w:rPr>
              <w:t>业绩证明须提供合同复印件加盖投标人公章，合同甲方须是最终使用</w:t>
            </w:r>
            <w:r>
              <w:rPr>
                <w:rFonts w:hint="eastAsia" w:ascii="宋体" w:hAnsi="宋体" w:eastAsia="宋体" w:cs="宋体"/>
                <w:szCs w:val="21"/>
                <w:lang w:val="en-US" w:eastAsia="zh-CN"/>
              </w:rPr>
              <w:t>用户</w:t>
            </w:r>
            <w:r>
              <w:rPr>
                <w:rFonts w:hint="eastAsia" w:ascii="宋体" w:hAnsi="宋体" w:eastAsia="宋体" w:cs="宋体"/>
                <w:szCs w:val="21"/>
              </w:rPr>
              <w:t>，否则不计分。</w:t>
            </w:r>
          </w:p>
        </w:tc>
        <w:tc>
          <w:tcPr>
            <w:tcW w:w="793" w:type="dxa"/>
            <w:tcBorders>
              <w:tl2br w:val="nil"/>
              <w:tr2bl w:val="nil"/>
            </w:tcBorders>
            <w:noWrap w:val="0"/>
            <w:vAlign w:val="center"/>
          </w:tcPr>
          <w:p w14:paraId="7C971AB6">
            <w:pPr>
              <w:spacing w:line="276" w:lineRule="auto"/>
              <w:jc w:val="center"/>
              <w:rPr>
                <w:rFonts w:hint="default" w:ascii="宋体" w:hAnsi="宋体" w:cs="宋体"/>
                <w:color w:val="auto"/>
                <w:szCs w:val="22"/>
                <w:highlight w:val="none"/>
                <w:lang w:val="en-US" w:eastAsia="zh-CN"/>
              </w:rPr>
            </w:pPr>
            <w:r>
              <w:rPr>
                <w:rFonts w:hint="eastAsia" w:ascii="宋体" w:hAnsi="宋体" w:cs="宋体"/>
                <w:color w:val="auto"/>
                <w:szCs w:val="22"/>
                <w:highlight w:val="none"/>
                <w:lang w:val="en-US" w:eastAsia="zh-CN"/>
              </w:rPr>
              <w:t>15</w:t>
            </w:r>
          </w:p>
        </w:tc>
      </w:tr>
      <w:tr w14:paraId="0493370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92" w:hRule="atLeast"/>
        </w:trPr>
        <w:tc>
          <w:tcPr>
            <w:tcW w:w="1130" w:type="dxa"/>
            <w:vMerge w:val="continue"/>
            <w:tcBorders>
              <w:tl2br w:val="nil"/>
              <w:tr2bl w:val="nil"/>
            </w:tcBorders>
            <w:noWrap w:val="0"/>
            <w:vAlign w:val="center"/>
          </w:tcPr>
          <w:p w14:paraId="1F5BC17A">
            <w:pPr>
              <w:rPr>
                <w:rFonts w:hint="eastAsia" w:ascii="宋体" w:hAnsi="宋体" w:eastAsia="宋体" w:cs="宋体"/>
                <w:szCs w:val="21"/>
              </w:rPr>
            </w:pPr>
          </w:p>
        </w:tc>
        <w:tc>
          <w:tcPr>
            <w:tcW w:w="1090" w:type="dxa"/>
            <w:tcBorders>
              <w:tl2br w:val="nil"/>
              <w:tr2bl w:val="nil"/>
            </w:tcBorders>
            <w:noWrap w:val="0"/>
            <w:vAlign w:val="center"/>
          </w:tcPr>
          <w:p w14:paraId="3DABD049">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人员</w:t>
            </w:r>
          </w:p>
          <w:p w14:paraId="062E8B41">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配备</w:t>
            </w:r>
          </w:p>
        </w:tc>
        <w:tc>
          <w:tcPr>
            <w:tcW w:w="6545" w:type="dxa"/>
            <w:tcBorders>
              <w:tl2br w:val="nil"/>
              <w:tr2bl w:val="nil"/>
            </w:tcBorders>
            <w:noWrap w:val="0"/>
            <w:vAlign w:val="center"/>
          </w:tcPr>
          <w:p w14:paraId="287B0291">
            <w:pPr>
              <w:pStyle w:val="12"/>
              <w:numPr>
                <w:ilvl w:val="0"/>
                <w:numId w:val="0"/>
              </w:numPr>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Hans" w:bidi="ar-SA"/>
              </w:rPr>
              <w:t>1、</w:t>
            </w:r>
            <w:r>
              <w:rPr>
                <w:rFonts w:hint="eastAsia" w:ascii="宋体" w:hAnsi="宋体" w:cs="宋体"/>
                <w:kern w:val="2"/>
                <w:sz w:val="21"/>
                <w:szCs w:val="21"/>
                <w:lang w:val="en-US" w:eastAsia="zh-CN" w:bidi="ar-SA"/>
              </w:rPr>
              <w:t>投标人</w:t>
            </w:r>
            <w:r>
              <w:rPr>
                <w:rFonts w:hint="eastAsia" w:ascii="宋体" w:hAnsi="宋体" w:eastAsia="宋体" w:cs="宋体"/>
                <w:kern w:val="2"/>
                <w:sz w:val="21"/>
                <w:szCs w:val="21"/>
                <w:lang w:val="en-US" w:eastAsia="zh-CN" w:bidi="ar-SA"/>
              </w:rPr>
              <w:t>注册消防工程师不少于2人，且企业技术负责人由一级注册消防工程师担任，并提供近3个月的社保记录</w:t>
            </w:r>
            <w:r>
              <w:rPr>
                <w:rFonts w:hint="eastAsia" w:ascii="宋体" w:hAnsi="宋体" w:cs="宋体"/>
                <w:kern w:val="2"/>
                <w:sz w:val="21"/>
                <w:szCs w:val="21"/>
                <w:lang w:val="en-US" w:eastAsia="zh-CN" w:bidi="ar-SA"/>
              </w:rPr>
              <w:t>；得3</w:t>
            </w:r>
            <w:r>
              <w:rPr>
                <w:rFonts w:hint="eastAsia" w:ascii="宋体" w:hAnsi="宋体" w:eastAsia="宋体" w:cs="宋体"/>
                <w:kern w:val="2"/>
                <w:sz w:val="21"/>
                <w:szCs w:val="21"/>
                <w:lang w:val="en-US" w:eastAsia="zh-CN" w:bidi="ar-SA"/>
              </w:rPr>
              <w:t>分</w:t>
            </w:r>
            <w:r>
              <w:rPr>
                <w:rFonts w:hint="eastAsia" w:ascii="宋体" w:hAnsi="宋体" w:cs="宋体"/>
                <w:kern w:val="2"/>
                <w:sz w:val="21"/>
                <w:szCs w:val="21"/>
                <w:lang w:val="en-US" w:eastAsia="zh-CN" w:bidi="ar-SA"/>
              </w:rPr>
              <w:t>；未提供或提供的资料不完整的不计分</w:t>
            </w:r>
            <w:r>
              <w:rPr>
                <w:rFonts w:hint="eastAsia" w:ascii="宋体" w:hAnsi="宋体" w:eastAsia="宋体" w:cs="宋体"/>
                <w:kern w:val="2"/>
                <w:sz w:val="21"/>
                <w:szCs w:val="21"/>
                <w:lang w:val="en-US" w:eastAsia="zh-CN" w:bidi="ar-SA"/>
              </w:rPr>
              <w:t xml:space="preserve"> 。</w:t>
            </w:r>
          </w:p>
          <w:p w14:paraId="0A2A2F6C">
            <w:pP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w:t>
            </w:r>
            <w:r>
              <w:rPr>
                <w:rFonts w:hint="eastAsia" w:ascii="宋体" w:hAnsi="宋体" w:cs="宋体"/>
                <w:kern w:val="2"/>
                <w:sz w:val="21"/>
                <w:szCs w:val="21"/>
                <w:lang w:val="en-US" w:eastAsia="zh-CN" w:bidi="ar-SA"/>
              </w:rPr>
              <w:t>投标人技术人员</w:t>
            </w:r>
            <w:r>
              <w:rPr>
                <w:rFonts w:hint="eastAsia" w:ascii="宋体" w:hAnsi="宋体" w:eastAsia="宋体" w:cs="宋体"/>
                <w:kern w:val="2"/>
                <w:sz w:val="21"/>
                <w:szCs w:val="21"/>
                <w:lang w:val="en-US" w:eastAsia="zh-CN" w:bidi="ar-SA"/>
              </w:rPr>
              <w:t>取得消防设施操作员国家职业资格证书的人员</w:t>
            </w:r>
            <w:r>
              <w:rPr>
                <w:rFonts w:hint="eastAsia" w:ascii="宋体" w:hAnsi="宋体" w:cs="宋体"/>
                <w:kern w:val="2"/>
                <w:sz w:val="21"/>
                <w:szCs w:val="21"/>
                <w:lang w:val="en-US" w:eastAsia="zh-CN" w:bidi="ar-SA"/>
              </w:rPr>
              <w:t>，</w:t>
            </w:r>
            <w:r>
              <w:rPr>
                <w:rFonts w:hint="eastAsia" w:ascii="宋体" w:hAnsi="宋体" w:eastAsia="宋体" w:cs="宋体"/>
                <w:kern w:val="2"/>
                <w:sz w:val="21"/>
                <w:szCs w:val="21"/>
                <w:lang w:val="en-US" w:eastAsia="zh-CN" w:bidi="ar-SA"/>
              </w:rPr>
              <w:t>提供8人及以上</w:t>
            </w:r>
            <w:r>
              <w:rPr>
                <w:rFonts w:hint="eastAsia" w:ascii="宋体" w:hAnsi="宋体" w:cs="宋体"/>
                <w:kern w:val="2"/>
                <w:sz w:val="21"/>
                <w:szCs w:val="21"/>
                <w:lang w:val="en-US" w:eastAsia="zh-CN" w:bidi="ar-SA"/>
              </w:rPr>
              <w:t>，</w:t>
            </w:r>
            <w:r>
              <w:rPr>
                <w:rFonts w:hint="eastAsia" w:ascii="宋体" w:hAnsi="宋体" w:eastAsia="宋体" w:cs="宋体"/>
                <w:kern w:val="2"/>
                <w:sz w:val="21"/>
                <w:szCs w:val="21"/>
                <w:lang w:val="en-US" w:eastAsia="zh-CN" w:bidi="ar-SA"/>
              </w:rPr>
              <w:t>计6分；提供6人及以上</w:t>
            </w:r>
            <w:r>
              <w:rPr>
                <w:rFonts w:hint="eastAsia" w:ascii="宋体" w:hAnsi="宋体" w:cs="宋体"/>
                <w:kern w:val="2"/>
                <w:sz w:val="21"/>
                <w:szCs w:val="21"/>
                <w:lang w:val="en-US" w:eastAsia="zh-CN" w:bidi="ar-SA"/>
              </w:rPr>
              <w:t>，少于</w:t>
            </w:r>
            <w:r>
              <w:rPr>
                <w:rFonts w:hint="eastAsia" w:ascii="宋体" w:hAnsi="宋体" w:eastAsia="宋体" w:cs="宋体"/>
                <w:kern w:val="2"/>
                <w:sz w:val="21"/>
                <w:szCs w:val="21"/>
                <w:lang w:val="en-US" w:eastAsia="zh-CN" w:bidi="ar-SA"/>
              </w:rPr>
              <w:t>8人</w:t>
            </w:r>
            <w:r>
              <w:rPr>
                <w:rFonts w:hint="eastAsia" w:ascii="宋体" w:hAnsi="宋体" w:cs="宋体"/>
                <w:kern w:val="2"/>
                <w:sz w:val="21"/>
                <w:szCs w:val="21"/>
                <w:lang w:val="en-US" w:eastAsia="zh-CN" w:bidi="ar-SA"/>
              </w:rPr>
              <w:t>，</w:t>
            </w:r>
            <w:r>
              <w:rPr>
                <w:rFonts w:hint="eastAsia" w:ascii="宋体" w:hAnsi="宋体" w:eastAsia="宋体" w:cs="宋体"/>
                <w:kern w:val="2"/>
                <w:sz w:val="21"/>
                <w:szCs w:val="21"/>
                <w:lang w:val="en-US" w:eastAsia="zh-CN" w:bidi="ar-SA"/>
              </w:rPr>
              <w:t>计3分；</w:t>
            </w:r>
            <w:r>
              <w:rPr>
                <w:rFonts w:hint="eastAsia" w:ascii="宋体" w:hAnsi="宋体" w:cs="宋体"/>
                <w:kern w:val="2"/>
                <w:sz w:val="21"/>
                <w:szCs w:val="21"/>
                <w:lang w:val="en-US" w:eastAsia="zh-CN" w:bidi="ar-SA"/>
              </w:rPr>
              <w:t>少于</w:t>
            </w:r>
            <w:r>
              <w:rPr>
                <w:rFonts w:hint="eastAsia" w:ascii="宋体" w:hAnsi="宋体" w:eastAsia="宋体" w:cs="宋体"/>
                <w:kern w:val="2"/>
                <w:sz w:val="21"/>
                <w:szCs w:val="21"/>
                <w:lang w:val="en-US" w:eastAsia="zh-CN" w:bidi="ar-SA"/>
              </w:rPr>
              <w:t>6人不计分。</w:t>
            </w:r>
          </w:p>
          <w:p w14:paraId="6B227593">
            <w:pP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w:t>
            </w:r>
            <w:r>
              <w:rPr>
                <w:rFonts w:hint="eastAsia" w:ascii="宋体" w:hAnsi="宋体" w:cs="宋体"/>
                <w:kern w:val="2"/>
                <w:sz w:val="21"/>
                <w:szCs w:val="21"/>
                <w:lang w:val="en-US" w:eastAsia="zh-CN" w:bidi="ar-SA"/>
              </w:rPr>
              <w:t>投标人技术人员</w:t>
            </w:r>
            <w:r>
              <w:rPr>
                <w:rFonts w:hint="eastAsia" w:ascii="宋体" w:hAnsi="宋体" w:eastAsia="宋体" w:cs="宋体"/>
                <w:kern w:val="2"/>
                <w:sz w:val="21"/>
                <w:szCs w:val="21"/>
                <w:lang w:val="en-US" w:eastAsia="zh-CN" w:bidi="ar-SA"/>
              </w:rPr>
              <w:t>中具备中级及以上技能等级的</w:t>
            </w:r>
            <w:r>
              <w:rPr>
                <w:rFonts w:hint="eastAsia" w:ascii="宋体" w:hAnsi="宋体" w:cs="宋体"/>
                <w:kern w:val="2"/>
                <w:sz w:val="21"/>
                <w:szCs w:val="21"/>
                <w:lang w:val="en-US" w:eastAsia="zh-CN" w:bidi="ar-SA"/>
              </w:rPr>
              <w:t>，</w:t>
            </w:r>
            <w:r>
              <w:rPr>
                <w:rFonts w:hint="eastAsia" w:ascii="宋体" w:hAnsi="宋体" w:eastAsia="宋体" w:cs="宋体"/>
                <w:kern w:val="2"/>
                <w:sz w:val="21"/>
                <w:szCs w:val="21"/>
                <w:lang w:val="en-US" w:eastAsia="zh-CN" w:bidi="ar-SA"/>
              </w:rPr>
              <w:t>4人及以上</w:t>
            </w:r>
            <w:r>
              <w:rPr>
                <w:rFonts w:hint="eastAsia" w:ascii="宋体" w:hAnsi="宋体" w:cs="宋体"/>
                <w:kern w:val="2"/>
                <w:sz w:val="21"/>
                <w:szCs w:val="21"/>
                <w:lang w:val="en-US" w:eastAsia="zh-CN" w:bidi="ar-SA"/>
              </w:rPr>
              <w:t>，计</w:t>
            </w:r>
            <w:r>
              <w:rPr>
                <w:rFonts w:hint="eastAsia" w:ascii="宋体" w:hAnsi="宋体" w:eastAsia="宋体" w:cs="宋体"/>
                <w:kern w:val="2"/>
                <w:sz w:val="21"/>
                <w:szCs w:val="21"/>
                <w:lang w:val="en-US" w:eastAsia="zh-CN" w:bidi="ar-SA"/>
              </w:rPr>
              <w:t>5分；</w:t>
            </w:r>
            <w:r>
              <w:rPr>
                <w:rFonts w:hint="eastAsia" w:ascii="宋体" w:hAnsi="宋体" w:cs="宋体"/>
                <w:kern w:val="2"/>
                <w:sz w:val="21"/>
                <w:szCs w:val="21"/>
                <w:lang w:val="en-US" w:eastAsia="zh-CN" w:bidi="ar-SA"/>
              </w:rPr>
              <w:t>2</w:t>
            </w:r>
            <w:r>
              <w:rPr>
                <w:rFonts w:hint="eastAsia" w:ascii="宋体" w:hAnsi="宋体" w:eastAsia="宋体" w:cs="宋体"/>
                <w:kern w:val="2"/>
                <w:sz w:val="21"/>
                <w:szCs w:val="21"/>
                <w:lang w:val="en-US" w:eastAsia="zh-CN" w:bidi="ar-SA"/>
              </w:rPr>
              <w:t>人</w:t>
            </w:r>
            <w:r>
              <w:rPr>
                <w:rFonts w:hint="eastAsia" w:ascii="宋体" w:hAnsi="宋体" w:cs="宋体"/>
                <w:kern w:val="2"/>
                <w:sz w:val="21"/>
                <w:szCs w:val="21"/>
                <w:lang w:val="en-US" w:eastAsia="zh-CN" w:bidi="ar-SA"/>
              </w:rPr>
              <w:t>及以上，不足4人，</w:t>
            </w:r>
            <w:r>
              <w:rPr>
                <w:rFonts w:hint="eastAsia" w:ascii="宋体" w:hAnsi="宋体" w:eastAsia="宋体" w:cs="宋体"/>
                <w:kern w:val="2"/>
                <w:sz w:val="21"/>
                <w:szCs w:val="21"/>
                <w:lang w:val="en-US" w:eastAsia="zh-CN" w:bidi="ar-SA"/>
              </w:rPr>
              <w:t>计3分；低于2人</w:t>
            </w:r>
            <w:r>
              <w:rPr>
                <w:rFonts w:hint="eastAsia" w:ascii="宋体" w:hAnsi="宋体" w:cs="宋体"/>
                <w:kern w:val="2"/>
                <w:sz w:val="21"/>
                <w:szCs w:val="21"/>
                <w:lang w:val="en-US" w:eastAsia="zh-CN" w:bidi="ar-SA"/>
              </w:rPr>
              <w:t>，</w:t>
            </w:r>
            <w:r>
              <w:rPr>
                <w:rFonts w:hint="eastAsia" w:ascii="宋体" w:hAnsi="宋体" w:eastAsia="宋体" w:cs="宋体"/>
                <w:kern w:val="2"/>
                <w:sz w:val="21"/>
                <w:szCs w:val="21"/>
                <w:lang w:val="en-US" w:eastAsia="zh-CN" w:bidi="ar-SA"/>
              </w:rPr>
              <w:t>不计分</w:t>
            </w:r>
            <w:r>
              <w:rPr>
                <w:rFonts w:hint="eastAsia" w:ascii="宋体" w:hAnsi="宋体" w:cs="宋体"/>
                <w:kern w:val="2"/>
                <w:sz w:val="21"/>
                <w:szCs w:val="21"/>
                <w:lang w:val="en-US" w:eastAsia="zh-CN" w:bidi="ar-SA"/>
              </w:rPr>
              <w:t>。</w:t>
            </w:r>
          </w:p>
          <w:p w14:paraId="15F1953B">
            <w:pPr>
              <w:rPr>
                <w:rFonts w:hint="eastAsia" w:ascii="宋体" w:hAnsi="宋体" w:eastAsia="宋体" w:cs="宋体"/>
                <w:szCs w:val="21"/>
              </w:rPr>
            </w:pPr>
            <w:r>
              <w:rPr>
                <w:rFonts w:hint="eastAsia" w:ascii="宋体" w:hAnsi="宋体" w:eastAsia="宋体" w:cs="宋体"/>
                <w:kern w:val="2"/>
                <w:sz w:val="21"/>
                <w:szCs w:val="21"/>
                <w:lang w:val="en-US" w:eastAsia="zh-CN" w:bidi="ar-SA"/>
              </w:rPr>
              <w:t>注：1、同一人持有多证，不重复计分； 2、须提供上述人员相关证书复印件及在社会消防技术服务信息系统（shhxf.119.gov.cn）备案截图并加盖供应商公章，否则不计分</w:t>
            </w:r>
            <w:r>
              <w:rPr>
                <w:rFonts w:hint="eastAsia" w:ascii="宋体" w:hAnsi="宋体" w:eastAsia="宋体" w:cs="宋体"/>
                <w:color w:val="auto"/>
                <w:sz w:val="21"/>
                <w:szCs w:val="21"/>
                <w:highlight w:val="none"/>
              </w:rPr>
              <w:t>。</w:t>
            </w:r>
          </w:p>
        </w:tc>
        <w:tc>
          <w:tcPr>
            <w:tcW w:w="793" w:type="dxa"/>
            <w:tcBorders>
              <w:tl2br w:val="nil"/>
              <w:tr2bl w:val="nil"/>
            </w:tcBorders>
            <w:noWrap w:val="0"/>
            <w:vAlign w:val="center"/>
          </w:tcPr>
          <w:p w14:paraId="1D0336D4">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1</w:t>
            </w:r>
            <w:r>
              <w:rPr>
                <w:rFonts w:hint="eastAsia" w:ascii="宋体" w:hAnsi="宋体" w:cs="宋体"/>
                <w:szCs w:val="21"/>
                <w:lang w:val="en-US" w:eastAsia="zh-CN"/>
              </w:rPr>
              <w:t>4</w:t>
            </w:r>
          </w:p>
        </w:tc>
      </w:tr>
      <w:tr w14:paraId="3E5A7C3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398" w:hRule="atLeast"/>
        </w:trPr>
        <w:tc>
          <w:tcPr>
            <w:tcW w:w="1130" w:type="dxa"/>
            <w:tcBorders>
              <w:tl2br w:val="nil"/>
              <w:tr2bl w:val="nil"/>
            </w:tcBorders>
            <w:noWrap w:val="0"/>
            <w:vAlign w:val="center"/>
          </w:tcPr>
          <w:p w14:paraId="486BF7D6">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技术</w:t>
            </w:r>
          </w:p>
          <w:p w14:paraId="4FD2893E">
            <w:pPr>
              <w:jc w:val="center"/>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cs="宋体"/>
                <w:szCs w:val="21"/>
                <w:lang w:val="en-US" w:eastAsia="zh-CN"/>
              </w:rPr>
              <w:t>5</w:t>
            </w:r>
            <w:r>
              <w:rPr>
                <w:rFonts w:hint="eastAsia" w:ascii="宋体" w:hAnsi="宋体" w:eastAsia="宋体" w:cs="宋体"/>
                <w:szCs w:val="21"/>
                <w:lang w:val="en-US" w:eastAsia="zh-CN"/>
              </w:rPr>
              <w:t>分）</w:t>
            </w:r>
          </w:p>
        </w:tc>
        <w:tc>
          <w:tcPr>
            <w:tcW w:w="1090" w:type="dxa"/>
            <w:tcBorders>
              <w:tl2br w:val="nil"/>
              <w:tr2bl w:val="nil"/>
            </w:tcBorders>
            <w:noWrap w:val="0"/>
            <w:vAlign w:val="center"/>
          </w:tcPr>
          <w:p w14:paraId="1829EB1A">
            <w:pPr>
              <w:rPr>
                <w:rFonts w:hint="eastAsia" w:ascii="宋体" w:hAnsi="宋体" w:eastAsia="宋体" w:cs="宋体"/>
                <w:szCs w:val="21"/>
                <w:lang w:val="en-US" w:eastAsia="zh-CN"/>
              </w:rPr>
            </w:pPr>
            <w:r>
              <w:rPr>
                <w:rFonts w:hint="eastAsia" w:ascii="宋体" w:hAnsi="宋体" w:eastAsia="宋体" w:cs="宋体"/>
                <w:szCs w:val="21"/>
                <w:lang w:val="en-US" w:eastAsia="zh-CN"/>
              </w:rPr>
              <w:t>需求响应</w:t>
            </w:r>
          </w:p>
          <w:p w14:paraId="4F2FED85">
            <w:pPr>
              <w:rPr>
                <w:rFonts w:hint="default" w:ascii="宋体" w:hAnsi="宋体" w:eastAsia="宋体" w:cs="宋体"/>
                <w:szCs w:val="21"/>
                <w:lang w:val="en-US" w:eastAsia="zh-CN"/>
              </w:rPr>
            </w:pPr>
            <w:r>
              <w:rPr>
                <w:rFonts w:hint="eastAsia" w:ascii="宋体" w:hAnsi="宋体" w:eastAsia="宋体" w:cs="宋体"/>
                <w:szCs w:val="21"/>
                <w:lang w:val="en-US" w:eastAsia="zh-CN"/>
              </w:rPr>
              <w:t>偏离</w:t>
            </w:r>
          </w:p>
        </w:tc>
        <w:tc>
          <w:tcPr>
            <w:tcW w:w="6545" w:type="dxa"/>
            <w:tcBorders>
              <w:tl2br w:val="nil"/>
              <w:tr2bl w:val="nil"/>
            </w:tcBorders>
            <w:noWrap w:val="0"/>
            <w:vAlign w:val="center"/>
          </w:tcPr>
          <w:p w14:paraId="5A9842A5">
            <w:pPr>
              <w:rPr>
                <w:rFonts w:hint="eastAsia" w:ascii="宋体" w:hAnsi="宋体" w:eastAsia="宋体" w:cs="宋体"/>
                <w:szCs w:val="21"/>
                <w:lang w:val="en-US" w:eastAsia="zh-CN"/>
              </w:rPr>
            </w:pPr>
            <w:r>
              <w:rPr>
                <w:rFonts w:hint="eastAsia" w:ascii="宋体" w:hAnsi="宋体" w:eastAsia="宋体" w:cs="宋体"/>
                <w:szCs w:val="21"/>
              </w:rPr>
              <w:t>根据投标人所提供的技术规格、参数响应/偏离表：全部满足招标文件要求得满分</w:t>
            </w:r>
            <w:r>
              <w:rPr>
                <w:rFonts w:hint="eastAsia" w:ascii="宋体" w:hAnsi="宋体" w:cs="宋体"/>
                <w:szCs w:val="21"/>
                <w:lang w:val="en-US" w:eastAsia="zh-CN"/>
              </w:rPr>
              <w:t>5</w:t>
            </w:r>
            <w:r>
              <w:rPr>
                <w:rFonts w:hint="eastAsia" w:ascii="宋体" w:hAnsi="宋体" w:eastAsia="宋体" w:cs="宋体"/>
                <w:szCs w:val="21"/>
              </w:rPr>
              <w:t>分；每一项负偏离扣</w:t>
            </w:r>
            <w:r>
              <w:rPr>
                <w:rFonts w:hint="eastAsia" w:ascii="宋体" w:hAnsi="宋体" w:eastAsia="宋体" w:cs="宋体"/>
                <w:szCs w:val="21"/>
                <w:lang w:val="en-US" w:eastAsia="zh-CN"/>
              </w:rPr>
              <w:t>1</w:t>
            </w:r>
            <w:r>
              <w:rPr>
                <w:rFonts w:hint="eastAsia" w:ascii="宋体" w:hAnsi="宋体" w:eastAsia="宋体" w:cs="宋体"/>
                <w:szCs w:val="21"/>
              </w:rPr>
              <w:t>分，扣完为止；所有条款如要求提供相关佐证材料，需按要求提供相关佐证材料，否则视为负偏离。</w:t>
            </w:r>
          </w:p>
        </w:tc>
        <w:tc>
          <w:tcPr>
            <w:tcW w:w="793" w:type="dxa"/>
            <w:tcBorders>
              <w:tl2br w:val="nil"/>
              <w:tr2bl w:val="nil"/>
            </w:tcBorders>
            <w:noWrap w:val="0"/>
            <w:vAlign w:val="center"/>
          </w:tcPr>
          <w:p w14:paraId="663254CB">
            <w:pPr>
              <w:jc w:val="center"/>
              <w:rPr>
                <w:rFonts w:hint="default" w:ascii="宋体" w:hAnsi="宋体" w:eastAsia="宋体" w:cs="宋体"/>
                <w:szCs w:val="21"/>
                <w:lang w:val="en-US" w:eastAsia="zh-CN"/>
              </w:rPr>
            </w:pPr>
            <w:r>
              <w:rPr>
                <w:rFonts w:hint="eastAsia" w:ascii="宋体" w:hAnsi="宋体" w:cs="宋体"/>
                <w:szCs w:val="21"/>
                <w:lang w:val="en-US" w:eastAsia="zh-CN"/>
              </w:rPr>
              <w:t>5</w:t>
            </w:r>
          </w:p>
        </w:tc>
      </w:tr>
    </w:tbl>
    <w:p w14:paraId="747E81E1">
      <w:pPr>
        <w:rPr>
          <w:rFonts w:hint="default"/>
          <w:sz w:val="24"/>
          <w:szCs w:val="24"/>
          <w:lang w:val="en-US" w:eastAsia="zh-CN"/>
        </w:rPr>
      </w:pPr>
    </w:p>
    <w:tbl>
      <w:tblPr>
        <w:tblStyle w:val="6"/>
        <w:tblW w:w="5394" w:type="pct"/>
        <w:tblInd w:w="-371"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1208"/>
        <w:gridCol w:w="1165"/>
        <w:gridCol w:w="6997"/>
        <w:gridCol w:w="848"/>
      </w:tblGrid>
      <w:tr w14:paraId="2D0E5E1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40" w:hRule="atLeast"/>
        </w:trPr>
        <w:tc>
          <w:tcPr>
            <w:tcW w:w="1130" w:type="dxa"/>
            <w:vMerge w:val="restart"/>
            <w:tcBorders>
              <w:tl2br w:val="nil"/>
              <w:tr2bl w:val="nil"/>
            </w:tcBorders>
            <w:noWrap w:val="0"/>
            <w:vAlign w:val="center"/>
          </w:tcPr>
          <w:p w14:paraId="3D697442">
            <w:pPr>
              <w:rPr>
                <w:rFonts w:hint="eastAsia" w:ascii="宋体" w:hAnsi="宋体" w:eastAsia="宋体" w:cs="宋体"/>
                <w:szCs w:val="21"/>
              </w:rPr>
            </w:pPr>
          </w:p>
        </w:tc>
        <w:tc>
          <w:tcPr>
            <w:tcW w:w="1090" w:type="dxa"/>
            <w:tcBorders>
              <w:tl2br w:val="nil"/>
              <w:tr2bl w:val="nil"/>
            </w:tcBorders>
            <w:noWrap w:val="0"/>
            <w:vAlign w:val="center"/>
          </w:tcPr>
          <w:p w14:paraId="74FBA930">
            <w:pPr>
              <w:rPr>
                <w:rFonts w:hint="eastAsia" w:ascii="宋体" w:hAnsi="宋体" w:eastAsia="宋体" w:cs="宋体"/>
                <w:szCs w:val="21"/>
                <w:lang w:val="en-US" w:eastAsia="zh-CN"/>
              </w:rPr>
            </w:pPr>
            <w:r>
              <w:rPr>
                <w:rFonts w:hint="eastAsia" w:ascii="宋体" w:hAnsi="宋体" w:eastAsia="宋体" w:cs="宋体"/>
                <w:color w:val="auto"/>
                <w:sz w:val="21"/>
                <w:szCs w:val="21"/>
                <w:highlight w:val="none"/>
              </w:rPr>
              <w:t>项目组织实施方案</w:t>
            </w:r>
          </w:p>
        </w:tc>
        <w:tc>
          <w:tcPr>
            <w:tcW w:w="6545" w:type="dxa"/>
            <w:tcBorders>
              <w:tl2br w:val="nil"/>
              <w:tr2bl w:val="nil"/>
            </w:tcBorders>
            <w:noWrap w:val="0"/>
            <w:vAlign w:val="center"/>
          </w:tcPr>
          <w:p w14:paraId="65AA598D">
            <w:pPr>
              <w:pStyle w:val="13"/>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szCs w:val="21"/>
                <w:lang w:val="en-US" w:eastAsia="zh-CN"/>
              </w:rPr>
            </w:pPr>
            <w:r>
              <w:rPr>
                <w:rFonts w:hint="eastAsia" w:ascii="宋体" w:hAnsi="宋体" w:eastAsia="宋体" w:cs="宋体"/>
                <w:color w:val="auto"/>
                <w:sz w:val="21"/>
                <w:szCs w:val="21"/>
                <w:highlight w:val="none"/>
                <w:lang w:val="en-US" w:eastAsia="zh-CN"/>
              </w:rPr>
              <w:t>供应商根据项目需求及实际情况提供项目维护保养方案，包括但不限于：①</w:t>
            </w:r>
            <w:r>
              <w:rPr>
                <w:rFonts w:hint="eastAsia" w:ascii="宋体" w:hAnsi="宋体" w:eastAsia="宋体" w:cs="宋体"/>
                <w:color w:val="auto"/>
                <w:sz w:val="21"/>
                <w:szCs w:val="21"/>
                <w:highlight w:val="none"/>
              </w:rPr>
              <w:t>维保范围与服务内容、</w:t>
            </w:r>
            <w:r>
              <w:rPr>
                <w:rFonts w:hint="eastAsia" w:ascii="宋体" w:hAnsi="宋体" w:eastAsia="宋体" w:cs="宋体"/>
                <w:color w:val="auto"/>
                <w:sz w:val="21"/>
                <w:szCs w:val="21"/>
                <w:highlight w:val="none"/>
                <w:lang w:val="en-US" w:eastAsia="zh-CN"/>
              </w:rPr>
              <w:t>②台账资料建立与管理③</w:t>
            </w:r>
            <w:r>
              <w:rPr>
                <w:rFonts w:hint="eastAsia" w:ascii="宋体" w:hAnsi="宋体" w:eastAsia="宋体" w:cs="宋体"/>
                <w:color w:val="auto"/>
                <w:sz w:val="21"/>
                <w:szCs w:val="21"/>
                <w:highlight w:val="none"/>
              </w:rPr>
              <w:t>作业流程与操作规范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④</w:t>
            </w:r>
            <w:r>
              <w:rPr>
                <w:rFonts w:hint="eastAsia" w:ascii="宋体" w:hAnsi="宋体" w:eastAsia="宋体" w:cs="宋体"/>
                <w:color w:val="auto"/>
                <w:sz w:val="21"/>
                <w:szCs w:val="21"/>
                <w:highlight w:val="none"/>
              </w:rPr>
              <w:t>故障等级划分与分级响应</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⑤日常巡查、定期检测、设备养护、隐患排查整改。</w:t>
            </w:r>
            <w:r>
              <w:rPr>
                <w:rFonts w:hint="eastAsia" w:ascii="宋体" w:hAnsi="宋体" w:eastAsia="宋体" w:cs="宋体"/>
                <w:color w:val="auto"/>
                <w:sz w:val="21"/>
                <w:szCs w:val="21"/>
                <w:highlight w:val="none"/>
              </w:rPr>
              <w:t>方案内容完整详细、科学合理、有针对性、切实可行、满足本项目需求的</w:t>
            </w:r>
            <w:r>
              <w:rPr>
                <w:rFonts w:hint="eastAsia" w:ascii="宋体" w:hAnsi="宋体" w:eastAsia="宋体" w:cs="宋体"/>
                <w:color w:val="auto"/>
                <w:sz w:val="21"/>
                <w:szCs w:val="21"/>
                <w:highlight w:val="none"/>
                <w:lang w:val="en-US" w:eastAsia="zh-CN"/>
              </w:rPr>
              <w:t>计</w:t>
            </w:r>
            <w:r>
              <w:rPr>
                <w:rFonts w:hint="eastAsia" w:ascii="宋体" w:hAnsi="宋体" w:eastAsia="宋体" w:cs="宋体"/>
                <w:color w:val="auto"/>
                <w:sz w:val="21"/>
                <w:szCs w:val="21"/>
                <w:highlight w:val="none"/>
              </w:rPr>
              <w:t>20分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方案内容每存在一处缺漏项的扣</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分；方案内容不全面、欠合理或缺乏针对性的每处扣</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r>
              <w:rPr>
                <w:rStyle w:val="7"/>
                <w:rFonts w:hint="eastAsia" w:ascii="宋体" w:hAnsi="宋体" w:eastAsia="宋体" w:cs="宋体"/>
                <w:b w:val="0"/>
                <w:bCs w:val="0"/>
                <w:color w:val="auto"/>
                <w:spacing w:val="0"/>
                <w:w w:val="100"/>
                <w:kern w:val="2"/>
                <w:sz w:val="21"/>
                <w:szCs w:val="21"/>
                <w:highlight w:val="none"/>
              </w:rPr>
              <w:t>；未提供方案的不计分。</w:t>
            </w:r>
          </w:p>
        </w:tc>
        <w:tc>
          <w:tcPr>
            <w:tcW w:w="793" w:type="dxa"/>
            <w:tcBorders>
              <w:tl2br w:val="nil"/>
              <w:tr2bl w:val="nil"/>
            </w:tcBorders>
            <w:noWrap w:val="0"/>
            <w:vAlign w:val="center"/>
          </w:tcPr>
          <w:p w14:paraId="4AB19D82">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20</w:t>
            </w:r>
          </w:p>
        </w:tc>
      </w:tr>
      <w:tr w14:paraId="57B6FC9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rPr>
          <w:trHeight w:val="885" w:hRule="atLeast"/>
        </w:trPr>
        <w:tc>
          <w:tcPr>
            <w:tcW w:w="1130" w:type="dxa"/>
            <w:vMerge w:val="continue"/>
            <w:tcBorders>
              <w:tl2br w:val="nil"/>
              <w:tr2bl w:val="nil"/>
            </w:tcBorders>
            <w:noWrap w:val="0"/>
            <w:vAlign w:val="center"/>
          </w:tcPr>
          <w:p w14:paraId="3524A0EB">
            <w:pPr>
              <w:rPr>
                <w:rFonts w:hint="eastAsia" w:ascii="宋体" w:hAnsi="宋体" w:eastAsia="宋体" w:cs="宋体"/>
                <w:szCs w:val="21"/>
              </w:rPr>
            </w:pPr>
          </w:p>
        </w:tc>
        <w:tc>
          <w:tcPr>
            <w:tcW w:w="1090" w:type="dxa"/>
            <w:tcBorders>
              <w:tl2br w:val="nil"/>
              <w:tr2bl w:val="nil"/>
            </w:tcBorders>
            <w:noWrap w:val="0"/>
            <w:vAlign w:val="center"/>
          </w:tcPr>
          <w:p w14:paraId="4A6EA691">
            <w:pPr>
              <w:rPr>
                <w:rFonts w:hint="eastAsia" w:ascii="宋体" w:hAnsi="宋体" w:eastAsia="宋体" w:cs="宋体"/>
                <w:szCs w:val="21"/>
              </w:rPr>
            </w:pPr>
            <w:r>
              <w:rPr>
                <w:rFonts w:hint="eastAsia" w:ascii="宋体" w:hAnsi="宋体" w:eastAsia="宋体" w:cs="宋体"/>
                <w:szCs w:val="21"/>
              </w:rPr>
              <w:t>服务质量</w:t>
            </w:r>
          </w:p>
          <w:p w14:paraId="7C6F5FDE">
            <w:pPr>
              <w:rPr>
                <w:rFonts w:hint="eastAsia" w:ascii="宋体" w:hAnsi="宋体" w:eastAsia="宋体" w:cs="宋体"/>
                <w:szCs w:val="21"/>
              </w:rPr>
            </w:pPr>
            <w:r>
              <w:rPr>
                <w:rFonts w:hint="eastAsia" w:ascii="宋体" w:hAnsi="宋体" w:eastAsia="宋体" w:cs="宋体"/>
                <w:szCs w:val="21"/>
              </w:rPr>
              <w:t>保证措施</w:t>
            </w:r>
          </w:p>
        </w:tc>
        <w:tc>
          <w:tcPr>
            <w:tcW w:w="6545" w:type="dxa"/>
            <w:tcBorders>
              <w:tl2br w:val="nil"/>
              <w:tr2bl w:val="nil"/>
            </w:tcBorders>
            <w:noWrap w:val="0"/>
            <w:vAlign w:val="center"/>
          </w:tcPr>
          <w:p w14:paraId="387FE31C">
            <w:pPr>
              <w:pStyle w:val="13"/>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szCs w:val="21"/>
                <w:lang w:val="en-US" w:eastAsia="zh-CN"/>
              </w:rPr>
            </w:pPr>
            <w:r>
              <w:rPr>
                <w:rFonts w:hint="eastAsia" w:ascii="宋体" w:hAnsi="宋体" w:eastAsia="宋体" w:cs="宋体"/>
                <w:color w:val="auto"/>
                <w:sz w:val="21"/>
                <w:szCs w:val="21"/>
                <w:highlight w:val="none"/>
              </w:rPr>
              <w:t>根据供应商提供的服务质量控制方案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包含但不限于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①维保</w:t>
            </w:r>
            <w:r>
              <w:rPr>
                <w:rFonts w:hint="eastAsia" w:ascii="宋体" w:hAnsi="宋体" w:eastAsia="宋体" w:cs="宋体"/>
                <w:color w:val="auto"/>
                <w:sz w:val="21"/>
                <w:szCs w:val="21"/>
                <w:highlight w:val="none"/>
              </w:rPr>
              <w:t>服务质量</w:t>
            </w:r>
            <w:r>
              <w:rPr>
                <w:rFonts w:hint="eastAsia" w:ascii="宋体" w:hAnsi="宋体" w:eastAsia="宋体" w:cs="宋体"/>
                <w:color w:val="auto"/>
                <w:sz w:val="21"/>
                <w:szCs w:val="21"/>
                <w:highlight w:val="none"/>
                <w:lang w:val="en-US" w:eastAsia="zh-CN"/>
              </w:rPr>
              <w:t>保障承诺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rPr>
              <w:t>发生重大安全事件的应急预案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rPr>
              <w:t>故障响应时效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④</w:t>
            </w:r>
            <w:r>
              <w:rPr>
                <w:rFonts w:hint="eastAsia" w:ascii="宋体" w:hAnsi="宋体" w:eastAsia="宋体" w:cs="宋体"/>
                <w:color w:val="auto"/>
                <w:sz w:val="21"/>
                <w:szCs w:val="21"/>
                <w:highlight w:val="none"/>
              </w:rPr>
              <w:t>故障处理时效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⑤</w:t>
            </w:r>
            <w:r>
              <w:rPr>
                <w:rFonts w:hint="eastAsia" w:ascii="宋体" w:hAnsi="宋体" w:eastAsia="宋体" w:cs="宋体"/>
                <w:color w:val="auto"/>
                <w:sz w:val="21"/>
                <w:szCs w:val="21"/>
                <w:highlight w:val="none"/>
              </w:rPr>
              <w:t>故障隐患防范措施等进行综合评价。方案内容完整详细、科学合理、有针对性、切实可行、满足本项目需求的得</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Style w:val="7"/>
                <w:rFonts w:hint="eastAsia" w:ascii="宋体" w:hAnsi="宋体" w:eastAsia="宋体" w:cs="宋体"/>
                <w:b w:val="0"/>
                <w:bCs w:val="0"/>
                <w:color w:val="auto"/>
                <w:spacing w:val="0"/>
                <w:w w:val="100"/>
                <w:kern w:val="2"/>
                <w:sz w:val="21"/>
                <w:szCs w:val="21"/>
                <w:highlight w:val="none"/>
              </w:rPr>
              <w:t>方案内容每存在一处缺漏项的扣</w:t>
            </w:r>
            <w:r>
              <w:rPr>
                <w:rStyle w:val="7"/>
                <w:rFonts w:hint="eastAsia" w:ascii="宋体" w:hAnsi="宋体" w:eastAsia="宋体" w:cs="宋体"/>
                <w:b w:val="0"/>
                <w:bCs w:val="0"/>
                <w:color w:val="auto"/>
                <w:spacing w:val="0"/>
                <w:w w:val="100"/>
                <w:kern w:val="2"/>
                <w:sz w:val="21"/>
                <w:szCs w:val="21"/>
                <w:highlight w:val="none"/>
                <w:lang w:val="en-US" w:eastAsia="zh-CN"/>
              </w:rPr>
              <w:t>4</w:t>
            </w:r>
            <w:r>
              <w:rPr>
                <w:rStyle w:val="7"/>
                <w:rFonts w:hint="eastAsia" w:ascii="宋体" w:hAnsi="宋体" w:eastAsia="宋体" w:cs="宋体"/>
                <w:b w:val="0"/>
                <w:bCs w:val="0"/>
                <w:color w:val="auto"/>
                <w:spacing w:val="0"/>
                <w:w w:val="100"/>
                <w:kern w:val="2"/>
                <w:sz w:val="21"/>
                <w:szCs w:val="21"/>
                <w:highlight w:val="none"/>
              </w:rPr>
              <w:t>分；方案内容不全面、欠合理或缺乏针对性的每处扣</w:t>
            </w:r>
            <w:r>
              <w:rPr>
                <w:rStyle w:val="7"/>
                <w:rFonts w:hint="eastAsia" w:ascii="宋体" w:hAnsi="宋体" w:eastAsia="宋体" w:cs="宋体"/>
                <w:b w:val="0"/>
                <w:bCs w:val="0"/>
                <w:color w:val="auto"/>
                <w:spacing w:val="0"/>
                <w:w w:val="100"/>
                <w:kern w:val="2"/>
                <w:sz w:val="21"/>
                <w:szCs w:val="21"/>
                <w:highlight w:val="none"/>
                <w:lang w:val="en-US" w:eastAsia="zh-CN"/>
              </w:rPr>
              <w:t>2</w:t>
            </w:r>
            <w:r>
              <w:rPr>
                <w:rStyle w:val="7"/>
                <w:rFonts w:hint="eastAsia" w:ascii="宋体" w:hAnsi="宋体" w:eastAsia="宋体" w:cs="宋体"/>
                <w:b w:val="0"/>
                <w:bCs w:val="0"/>
                <w:color w:val="auto"/>
                <w:spacing w:val="0"/>
                <w:w w:val="100"/>
                <w:kern w:val="2"/>
                <w:sz w:val="21"/>
                <w:szCs w:val="21"/>
                <w:highlight w:val="none"/>
              </w:rPr>
              <w:t>分；未提供方案的不计分。</w:t>
            </w:r>
          </w:p>
        </w:tc>
        <w:tc>
          <w:tcPr>
            <w:tcW w:w="793" w:type="dxa"/>
            <w:tcBorders>
              <w:tl2br w:val="nil"/>
              <w:tr2bl w:val="nil"/>
            </w:tcBorders>
            <w:noWrap w:val="0"/>
            <w:vAlign w:val="center"/>
          </w:tcPr>
          <w:p w14:paraId="234BD83C">
            <w:pPr>
              <w:jc w:val="center"/>
              <w:rPr>
                <w:rFonts w:hint="default" w:ascii="宋体" w:hAnsi="宋体" w:eastAsia="宋体" w:cs="宋体"/>
                <w:szCs w:val="21"/>
                <w:lang w:val="en-US" w:eastAsia="zh-CN"/>
              </w:rPr>
            </w:pPr>
            <w:r>
              <w:rPr>
                <w:rFonts w:hint="eastAsia" w:ascii="宋体" w:hAnsi="宋体" w:cs="宋体"/>
                <w:szCs w:val="21"/>
                <w:lang w:val="en-US" w:eastAsia="zh-CN"/>
              </w:rPr>
              <w:t>20</w:t>
            </w:r>
          </w:p>
        </w:tc>
      </w:tr>
      <w:tr w14:paraId="0FA4831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289" w:hRule="atLeast"/>
        </w:trPr>
        <w:tc>
          <w:tcPr>
            <w:tcW w:w="1130" w:type="dxa"/>
            <w:tcBorders>
              <w:tl2br w:val="nil"/>
              <w:tr2bl w:val="nil"/>
            </w:tcBorders>
            <w:noWrap w:val="0"/>
            <w:vAlign w:val="center"/>
          </w:tcPr>
          <w:p w14:paraId="34C78795">
            <w:pPr>
              <w:keepNext w:val="0"/>
              <w:keepLines w:val="0"/>
              <w:pageBreakBefore w:val="0"/>
              <w:widowControl w:val="0"/>
              <w:kinsoku/>
              <w:wordWrap/>
              <w:overflowPunct/>
              <w:topLinePunct w:val="0"/>
              <w:autoSpaceDE/>
              <w:autoSpaceDN/>
              <w:bidi w:val="0"/>
              <w:spacing w:line="440" w:lineRule="exact"/>
              <w:ind w:left="0" w:leftChars="0" w:right="0" w:rightChars="0"/>
              <w:jc w:val="center"/>
              <w:textAlignment w:val="auto"/>
              <w:rPr>
                <w:rFonts w:hint="eastAsia" w:ascii="宋体" w:hAnsi="宋体" w:eastAsia="宋体" w:cs="宋体"/>
                <w:szCs w:val="21"/>
              </w:rPr>
            </w:pPr>
          </w:p>
        </w:tc>
        <w:tc>
          <w:tcPr>
            <w:tcW w:w="7635" w:type="dxa"/>
            <w:gridSpan w:val="2"/>
            <w:tcBorders>
              <w:tl2br w:val="nil"/>
              <w:tr2bl w:val="nil"/>
            </w:tcBorders>
            <w:noWrap w:val="0"/>
            <w:vAlign w:val="center"/>
          </w:tcPr>
          <w:p w14:paraId="0655FA3C">
            <w:pPr>
              <w:keepNext w:val="0"/>
              <w:keepLines w:val="0"/>
              <w:pageBreakBefore w:val="0"/>
              <w:widowControl w:val="0"/>
              <w:kinsoku/>
              <w:wordWrap/>
              <w:overflowPunct/>
              <w:topLinePunct w:val="0"/>
              <w:autoSpaceDE/>
              <w:autoSpaceDN/>
              <w:bidi w:val="0"/>
              <w:spacing w:line="440" w:lineRule="exact"/>
              <w:ind w:left="0" w:leftChars="0" w:right="0" w:rightChars="0"/>
              <w:jc w:val="center"/>
              <w:textAlignment w:val="auto"/>
              <w:rPr>
                <w:rFonts w:hint="eastAsia" w:ascii="宋体" w:hAnsi="宋体" w:eastAsia="宋体" w:cs="宋体"/>
                <w:szCs w:val="21"/>
                <w:lang w:val="en-US" w:eastAsia="zh-CN"/>
              </w:rPr>
            </w:pPr>
            <w:r>
              <w:rPr>
                <w:rFonts w:hint="eastAsia" w:ascii="宋体" w:hAnsi="宋体" w:eastAsia="宋体" w:cs="宋体"/>
                <w:color w:val="auto"/>
                <w:sz w:val="21"/>
                <w:szCs w:val="21"/>
                <w:highlight w:val="none"/>
              </w:rPr>
              <w:t>合计</w:t>
            </w:r>
          </w:p>
        </w:tc>
        <w:tc>
          <w:tcPr>
            <w:tcW w:w="793" w:type="dxa"/>
            <w:tcBorders>
              <w:tl2br w:val="nil"/>
              <w:tr2bl w:val="nil"/>
            </w:tcBorders>
            <w:noWrap w:val="0"/>
            <w:vAlign w:val="center"/>
          </w:tcPr>
          <w:p w14:paraId="1B7DCE63">
            <w:pPr>
              <w:keepNext w:val="0"/>
              <w:keepLines w:val="0"/>
              <w:pageBreakBefore w:val="0"/>
              <w:widowControl w:val="0"/>
              <w:kinsoku/>
              <w:wordWrap/>
              <w:overflowPunct/>
              <w:topLinePunct w:val="0"/>
              <w:autoSpaceDE/>
              <w:autoSpaceDN/>
              <w:bidi w:val="0"/>
              <w:spacing w:line="440" w:lineRule="exact"/>
              <w:ind w:left="0" w:leftChars="0" w:right="0" w:rightChars="0"/>
              <w:jc w:val="center"/>
              <w:textAlignment w:val="auto"/>
              <w:rPr>
                <w:rFonts w:hint="eastAsia" w:ascii="宋体" w:hAnsi="宋体" w:eastAsia="宋体" w:cs="宋体"/>
                <w:szCs w:val="21"/>
                <w:lang w:val="en-US" w:eastAsia="zh-CN"/>
              </w:rPr>
            </w:pPr>
            <w:r>
              <w:rPr>
                <w:rFonts w:hint="eastAsia" w:ascii="宋体" w:hAnsi="宋体" w:eastAsia="宋体" w:cs="宋体"/>
                <w:color w:val="auto"/>
                <w:sz w:val="21"/>
                <w:szCs w:val="21"/>
                <w:highlight w:val="none"/>
              </w:rPr>
              <w:t>100</w:t>
            </w:r>
          </w:p>
        </w:tc>
      </w:tr>
    </w:tbl>
    <w:p w14:paraId="1B2B808A">
      <w:bookmarkStart w:id="1" w:name="_GoBack"/>
      <w:bookmarkEnd w:id="1"/>
    </w:p>
    <w:sectPr>
      <w:pgSz w:w="11906" w:h="16838"/>
      <w:pgMar w:top="567" w:right="1800" w:bottom="1440" w:left="85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2FDB60A-0EB5-41D9-93DA-C7B7C24003B6}"/>
  </w:font>
  <w:font w:name="黑体">
    <w:altName w:val="宋体"/>
    <w:panose1 w:val="02010609060101010101"/>
    <w:charset w:val="86"/>
    <w:family w:val="auto"/>
    <w:pitch w:val="default"/>
    <w:sig w:usb0="800002BF" w:usb1="38CF7CFA" w:usb2="00000016" w:usb3="00000000" w:csb0="00040001" w:csb1="00000000"/>
    <w:embedRegular r:id="rId2" w:fontKey="{BD1F8AAA-B534-4440-818B-C366293F9C4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embedRegular r:id="rId3" w:fontKey="{8F5DA1FF-450B-4F45-82A6-4EFD4CAC6ECD}"/>
  </w:font>
  <w:font w:name="仿宋">
    <w:panose1 w:val="02010609060101010101"/>
    <w:charset w:val="86"/>
    <w:family w:val="auto"/>
    <w:pitch w:val="default"/>
    <w:sig w:usb0="800002BF" w:usb1="38CF7CFA" w:usb2="00000016" w:usb3="00000000" w:csb0="00040001" w:csb1="00000000"/>
    <w:embedRegular r:id="rId4" w:fontKey="{D44A9BC8-EF23-49A2-A95A-01371F639D49}"/>
  </w:font>
  <w:font w:name="Segoe UI">
    <w:panose1 w:val="020B0502040204020203"/>
    <w:charset w:val="00"/>
    <w:family w:val="auto"/>
    <w:pitch w:val="default"/>
    <w:sig w:usb0="E10022FF" w:usb1="C000E47F" w:usb2="00000029" w:usb3="00000000" w:csb0="200001DF" w:csb1="20000000"/>
    <w:embedRegular r:id="rId5" w:fontKey="{3A51C8F7-5AA4-428D-BE36-3D29F901E79D}"/>
  </w:font>
  <w:font w:name="方正小标宋简体">
    <w:panose1 w:val="02000000000000000000"/>
    <w:charset w:val="86"/>
    <w:family w:val="auto"/>
    <w:pitch w:val="default"/>
    <w:sig w:usb0="00000001" w:usb1="08000000" w:usb2="00000000" w:usb3="00000000" w:csb0="00040000" w:csb1="00000000"/>
    <w:embedRegular r:id="rId6" w:fontKey="{0A41D7BE-83A2-457A-9976-0B1EBE09B52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A9C8CA"/>
    <w:multiLevelType w:val="singleLevel"/>
    <w:tmpl w:val="9CA9C8CA"/>
    <w:lvl w:ilvl="0" w:tentative="0">
      <w:start w:val="1"/>
      <w:numFmt w:val="decimal"/>
      <w:suff w:val="space"/>
      <w:lvlText w:val="1.%1"/>
      <w:lvlJc w:val="left"/>
      <w:pPr>
        <w:ind w:left="0" w:firstLine="480"/>
      </w:pPr>
      <w:rPr>
        <w:rFonts w:hint="default"/>
      </w:rPr>
    </w:lvl>
  </w:abstractNum>
  <w:abstractNum w:abstractNumId="1">
    <w:nsid w:val="B01686D7"/>
    <w:multiLevelType w:val="singleLevel"/>
    <w:tmpl w:val="B01686D7"/>
    <w:lvl w:ilvl="0" w:tentative="0">
      <w:start w:val="1"/>
      <w:numFmt w:val="decimal"/>
      <w:suff w:val="space"/>
      <w:lvlText w:val="2.%1"/>
      <w:lvlJc w:val="left"/>
      <w:pPr>
        <w:ind w:left="0" w:firstLine="480"/>
      </w:pPr>
      <w:rPr>
        <w:rFonts w:hint="default"/>
      </w:rPr>
    </w:lvl>
  </w:abstractNum>
  <w:abstractNum w:abstractNumId="2">
    <w:nsid w:val="B446D70F"/>
    <w:multiLevelType w:val="singleLevel"/>
    <w:tmpl w:val="B446D70F"/>
    <w:lvl w:ilvl="0" w:tentative="0">
      <w:start w:val="1"/>
      <w:numFmt w:val="decimal"/>
      <w:suff w:val="nothing"/>
      <w:lvlText w:val="%1、"/>
      <w:lvlJc w:val="left"/>
      <w:pPr>
        <w:ind w:left="0" w:firstLine="0"/>
      </w:pPr>
      <w:rPr>
        <w:rFonts w:hint="default"/>
      </w:rPr>
    </w:lvl>
  </w:abstractNum>
  <w:abstractNum w:abstractNumId="3">
    <w:nsid w:val="DDA4D84E"/>
    <w:multiLevelType w:val="singleLevel"/>
    <w:tmpl w:val="DDA4D84E"/>
    <w:lvl w:ilvl="0" w:tentative="0">
      <w:start w:val="3"/>
      <w:numFmt w:val="chineseCounting"/>
      <w:suff w:val="nothing"/>
      <w:lvlText w:val="%1、"/>
      <w:lvlJc w:val="left"/>
      <w:rPr>
        <w:rFonts w:hint="eastAsia"/>
      </w:rPr>
    </w:lvl>
  </w:abstractNum>
  <w:abstractNum w:abstractNumId="4">
    <w:nsid w:val="E1193B6F"/>
    <w:multiLevelType w:val="singleLevel"/>
    <w:tmpl w:val="E1193B6F"/>
    <w:lvl w:ilvl="0" w:tentative="0">
      <w:start w:val="1"/>
      <w:numFmt w:val="decimal"/>
      <w:suff w:val="space"/>
      <w:lvlText w:val="%1."/>
      <w:lvlJc w:val="left"/>
      <w:pPr>
        <w:ind w:left="0" w:firstLine="480"/>
      </w:pPr>
      <w:rPr>
        <w:rFonts w:hint="default"/>
      </w:rPr>
    </w:lvl>
  </w:abstractNum>
  <w:abstractNum w:abstractNumId="5">
    <w:nsid w:val="EBEE3C23"/>
    <w:multiLevelType w:val="singleLevel"/>
    <w:tmpl w:val="EBEE3C23"/>
    <w:lvl w:ilvl="0" w:tentative="0">
      <w:start w:val="1"/>
      <w:numFmt w:val="decimal"/>
      <w:suff w:val="space"/>
      <w:lvlText w:val="3.%1"/>
      <w:lvlJc w:val="left"/>
      <w:pPr>
        <w:ind w:left="0" w:firstLine="480"/>
      </w:pPr>
      <w:rPr>
        <w:rFonts w:hint="default"/>
      </w:rPr>
    </w:lvl>
  </w:abstractNum>
  <w:abstractNum w:abstractNumId="6">
    <w:nsid w:val="F2539358"/>
    <w:multiLevelType w:val="singleLevel"/>
    <w:tmpl w:val="F2539358"/>
    <w:lvl w:ilvl="0" w:tentative="0">
      <w:start w:val="1"/>
      <w:numFmt w:val="decimal"/>
      <w:lvlText w:val="%1."/>
      <w:lvlJc w:val="left"/>
      <w:pPr>
        <w:tabs>
          <w:tab w:val="left" w:pos="312"/>
        </w:tabs>
      </w:pPr>
    </w:lvl>
  </w:abstractNum>
  <w:abstractNum w:abstractNumId="7">
    <w:nsid w:val="3DDFC4CB"/>
    <w:multiLevelType w:val="singleLevel"/>
    <w:tmpl w:val="3DDFC4CB"/>
    <w:lvl w:ilvl="0" w:tentative="0">
      <w:start w:val="1"/>
      <w:numFmt w:val="chineseCounting"/>
      <w:suff w:val="nothing"/>
      <w:lvlText w:val="%1、"/>
      <w:lvlJc w:val="left"/>
      <w:pPr>
        <w:ind w:left="0" w:firstLine="0"/>
      </w:pPr>
      <w:rPr>
        <w:rFonts w:hint="eastAsia"/>
      </w:rPr>
    </w:lvl>
  </w:abstractNum>
  <w:abstractNum w:abstractNumId="8">
    <w:nsid w:val="481479E9"/>
    <w:multiLevelType w:val="singleLevel"/>
    <w:tmpl w:val="481479E9"/>
    <w:lvl w:ilvl="0" w:tentative="0">
      <w:start w:val="1"/>
      <w:numFmt w:val="decimal"/>
      <w:suff w:val="space"/>
      <w:lvlText w:val="2.%1"/>
      <w:lvlJc w:val="left"/>
      <w:pPr>
        <w:ind w:left="0" w:firstLine="480"/>
      </w:pPr>
      <w:rPr>
        <w:rFonts w:hint="default"/>
      </w:rPr>
    </w:lvl>
  </w:abstractNum>
  <w:abstractNum w:abstractNumId="9">
    <w:nsid w:val="4E540024"/>
    <w:multiLevelType w:val="singleLevel"/>
    <w:tmpl w:val="4E540024"/>
    <w:lvl w:ilvl="0" w:tentative="0">
      <w:start w:val="1"/>
      <w:numFmt w:val="decimal"/>
      <w:suff w:val="space"/>
      <w:lvlText w:val="2.9.%1"/>
      <w:lvlJc w:val="left"/>
      <w:pPr>
        <w:ind w:left="0" w:firstLine="480"/>
      </w:pPr>
      <w:rPr>
        <w:rFonts w:hint="default"/>
      </w:rPr>
    </w:lvl>
  </w:abstractNum>
  <w:abstractNum w:abstractNumId="10">
    <w:nsid w:val="5E93DEE8"/>
    <w:multiLevelType w:val="singleLevel"/>
    <w:tmpl w:val="5E93DEE8"/>
    <w:lvl w:ilvl="0" w:tentative="0">
      <w:start w:val="1"/>
      <w:numFmt w:val="decimal"/>
      <w:suff w:val="nothing"/>
      <w:lvlText w:val="%1、"/>
      <w:lvlJc w:val="left"/>
      <w:pPr>
        <w:ind w:left="0" w:firstLine="480"/>
      </w:pPr>
      <w:rPr>
        <w:rFonts w:hint="default"/>
      </w:rPr>
    </w:lvl>
  </w:abstractNum>
  <w:abstractNum w:abstractNumId="11">
    <w:nsid w:val="6E114DC7"/>
    <w:multiLevelType w:val="singleLevel"/>
    <w:tmpl w:val="6E114DC7"/>
    <w:lvl w:ilvl="0" w:tentative="0">
      <w:start w:val="1"/>
      <w:numFmt w:val="decimal"/>
      <w:suff w:val="nothing"/>
      <w:lvlText w:val="%1、"/>
      <w:lvlJc w:val="left"/>
      <w:pPr>
        <w:ind w:left="0" w:firstLine="480"/>
      </w:pPr>
      <w:rPr>
        <w:rFonts w:hint="default"/>
      </w:rPr>
    </w:lvl>
  </w:abstractNum>
  <w:abstractNum w:abstractNumId="12">
    <w:nsid w:val="78F992B2"/>
    <w:multiLevelType w:val="singleLevel"/>
    <w:tmpl w:val="78F992B2"/>
    <w:lvl w:ilvl="0" w:tentative="0">
      <w:start w:val="1"/>
      <w:numFmt w:val="decimal"/>
      <w:suff w:val="space"/>
      <w:lvlText w:val="2.%1"/>
      <w:lvlJc w:val="left"/>
      <w:pPr>
        <w:ind w:left="0" w:firstLine="480"/>
      </w:pPr>
      <w:rPr>
        <w:rFonts w:hint="default"/>
      </w:rPr>
    </w:lvl>
  </w:abstractNum>
  <w:num w:numId="1">
    <w:abstractNumId w:val="3"/>
  </w:num>
  <w:num w:numId="2">
    <w:abstractNumId w:val="6"/>
  </w:num>
  <w:num w:numId="3">
    <w:abstractNumId w:val="7"/>
  </w:num>
  <w:num w:numId="4">
    <w:abstractNumId w:val="10"/>
  </w:num>
  <w:num w:numId="5">
    <w:abstractNumId w:val="11"/>
  </w:num>
  <w:num w:numId="6">
    <w:abstractNumId w:val="8"/>
  </w:num>
  <w:num w:numId="7">
    <w:abstractNumId w:val="2"/>
  </w:num>
  <w:num w:numId="8">
    <w:abstractNumId w:val="0"/>
  </w:num>
  <w:num w:numId="9">
    <w:abstractNumId w:val="12"/>
  </w:num>
  <w:num w:numId="10">
    <w:abstractNumId w:val="5"/>
  </w:num>
  <w:num w:numId="11">
    <w:abstractNumId w:val="4"/>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C82246"/>
    <w:rsid w:val="0EE235F9"/>
    <w:rsid w:val="1FC82246"/>
    <w:rsid w:val="26F1147D"/>
    <w:rsid w:val="2C9E42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semiHidden/>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5">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paragraph" w:customStyle="1" w:styleId="8">
    <w:name w:val="Default"/>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9">
    <w:name w:val="font11"/>
    <w:basedOn w:val="7"/>
    <w:qFormat/>
    <w:uiPriority w:val="0"/>
    <w:rPr>
      <w:rFonts w:hint="eastAsia" w:ascii="宋体" w:hAnsi="宋体" w:eastAsia="宋体" w:cs="宋体"/>
      <w:b/>
      <w:bCs/>
      <w:color w:val="0F1115"/>
      <w:sz w:val="44"/>
      <w:szCs w:val="44"/>
      <w:u w:val="none"/>
    </w:rPr>
  </w:style>
  <w:style w:type="character" w:customStyle="1" w:styleId="10">
    <w:name w:val="font31"/>
    <w:basedOn w:val="7"/>
    <w:qFormat/>
    <w:uiPriority w:val="0"/>
    <w:rPr>
      <w:rFonts w:hint="eastAsia" w:ascii="宋体" w:hAnsi="宋体" w:eastAsia="宋体" w:cs="宋体"/>
      <w:color w:val="0F1115"/>
      <w:sz w:val="24"/>
      <w:szCs w:val="24"/>
      <w:u w:val="none"/>
    </w:rPr>
  </w:style>
  <w:style w:type="character" w:customStyle="1" w:styleId="11">
    <w:name w:val="font41"/>
    <w:basedOn w:val="7"/>
    <w:qFormat/>
    <w:uiPriority w:val="0"/>
    <w:rPr>
      <w:rFonts w:hint="default" w:ascii="Segoe UI" w:hAnsi="Segoe UI" w:eastAsia="Segoe UI" w:cs="Segoe UI"/>
      <w:color w:val="0F1115"/>
      <w:sz w:val="24"/>
      <w:szCs w:val="24"/>
      <w:u w:val="none"/>
    </w:rPr>
  </w:style>
  <w:style w:type="paragraph" w:customStyle="1" w:styleId="12">
    <w:name w:val="null3"/>
    <w:qFormat/>
    <w:uiPriority w:val="0"/>
    <w:rPr>
      <w:rFonts w:hint="eastAsia" w:ascii="Calibri" w:hAnsi="Calibri" w:eastAsia="宋体" w:cs="Times New Roman"/>
      <w:lang w:val="en-US" w:eastAsia="zh-Hans"/>
    </w:rPr>
  </w:style>
  <w:style w:type="paragraph" w:customStyle="1" w:styleId="13">
    <w:name w:val="Normal_0_1"/>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4903</Words>
  <Characters>5049</Characters>
  <Lines>0</Lines>
  <Paragraphs>0</Paragraphs>
  <TotalTime>0</TotalTime>
  <ScaleCrop>false</ScaleCrop>
  <LinksUpToDate>false</LinksUpToDate>
  <CharactersWithSpaces>5121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2026-09-16T02:35:00Z</dcterms:created>
  <dc:creator>我是一个粉刷匠</dc:creator>
  <cp:lastModifiedBy>我是一个粉刷匠</cp:lastModifiedBy>
  <dcterms:modified xsi:type="dcterms:W3CDTF">2026-09-19T03:28:17Z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97B53B114CF84E32917253046DF50E83_11</vt:lpwstr>
  </property>
  <property fmtid="{D5CDD505-2E9C-101B-9397-08002B2CF9AE}" pid="4" name="KSOTemplateDocerSaveRecord">
    <vt:lpwstr>eyJoZGlkIjoiZjQ5ZWRiMzNlN2UyODhlNTQ2N2IzNGM2YzMxN2QyMTIiLCJ1c2VySWQiOiI0MTk1ODQ3ODQifQ==</vt:lpwstr>
  </property>
</Properties>
</file>