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6AEC6">
      <w:pPr>
        <w:pStyle w:val="8"/>
        <w:tabs>
          <w:tab w:val="left" w:pos="312"/>
        </w:tabs>
        <w:snapToGrid w:val="0"/>
        <w:spacing w:line="288" w:lineRule="auto"/>
        <w:jc w:val="center"/>
        <w:rPr>
          <w:rFonts w:hint="default" w:ascii="Arial" w:hAnsi="Arial" w:eastAsia="方正小标宋简体" w:cs="Arial"/>
          <w:sz w:val="60"/>
          <w:szCs w:val="60"/>
          <w:lang w:val="en-US" w:eastAsia="zh-CN"/>
        </w:rPr>
      </w:pPr>
      <w:bookmarkStart w:id="0" w:name="_Toc16523570"/>
      <w:r>
        <w:rPr>
          <w:rFonts w:hint="eastAsia" w:ascii="Arial" w:hAnsi="Arial" w:eastAsia="方正小标宋简体" w:cs="Arial"/>
          <w:sz w:val="60"/>
          <w:szCs w:val="60"/>
        </w:rPr>
        <w:t>娄底市中心医院</w:t>
      </w:r>
    </w:p>
    <w:p w14:paraId="26CA4B2E">
      <w:pPr>
        <w:pStyle w:val="8"/>
        <w:snapToGrid w:val="0"/>
        <w:jc w:val="center"/>
        <w:rPr>
          <w:rFonts w:ascii="Arial" w:hAnsi="Arial" w:eastAsia="方正小标宋简体" w:cs="Arial"/>
          <w:sz w:val="72"/>
          <w:szCs w:val="72"/>
        </w:rPr>
      </w:pPr>
    </w:p>
    <w:p w14:paraId="04C5E832">
      <w:pPr>
        <w:pStyle w:val="8"/>
        <w:snapToGrid w:val="0"/>
        <w:jc w:val="center"/>
        <w:rPr>
          <w:rFonts w:ascii="Arial" w:hAnsi="Arial" w:eastAsia="方正小标宋简体" w:cs="Arial"/>
          <w:sz w:val="72"/>
          <w:szCs w:val="72"/>
        </w:rPr>
      </w:pPr>
      <w:r>
        <w:rPr>
          <w:rFonts w:hint="eastAsia" w:ascii="Arial" w:hAnsi="Arial" w:eastAsia="方正小标宋简体" w:cs="Arial"/>
          <w:sz w:val="72"/>
          <w:szCs w:val="72"/>
        </w:rPr>
        <w:t>招</w:t>
      </w:r>
    </w:p>
    <w:p w14:paraId="00DA6D4B">
      <w:pPr>
        <w:pStyle w:val="8"/>
        <w:snapToGrid w:val="0"/>
        <w:jc w:val="center"/>
        <w:rPr>
          <w:rFonts w:ascii="Arial" w:hAnsi="Arial" w:eastAsia="方正小标宋简体" w:cs="Arial"/>
          <w:sz w:val="72"/>
          <w:szCs w:val="72"/>
        </w:rPr>
      </w:pPr>
    </w:p>
    <w:p w14:paraId="6898D477">
      <w:pPr>
        <w:pStyle w:val="8"/>
        <w:snapToGrid w:val="0"/>
        <w:jc w:val="center"/>
        <w:rPr>
          <w:rFonts w:ascii="Arial" w:hAnsi="Arial" w:eastAsia="方正小标宋简体" w:cs="Arial"/>
          <w:sz w:val="72"/>
          <w:szCs w:val="72"/>
        </w:rPr>
      </w:pPr>
      <w:r>
        <w:rPr>
          <w:rFonts w:ascii="Arial" w:hAnsi="Arial" w:eastAsia="方正小标宋简体" w:cs="Arial"/>
          <w:sz w:val="72"/>
          <w:szCs w:val="72"/>
        </w:rPr>
        <w:t>标</w:t>
      </w:r>
    </w:p>
    <w:p w14:paraId="7680DC58">
      <w:pPr>
        <w:pStyle w:val="8"/>
        <w:snapToGrid w:val="0"/>
        <w:jc w:val="center"/>
        <w:rPr>
          <w:rFonts w:ascii="Arial" w:hAnsi="Arial" w:eastAsia="方正小标宋简体" w:cs="Arial"/>
          <w:sz w:val="72"/>
          <w:szCs w:val="72"/>
        </w:rPr>
      </w:pPr>
    </w:p>
    <w:p w14:paraId="007B2F11">
      <w:pPr>
        <w:pStyle w:val="8"/>
        <w:snapToGrid w:val="0"/>
        <w:jc w:val="center"/>
        <w:rPr>
          <w:rFonts w:ascii="Arial" w:hAnsi="Arial" w:eastAsia="方正小标宋简体" w:cs="Arial"/>
          <w:sz w:val="72"/>
          <w:szCs w:val="72"/>
        </w:rPr>
      </w:pPr>
      <w:r>
        <w:rPr>
          <w:rFonts w:ascii="Arial" w:hAnsi="Arial" w:eastAsia="方正小标宋简体" w:cs="Arial"/>
          <w:sz w:val="72"/>
          <w:szCs w:val="72"/>
        </w:rPr>
        <w:t>文</w:t>
      </w:r>
    </w:p>
    <w:p w14:paraId="53560A9C">
      <w:pPr>
        <w:pStyle w:val="8"/>
        <w:snapToGrid w:val="0"/>
        <w:jc w:val="center"/>
        <w:rPr>
          <w:rFonts w:ascii="Arial" w:hAnsi="Arial" w:eastAsia="方正小标宋简体" w:cs="Arial"/>
          <w:sz w:val="72"/>
          <w:szCs w:val="72"/>
        </w:rPr>
      </w:pPr>
    </w:p>
    <w:p w14:paraId="16A48FA7">
      <w:pPr>
        <w:pStyle w:val="8"/>
        <w:snapToGrid w:val="0"/>
        <w:jc w:val="center"/>
        <w:rPr>
          <w:rFonts w:ascii="Arial" w:hAnsi="Arial" w:eastAsia="方正小标宋简体" w:cs="Arial"/>
          <w:sz w:val="36"/>
          <w:szCs w:val="36"/>
        </w:rPr>
      </w:pPr>
      <w:r>
        <w:rPr>
          <w:rFonts w:ascii="Arial" w:hAnsi="Arial" w:eastAsia="方正小标宋简体" w:cs="Arial"/>
          <w:sz w:val="72"/>
          <w:szCs w:val="72"/>
        </w:rPr>
        <w:t>件</w:t>
      </w:r>
    </w:p>
    <w:p w14:paraId="537CDBC3">
      <w:pPr>
        <w:pStyle w:val="8"/>
        <w:snapToGrid w:val="0"/>
        <w:jc w:val="center"/>
        <w:rPr>
          <w:rFonts w:ascii="Arial" w:hAnsi="Arial" w:cs="Arial"/>
          <w:sz w:val="32"/>
          <w:szCs w:val="32"/>
        </w:rPr>
      </w:pPr>
    </w:p>
    <w:p w14:paraId="4D89A09A">
      <w:pPr>
        <w:pStyle w:val="8"/>
        <w:snapToGrid w:val="0"/>
        <w:jc w:val="center"/>
        <w:rPr>
          <w:rFonts w:ascii="Arial" w:hAnsi="Arial" w:cs="Arial"/>
          <w:sz w:val="32"/>
          <w:szCs w:val="32"/>
        </w:rPr>
      </w:pPr>
    </w:p>
    <w:p w14:paraId="61EB017D">
      <w:pPr>
        <w:spacing w:line="360" w:lineRule="auto"/>
        <w:rPr>
          <w:rFonts w:hint="eastAsia"/>
          <w:bCs/>
          <w:sz w:val="32"/>
          <w:szCs w:val="32"/>
        </w:rPr>
      </w:pPr>
    </w:p>
    <w:p w14:paraId="01C7A4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w:t>
      </w:r>
      <w:r>
        <w:rPr>
          <w:rFonts w:hint="eastAsia"/>
          <w:bCs/>
          <w:sz w:val="32"/>
          <w:szCs w:val="32"/>
        </w:rPr>
        <w:t>中心医院</w:t>
      </w:r>
      <w:r>
        <w:rPr>
          <w:rFonts w:hint="eastAsia"/>
          <w:bCs/>
          <w:sz w:val="32"/>
          <w:szCs w:val="32"/>
          <w:lang w:eastAsia="zh-CN"/>
        </w:rPr>
        <w:t>住院</w:t>
      </w:r>
      <w:r>
        <w:rPr>
          <w:rFonts w:hint="eastAsia"/>
          <w:bCs/>
          <w:sz w:val="32"/>
          <w:szCs w:val="32"/>
          <w:lang w:val="en-US" w:eastAsia="zh-CN"/>
        </w:rPr>
        <w:t>E区应急照明及疏散系统改造</w:t>
      </w:r>
      <w:r>
        <w:rPr>
          <w:rFonts w:hint="eastAsia"/>
          <w:bCs/>
          <w:sz w:val="32"/>
          <w:szCs w:val="32"/>
          <w:lang w:eastAsia="zh-CN"/>
        </w:rPr>
        <w:t>服务采购</w:t>
      </w:r>
      <w:r>
        <w:rPr>
          <w:rFonts w:hint="eastAsia"/>
          <w:bCs/>
          <w:sz w:val="32"/>
          <w:szCs w:val="32"/>
        </w:rPr>
        <w:t>招标文件</w:t>
      </w:r>
      <w:r>
        <w:rPr>
          <w:rFonts w:hint="eastAsia"/>
          <w:bCs/>
          <w:color w:val="auto"/>
          <w:sz w:val="32"/>
          <w:szCs w:val="32"/>
          <w:lang w:eastAsia="zh-CN"/>
        </w:rPr>
        <w:t>（院内招标）</w:t>
      </w:r>
    </w:p>
    <w:p w14:paraId="058C9A61">
      <w:pPr>
        <w:spacing w:line="320" w:lineRule="exact"/>
        <w:jc w:val="left"/>
        <w:rPr>
          <w:sz w:val="24"/>
        </w:rPr>
      </w:pPr>
    </w:p>
    <w:p w14:paraId="2C90B592">
      <w:pPr>
        <w:spacing w:line="320" w:lineRule="exact"/>
        <w:ind w:firstLine="3200" w:firstLineChars="10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eastAsia="zh-CN"/>
        </w:rPr>
        <w:t>九</w:t>
      </w:r>
      <w:r>
        <w:rPr>
          <w:rFonts w:hint="eastAsia" w:ascii="宋体" w:hAnsi="宋体" w:cs="宋体"/>
          <w:bCs/>
          <w:sz w:val="32"/>
          <w:szCs w:val="32"/>
        </w:rPr>
        <w:t>月</w:t>
      </w:r>
    </w:p>
    <w:p w14:paraId="312A09BC">
      <w:pPr>
        <w:rPr>
          <w:rFonts w:hint="eastAsia" w:ascii="宋体" w:hAnsi="宋体" w:cs="宋体"/>
          <w:color w:val="auto"/>
          <w:sz w:val="44"/>
          <w:szCs w:val="44"/>
          <w:lang w:val="en-US" w:eastAsia="zh-CN"/>
        </w:rPr>
      </w:pPr>
    </w:p>
    <w:p w14:paraId="2C2484D6">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bookmarkEnd w:id="0"/>
    </w:p>
    <w:p w14:paraId="7AF3E66B">
      <w:pPr>
        <w:pStyle w:val="8"/>
        <w:numPr>
          <w:ilvl w:val="0"/>
          <w:numId w:val="0"/>
        </w:numPr>
        <w:tabs>
          <w:tab w:val="left" w:pos="312"/>
        </w:tabs>
        <w:snapToGrid w:val="0"/>
        <w:spacing w:line="480" w:lineRule="auto"/>
        <w:ind w:firstLine="560" w:firstLineChars="200"/>
        <w:rPr>
          <w:rFonts w:hint="eastAsia" w:ascii="仿宋" w:hAnsi="仿宋" w:eastAsia="仿宋" w:cs="仿宋"/>
          <w:sz w:val="28"/>
          <w:szCs w:val="28"/>
          <w:lang w:eastAsia="zh-CN"/>
        </w:rPr>
      </w:pPr>
      <w:r>
        <w:rPr>
          <w:rFonts w:hint="eastAsia" w:ascii="仿宋" w:hAnsi="仿宋" w:eastAsia="仿宋" w:cs="仿宋"/>
          <w:bCs/>
          <w:sz w:val="28"/>
          <w:szCs w:val="28"/>
          <w:lang w:eastAsia="zh-CN"/>
        </w:rPr>
        <w:t>现就</w:t>
      </w:r>
      <w:r>
        <w:rPr>
          <w:rFonts w:hint="eastAsia" w:ascii="仿宋" w:hAnsi="仿宋" w:eastAsia="仿宋" w:cs="仿宋"/>
          <w:bCs/>
          <w:sz w:val="28"/>
          <w:szCs w:val="28"/>
          <w:lang w:val="en-US" w:eastAsia="zh-CN"/>
        </w:rPr>
        <w:t>娄底市</w:t>
      </w:r>
      <w:r>
        <w:rPr>
          <w:rFonts w:hint="eastAsia" w:ascii="仿宋" w:hAnsi="仿宋" w:eastAsia="仿宋" w:cs="仿宋"/>
          <w:bCs/>
          <w:sz w:val="28"/>
          <w:szCs w:val="28"/>
          <w:lang w:eastAsia="zh-CN"/>
        </w:rPr>
        <w:t>中心医院住院</w:t>
      </w:r>
      <w:r>
        <w:rPr>
          <w:rFonts w:hint="eastAsia" w:ascii="仿宋" w:hAnsi="仿宋" w:eastAsia="仿宋" w:cs="仿宋"/>
          <w:bCs/>
          <w:sz w:val="28"/>
          <w:szCs w:val="28"/>
          <w:lang w:val="en-US" w:eastAsia="zh-CN"/>
        </w:rPr>
        <w:t>E区应急照明及疏散系统改造</w:t>
      </w:r>
      <w:r>
        <w:rPr>
          <w:rFonts w:hint="eastAsia" w:ascii="仿宋" w:hAnsi="仿宋" w:eastAsia="仿宋" w:cs="仿宋"/>
          <w:bCs/>
          <w:sz w:val="28"/>
          <w:szCs w:val="28"/>
          <w:lang w:eastAsia="zh-CN"/>
        </w:rPr>
        <w:t>服务项目</w:t>
      </w:r>
      <w:r>
        <w:rPr>
          <w:rFonts w:hint="eastAsia" w:ascii="仿宋" w:hAnsi="仿宋" w:eastAsia="仿宋" w:cs="仿宋"/>
          <w:bCs/>
          <w:color w:val="auto"/>
          <w:sz w:val="28"/>
          <w:szCs w:val="28"/>
          <w:lang w:val="en-US" w:eastAsia="zh-CN"/>
        </w:rPr>
        <w:t>进行挂网招标，相关事项公告如下：</w:t>
      </w:r>
    </w:p>
    <w:p w14:paraId="2F88E88B">
      <w:pPr>
        <w:pStyle w:val="8"/>
        <w:numPr>
          <w:ilvl w:val="0"/>
          <w:numId w:val="0"/>
        </w:numPr>
        <w:tabs>
          <w:tab w:val="left" w:pos="312"/>
        </w:tabs>
        <w:snapToGrid w:val="0"/>
        <w:spacing w:line="480" w:lineRule="auto"/>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一、项目信息</w:t>
      </w:r>
    </w:p>
    <w:p w14:paraId="2738BBCE">
      <w:pPr>
        <w:pStyle w:val="8"/>
        <w:numPr>
          <w:ilvl w:val="0"/>
          <w:numId w:val="0"/>
        </w:numPr>
        <w:tabs>
          <w:tab w:val="left" w:pos="312"/>
        </w:tabs>
        <w:snapToGrid w:val="0"/>
        <w:spacing w:line="480" w:lineRule="auto"/>
        <w:ind w:firstLine="560" w:firstLineChars="200"/>
        <w:rPr>
          <w:rFonts w:hint="eastAsia" w:ascii="仿宋" w:hAnsi="仿宋" w:eastAsia="仿宋" w:cs="仿宋"/>
          <w:bCs/>
          <w:sz w:val="28"/>
          <w:szCs w:val="28"/>
          <w:lang w:eastAsia="zh-CN"/>
        </w:rPr>
      </w:pPr>
      <w:r>
        <w:rPr>
          <w:rFonts w:hint="eastAsia" w:ascii="仿宋" w:hAnsi="仿宋" w:eastAsia="仿宋" w:cs="仿宋"/>
          <w:b w:val="0"/>
          <w:bCs/>
          <w:color w:val="auto"/>
          <w:sz w:val="28"/>
          <w:szCs w:val="28"/>
          <w:lang w:val="en-US" w:eastAsia="zh-CN"/>
        </w:rPr>
        <w:t>项目名称：</w:t>
      </w:r>
      <w:r>
        <w:rPr>
          <w:rFonts w:hint="eastAsia" w:ascii="仿宋" w:hAnsi="仿宋" w:eastAsia="仿宋" w:cs="仿宋"/>
          <w:bCs/>
          <w:sz w:val="28"/>
          <w:szCs w:val="28"/>
          <w:lang w:eastAsia="zh-CN"/>
        </w:rPr>
        <w:t>住院</w:t>
      </w:r>
      <w:r>
        <w:rPr>
          <w:rFonts w:hint="eastAsia" w:ascii="仿宋" w:hAnsi="仿宋" w:eastAsia="仿宋" w:cs="仿宋"/>
          <w:bCs/>
          <w:sz w:val="28"/>
          <w:szCs w:val="28"/>
          <w:lang w:val="en-US" w:eastAsia="zh-CN"/>
        </w:rPr>
        <w:t>E区应急照明及疏散系统改造</w:t>
      </w:r>
      <w:r>
        <w:rPr>
          <w:rFonts w:hint="eastAsia" w:ascii="仿宋" w:hAnsi="仿宋" w:eastAsia="仿宋" w:cs="仿宋"/>
          <w:bCs/>
          <w:sz w:val="28"/>
          <w:szCs w:val="28"/>
          <w:lang w:eastAsia="zh-CN"/>
        </w:rPr>
        <w:t>服务</w:t>
      </w:r>
    </w:p>
    <w:p w14:paraId="7AC0C65D">
      <w:pPr>
        <w:pStyle w:val="8"/>
        <w:numPr>
          <w:ilvl w:val="0"/>
          <w:numId w:val="0"/>
        </w:numPr>
        <w:tabs>
          <w:tab w:val="left" w:pos="312"/>
        </w:tabs>
        <w:snapToGrid w:val="0"/>
        <w:spacing w:line="480" w:lineRule="auto"/>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二、采购方式</w:t>
      </w:r>
    </w:p>
    <w:p w14:paraId="0C191493">
      <w:pPr>
        <w:pStyle w:val="8"/>
        <w:numPr>
          <w:ilvl w:val="0"/>
          <w:numId w:val="0"/>
        </w:numPr>
        <w:tabs>
          <w:tab w:val="left" w:pos="312"/>
        </w:tabs>
        <w:snapToGrid w:val="0"/>
        <w:spacing w:line="480" w:lineRule="auto"/>
        <w:ind w:firstLine="560" w:firstLineChars="200"/>
        <w:rPr>
          <w:rFonts w:hint="eastAsia" w:ascii="仿宋" w:hAnsi="仿宋" w:eastAsia="仿宋" w:cs="仿宋"/>
          <w:sz w:val="28"/>
          <w:szCs w:val="28"/>
          <w:lang w:eastAsia="zh-CN"/>
        </w:rPr>
      </w:pPr>
      <w:r>
        <w:rPr>
          <w:rFonts w:hint="eastAsia" w:ascii="仿宋" w:hAnsi="仿宋" w:eastAsia="仿宋" w:cs="仿宋"/>
          <w:bCs/>
          <w:color w:val="auto"/>
          <w:kern w:val="0"/>
          <w:sz w:val="28"/>
          <w:szCs w:val="28"/>
          <w:lang w:val="en-US" w:eastAsia="zh-CN" w:bidi="ar-SA"/>
        </w:rPr>
        <w:t>医院公开挂网采购，采用综合评分法（附件1</w:t>
      </w:r>
      <w:bookmarkStart w:id="10" w:name="_GoBack"/>
      <w:bookmarkEnd w:id="10"/>
      <w:r>
        <w:rPr>
          <w:rFonts w:hint="eastAsia" w:ascii="仿宋" w:hAnsi="仿宋" w:eastAsia="仿宋" w:cs="仿宋"/>
          <w:bCs/>
          <w:color w:val="auto"/>
          <w:kern w:val="0"/>
          <w:sz w:val="28"/>
          <w:szCs w:val="28"/>
          <w:lang w:val="en-US" w:eastAsia="zh-CN" w:bidi="ar-SA"/>
        </w:rPr>
        <w:t>）。评分小组对投标人的各项指标进行符合性审查、核对并给出分数值，最后汇总比较，取分数值最高者为中标人。</w:t>
      </w:r>
    </w:p>
    <w:p w14:paraId="02792F41">
      <w:pPr>
        <w:pStyle w:val="8"/>
        <w:numPr>
          <w:ilvl w:val="0"/>
          <w:numId w:val="1"/>
        </w:numPr>
        <w:tabs>
          <w:tab w:val="left" w:pos="312"/>
        </w:tabs>
        <w:snapToGrid w:val="0"/>
        <w:spacing w:line="480" w:lineRule="auto"/>
        <w:ind w:firstLine="560" w:firstLineChars="200"/>
        <w:rPr>
          <w:rFonts w:hint="eastAsia" w:ascii="仿宋" w:hAnsi="仿宋" w:eastAsia="仿宋" w:cs="仿宋"/>
          <w:sz w:val="28"/>
          <w:szCs w:val="28"/>
        </w:rPr>
      </w:pPr>
      <w:r>
        <w:rPr>
          <w:rFonts w:hint="eastAsia" w:ascii="仿宋" w:hAnsi="仿宋" w:eastAsia="仿宋" w:cs="仿宋"/>
          <w:bCs/>
          <w:color w:val="auto"/>
          <w:sz w:val="28"/>
          <w:szCs w:val="28"/>
          <w:lang w:val="en-US" w:eastAsia="zh-CN"/>
        </w:rPr>
        <w:t>投标人资格要求</w:t>
      </w:r>
    </w:p>
    <w:p w14:paraId="5E187C79">
      <w:pPr>
        <w:pStyle w:val="8"/>
        <w:numPr>
          <w:ilvl w:val="0"/>
          <w:numId w:val="2"/>
        </w:numPr>
        <w:snapToGrid w:val="0"/>
        <w:spacing w:line="480" w:lineRule="auto"/>
        <w:ind w:firstLine="840" w:firstLineChars="300"/>
        <w:rPr>
          <w:rFonts w:hint="eastAsia" w:ascii="仿宋" w:hAnsi="仿宋" w:eastAsia="仿宋" w:cs="仿宋"/>
          <w:sz w:val="28"/>
          <w:szCs w:val="28"/>
        </w:rPr>
      </w:pPr>
      <w:r>
        <w:rPr>
          <w:rFonts w:hint="eastAsia" w:ascii="仿宋" w:hAnsi="仿宋" w:eastAsia="仿宋" w:cs="仿宋"/>
          <w:sz w:val="28"/>
          <w:szCs w:val="28"/>
        </w:rPr>
        <w:t> 在中华人民共和国境内注册，具有独立承担民事责任能力的法人或其他组织。</w:t>
      </w:r>
    </w:p>
    <w:p w14:paraId="2600FFDC">
      <w:pPr>
        <w:pStyle w:val="8"/>
        <w:numPr>
          <w:ilvl w:val="0"/>
          <w:numId w:val="2"/>
        </w:numPr>
        <w:snapToGrid w:val="0"/>
        <w:spacing w:line="480" w:lineRule="auto"/>
        <w:ind w:left="0" w:leftChars="0" w:firstLine="840" w:firstLineChars="300"/>
        <w:rPr>
          <w:rFonts w:hint="eastAsia" w:ascii="仿宋" w:hAnsi="仿宋" w:eastAsia="仿宋" w:cs="仿宋"/>
          <w:sz w:val="28"/>
          <w:szCs w:val="28"/>
        </w:rPr>
      </w:pPr>
      <w:r>
        <w:rPr>
          <w:rFonts w:hint="eastAsia" w:ascii="仿宋" w:hAnsi="仿宋" w:eastAsia="仿宋" w:cs="仿宋"/>
          <w:sz w:val="28"/>
          <w:szCs w:val="28"/>
        </w:rPr>
        <w:t> 具有有效的《营业执照》，经营范围包含消防器材销售、安装或机电设备安装等相关内容。</w:t>
      </w:r>
    </w:p>
    <w:p w14:paraId="6D2B0376">
      <w:pPr>
        <w:pStyle w:val="8"/>
        <w:numPr>
          <w:ilvl w:val="0"/>
          <w:numId w:val="0"/>
        </w:numPr>
        <w:tabs>
          <w:tab w:val="left" w:pos="312"/>
        </w:tabs>
        <w:snapToGrid w:val="0"/>
        <w:spacing w:line="480" w:lineRule="auto"/>
        <w:ind w:firstLine="840" w:firstLineChars="300"/>
        <w:rPr>
          <w:rFonts w:hint="eastAsia" w:ascii="仿宋" w:hAnsi="仿宋" w:eastAsia="仿宋" w:cs="仿宋"/>
          <w:sz w:val="28"/>
          <w:szCs w:val="28"/>
          <w:lang w:eastAsia="zh-CN"/>
        </w:rPr>
      </w:pPr>
      <w:r>
        <w:rPr>
          <w:rFonts w:hint="eastAsia" w:ascii="仿宋" w:hAnsi="仿宋" w:eastAsia="仿宋" w:cs="仿宋"/>
          <w:bCs/>
          <w:color w:val="auto"/>
          <w:sz w:val="28"/>
          <w:szCs w:val="28"/>
          <w:lang w:val="en-US" w:eastAsia="zh-CN"/>
        </w:rPr>
        <w:t>3、参加政府采购活动近3年内，在经营活动中无重大违法记录；</w:t>
      </w:r>
    </w:p>
    <w:p w14:paraId="6B391545">
      <w:pPr>
        <w:pStyle w:val="8"/>
        <w:numPr>
          <w:ilvl w:val="0"/>
          <w:numId w:val="0"/>
        </w:numPr>
        <w:tabs>
          <w:tab w:val="left" w:pos="312"/>
        </w:tabs>
        <w:snapToGrid w:val="0"/>
        <w:spacing w:line="480" w:lineRule="auto"/>
        <w:ind w:firstLine="840" w:firstLineChars="300"/>
        <w:rPr>
          <w:rFonts w:hint="eastAsia" w:ascii="仿宋" w:hAnsi="仿宋" w:eastAsia="仿宋" w:cs="仿宋"/>
          <w:sz w:val="28"/>
          <w:szCs w:val="28"/>
          <w:lang w:eastAsia="zh-CN"/>
        </w:rPr>
      </w:pPr>
      <w:r>
        <w:rPr>
          <w:rFonts w:hint="eastAsia" w:ascii="仿宋" w:hAnsi="仿宋" w:eastAsia="仿宋" w:cs="仿宋"/>
          <w:bCs/>
          <w:color w:val="auto"/>
          <w:sz w:val="28"/>
          <w:szCs w:val="28"/>
          <w:lang w:val="en-US" w:eastAsia="zh-CN"/>
        </w:rPr>
        <w:t>4、投标人未被列入经营异常名录和严重违法失信企业名单（黑名单），企业法人代表未被列入失信被执行人名单；且在“信用中国”（www.creditchina.gov.cn）、中国政府采购网（www.ccgp.gov.cn）等网站中，未被列入“失信被执行人”“重大税收违法案件当事人名单”“政府采购严重违法失信行为记录名单”；</w:t>
      </w:r>
    </w:p>
    <w:p w14:paraId="694600F2">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5、本项目不接受联合体投标，不得分包、转包；</w:t>
      </w:r>
    </w:p>
    <w:p w14:paraId="42F59BE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6、 单位负责人为同一人或存在直接控股、管理关系的不同投</w:t>
      </w:r>
    </w:p>
    <w:p w14:paraId="717E645A">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标人，不得参与本次采购活动；</w:t>
      </w:r>
    </w:p>
    <w:p w14:paraId="3FE51B2B">
      <w:pPr>
        <w:pStyle w:val="8"/>
        <w:keepNext w:val="0"/>
        <w:keepLines w:val="0"/>
        <w:pageBreakBefore w:val="0"/>
        <w:widowControl w:val="0"/>
        <w:numPr>
          <w:ilvl w:val="0"/>
          <w:numId w:val="3"/>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以上所有要求均需提供相应证明材料。</w:t>
      </w:r>
    </w:p>
    <w:p w14:paraId="26BB1D77">
      <w:pPr>
        <w:pStyle w:val="8"/>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480" w:lineRule="auto"/>
        <w:ind w:left="0" w:leftChars="0"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项目内容</w:t>
      </w:r>
    </w:p>
    <w:p w14:paraId="38258A07">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Chars="200"/>
        <w:textAlignment w:val="auto"/>
        <w:rPr>
          <w:rFonts w:hint="default" w:ascii="仿宋" w:hAnsi="仿宋" w:eastAsia="仿宋" w:cs="仿宋"/>
          <w:color w:val="auto"/>
          <w:sz w:val="28"/>
          <w:szCs w:val="28"/>
          <w:lang w:val="en-US" w:eastAsia="zh-CN"/>
        </w:rPr>
      </w:pPr>
      <w:r>
        <w:rPr>
          <w:rFonts w:hint="eastAsia" w:ascii="仿宋" w:hAnsi="仿宋" w:eastAsia="仿宋" w:cs="仿宋"/>
          <w:bCs/>
          <w:color w:val="auto"/>
          <w:kern w:val="0"/>
          <w:sz w:val="28"/>
          <w:szCs w:val="28"/>
          <w:lang w:val="en-US" w:eastAsia="zh-CN" w:bidi="ar-SA"/>
        </w:rPr>
        <w:t>1.更换881个应急照明设备（应急灯及标志牌）电池，含人工安装、拆卸及产品通电测试。</w:t>
      </w:r>
    </w:p>
    <w:p w14:paraId="6246C87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五、投标截止时间、开标时间及地点：</w:t>
      </w:r>
    </w:p>
    <w:p w14:paraId="01B838F0">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 xml:space="preserve">1、投标截止时间：       </w:t>
      </w:r>
    </w:p>
    <w:p w14:paraId="098DF66E">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2、开标时间：另行通知</w:t>
      </w:r>
    </w:p>
    <w:p w14:paraId="55B8173E">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3、开标地点：娄底市中心医院综合楼</w:t>
      </w:r>
    </w:p>
    <w:p w14:paraId="28CD2B07">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六、招标人地址和联系方法：</w:t>
      </w:r>
    </w:p>
    <w:p w14:paraId="39E34EF0">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default"/>
          <w:bCs/>
          <w:color w:val="auto"/>
          <w:sz w:val="28"/>
          <w:szCs w:val="28"/>
          <w:lang w:val="en-US" w:eastAsia="zh-CN"/>
        </w:rPr>
      </w:pPr>
      <w:r>
        <w:rPr>
          <w:rFonts w:hint="eastAsia"/>
          <w:bCs/>
          <w:color w:val="auto"/>
          <w:sz w:val="28"/>
          <w:szCs w:val="28"/>
          <w:lang w:val="en-US" w:eastAsia="zh-CN"/>
        </w:rPr>
        <w:t>1、招标人名称：娄底市中心医院</w:t>
      </w:r>
    </w:p>
    <w:p w14:paraId="64DFCE7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2、联系人及联系方式：杨斯 13875424543</w:t>
      </w:r>
    </w:p>
    <w:p w14:paraId="3CD82B81">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3、招标人地址：</w:t>
      </w:r>
      <w:r>
        <w:rPr>
          <w:rFonts w:hint="eastAsia" w:ascii="仿宋_GB2312" w:hAnsi="Times New Roman" w:eastAsia="仿宋_GB2312" w:cs="仿宋_GB2312"/>
          <w:bCs/>
          <w:color w:val="auto"/>
          <w:kern w:val="0"/>
          <w:sz w:val="28"/>
          <w:szCs w:val="28"/>
          <w:lang w:val="en-US" w:eastAsia="zh-CN" w:bidi="ar-SA"/>
        </w:rPr>
        <w:t>娄底市长青中街51号</w:t>
      </w:r>
      <w:r>
        <w:rPr>
          <w:rFonts w:hint="eastAsia"/>
          <w:bCs/>
          <w:color w:val="auto"/>
          <w:sz w:val="28"/>
          <w:szCs w:val="28"/>
          <w:lang w:val="en-US" w:eastAsia="zh-CN"/>
        </w:rPr>
        <w:t>娄底市中心医院综合楼307</w:t>
      </w:r>
    </w:p>
    <w:p w14:paraId="420B7C66">
      <w:pPr>
        <w:rPr>
          <w:rFonts w:hint="eastAsia"/>
          <w:bCs/>
          <w:color w:val="auto"/>
          <w:sz w:val="28"/>
          <w:szCs w:val="28"/>
          <w:lang w:val="en-US" w:eastAsia="zh-CN"/>
        </w:rPr>
      </w:pPr>
      <w:r>
        <w:rPr>
          <w:rFonts w:hint="eastAsia"/>
          <w:bCs/>
          <w:color w:val="auto"/>
          <w:sz w:val="28"/>
          <w:szCs w:val="28"/>
          <w:lang w:val="en-US" w:eastAsia="zh-CN"/>
        </w:rPr>
        <w:br w:type="page"/>
      </w:r>
    </w:p>
    <w:p w14:paraId="1870559A">
      <w:pPr>
        <w:pStyle w:val="3"/>
        <w:jc w:val="center"/>
        <w:rPr>
          <w:b/>
          <w:bCs/>
          <w:sz w:val="32"/>
          <w:szCs w:val="32"/>
        </w:rPr>
      </w:pPr>
      <w:bookmarkStart w:id="1" w:name="d499d924-f675-4341-8ce9-752beacadb90"/>
      <w:r>
        <w:rPr>
          <w:rFonts w:hint="eastAsia" w:eastAsia="宋体"/>
          <w:b/>
          <w:bCs/>
          <w:sz w:val="32"/>
          <w:szCs w:val="32"/>
          <w:lang w:eastAsia="zh-CN"/>
        </w:rPr>
        <w:t>娄底市中心医院住院</w:t>
      </w:r>
      <w:r>
        <w:rPr>
          <w:rFonts w:hint="eastAsia" w:eastAsia="宋体"/>
          <w:b/>
          <w:bCs/>
          <w:sz w:val="32"/>
          <w:szCs w:val="32"/>
          <w:lang w:val="en-US" w:eastAsia="zh-CN"/>
        </w:rPr>
        <w:t>E区</w:t>
      </w:r>
      <w:r>
        <w:rPr>
          <w:b/>
          <w:bCs/>
          <w:sz w:val="32"/>
          <w:szCs w:val="32"/>
        </w:rPr>
        <w:t>应急</w:t>
      </w:r>
      <w:r>
        <w:rPr>
          <w:rFonts w:hint="eastAsia" w:eastAsia="宋体"/>
          <w:b/>
          <w:bCs/>
          <w:sz w:val="32"/>
          <w:szCs w:val="32"/>
          <w:lang w:eastAsia="zh-CN"/>
        </w:rPr>
        <w:t>照明</w:t>
      </w:r>
      <w:r>
        <w:rPr>
          <w:b/>
          <w:bCs/>
          <w:sz w:val="32"/>
          <w:szCs w:val="32"/>
        </w:rPr>
        <w:t>及疏散指示内置电池</w:t>
      </w:r>
    </w:p>
    <w:p w14:paraId="728DE160">
      <w:pPr>
        <w:pStyle w:val="3"/>
        <w:jc w:val="center"/>
        <w:rPr>
          <w:sz w:val="32"/>
          <w:szCs w:val="32"/>
        </w:rPr>
      </w:pPr>
      <w:r>
        <w:rPr>
          <w:b/>
          <w:bCs/>
          <w:sz w:val="32"/>
          <w:szCs w:val="32"/>
        </w:rPr>
        <w:t>采购需求</w:t>
      </w:r>
    </w:p>
    <w:p w14:paraId="06354367">
      <w:pPr>
        <w:pStyle w:val="5"/>
        <w:rPr>
          <w:rFonts w:hint="eastAsia" w:ascii="仿宋" w:hAnsi="仿宋" w:eastAsia="仿宋" w:cs="仿宋"/>
          <w:sz w:val="28"/>
          <w:szCs w:val="28"/>
        </w:rPr>
      </w:pPr>
      <w:bookmarkStart w:id="2" w:name="f0e8ee4c-f088-4800-9cc0-69671ef58367"/>
      <w:r>
        <w:rPr>
          <w:rFonts w:hint="eastAsia" w:ascii="仿宋" w:hAnsi="仿宋" w:eastAsia="仿宋" w:cs="仿宋"/>
          <w:b/>
          <w:bCs/>
          <w:sz w:val="28"/>
          <w:szCs w:val="28"/>
        </w:rPr>
        <w:t>一、项目概况</w:t>
      </w:r>
    </w:p>
    <w:p w14:paraId="5AB17176">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项目名称</w:t>
      </w:r>
      <w:r>
        <w:rPr>
          <w:rFonts w:hint="eastAsia" w:ascii="仿宋" w:hAnsi="仿宋" w:eastAsia="仿宋" w:cs="仿宋"/>
          <w:sz w:val="28"/>
          <w:szCs w:val="28"/>
        </w:rPr>
        <w:t>：</w:t>
      </w:r>
      <w:r>
        <w:rPr>
          <w:rFonts w:hint="eastAsia" w:ascii="仿宋" w:hAnsi="仿宋" w:eastAsia="仿宋" w:cs="仿宋"/>
          <w:sz w:val="28"/>
          <w:szCs w:val="28"/>
          <w:lang w:eastAsia="zh-CN"/>
        </w:rPr>
        <w:t>娄底市中心医院住院</w:t>
      </w:r>
      <w:r>
        <w:rPr>
          <w:rFonts w:hint="eastAsia" w:ascii="仿宋" w:hAnsi="仿宋" w:eastAsia="仿宋" w:cs="仿宋"/>
          <w:sz w:val="28"/>
          <w:szCs w:val="28"/>
          <w:lang w:val="en-US" w:eastAsia="zh-CN"/>
        </w:rPr>
        <w:t>E区</w:t>
      </w:r>
      <w:r>
        <w:rPr>
          <w:rFonts w:hint="eastAsia" w:ascii="仿宋" w:hAnsi="仿宋" w:eastAsia="仿宋" w:cs="仿宋"/>
          <w:sz w:val="28"/>
          <w:szCs w:val="28"/>
        </w:rPr>
        <w:t>消防应急照明及疏散指示系统内置电池更换</w:t>
      </w:r>
    </w:p>
    <w:p w14:paraId="17B188B5">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项目地点</w:t>
      </w:r>
      <w:r>
        <w:rPr>
          <w:rFonts w:hint="eastAsia" w:ascii="仿宋" w:hAnsi="仿宋" w:eastAsia="仿宋" w:cs="仿宋"/>
          <w:sz w:val="28"/>
          <w:szCs w:val="28"/>
        </w:rPr>
        <w:t>：</w:t>
      </w:r>
      <w:r>
        <w:rPr>
          <w:rFonts w:hint="eastAsia" w:ascii="仿宋" w:hAnsi="仿宋" w:eastAsia="仿宋" w:cs="仿宋"/>
          <w:sz w:val="28"/>
          <w:szCs w:val="28"/>
          <w:lang w:eastAsia="zh-CN"/>
        </w:rPr>
        <w:t>娄底市中心医院住院</w:t>
      </w:r>
      <w:r>
        <w:rPr>
          <w:rFonts w:hint="eastAsia" w:ascii="仿宋" w:hAnsi="仿宋" w:eastAsia="仿宋" w:cs="仿宋"/>
          <w:sz w:val="28"/>
          <w:szCs w:val="28"/>
          <w:lang w:val="en-US" w:eastAsia="zh-CN"/>
        </w:rPr>
        <w:t>E区</w:t>
      </w:r>
      <w:r>
        <w:rPr>
          <w:rFonts w:hint="eastAsia" w:ascii="仿宋" w:hAnsi="仿宋" w:eastAsia="仿宋" w:cs="仿宋"/>
          <w:sz w:val="28"/>
          <w:szCs w:val="28"/>
        </w:rPr>
        <w:t>全楼层（含地下室、裙楼及屋面疏散通道）</w:t>
      </w:r>
    </w:p>
    <w:p w14:paraId="40BC2332">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w:t>
      </w:r>
      <w:r>
        <w:rPr>
          <w:rFonts w:hint="eastAsia" w:ascii="仿宋" w:hAnsi="仿宋" w:eastAsia="仿宋" w:cs="仿宋"/>
          <w:b/>
          <w:bCs/>
          <w:sz w:val="28"/>
          <w:szCs w:val="28"/>
        </w:rPr>
        <w:t>采购背景</w:t>
      </w:r>
      <w:r>
        <w:rPr>
          <w:rFonts w:hint="eastAsia" w:ascii="仿宋" w:hAnsi="仿宋" w:eastAsia="仿宋" w:cs="仿宋"/>
          <w:sz w:val="28"/>
          <w:szCs w:val="28"/>
        </w:rPr>
        <w:t>：</w:t>
      </w:r>
      <w:r>
        <w:rPr>
          <w:rFonts w:hint="eastAsia" w:ascii="仿宋" w:hAnsi="仿宋" w:eastAsia="仿宋" w:cs="仿宋"/>
          <w:sz w:val="28"/>
          <w:szCs w:val="28"/>
          <w:lang w:eastAsia="zh-CN"/>
        </w:rPr>
        <w:t>我院住院</w:t>
      </w:r>
      <w:r>
        <w:rPr>
          <w:rFonts w:hint="eastAsia" w:ascii="仿宋" w:hAnsi="仿宋" w:eastAsia="仿宋" w:cs="仿宋"/>
          <w:sz w:val="28"/>
          <w:szCs w:val="28"/>
          <w:lang w:val="en-US" w:eastAsia="zh-CN"/>
        </w:rPr>
        <w:t>E区</w:t>
      </w:r>
      <w:r>
        <w:rPr>
          <w:rFonts w:hint="eastAsia" w:ascii="仿宋" w:hAnsi="仿宋" w:eastAsia="仿宋" w:cs="仿宋"/>
          <w:sz w:val="28"/>
          <w:szCs w:val="28"/>
        </w:rPr>
        <w:t>消防应急灯具及疏散指示标志因使用年限较长，内置蓄电池性能衰减，应急持续时间已无法满足《消防应急照明和疏散指示系统技术标准》（GB51309-2018）及医院消防安全管理要求。为保障医患生命安全，需对全楼相关灯具的内置电池进行统一更换。</w:t>
      </w:r>
    </w:p>
    <w:p w14:paraId="268BF60D">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w:t>
      </w:r>
      <w:r>
        <w:rPr>
          <w:rFonts w:hint="eastAsia" w:ascii="仿宋" w:hAnsi="仿宋" w:eastAsia="仿宋" w:cs="仿宋"/>
          <w:b/>
          <w:bCs/>
          <w:sz w:val="28"/>
          <w:szCs w:val="28"/>
        </w:rPr>
        <w:t>采购内容</w:t>
      </w:r>
      <w:r>
        <w:rPr>
          <w:rFonts w:hint="eastAsia" w:ascii="仿宋" w:hAnsi="仿宋" w:eastAsia="仿宋" w:cs="仿宋"/>
          <w:sz w:val="28"/>
          <w:szCs w:val="28"/>
        </w:rPr>
        <w:t>：消防应急照明灯、疏散指示标志灯内置蓄电池的供货、安装、调试、旧电池回收处理及质保服务。</w:t>
      </w:r>
    </w:p>
    <w:bookmarkEnd w:id="2"/>
    <w:p w14:paraId="14154CB3">
      <w:pPr>
        <w:pStyle w:val="5"/>
        <w:rPr>
          <w:rFonts w:hint="eastAsia" w:ascii="仿宋" w:hAnsi="仿宋" w:eastAsia="仿宋" w:cs="仿宋"/>
          <w:sz w:val="28"/>
          <w:szCs w:val="28"/>
        </w:rPr>
      </w:pPr>
      <w:bookmarkStart w:id="3" w:name="eb0d78ed-6140-4246-adbe-888109521bc5"/>
      <w:r>
        <w:rPr>
          <w:rFonts w:hint="eastAsia" w:ascii="仿宋" w:hAnsi="仿宋" w:eastAsia="仿宋" w:cs="仿宋"/>
          <w:b/>
          <w:bCs/>
          <w:sz w:val="28"/>
          <w:szCs w:val="28"/>
        </w:rPr>
        <w:t>二、技术参数与质量要求</w:t>
      </w:r>
    </w:p>
    <w:p w14:paraId="13A0BD10">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电池类型</w:t>
      </w:r>
      <w:r>
        <w:rPr>
          <w:rFonts w:hint="eastAsia" w:ascii="仿宋" w:hAnsi="仿宋" w:eastAsia="仿宋" w:cs="仿宋"/>
          <w:sz w:val="28"/>
          <w:szCs w:val="28"/>
        </w:rPr>
        <w:t>：必须采用消防专用镍镉（Ni-Cd）或磷酸铁锂（LiFePO4）电池，严禁使用普通民用锂电池或铅酸电池。</w:t>
      </w:r>
    </w:p>
    <w:p w14:paraId="6F80EC44">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容量与电压</w:t>
      </w:r>
      <w:r>
        <w:rPr>
          <w:rFonts w:hint="eastAsia" w:ascii="仿宋" w:hAnsi="仿宋" w:eastAsia="仿宋" w:cs="仿宋"/>
          <w:sz w:val="28"/>
          <w:szCs w:val="28"/>
        </w:rPr>
        <w:t>：必须与原灯具设计参数严格匹配（例如3.6V/1800mAh或6V/4Ah等），容量偏差不得超过±5%。</w:t>
      </w:r>
    </w:p>
    <w:p w14:paraId="418729EC">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w:t>
      </w:r>
      <w:r>
        <w:rPr>
          <w:rFonts w:hint="eastAsia" w:ascii="仿宋" w:hAnsi="仿宋" w:eastAsia="仿宋" w:cs="仿宋"/>
          <w:b/>
          <w:bCs/>
          <w:sz w:val="28"/>
          <w:szCs w:val="28"/>
        </w:rPr>
        <w:t>应急持续时间</w:t>
      </w:r>
      <w:r>
        <w:rPr>
          <w:rFonts w:hint="eastAsia" w:ascii="仿宋" w:hAnsi="仿宋" w:eastAsia="仿宋" w:cs="仿宋"/>
          <w:sz w:val="28"/>
          <w:szCs w:val="28"/>
        </w:rPr>
        <w:t>：更换后的电池必须保证在切断主电源后，应急照明持续时间≥90分钟，疏散指示持续时间≥90分钟（或按原设计图纸要求）。</w:t>
      </w:r>
    </w:p>
    <w:p w14:paraId="00CCA448">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w:t>
      </w:r>
      <w:r>
        <w:rPr>
          <w:rFonts w:hint="eastAsia" w:ascii="仿宋" w:hAnsi="仿宋" w:eastAsia="仿宋" w:cs="仿宋"/>
          <w:b/>
          <w:bCs/>
          <w:sz w:val="28"/>
          <w:szCs w:val="28"/>
        </w:rPr>
        <w:t>耐温性能</w:t>
      </w:r>
      <w:r>
        <w:rPr>
          <w:rFonts w:hint="eastAsia" w:ascii="仿宋" w:hAnsi="仿宋" w:eastAsia="仿宋" w:cs="仿宋"/>
          <w:sz w:val="28"/>
          <w:szCs w:val="28"/>
        </w:rPr>
        <w:t>：电池需具备耐高温性能，在灯具内部高温环境下（通常灯具工作温度可达60℃-85℃）不鼓包、不漏液、不爆炸。</w:t>
      </w:r>
    </w:p>
    <w:p w14:paraId="28FCE21B">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5. </w:t>
      </w:r>
      <w:r>
        <w:rPr>
          <w:rFonts w:hint="eastAsia" w:ascii="仿宋" w:hAnsi="仿宋" w:eastAsia="仿宋" w:cs="仿宋"/>
          <w:b/>
          <w:bCs/>
          <w:sz w:val="28"/>
          <w:szCs w:val="28"/>
        </w:rPr>
        <w:t>认证要求</w:t>
      </w:r>
      <w:r>
        <w:rPr>
          <w:rFonts w:hint="eastAsia" w:ascii="仿宋" w:hAnsi="仿宋" w:eastAsia="仿宋" w:cs="仿宋"/>
          <w:sz w:val="28"/>
          <w:szCs w:val="28"/>
        </w:rPr>
        <w:t>：所投电池及更换后的整套灯具必须具有有效的国家强制性产品认证（CCC认证）或消防产品型式检验报告，且检验报告中需包含电池规格型号信息。</w:t>
      </w:r>
    </w:p>
    <w:p w14:paraId="03BD6D57">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6. </w:t>
      </w:r>
      <w:r>
        <w:rPr>
          <w:rFonts w:hint="eastAsia" w:ascii="仿宋" w:hAnsi="仿宋" w:eastAsia="仿宋" w:cs="仿宋"/>
          <w:b/>
          <w:bCs/>
          <w:sz w:val="28"/>
          <w:szCs w:val="28"/>
        </w:rPr>
        <w:t>环保要求</w:t>
      </w:r>
      <w:r>
        <w:rPr>
          <w:rFonts w:hint="eastAsia" w:ascii="仿宋" w:hAnsi="仿宋" w:eastAsia="仿宋" w:cs="仿宋"/>
          <w:sz w:val="28"/>
          <w:szCs w:val="28"/>
        </w:rPr>
        <w:t>：旧电池回收需符合国家危险废物处理相关规定，供应商需提供合规的回收处置证明。</w:t>
      </w:r>
    </w:p>
    <w:p w14:paraId="7A3D914A">
      <w:pPr>
        <w:pStyle w:val="4"/>
        <w:spacing w:before="120" w:after="120" w:line="420" w:lineRule="auto"/>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7.如因施工导致原有的灯具或疏散指示损坏，由乙方负责。</w:t>
      </w:r>
    </w:p>
    <w:bookmarkEnd w:id="3"/>
    <w:p w14:paraId="6F4C9199">
      <w:pPr>
        <w:pStyle w:val="5"/>
        <w:rPr>
          <w:rFonts w:hint="eastAsia" w:ascii="仿宋" w:hAnsi="仿宋" w:eastAsia="仿宋" w:cs="仿宋"/>
          <w:sz w:val="28"/>
          <w:szCs w:val="28"/>
        </w:rPr>
      </w:pPr>
      <w:bookmarkStart w:id="4" w:name="a3d8f808-a7ea-4c14-85c4-0669523abdf5"/>
      <w:r>
        <w:rPr>
          <w:rFonts w:hint="eastAsia" w:ascii="仿宋" w:hAnsi="仿宋" w:eastAsia="仿宋" w:cs="仿宋"/>
          <w:b/>
          <w:bCs/>
          <w:sz w:val="28"/>
          <w:szCs w:val="28"/>
        </w:rPr>
        <w:t>三、供应商资格要求</w:t>
      </w:r>
    </w:p>
    <w:p w14:paraId="2950F58C">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在中华人民共和国境内注册，具有独立承担民事责任能力的法人或其他组织。</w:t>
      </w:r>
    </w:p>
    <w:p w14:paraId="1C9D1550">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具有有效的《营业执照》，经营范围包含消防器材销售、安装或机电设备安装等相关内容。</w:t>
      </w:r>
    </w:p>
    <w:p w14:paraId="6ED4DDB5">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具有消防设施工程专业承包资质或建筑机电安装工程专业承包资质（</w:t>
      </w:r>
      <w:r>
        <w:rPr>
          <w:rFonts w:hint="eastAsia" w:ascii="仿宋" w:hAnsi="仿宋" w:eastAsia="仿宋" w:cs="仿宋"/>
          <w:sz w:val="28"/>
          <w:szCs w:val="28"/>
          <w:lang w:eastAsia="zh-CN"/>
        </w:rPr>
        <w:t>二</w:t>
      </w:r>
      <w:r>
        <w:rPr>
          <w:rFonts w:hint="eastAsia" w:ascii="仿宋" w:hAnsi="仿宋" w:eastAsia="仿宋" w:cs="仿宋"/>
          <w:sz w:val="28"/>
          <w:szCs w:val="28"/>
        </w:rPr>
        <w:t>级及以上）。</w:t>
      </w:r>
    </w:p>
    <w:p w14:paraId="0CE10705">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拟派项目经理需具备机电工程专业注册建造师执业资格及有效的安全生产考核合格证书（B证）。</w:t>
      </w:r>
    </w:p>
    <w:p w14:paraId="1CF32ADA">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5. 提供近三年内（202</w:t>
      </w:r>
      <w:r>
        <w:rPr>
          <w:rFonts w:hint="eastAsia" w:ascii="仿宋" w:hAnsi="仿宋" w:eastAsia="仿宋" w:cs="仿宋"/>
          <w:sz w:val="28"/>
          <w:szCs w:val="28"/>
          <w:lang w:val="en-US" w:eastAsia="zh-CN"/>
        </w:rPr>
        <w:t>3</w:t>
      </w:r>
      <w:r>
        <w:rPr>
          <w:rFonts w:hint="eastAsia" w:ascii="仿宋" w:hAnsi="仿宋" w:eastAsia="仿宋" w:cs="仿宋"/>
          <w:sz w:val="28"/>
          <w:szCs w:val="28"/>
        </w:rPr>
        <w:t>年至今）至少1个类似的业绩证明（合同复印件）。</w:t>
      </w:r>
    </w:p>
    <w:p w14:paraId="7BB53746">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6. 本项目不接受联合体投标，严禁转包、分包。</w:t>
      </w:r>
    </w:p>
    <w:bookmarkEnd w:id="4"/>
    <w:p w14:paraId="16F0274E">
      <w:pPr>
        <w:pStyle w:val="5"/>
        <w:rPr>
          <w:rFonts w:hint="eastAsia" w:ascii="仿宋" w:hAnsi="仿宋" w:eastAsia="仿宋" w:cs="仿宋"/>
          <w:sz w:val="28"/>
          <w:szCs w:val="28"/>
        </w:rPr>
      </w:pPr>
      <w:bookmarkStart w:id="5" w:name="ae3fb7cb-a4a7-4175-afea-66f07d392d22"/>
      <w:r>
        <w:rPr>
          <w:rFonts w:hint="eastAsia" w:ascii="仿宋" w:hAnsi="仿宋" w:eastAsia="仿宋" w:cs="仿宋"/>
          <w:b/>
          <w:bCs/>
          <w:sz w:val="28"/>
          <w:szCs w:val="28"/>
        </w:rPr>
        <w:t>四、施工与安全要求（重点）</w:t>
      </w:r>
    </w:p>
    <w:p w14:paraId="771BD1C2">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不停诊施工</w:t>
      </w:r>
      <w:r>
        <w:rPr>
          <w:rFonts w:hint="eastAsia" w:ascii="仿宋" w:hAnsi="仿宋" w:eastAsia="仿宋" w:cs="仿宋"/>
          <w:sz w:val="28"/>
          <w:szCs w:val="28"/>
        </w:rPr>
        <w:t>：住院楼为24小时运行，施工必须避开查房、治疗及患者休息高峰时段（建议夜间或分区分时段施工），严禁产生高分贝噪音和刺激性气味。</w:t>
      </w:r>
    </w:p>
    <w:p w14:paraId="1DC88D5A">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院感控制</w:t>
      </w:r>
      <w:r>
        <w:rPr>
          <w:rFonts w:hint="eastAsia" w:ascii="仿宋" w:hAnsi="仿宋" w:eastAsia="仿宋" w:cs="仿宋"/>
          <w:sz w:val="28"/>
          <w:szCs w:val="28"/>
        </w:rPr>
        <w:t>：施工人员需遵守医院院感管理规定，佩戴鞋套、口罩，施工区域需铺设防尘垫，做到“工完场清”，严禁粉尘污染病房及走廊。</w:t>
      </w:r>
    </w:p>
    <w:p w14:paraId="72E0F44A">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w:t>
      </w:r>
      <w:r>
        <w:rPr>
          <w:rFonts w:hint="eastAsia" w:ascii="仿宋" w:hAnsi="仿宋" w:eastAsia="仿宋" w:cs="仿宋"/>
          <w:b/>
          <w:bCs/>
          <w:sz w:val="28"/>
          <w:szCs w:val="28"/>
        </w:rPr>
        <w:t>消防安全</w:t>
      </w:r>
      <w:r>
        <w:rPr>
          <w:rFonts w:hint="eastAsia" w:ascii="仿宋" w:hAnsi="仿宋" w:eastAsia="仿宋" w:cs="仿宋"/>
          <w:sz w:val="28"/>
          <w:szCs w:val="28"/>
        </w:rPr>
        <w:t>：施工现场严禁动火，如需登高作业，必须使用合规的脚手架或升降车，严禁在消防管道、喷淋头上悬挂重物。</w:t>
      </w:r>
    </w:p>
    <w:p w14:paraId="60CC47B4">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w:t>
      </w:r>
      <w:r>
        <w:rPr>
          <w:rFonts w:hint="eastAsia" w:ascii="仿宋" w:hAnsi="仿宋" w:eastAsia="仿宋" w:cs="仿宋"/>
          <w:b/>
          <w:bCs/>
          <w:sz w:val="28"/>
          <w:szCs w:val="28"/>
        </w:rPr>
        <w:t>断电管理</w:t>
      </w:r>
      <w:r>
        <w:rPr>
          <w:rFonts w:hint="eastAsia" w:ascii="仿宋" w:hAnsi="仿宋" w:eastAsia="仿宋" w:cs="仿宋"/>
          <w:sz w:val="28"/>
          <w:szCs w:val="28"/>
        </w:rPr>
        <w:t>：更换电池涉及断电操作，需提前向医院保卫科</w:t>
      </w:r>
      <w:r>
        <w:rPr>
          <w:rFonts w:hint="eastAsia" w:ascii="仿宋" w:hAnsi="仿宋" w:eastAsia="仿宋" w:cs="仿宋"/>
          <w:sz w:val="28"/>
          <w:szCs w:val="28"/>
          <w:lang w:eastAsia="zh-CN"/>
        </w:rPr>
        <w:t>、</w:t>
      </w:r>
      <w:r>
        <w:rPr>
          <w:rFonts w:hint="eastAsia" w:ascii="仿宋" w:hAnsi="仿宋" w:eastAsia="仿宋" w:cs="仿宋"/>
          <w:sz w:val="28"/>
          <w:szCs w:val="28"/>
        </w:rPr>
        <w:t>总务科申请，严禁擅自切断非施工区域电源，严禁造成消防主机误报火警。</w:t>
      </w:r>
    </w:p>
    <w:p w14:paraId="242D7064">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5. </w:t>
      </w:r>
      <w:r>
        <w:rPr>
          <w:rFonts w:hint="eastAsia" w:ascii="仿宋" w:hAnsi="仿宋" w:eastAsia="仿宋" w:cs="仿宋"/>
          <w:b/>
          <w:bCs/>
          <w:sz w:val="28"/>
          <w:szCs w:val="28"/>
        </w:rPr>
        <w:t>旧件处理</w:t>
      </w:r>
      <w:r>
        <w:rPr>
          <w:rFonts w:hint="eastAsia" w:ascii="仿宋" w:hAnsi="仿宋" w:eastAsia="仿宋" w:cs="仿宋"/>
          <w:sz w:val="28"/>
          <w:szCs w:val="28"/>
        </w:rPr>
        <w:t>：拆下的废旧电池必须当场清点、装箱、贴标，由供应商统一清运出院，严禁遗留在医院任何区域。</w:t>
      </w:r>
    </w:p>
    <w:bookmarkEnd w:id="5"/>
    <w:p w14:paraId="2812A271">
      <w:pPr>
        <w:pStyle w:val="5"/>
        <w:rPr>
          <w:rFonts w:hint="eastAsia" w:ascii="仿宋" w:hAnsi="仿宋" w:eastAsia="仿宋" w:cs="仿宋"/>
          <w:sz w:val="28"/>
          <w:szCs w:val="28"/>
        </w:rPr>
      </w:pPr>
      <w:bookmarkStart w:id="6" w:name="e849bcd0-7694-4788-afb0-1eced3d89fb5"/>
      <w:r>
        <w:rPr>
          <w:rFonts w:hint="eastAsia" w:ascii="仿宋" w:hAnsi="仿宋" w:eastAsia="仿宋" w:cs="仿宋"/>
          <w:b/>
          <w:bCs/>
          <w:sz w:val="28"/>
          <w:szCs w:val="28"/>
        </w:rPr>
        <w:t>五、验收标准</w:t>
      </w:r>
    </w:p>
    <w:p w14:paraId="4306FD81">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全数测试</w:t>
      </w:r>
      <w:r>
        <w:rPr>
          <w:rFonts w:hint="eastAsia" w:ascii="仿宋" w:hAnsi="仿宋" w:eastAsia="仿宋" w:cs="仿宋"/>
          <w:sz w:val="28"/>
          <w:szCs w:val="28"/>
        </w:rPr>
        <w:t>：更换完成后，需配合院方进行全楼消防应急系统强制点亮测试，抽检率100%（或按规范分层抽检）。</w:t>
      </w:r>
    </w:p>
    <w:p w14:paraId="11C897C7">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时长测试</w:t>
      </w:r>
      <w:r>
        <w:rPr>
          <w:rFonts w:hint="eastAsia" w:ascii="仿宋" w:hAnsi="仿宋" w:eastAsia="仿宋" w:cs="仿宋"/>
          <w:sz w:val="28"/>
          <w:szCs w:val="28"/>
        </w:rPr>
        <w:t>：随机抽取不少于10%的灯具进行90分钟放电测试，电压下降曲线需符合标准，且90分钟后照度/指示亮度达标。</w:t>
      </w:r>
    </w:p>
    <w:p w14:paraId="381F6847">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w:t>
      </w:r>
      <w:r>
        <w:rPr>
          <w:rFonts w:hint="eastAsia" w:ascii="仿宋" w:hAnsi="仿宋" w:eastAsia="仿宋" w:cs="仿宋"/>
          <w:b/>
          <w:bCs/>
          <w:sz w:val="28"/>
          <w:szCs w:val="28"/>
        </w:rPr>
        <w:t>外观检查</w:t>
      </w:r>
      <w:r>
        <w:rPr>
          <w:rFonts w:hint="eastAsia" w:ascii="仿宋" w:hAnsi="仿宋" w:eastAsia="仿宋" w:cs="仿宋"/>
          <w:sz w:val="28"/>
          <w:szCs w:val="28"/>
        </w:rPr>
        <w:t>：灯具安装牢固，接线端子紧固，无裸露线头，灯罩无破损，标识清晰。</w:t>
      </w:r>
    </w:p>
    <w:p w14:paraId="26C1FF72">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w:t>
      </w:r>
      <w:r>
        <w:rPr>
          <w:rFonts w:hint="eastAsia" w:ascii="仿宋" w:hAnsi="仿宋" w:eastAsia="仿宋" w:cs="仿宋"/>
          <w:b/>
          <w:bCs/>
          <w:sz w:val="28"/>
          <w:szCs w:val="28"/>
        </w:rPr>
        <w:t>资料移交</w:t>
      </w:r>
      <w:r>
        <w:rPr>
          <w:rFonts w:hint="eastAsia" w:ascii="仿宋" w:hAnsi="仿宋" w:eastAsia="仿宋" w:cs="仿宋"/>
          <w:sz w:val="28"/>
          <w:szCs w:val="28"/>
        </w:rPr>
        <w:t>：提供产品合格证、型式检验报告、电池质保卡、旧电池回收证明、竣工图纸及测试报告。</w:t>
      </w:r>
    </w:p>
    <w:bookmarkEnd w:id="6"/>
    <w:p w14:paraId="713B0BDB">
      <w:pPr>
        <w:pStyle w:val="5"/>
        <w:rPr>
          <w:rFonts w:hint="eastAsia" w:ascii="仿宋" w:hAnsi="仿宋" w:eastAsia="仿宋" w:cs="仿宋"/>
          <w:sz w:val="28"/>
          <w:szCs w:val="28"/>
        </w:rPr>
      </w:pPr>
      <w:bookmarkStart w:id="7" w:name="a56d3ab7-c251-4b96-8bd1-671258c1449b"/>
      <w:r>
        <w:rPr>
          <w:rFonts w:hint="eastAsia" w:ascii="仿宋" w:hAnsi="仿宋" w:eastAsia="仿宋" w:cs="仿宋"/>
          <w:b/>
          <w:bCs/>
          <w:sz w:val="28"/>
          <w:szCs w:val="28"/>
        </w:rPr>
        <w:t>六、售后服务与质保</w:t>
      </w:r>
    </w:p>
    <w:p w14:paraId="33961551">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质保期</w:t>
      </w:r>
      <w:r>
        <w:rPr>
          <w:rFonts w:hint="eastAsia" w:ascii="仿宋" w:hAnsi="仿宋" w:eastAsia="仿宋" w:cs="仿宋"/>
          <w:sz w:val="28"/>
          <w:szCs w:val="28"/>
        </w:rPr>
        <w:t>：自验收合格之日起，提供不少于24个月的免费质保服务。</w:t>
      </w:r>
    </w:p>
    <w:p w14:paraId="0352ED72">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响应时间</w:t>
      </w:r>
      <w:r>
        <w:rPr>
          <w:rFonts w:hint="eastAsia" w:ascii="仿宋" w:hAnsi="仿宋" w:eastAsia="仿宋" w:cs="仿宋"/>
          <w:sz w:val="28"/>
          <w:szCs w:val="28"/>
        </w:rPr>
        <w:t>：质保期内如出现电池故障（如应急时间不足、漏液等），供应商需在接到通知后2小时内响应，24小时内完成免费更换。</w:t>
      </w:r>
    </w:p>
    <w:p w14:paraId="3D217F39">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w:t>
      </w:r>
      <w:r>
        <w:rPr>
          <w:rFonts w:hint="eastAsia" w:ascii="仿宋" w:hAnsi="仿宋" w:eastAsia="仿宋" w:cs="仿宋"/>
          <w:b/>
          <w:bCs/>
          <w:sz w:val="28"/>
          <w:szCs w:val="28"/>
        </w:rPr>
        <w:t>定期巡检</w:t>
      </w:r>
      <w:r>
        <w:rPr>
          <w:rFonts w:hint="eastAsia" w:ascii="仿宋" w:hAnsi="仿宋" w:eastAsia="仿宋" w:cs="仿宋"/>
          <w:sz w:val="28"/>
          <w:szCs w:val="28"/>
        </w:rPr>
        <w:t>：质保期内，每半年提供一次免费的电池性能巡检服务，并出具巡检报告。</w:t>
      </w:r>
    </w:p>
    <w:bookmarkEnd w:id="7"/>
    <w:p w14:paraId="72310110">
      <w:pPr>
        <w:pStyle w:val="5"/>
        <w:rPr>
          <w:rFonts w:hint="eastAsia" w:ascii="仿宋" w:hAnsi="仿宋" w:eastAsia="仿宋" w:cs="仿宋"/>
          <w:sz w:val="28"/>
          <w:szCs w:val="28"/>
        </w:rPr>
      </w:pPr>
      <w:bookmarkStart w:id="8" w:name="X1fa7a829a741c2ccea4a8d98e7db63760ca7769"/>
      <w:r>
        <w:rPr>
          <w:rFonts w:hint="eastAsia" w:ascii="仿宋" w:hAnsi="仿宋" w:eastAsia="仿宋" w:cs="仿宋"/>
          <w:b/>
          <w:bCs/>
          <w:sz w:val="28"/>
          <w:szCs w:val="28"/>
        </w:rPr>
        <w:t>七、商务及其他要求</w:t>
      </w:r>
    </w:p>
    <w:p w14:paraId="049EA096">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w:t>
      </w:r>
      <w:r>
        <w:rPr>
          <w:rFonts w:hint="eastAsia" w:ascii="仿宋" w:hAnsi="仿宋" w:eastAsia="仿宋" w:cs="仿宋"/>
          <w:b/>
          <w:bCs/>
          <w:sz w:val="28"/>
          <w:szCs w:val="28"/>
        </w:rPr>
        <w:t>报价方式</w:t>
      </w:r>
      <w:r>
        <w:rPr>
          <w:rFonts w:hint="eastAsia" w:ascii="仿宋" w:hAnsi="仿宋" w:eastAsia="仿宋" w:cs="仿宋"/>
          <w:sz w:val="28"/>
          <w:szCs w:val="28"/>
        </w:rPr>
        <w:t>：采用综合单价包干（含电池材料费、人工费、登高费、辅材费、旧电池处置费、税金等）。</w:t>
      </w:r>
    </w:p>
    <w:p w14:paraId="096545BE">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w:t>
      </w:r>
      <w:r>
        <w:rPr>
          <w:rFonts w:hint="eastAsia" w:ascii="仿宋" w:hAnsi="仿宋" w:eastAsia="仿宋" w:cs="仿宋"/>
          <w:b/>
          <w:bCs/>
          <w:sz w:val="28"/>
          <w:szCs w:val="28"/>
        </w:rPr>
        <w:t>工期要求</w:t>
      </w:r>
      <w:r>
        <w:rPr>
          <w:rFonts w:hint="eastAsia" w:ascii="仿宋" w:hAnsi="仿宋" w:eastAsia="仿宋" w:cs="仿宋"/>
          <w:sz w:val="28"/>
          <w:szCs w:val="28"/>
        </w:rPr>
        <w:t xml:space="preserve">：自合同签订之日起 </w:t>
      </w:r>
      <w:r>
        <w:rPr>
          <w:rFonts w:hint="eastAsia" w:ascii="仿宋" w:hAnsi="仿宋" w:eastAsia="仿宋" w:cs="仿宋"/>
          <w:sz w:val="28"/>
          <w:szCs w:val="28"/>
          <w:lang w:val="en-US" w:eastAsia="zh-CN"/>
        </w:rPr>
        <w:t>20</w:t>
      </w:r>
      <w:r>
        <w:rPr>
          <w:rFonts w:hint="eastAsia" w:ascii="仿宋" w:hAnsi="仿宋" w:eastAsia="仿宋" w:cs="仿宋"/>
          <w:sz w:val="28"/>
          <w:szCs w:val="28"/>
        </w:rPr>
        <w:t>个</w:t>
      </w:r>
      <w:r>
        <w:rPr>
          <w:rFonts w:hint="eastAsia" w:ascii="仿宋" w:hAnsi="仿宋" w:eastAsia="仿宋" w:cs="仿宋"/>
          <w:sz w:val="28"/>
          <w:szCs w:val="28"/>
          <w:lang w:eastAsia="zh-CN"/>
        </w:rPr>
        <w:t>自然日</w:t>
      </w:r>
      <w:r>
        <w:rPr>
          <w:rFonts w:hint="eastAsia" w:ascii="仿宋" w:hAnsi="仿宋" w:eastAsia="仿宋" w:cs="仿宋"/>
          <w:sz w:val="28"/>
          <w:szCs w:val="28"/>
        </w:rPr>
        <w:t>内完成全部更换及调试工作。</w:t>
      </w:r>
    </w:p>
    <w:p w14:paraId="69F4EA57">
      <w:pPr>
        <w:rPr>
          <w:rFonts w:hint="eastAsia" w:ascii="仿宋" w:hAnsi="仿宋" w:eastAsia="仿宋" w:cs="仿宋"/>
          <w:sz w:val="28"/>
          <w:szCs w:val="28"/>
        </w:rPr>
      </w:pPr>
      <w:r>
        <w:rPr>
          <w:rFonts w:hint="eastAsia" w:ascii="仿宋" w:hAnsi="仿宋" w:eastAsia="仿宋" w:cs="仿宋"/>
          <w:sz w:val="28"/>
          <w:szCs w:val="28"/>
        </w:rPr>
        <w:pict>
          <v:rect id="_x0000_i1025" o:spt="1" style="height:1.5pt;width:0pt;" coordsize="21600,21600" o:hr="t" o:hrstd="t" o:hralign="center">
            <v:path/>
            <v:fill focussize="0,0"/>
            <v:stroke/>
            <v:imagedata o:title=""/>
            <o:lock v:ext="edit"/>
            <w10:wrap type="none"/>
            <w10:anchorlock/>
          </v:rect>
        </w:pict>
      </w:r>
    </w:p>
    <w:bookmarkEnd w:id="8"/>
    <w:p w14:paraId="58E2AB56">
      <w:pPr>
        <w:pStyle w:val="5"/>
        <w:rPr>
          <w:rFonts w:hint="eastAsia" w:ascii="仿宋" w:hAnsi="仿宋" w:eastAsia="仿宋" w:cs="仿宋"/>
          <w:sz w:val="28"/>
          <w:szCs w:val="28"/>
        </w:rPr>
      </w:pPr>
      <w:bookmarkStart w:id="9" w:name="X0bd9d0f1d0ac35ef43cdff1738ddc53d194a21e"/>
      <w:r>
        <w:rPr>
          <w:rFonts w:hint="eastAsia" w:ascii="仿宋" w:hAnsi="仿宋" w:eastAsia="仿宋" w:cs="仿宋"/>
          <w:b/>
          <w:bCs/>
          <w:sz w:val="28"/>
          <w:szCs w:val="28"/>
        </w:rPr>
        <w:t>附件清单（需供应商提供）</w:t>
      </w:r>
    </w:p>
    <w:p w14:paraId="16DF5AFF">
      <w:pPr>
        <w:pStyle w:val="11"/>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1. 电池规格书及原厂授权书</w:t>
      </w:r>
    </w:p>
    <w:p w14:paraId="5B757F78">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2. 消防产品型式检验报告</w:t>
      </w:r>
    </w:p>
    <w:p w14:paraId="1122A7F4">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3. 施工组织设计（含院感防控及夜间施工方案）</w:t>
      </w:r>
    </w:p>
    <w:p w14:paraId="6875E29A">
      <w:pPr>
        <w:pStyle w:val="4"/>
        <w:spacing w:before="120" w:after="120" w:line="420" w:lineRule="auto"/>
        <w:jc w:val="left"/>
        <w:rPr>
          <w:rFonts w:hint="eastAsia" w:ascii="仿宋" w:hAnsi="仿宋" w:eastAsia="仿宋" w:cs="仿宋"/>
          <w:sz w:val="28"/>
          <w:szCs w:val="28"/>
        </w:rPr>
      </w:pPr>
      <w:r>
        <w:rPr>
          <w:rFonts w:hint="eastAsia" w:ascii="仿宋" w:hAnsi="仿宋" w:eastAsia="仿宋" w:cs="仿宋"/>
          <w:sz w:val="28"/>
          <w:szCs w:val="28"/>
        </w:rPr>
        <w:t>4. 类似业绩证明材料</w:t>
      </w:r>
    </w:p>
    <w:p w14:paraId="600F1CD9">
      <w:pPr>
        <w:rPr>
          <w:rFonts w:hint="eastAsia" w:ascii="仿宋" w:hAnsi="仿宋" w:eastAsia="仿宋" w:cs="仿宋"/>
          <w:sz w:val="28"/>
          <w:szCs w:val="28"/>
        </w:rPr>
      </w:pPr>
      <w:r>
        <w:rPr>
          <w:rFonts w:hint="eastAsia" w:ascii="仿宋" w:hAnsi="仿宋" w:eastAsia="仿宋" w:cs="仿宋"/>
          <w:sz w:val="28"/>
          <w:szCs w:val="28"/>
        </w:rPr>
        <w:pict>
          <v:rect id="_x0000_i1026" o:spt="1" style="height:1.5pt;width:0pt;" coordsize="21600,21600" o:hr="t" o:hrstd="t" o:hralign="center">
            <v:path/>
            <v:fill focussize="0,0"/>
            <v:stroke/>
            <v:imagedata o:title=""/>
            <o:lock v:ext="edit"/>
            <w10:wrap type="none"/>
            <w10:anchorlock/>
          </v:rect>
        </w:pict>
      </w:r>
    </w:p>
    <w:p w14:paraId="1BBD6240">
      <w:pPr>
        <w:pStyle w:val="4"/>
        <w:spacing w:before="120" w:after="120" w:line="420" w:lineRule="auto"/>
        <w:jc w:val="left"/>
        <w:rPr>
          <w:rFonts w:hint="eastAsia" w:ascii="仿宋" w:hAnsi="仿宋" w:eastAsia="仿宋" w:cs="仿宋"/>
          <w:sz w:val="28"/>
          <w:szCs w:val="28"/>
        </w:rPr>
      </w:pPr>
    </w:p>
    <w:bookmarkEnd w:id="1"/>
    <w:bookmarkEnd w:id="9"/>
    <w:p w14:paraId="4CD1D0E2">
      <w:pPr>
        <w:rPr>
          <w:rFonts w:hint="eastAsia"/>
          <w:bCs/>
          <w:color w:val="auto"/>
          <w:sz w:val="28"/>
          <w:szCs w:val="28"/>
          <w:lang w:val="en-US" w:eastAsia="zh-CN"/>
        </w:rPr>
      </w:pPr>
      <w:r>
        <w:rPr>
          <w:rFonts w:hint="eastAsia"/>
          <w:bCs/>
          <w:color w:val="auto"/>
          <w:sz w:val="28"/>
          <w:szCs w:val="28"/>
          <w:lang w:val="en-US" w:eastAsia="zh-CN"/>
        </w:rPr>
        <w:t xml:space="preserve">附件1： </w:t>
      </w:r>
    </w:p>
    <w:p w14:paraId="7532031D">
      <w:pPr>
        <w:ind w:firstLine="3640" w:firstLineChars="1300"/>
        <w:rPr>
          <w:rFonts w:hint="default"/>
          <w:bCs/>
          <w:color w:val="auto"/>
          <w:sz w:val="28"/>
          <w:szCs w:val="28"/>
          <w:lang w:val="en-US" w:eastAsia="zh-CN"/>
        </w:rPr>
      </w:pPr>
      <w:r>
        <w:rPr>
          <w:rFonts w:hint="eastAsia"/>
          <w:bCs/>
          <w:color w:val="auto"/>
          <w:sz w:val="28"/>
          <w:szCs w:val="28"/>
          <w:lang w:val="en-US" w:eastAsia="zh-CN"/>
        </w:rPr>
        <w:t>综合评分表</w:t>
      </w:r>
    </w:p>
    <w:p w14:paraId="60BD8FE0">
      <w:pPr>
        <w:rPr>
          <w:rFonts w:hint="eastAsia"/>
          <w:bCs/>
          <w:color w:val="auto"/>
          <w:sz w:val="28"/>
          <w:szCs w:val="28"/>
          <w:lang w:val="en-US" w:eastAsia="zh-CN"/>
        </w:rPr>
      </w:pPr>
    </w:p>
    <w:tbl>
      <w:tblPr>
        <w:tblStyle w:val="6"/>
        <w:tblW w:w="5477" w:type="pct"/>
        <w:tblInd w:w="-3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1151"/>
        <w:gridCol w:w="5988"/>
        <w:gridCol w:w="856"/>
      </w:tblGrid>
      <w:tr w14:paraId="482C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340" w:type="dxa"/>
            <w:tcBorders>
              <w:tl2br w:val="nil"/>
              <w:tr2bl w:val="nil"/>
            </w:tcBorders>
            <w:noWrap w:val="0"/>
            <w:vAlign w:val="center"/>
          </w:tcPr>
          <w:p w14:paraId="67B501FA">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评审因素</w:t>
            </w:r>
          </w:p>
        </w:tc>
        <w:tc>
          <w:tcPr>
            <w:tcW w:w="1151" w:type="dxa"/>
            <w:tcBorders>
              <w:tl2br w:val="nil"/>
              <w:tr2bl w:val="nil"/>
            </w:tcBorders>
            <w:noWrap w:val="0"/>
            <w:vAlign w:val="center"/>
          </w:tcPr>
          <w:p w14:paraId="34602B96">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评分项目</w:t>
            </w:r>
          </w:p>
        </w:tc>
        <w:tc>
          <w:tcPr>
            <w:tcW w:w="5989" w:type="dxa"/>
            <w:tcBorders>
              <w:tl2br w:val="nil"/>
              <w:tr2bl w:val="nil"/>
            </w:tcBorders>
            <w:noWrap w:val="0"/>
            <w:vAlign w:val="center"/>
          </w:tcPr>
          <w:p w14:paraId="3842EE53">
            <w:pPr>
              <w:spacing w:line="276" w:lineRule="auto"/>
              <w:ind w:firstLine="480"/>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评审内容</w:t>
            </w:r>
          </w:p>
        </w:tc>
        <w:tc>
          <w:tcPr>
            <w:tcW w:w="856" w:type="dxa"/>
            <w:tcBorders>
              <w:tl2br w:val="nil"/>
              <w:tr2bl w:val="nil"/>
            </w:tcBorders>
            <w:noWrap w:val="0"/>
            <w:vAlign w:val="center"/>
          </w:tcPr>
          <w:p w14:paraId="58A07256">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分值</w:t>
            </w:r>
          </w:p>
        </w:tc>
      </w:tr>
      <w:tr w14:paraId="6824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1340" w:type="dxa"/>
            <w:tcBorders>
              <w:tl2br w:val="nil"/>
              <w:tr2bl w:val="nil"/>
            </w:tcBorders>
            <w:noWrap w:val="0"/>
            <w:vAlign w:val="center"/>
          </w:tcPr>
          <w:p w14:paraId="3CA558AD">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价格</w:t>
            </w:r>
          </w:p>
          <w:p w14:paraId="4180D601">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r>
              <w:rPr>
                <w:rFonts w:hint="eastAsia" w:ascii="宋体" w:hAnsi="宋体" w:eastAsia="宋体" w:cs="宋体"/>
                <w:color w:val="auto"/>
                <w:szCs w:val="22"/>
                <w:highlight w:val="none"/>
                <w:lang w:val="en-US" w:eastAsia="zh-CN"/>
              </w:rPr>
              <w:t>50</w:t>
            </w:r>
            <w:r>
              <w:rPr>
                <w:rFonts w:hint="eastAsia" w:ascii="宋体" w:hAnsi="宋体" w:eastAsia="宋体" w:cs="宋体"/>
                <w:color w:val="auto"/>
                <w:szCs w:val="21"/>
                <w:highlight w:val="none"/>
                <w:lang w:val="en-US" w:eastAsia="zh-CN"/>
              </w:rPr>
              <w:t>）</w:t>
            </w:r>
          </w:p>
        </w:tc>
        <w:tc>
          <w:tcPr>
            <w:tcW w:w="1151" w:type="dxa"/>
            <w:tcBorders>
              <w:tl2br w:val="nil"/>
              <w:tr2bl w:val="nil"/>
            </w:tcBorders>
            <w:noWrap w:val="0"/>
            <w:vAlign w:val="center"/>
          </w:tcPr>
          <w:p w14:paraId="303C41DC">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投标</w:t>
            </w:r>
          </w:p>
          <w:p w14:paraId="591DB812">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w:t>
            </w:r>
          </w:p>
        </w:tc>
        <w:tc>
          <w:tcPr>
            <w:tcW w:w="5989" w:type="dxa"/>
            <w:tcBorders>
              <w:tl2br w:val="nil"/>
              <w:tr2bl w:val="nil"/>
            </w:tcBorders>
            <w:noWrap w:val="0"/>
            <w:vAlign w:val="center"/>
          </w:tcPr>
          <w:p w14:paraId="3BE502ED">
            <w:pPr>
              <w:rPr>
                <w:rFonts w:hint="default" w:ascii="宋体" w:hAnsi="宋体" w:eastAsia="宋体" w:cs="宋体"/>
                <w:szCs w:val="21"/>
                <w:lang w:val="en-US" w:eastAsia="zh-CN"/>
              </w:rPr>
            </w:pPr>
            <w:r>
              <w:rPr>
                <w:rFonts w:hint="eastAsia" w:ascii="宋体" w:hAnsi="宋体" w:eastAsia="宋体" w:cs="宋体"/>
                <w:szCs w:val="21"/>
              </w:rPr>
              <w:t>满足招标文件要求且</w:t>
            </w:r>
            <w:r>
              <w:rPr>
                <w:rFonts w:hint="eastAsia" w:ascii="宋体" w:hAnsi="宋体" w:eastAsia="宋体" w:cs="宋体"/>
                <w:szCs w:val="21"/>
                <w:lang w:val="en-US" w:eastAsia="zh-CN"/>
              </w:rPr>
              <w:t>价格</w:t>
            </w:r>
            <w:r>
              <w:rPr>
                <w:rFonts w:hint="eastAsia" w:ascii="宋体" w:hAnsi="宋体" w:eastAsia="宋体" w:cs="宋体"/>
                <w:szCs w:val="21"/>
              </w:rPr>
              <w:t>最</w:t>
            </w:r>
            <w:r>
              <w:rPr>
                <w:rFonts w:hint="eastAsia" w:ascii="宋体" w:hAnsi="宋体" w:eastAsia="宋体" w:cs="宋体"/>
                <w:szCs w:val="21"/>
                <w:lang w:val="en-US" w:eastAsia="zh-CN"/>
              </w:rPr>
              <w:t>低</w:t>
            </w:r>
            <w:r>
              <w:rPr>
                <w:rFonts w:hint="eastAsia" w:ascii="宋体" w:hAnsi="宋体" w:eastAsia="宋体" w:cs="宋体"/>
                <w:szCs w:val="21"/>
              </w:rPr>
              <w:t>的投标报价为评标基准价，其价格分为满分，其他有效投标人的价格分按照下列公式计算：投标报价得分=（评标基准价／投标报价）×</w:t>
            </w:r>
            <w:r>
              <w:rPr>
                <w:rFonts w:hint="eastAsia" w:ascii="宋体" w:hAnsi="宋体" w:eastAsia="宋体" w:cs="宋体"/>
                <w:szCs w:val="21"/>
                <w:lang w:val="en-US" w:eastAsia="zh-CN"/>
              </w:rPr>
              <w:t>50</w:t>
            </w:r>
          </w:p>
        </w:tc>
        <w:tc>
          <w:tcPr>
            <w:tcW w:w="856" w:type="dxa"/>
            <w:tcBorders>
              <w:tl2br w:val="nil"/>
              <w:tr2bl w:val="nil"/>
            </w:tcBorders>
            <w:noWrap w:val="0"/>
            <w:vAlign w:val="center"/>
          </w:tcPr>
          <w:p w14:paraId="6C852733">
            <w:pPr>
              <w:spacing w:line="276" w:lineRule="auto"/>
              <w:jc w:val="center"/>
              <w:rPr>
                <w:rFonts w:hint="default" w:ascii="宋体" w:hAnsi="宋体" w:eastAsia="宋体" w:cs="宋体"/>
                <w:color w:val="auto"/>
                <w:szCs w:val="22"/>
                <w:highlight w:val="none"/>
                <w:lang w:val="en-US"/>
              </w:rPr>
            </w:pPr>
            <w:r>
              <w:rPr>
                <w:rFonts w:hint="eastAsia" w:ascii="宋体" w:hAnsi="宋体" w:cs="宋体"/>
                <w:color w:val="auto"/>
                <w:szCs w:val="22"/>
                <w:highlight w:val="none"/>
                <w:lang w:val="en-US" w:eastAsia="zh-CN"/>
              </w:rPr>
              <w:t>50</w:t>
            </w:r>
          </w:p>
        </w:tc>
      </w:tr>
      <w:tr w14:paraId="7B50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340" w:type="dxa"/>
            <w:vMerge w:val="restart"/>
            <w:tcBorders>
              <w:tl2br w:val="nil"/>
              <w:tr2bl w:val="nil"/>
            </w:tcBorders>
            <w:noWrap w:val="0"/>
            <w:vAlign w:val="center"/>
          </w:tcPr>
          <w:p w14:paraId="05987D59">
            <w:pPr>
              <w:spacing w:line="276" w:lineRule="auto"/>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商务</w:t>
            </w:r>
          </w:p>
          <w:p w14:paraId="6B7964CA">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lang w:val="en-US" w:eastAsia="zh-CN"/>
              </w:rPr>
              <w:t>（25分）</w:t>
            </w:r>
          </w:p>
        </w:tc>
        <w:tc>
          <w:tcPr>
            <w:tcW w:w="1151" w:type="dxa"/>
            <w:tcBorders>
              <w:tl2br w:val="nil"/>
              <w:tr2bl w:val="nil"/>
            </w:tcBorders>
            <w:noWrap w:val="0"/>
            <w:vAlign w:val="center"/>
          </w:tcPr>
          <w:p w14:paraId="30882135">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类似</w:t>
            </w:r>
          </w:p>
          <w:p w14:paraId="6BA32423">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业绩</w:t>
            </w:r>
          </w:p>
        </w:tc>
        <w:tc>
          <w:tcPr>
            <w:tcW w:w="5989" w:type="dxa"/>
            <w:tcBorders>
              <w:tl2br w:val="nil"/>
              <w:tr2bl w:val="nil"/>
            </w:tcBorders>
            <w:noWrap w:val="0"/>
            <w:vAlign w:val="center"/>
          </w:tcPr>
          <w:p w14:paraId="3104B5DA">
            <w:pPr>
              <w:rPr>
                <w:rFonts w:hint="eastAsia" w:ascii="宋体" w:hAnsi="宋体" w:eastAsia="宋体" w:cs="宋体"/>
                <w:szCs w:val="21"/>
                <w:lang w:val="en-US" w:eastAsia="zh-CN"/>
              </w:rPr>
            </w:pPr>
            <w:r>
              <w:rPr>
                <w:rFonts w:hint="eastAsia" w:ascii="宋体" w:hAnsi="宋体" w:eastAsia="宋体" w:cs="宋体"/>
                <w:szCs w:val="21"/>
              </w:rPr>
              <w:t>提供近三年内（2023年至今）至少1个类似</w:t>
            </w:r>
            <w:r>
              <w:rPr>
                <w:rFonts w:hint="eastAsia" w:ascii="宋体" w:hAnsi="宋体" w:eastAsia="宋体" w:cs="宋体"/>
                <w:szCs w:val="21"/>
                <w:lang w:val="en-US" w:eastAsia="zh-CN"/>
              </w:rPr>
              <w:t>应急系统</w:t>
            </w:r>
            <w:r>
              <w:rPr>
                <w:rFonts w:hint="eastAsia" w:ascii="宋体" w:hAnsi="宋体" w:eastAsia="宋体" w:cs="宋体"/>
                <w:szCs w:val="21"/>
              </w:rPr>
              <w:t>业绩证明（合同复印件</w:t>
            </w:r>
            <w:r>
              <w:rPr>
                <w:rFonts w:hint="eastAsia" w:ascii="宋体" w:hAnsi="宋体" w:eastAsia="宋体" w:cs="宋体"/>
                <w:szCs w:val="21"/>
                <w:lang w:eastAsia="zh-CN"/>
              </w:rPr>
              <w:t>）</w:t>
            </w:r>
          </w:p>
        </w:tc>
        <w:tc>
          <w:tcPr>
            <w:tcW w:w="856" w:type="dxa"/>
            <w:tcBorders>
              <w:tl2br w:val="nil"/>
              <w:tr2bl w:val="nil"/>
            </w:tcBorders>
            <w:noWrap w:val="0"/>
            <w:vAlign w:val="center"/>
          </w:tcPr>
          <w:p w14:paraId="7C971AB6">
            <w:pPr>
              <w:spacing w:line="276" w:lineRule="auto"/>
              <w:jc w:val="center"/>
              <w:rPr>
                <w:rFonts w:hint="default" w:ascii="宋体" w:hAnsi="宋体" w:cs="宋体"/>
                <w:color w:val="auto"/>
                <w:szCs w:val="22"/>
                <w:highlight w:val="none"/>
                <w:lang w:val="en-US" w:eastAsia="zh-CN"/>
              </w:rPr>
            </w:pPr>
            <w:r>
              <w:rPr>
                <w:rFonts w:hint="eastAsia" w:ascii="宋体" w:hAnsi="宋体" w:cs="宋体"/>
                <w:color w:val="auto"/>
                <w:szCs w:val="22"/>
                <w:highlight w:val="none"/>
                <w:lang w:val="en-US" w:eastAsia="zh-CN"/>
              </w:rPr>
              <w:t>5</w:t>
            </w:r>
          </w:p>
        </w:tc>
      </w:tr>
      <w:tr w14:paraId="0493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340" w:type="dxa"/>
            <w:vMerge w:val="continue"/>
            <w:tcBorders>
              <w:tl2br w:val="nil"/>
              <w:tr2bl w:val="nil"/>
            </w:tcBorders>
            <w:noWrap w:val="0"/>
            <w:vAlign w:val="center"/>
          </w:tcPr>
          <w:p w14:paraId="1F5BC17A">
            <w:pPr>
              <w:rPr>
                <w:rFonts w:hint="eastAsia" w:ascii="宋体" w:hAnsi="宋体" w:eastAsia="宋体" w:cs="宋体"/>
                <w:szCs w:val="21"/>
              </w:rPr>
            </w:pPr>
          </w:p>
        </w:tc>
        <w:tc>
          <w:tcPr>
            <w:tcW w:w="1151" w:type="dxa"/>
            <w:tcBorders>
              <w:tl2br w:val="nil"/>
              <w:tr2bl w:val="nil"/>
            </w:tcBorders>
            <w:noWrap w:val="0"/>
            <w:vAlign w:val="center"/>
          </w:tcPr>
          <w:p w14:paraId="3DABD049">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人员</w:t>
            </w:r>
          </w:p>
          <w:p w14:paraId="062E8B41">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配备</w:t>
            </w:r>
          </w:p>
        </w:tc>
        <w:tc>
          <w:tcPr>
            <w:tcW w:w="5989" w:type="dxa"/>
            <w:tcBorders>
              <w:tl2br w:val="nil"/>
              <w:tr2bl w:val="nil"/>
            </w:tcBorders>
            <w:noWrap w:val="0"/>
            <w:vAlign w:val="center"/>
          </w:tcPr>
          <w:p w14:paraId="15F1953B">
            <w:pPr>
              <w:rPr>
                <w:rFonts w:hint="eastAsia" w:ascii="宋体" w:hAnsi="宋体" w:eastAsia="宋体" w:cs="宋体"/>
                <w:szCs w:val="21"/>
                <w:lang w:val="en-US" w:eastAsia="zh-CN"/>
              </w:rPr>
            </w:pPr>
            <w:r>
              <w:rPr>
                <w:rFonts w:hint="eastAsia"/>
                <w:lang w:val="en-US" w:eastAsia="zh-CN"/>
              </w:rPr>
              <w:t>1.</w:t>
            </w:r>
            <w:r>
              <w:rPr>
                <w:rFonts w:hint="eastAsia"/>
              </w:rPr>
              <w:t> 具有消防设施工程专业承包资质或建筑机电安装工程专业承包资质（二级及以上）。拟派项目经理需具备机电工程专业注册建造师执业资格及有效的安全生产考核合格证书（B证）</w:t>
            </w:r>
            <w:r>
              <w:rPr>
                <w:rFonts w:hint="eastAsia"/>
                <w:lang w:val="en-US" w:eastAsia="zh-CN"/>
              </w:rPr>
              <w:t>并作出相关承诺函</w:t>
            </w:r>
            <w:r>
              <w:rPr>
                <w:rFonts w:hint="eastAsia"/>
              </w:rPr>
              <w:t>。</w:t>
            </w:r>
          </w:p>
        </w:tc>
        <w:tc>
          <w:tcPr>
            <w:tcW w:w="856" w:type="dxa"/>
            <w:tcBorders>
              <w:tl2br w:val="nil"/>
              <w:tr2bl w:val="nil"/>
            </w:tcBorders>
            <w:noWrap w:val="0"/>
            <w:vAlign w:val="center"/>
          </w:tcPr>
          <w:p w14:paraId="1D0336D4">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20</w:t>
            </w:r>
          </w:p>
        </w:tc>
      </w:tr>
      <w:tr w14:paraId="3E5A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340" w:type="dxa"/>
            <w:vMerge w:val="restart"/>
            <w:tcBorders>
              <w:tl2br w:val="nil"/>
              <w:tr2bl w:val="nil"/>
            </w:tcBorders>
            <w:noWrap w:val="0"/>
            <w:vAlign w:val="center"/>
          </w:tcPr>
          <w:p w14:paraId="486BF7D6">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技术</w:t>
            </w:r>
          </w:p>
          <w:p w14:paraId="4FD2893E">
            <w:pPr>
              <w:jc w:val="center"/>
              <w:rPr>
                <w:rFonts w:hint="eastAsia" w:ascii="宋体" w:hAnsi="宋体" w:eastAsia="宋体" w:cs="宋体"/>
                <w:szCs w:val="21"/>
              </w:rPr>
            </w:pPr>
            <w:r>
              <w:rPr>
                <w:rFonts w:hint="eastAsia" w:ascii="宋体" w:hAnsi="宋体" w:eastAsia="宋体" w:cs="宋体"/>
                <w:szCs w:val="21"/>
                <w:lang w:val="en-US" w:eastAsia="zh-CN"/>
              </w:rPr>
              <w:t>（25分）</w:t>
            </w:r>
          </w:p>
        </w:tc>
        <w:tc>
          <w:tcPr>
            <w:tcW w:w="1151" w:type="dxa"/>
            <w:tcBorders>
              <w:tl2br w:val="nil"/>
              <w:tr2bl w:val="nil"/>
            </w:tcBorders>
            <w:noWrap w:val="0"/>
            <w:vAlign w:val="center"/>
          </w:tcPr>
          <w:p w14:paraId="64ADB9BC">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产品</w:t>
            </w:r>
          </w:p>
          <w:p w14:paraId="4F2FED85">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技术</w:t>
            </w:r>
          </w:p>
        </w:tc>
        <w:tc>
          <w:tcPr>
            <w:tcW w:w="5989" w:type="dxa"/>
            <w:tcBorders>
              <w:tl2br w:val="nil"/>
              <w:tr2bl w:val="nil"/>
            </w:tcBorders>
            <w:noWrap w:val="0"/>
            <w:vAlign w:val="center"/>
          </w:tcPr>
          <w:p w14:paraId="5A9842A5">
            <w:pPr>
              <w:rPr>
                <w:rFonts w:hint="default" w:ascii="宋体" w:hAnsi="宋体" w:eastAsia="宋体" w:cs="宋体"/>
                <w:szCs w:val="21"/>
                <w:lang w:val="en-US" w:eastAsia="zh-CN"/>
              </w:rPr>
            </w:pPr>
            <w:r>
              <w:rPr>
                <w:rFonts w:hint="eastAsia" w:ascii="宋体" w:hAnsi="宋体" w:eastAsia="宋体" w:cs="宋体"/>
                <w:szCs w:val="21"/>
              </w:rPr>
              <w:t>根据</w:t>
            </w:r>
            <w:r>
              <w:rPr>
                <w:rFonts w:hint="eastAsia" w:ascii="宋体" w:hAnsi="宋体" w:eastAsia="宋体" w:cs="宋体"/>
                <w:szCs w:val="21"/>
                <w:lang w:val="en-US" w:eastAsia="zh-CN"/>
              </w:rPr>
              <w:t>需求供应商需提供产品应急灯电池的检验报告；</w:t>
            </w:r>
          </w:p>
        </w:tc>
        <w:tc>
          <w:tcPr>
            <w:tcW w:w="856" w:type="dxa"/>
            <w:tcBorders>
              <w:tl2br w:val="nil"/>
              <w:tr2bl w:val="nil"/>
            </w:tcBorders>
            <w:noWrap w:val="0"/>
            <w:vAlign w:val="center"/>
          </w:tcPr>
          <w:p w14:paraId="663254CB">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5</w:t>
            </w:r>
          </w:p>
        </w:tc>
      </w:tr>
      <w:tr w14:paraId="2D0E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1340" w:type="dxa"/>
            <w:vMerge w:val="continue"/>
            <w:tcBorders>
              <w:tl2br w:val="nil"/>
              <w:tr2bl w:val="nil"/>
            </w:tcBorders>
            <w:noWrap w:val="0"/>
            <w:vAlign w:val="center"/>
          </w:tcPr>
          <w:p w14:paraId="3D697442">
            <w:pPr>
              <w:rPr>
                <w:rFonts w:hint="eastAsia" w:ascii="宋体" w:hAnsi="宋体" w:eastAsia="宋体" w:cs="宋体"/>
                <w:szCs w:val="21"/>
              </w:rPr>
            </w:pPr>
          </w:p>
        </w:tc>
        <w:tc>
          <w:tcPr>
            <w:tcW w:w="1151" w:type="dxa"/>
            <w:tcBorders>
              <w:tl2br w:val="nil"/>
              <w:tr2bl w:val="nil"/>
            </w:tcBorders>
            <w:noWrap w:val="0"/>
            <w:vAlign w:val="center"/>
          </w:tcPr>
          <w:p w14:paraId="33B0F28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项目组织</w:t>
            </w:r>
          </w:p>
          <w:p w14:paraId="74FBA930">
            <w:pPr>
              <w:jc w:val="center"/>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实施方案</w:t>
            </w:r>
          </w:p>
        </w:tc>
        <w:tc>
          <w:tcPr>
            <w:tcW w:w="5989" w:type="dxa"/>
            <w:tcBorders>
              <w:tl2br w:val="nil"/>
              <w:tr2bl w:val="nil"/>
            </w:tcBorders>
            <w:noWrap w:val="0"/>
            <w:vAlign w:val="center"/>
          </w:tcPr>
          <w:p w14:paraId="65AA598D">
            <w:pPr>
              <w:pStyle w:val="10"/>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szCs w:val="21"/>
                <w:lang w:val="en-US" w:eastAsia="zh-CN"/>
              </w:rPr>
            </w:pPr>
            <w:r>
              <w:rPr>
                <w:rFonts w:hint="eastAsia" w:ascii="宋体" w:hAnsi="宋体" w:eastAsia="宋体" w:cs="宋体"/>
                <w:color w:val="auto"/>
                <w:sz w:val="21"/>
                <w:szCs w:val="21"/>
                <w:highlight w:val="none"/>
                <w:lang w:val="en-US" w:eastAsia="zh-CN"/>
              </w:rPr>
              <w:t>供应商根据项目需求及实际情况提供项目方案，包括但不限于：①</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val="en-US" w:eastAsia="zh-CN"/>
              </w:rPr>
              <w:t>方案及</w:t>
            </w:r>
            <w:r>
              <w:rPr>
                <w:rFonts w:hint="eastAsia" w:ascii="宋体" w:hAnsi="宋体" w:eastAsia="宋体" w:cs="宋体"/>
                <w:color w:val="auto"/>
                <w:sz w:val="21"/>
                <w:szCs w:val="21"/>
                <w:highlight w:val="none"/>
              </w:rPr>
              <w:t>内容、</w:t>
            </w:r>
            <w:r>
              <w:rPr>
                <w:rFonts w:hint="eastAsia" w:ascii="宋体" w:hAnsi="宋体" w:eastAsia="宋体" w:cs="宋体"/>
                <w:color w:val="auto"/>
                <w:sz w:val="21"/>
                <w:szCs w:val="21"/>
                <w:highlight w:val="none"/>
                <w:lang w:val="en-US" w:eastAsia="zh-CN"/>
              </w:rPr>
              <w:t>②项目人员管理、③</w:t>
            </w:r>
            <w:r>
              <w:rPr>
                <w:rFonts w:hint="eastAsia" w:ascii="宋体" w:hAnsi="宋体" w:eastAsia="宋体" w:cs="宋体"/>
                <w:color w:val="auto"/>
                <w:sz w:val="21"/>
                <w:szCs w:val="21"/>
                <w:highlight w:val="none"/>
              </w:rPr>
              <w:t>作业流程与操作规范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供应商</w:t>
            </w:r>
            <w:r>
              <w:rPr>
                <w:rFonts w:hint="eastAsia" w:ascii="宋体" w:hAnsi="宋体" w:cs="宋体"/>
                <w:color w:val="auto"/>
                <w:sz w:val="21"/>
                <w:szCs w:val="21"/>
                <w:highlight w:val="none"/>
                <w:lang w:val="en-US" w:eastAsia="zh-CN"/>
              </w:rPr>
              <w:t>针对本</w:t>
            </w:r>
            <w:r>
              <w:rPr>
                <w:rFonts w:hint="eastAsia" w:ascii="宋体" w:hAnsi="宋体" w:eastAsia="宋体" w:cs="宋体"/>
                <w:color w:val="auto"/>
                <w:sz w:val="21"/>
                <w:szCs w:val="21"/>
                <w:highlight w:val="none"/>
              </w:rPr>
              <w:t>项目实施提出合理化建议方案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内容完整详细、科学合理、有针对性、切实可行、满足本项目需求的</w:t>
            </w:r>
            <w:r>
              <w:rPr>
                <w:rFonts w:hint="eastAsia" w:ascii="宋体" w:hAnsi="宋体" w:eastAsia="宋体" w:cs="宋体"/>
                <w:color w:val="auto"/>
                <w:sz w:val="21"/>
                <w:szCs w:val="21"/>
                <w:highlight w:val="none"/>
                <w:lang w:val="en-US" w:eastAsia="zh-CN"/>
              </w:rPr>
              <w:t>计</w:t>
            </w:r>
            <w:r>
              <w:rPr>
                <w:rFonts w:hint="eastAsia" w:ascii="宋体" w:hAnsi="宋体" w:eastAsia="宋体" w:cs="宋体"/>
                <w:color w:val="auto"/>
                <w:sz w:val="21"/>
                <w:szCs w:val="21"/>
                <w:highlight w:val="none"/>
              </w:rPr>
              <w:t>20分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方案内容每存在一处缺漏项的扣</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分；方案内容不全面、欠合理或缺乏针对性的每处扣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分；未提供方案的不计分。</w:t>
            </w:r>
          </w:p>
        </w:tc>
        <w:tc>
          <w:tcPr>
            <w:tcW w:w="856" w:type="dxa"/>
            <w:tcBorders>
              <w:tl2br w:val="nil"/>
              <w:tr2bl w:val="nil"/>
            </w:tcBorders>
            <w:noWrap w:val="0"/>
            <w:vAlign w:val="center"/>
          </w:tcPr>
          <w:p w14:paraId="4AB19D82">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20</w:t>
            </w:r>
          </w:p>
        </w:tc>
      </w:tr>
      <w:tr w14:paraId="0FA4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340" w:type="dxa"/>
            <w:tcBorders>
              <w:tl2br w:val="nil"/>
              <w:tr2bl w:val="nil"/>
            </w:tcBorders>
            <w:noWrap w:val="0"/>
            <w:vAlign w:val="center"/>
          </w:tcPr>
          <w:p w14:paraId="34C78795">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rPr>
            </w:pPr>
          </w:p>
        </w:tc>
        <w:tc>
          <w:tcPr>
            <w:tcW w:w="7140" w:type="dxa"/>
            <w:gridSpan w:val="2"/>
            <w:tcBorders>
              <w:tl2br w:val="nil"/>
              <w:tr2bl w:val="nil"/>
            </w:tcBorders>
            <w:noWrap w:val="0"/>
            <w:vAlign w:val="center"/>
          </w:tcPr>
          <w:p w14:paraId="0655FA3C">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合计</w:t>
            </w:r>
          </w:p>
        </w:tc>
        <w:tc>
          <w:tcPr>
            <w:tcW w:w="856" w:type="dxa"/>
            <w:tcBorders>
              <w:tl2br w:val="nil"/>
              <w:tr2bl w:val="nil"/>
            </w:tcBorders>
            <w:noWrap w:val="0"/>
            <w:vAlign w:val="center"/>
          </w:tcPr>
          <w:p w14:paraId="1B7DCE63">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100</w:t>
            </w:r>
          </w:p>
        </w:tc>
      </w:tr>
    </w:tbl>
    <w:p w14:paraId="4B863DD0">
      <w:pPr>
        <w:rPr>
          <w:rFonts w:hint="eastAsia"/>
          <w:bCs/>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D7496B3-D33B-4D06-A630-11837455806B}"/>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5633D14-31BD-4090-AFD1-7B6AB97DFB00}"/>
  </w:font>
  <w:font w:name="仿宋_GB2312">
    <w:altName w:val="仿宋"/>
    <w:panose1 w:val="02010609030101010101"/>
    <w:charset w:val="86"/>
    <w:family w:val="auto"/>
    <w:pitch w:val="default"/>
    <w:sig w:usb0="00000000" w:usb1="00000000" w:usb2="00000000" w:usb3="00000000" w:csb0="00040000" w:csb1="00000000"/>
    <w:embedRegular r:id="rId3" w:fontKey="{7D63DBE8-C6EF-43B4-8C53-D6E09C6666CA}"/>
  </w:font>
  <w:font w:name="仿宋">
    <w:panose1 w:val="02010609060101010101"/>
    <w:charset w:val="86"/>
    <w:family w:val="auto"/>
    <w:pitch w:val="default"/>
    <w:sig w:usb0="800002BF" w:usb1="38CF7CFA" w:usb2="00000016" w:usb3="00000000" w:csb0="00040001" w:csb1="00000000"/>
    <w:embedRegular r:id="rId4" w:fontKey="{14E89A9A-571F-464D-8C59-91CF0A3D5622}"/>
  </w:font>
  <w:font w:name="方正小标宋简体">
    <w:panose1 w:val="02000000000000000000"/>
    <w:charset w:val="86"/>
    <w:family w:val="auto"/>
    <w:pitch w:val="default"/>
    <w:sig w:usb0="00000001" w:usb1="08000000" w:usb2="00000000" w:usb3="00000000" w:csb0="00040000" w:csb1="00000000"/>
    <w:embedRegular r:id="rId5" w:fontKey="{38C19FC0-2A7A-4C70-AF10-DA462BD09A8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C03E7"/>
    <w:multiLevelType w:val="singleLevel"/>
    <w:tmpl w:val="A19C03E7"/>
    <w:lvl w:ilvl="0" w:tentative="0">
      <w:start w:val="7"/>
      <w:numFmt w:val="decimal"/>
      <w:suff w:val="space"/>
      <w:lvlText w:val="%1、"/>
      <w:lvlJc w:val="left"/>
    </w:lvl>
  </w:abstractNum>
  <w:abstractNum w:abstractNumId="1">
    <w:nsid w:val="DDA4D84E"/>
    <w:multiLevelType w:val="singleLevel"/>
    <w:tmpl w:val="DDA4D84E"/>
    <w:lvl w:ilvl="0" w:tentative="0">
      <w:start w:val="3"/>
      <w:numFmt w:val="chineseCounting"/>
      <w:suff w:val="nothing"/>
      <w:lvlText w:val="%1、"/>
      <w:lvlJc w:val="left"/>
      <w:rPr>
        <w:rFonts w:hint="eastAsia"/>
      </w:rPr>
    </w:lvl>
  </w:abstractNum>
  <w:abstractNum w:abstractNumId="2">
    <w:nsid w:val="F2539358"/>
    <w:multiLevelType w:val="singleLevel"/>
    <w:tmpl w:val="F2539358"/>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1A0F54"/>
    <w:rsid w:val="1DB652E2"/>
    <w:rsid w:val="2BE155D3"/>
    <w:rsid w:val="3EBC76F0"/>
    <w:rsid w:val="681A0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3"/>
    <w:basedOn w:val="1"/>
    <w:next w:val="4"/>
    <w:unhideWhenUsed/>
    <w:qFormat/>
    <w:uiPriority w:val="9"/>
    <w:pPr>
      <w:keepNext/>
      <w:keepLines/>
      <w:spacing w:before="200" w:after="80"/>
      <w:outlineLvl w:val="2"/>
    </w:pPr>
    <w:rPr>
      <w:rFonts w:asciiTheme="majorHAnsi" w:hAnsiTheme="majorHAnsi" w:eastAsiaTheme="majorEastAsia" w:cstheme="majorBidi"/>
      <w:b/>
      <w:bCs/>
      <w:color w:val="000000"/>
      <w:sz w:val="28"/>
      <w:szCs w:val="28"/>
    </w:rPr>
  </w:style>
  <w:style w:type="paragraph" w:styleId="5">
    <w:name w:val="heading 4"/>
    <w:basedOn w:val="1"/>
    <w:next w:val="4"/>
    <w:unhideWhenUsed/>
    <w:qFormat/>
    <w:uiPriority w:val="9"/>
    <w:pPr>
      <w:keepNext/>
      <w:keepLines/>
      <w:spacing w:before="160" w:after="60"/>
      <w:outlineLvl w:val="3"/>
    </w:pPr>
    <w:rPr>
      <w:rFonts w:asciiTheme="majorHAnsi" w:hAnsiTheme="majorHAnsi" w:eastAsiaTheme="majorEastAsia" w:cstheme="majorBidi"/>
      <w:b/>
      <w:bCs/>
      <w:color w:val="000000"/>
      <w:sz w:val="24"/>
      <w:szCs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before="0" w:after="0"/>
    </w:pPr>
  </w:style>
  <w:style w:type="paragraph" w:customStyle="1" w:styleId="8">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9">
    <w:name w:val="null3"/>
    <w:qFormat/>
    <w:uiPriority w:val="0"/>
    <w:rPr>
      <w:rFonts w:hint="eastAsia" w:ascii="Calibri" w:hAnsi="Calibri" w:eastAsia="宋体" w:cs="Times New Roman"/>
      <w:lang w:val="en-US" w:eastAsia="zh-Hans"/>
    </w:rPr>
  </w:style>
  <w:style w:type="paragraph" w:customStyle="1" w:styleId="10">
    <w:name w:val="Normal_0_1"/>
    <w:qFormat/>
    <w:uiPriority w:val="0"/>
    <w:rPr>
      <w:rFonts w:ascii="Times New Roman" w:hAnsi="Times New Roman" w:eastAsia="Times New Roman" w:cs="Times New Roman"/>
      <w:sz w:val="24"/>
      <w:szCs w:val="24"/>
      <w:lang w:val="en-US" w:eastAsia="zh-CN" w:bidi="ar-SA"/>
    </w:rPr>
  </w:style>
  <w:style w:type="paragraph" w:customStyle="1" w:styleId="11">
    <w:name w:val="First Paragraph"/>
    <w:basedOn w:val="4"/>
    <w:next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1087</Words>
  <Characters>1152</Characters>
  <Lines>0</Lines>
  <Paragraphs>0</Paragraphs>
  <TotalTime>0</TotalTime>
  <ScaleCrop>false</ScaleCrop>
  <LinksUpToDate>false</LinksUpToDate>
  <CharactersWithSpaces>1165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2026-09-10T10:51:00Z</dcterms:created>
  <dc:creator>我是一个粉刷匠</dc:creator>
  <cp:lastModifiedBy>我是一个粉刷匠</cp:lastModifiedBy>
  <dcterms:modified xsi:type="dcterms:W3CDTF">2026-09-16T02:46:02Z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ED53082EADA345E5BEEDF496A986DF8B_13</vt:lpwstr>
  </property>
  <property fmtid="{D5CDD505-2E9C-101B-9397-08002B2CF9AE}" pid="4" name="KSOTemplateDocerSaveRecord">
    <vt:lpwstr>eyJoZGlkIjoiZjQ5ZWRiMzNlN2UyODhlNTQ2N2IzNGM2YzMxN2QyMTIiLCJ1c2VySWQiOiI0MTk1ODQ3ODQifQ==</vt:lpwstr>
  </property>
</Properties>
</file>