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2D2C0">
      <w:pPr>
        <w:pStyle w:val="6"/>
        <w:snapToGrid w:val="0"/>
        <w:jc w:val="center"/>
        <w:rPr>
          <w:rFonts w:hint="eastAsia" w:ascii="Arial" w:hAnsi="Arial" w:eastAsia="方正小标宋简体" w:cs="Arial"/>
          <w:sz w:val="72"/>
          <w:szCs w:val="72"/>
        </w:rPr>
      </w:pPr>
      <w:bookmarkStart w:id="0" w:name="_Toc16523570"/>
    </w:p>
    <w:p w14:paraId="1B95787E">
      <w:pPr>
        <w:pStyle w:val="6"/>
        <w:snapToGrid w:val="0"/>
        <w:jc w:val="center"/>
        <w:rPr>
          <w:rFonts w:hint="eastAsia" w:ascii="Arial" w:hAnsi="Arial" w:eastAsia="方正小标宋简体" w:cs="Arial"/>
          <w:sz w:val="72"/>
          <w:szCs w:val="72"/>
        </w:rPr>
      </w:pPr>
      <w:r>
        <w:rPr>
          <w:rFonts w:hint="eastAsia" w:ascii="Arial" w:hAnsi="Arial" w:eastAsia="方正小标宋简体" w:cs="Arial"/>
          <w:sz w:val="72"/>
          <w:szCs w:val="72"/>
        </w:rPr>
        <w:t>娄底市中心医院</w:t>
      </w:r>
    </w:p>
    <w:p w14:paraId="75F3B684">
      <w:pPr>
        <w:pStyle w:val="6"/>
        <w:snapToGrid w:val="0"/>
        <w:jc w:val="center"/>
        <w:rPr>
          <w:rFonts w:hint="eastAsia" w:ascii="Arial" w:hAnsi="Arial" w:eastAsia="方正小标宋简体" w:cs="Arial"/>
          <w:sz w:val="72"/>
          <w:szCs w:val="72"/>
        </w:rPr>
      </w:pPr>
    </w:p>
    <w:p w14:paraId="65C368DD">
      <w:pPr>
        <w:pStyle w:val="6"/>
        <w:snapToGrid w:val="0"/>
        <w:jc w:val="center"/>
        <w:rPr>
          <w:rFonts w:hint="eastAsia" w:ascii="Arial" w:hAnsi="Arial" w:eastAsia="方正小标宋简体" w:cs="Arial"/>
          <w:sz w:val="72"/>
          <w:szCs w:val="72"/>
        </w:rPr>
      </w:pPr>
    </w:p>
    <w:p w14:paraId="11616A47">
      <w:pPr>
        <w:pStyle w:val="6"/>
        <w:snapToGrid w:val="0"/>
        <w:jc w:val="center"/>
        <w:rPr>
          <w:rFonts w:hint="eastAsia" w:ascii="Arial" w:hAnsi="Arial" w:eastAsia="方正小标宋简体" w:cs="Arial"/>
          <w:sz w:val="72"/>
          <w:szCs w:val="72"/>
        </w:rPr>
      </w:pPr>
    </w:p>
    <w:p w14:paraId="39F8D380">
      <w:pPr>
        <w:pStyle w:val="6"/>
        <w:snapToGrid w:val="0"/>
        <w:jc w:val="center"/>
        <w:rPr>
          <w:rFonts w:ascii="Arial" w:hAnsi="Arial" w:eastAsia="方正小标宋简体" w:cs="Arial"/>
          <w:sz w:val="36"/>
          <w:szCs w:val="36"/>
        </w:rPr>
      </w:pPr>
      <w:r>
        <w:rPr>
          <w:rFonts w:hint="eastAsia" w:ascii="Arial" w:hAnsi="Arial" w:eastAsia="方正小标宋简体" w:cs="Arial"/>
          <w:sz w:val="72"/>
          <w:szCs w:val="72"/>
          <w:lang w:val="en-US" w:eastAsia="zh-CN"/>
        </w:rPr>
        <w:t>采购</w:t>
      </w:r>
      <w:r>
        <w:rPr>
          <w:rFonts w:ascii="Arial" w:hAnsi="Arial" w:eastAsia="方正小标宋简体" w:cs="Arial"/>
          <w:sz w:val="72"/>
          <w:szCs w:val="72"/>
        </w:rPr>
        <w:t>文件</w:t>
      </w:r>
    </w:p>
    <w:p w14:paraId="37F791A7">
      <w:pPr>
        <w:pStyle w:val="6"/>
        <w:snapToGrid w:val="0"/>
        <w:jc w:val="center"/>
        <w:rPr>
          <w:rFonts w:ascii="Arial" w:hAnsi="Arial" w:cs="Arial"/>
          <w:sz w:val="32"/>
          <w:szCs w:val="32"/>
        </w:rPr>
      </w:pPr>
    </w:p>
    <w:p w14:paraId="409EB72F">
      <w:pPr>
        <w:pStyle w:val="22"/>
        <w:rPr>
          <w:rFonts w:ascii="Arial" w:hAnsi="Arial" w:cs="Arial"/>
          <w:sz w:val="32"/>
          <w:szCs w:val="32"/>
        </w:rPr>
      </w:pPr>
    </w:p>
    <w:p w14:paraId="668BDAFE">
      <w:pPr>
        <w:pStyle w:val="15"/>
        <w:rPr>
          <w:rFonts w:ascii="Arial" w:hAnsi="Arial" w:cs="Arial"/>
          <w:sz w:val="32"/>
          <w:szCs w:val="32"/>
        </w:rPr>
      </w:pPr>
    </w:p>
    <w:p w14:paraId="30B28264">
      <w:pPr>
        <w:pStyle w:val="15"/>
        <w:rPr>
          <w:rFonts w:ascii="Arial" w:hAnsi="Arial" w:cs="Arial"/>
          <w:sz w:val="32"/>
          <w:szCs w:val="32"/>
        </w:rPr>
      </w:pPr>
    </w:p>
    <w:p w14:paraId="45C922C2">
      <w:pPr>
        <w:pStyle w:val="15"/>
        <w:rPr>
          <w:rFonts w:ascii="Arial" w:hAnsi="Arial" w:cs="Arial"/>
          <w:sz w:val="32"/>
          <w:szCs w:val="32"/>
        </w:rPr>
      </w:pPr>
    </w:p>
    <w:p w14:paraId="0233B328">
      <w:pPr>
        <w:pStyle w:val="15"/>
        <w:rPr>
          <w:rFonts w:ascii="Arial" w:hAnsi="Arial" w:cs="Arial"/>
          <w:sz w:val="32"/>
          <w:szCs w:val="32"/>
        </w:rPr>
      </w:pPr>
    </w:p>
    <w:p w14:paraId="65E4BC6C">
      <w:pPr>
        <w:pStyle w:val="15"/>
        <w:rPr>
          <w:rFonts w:ascii="Arial" w:hAnsi="Arial" w:cs="Arial"/>
          <w:sz w:val="32"/>
          <w:szCs w:val="32"/>
        </w:rPr>
      </w:pPr>
    </w:p>
    <w:p w14:paraId="7577245D">
      <w:pPr>
        <w:pStyle w:val="15"/>
        <w:rPr>
          <w:rFonts w:ascii="Arial" w:hAnsi="Arial" w:cs="Arial"/>
          <w:sz w:val="32"/>
          <w:szCs w:val="32"/>
        </w:rPr>
      </w:pPr>
    </w:p>
    <w:p w14:paraId="5337F494">
      <w:pPr>
        <w:pStyle w:val="15"/>
        <w:rPr>
          <w:rFonts w:ascii="Arial" w:hAnsi="Arial" w:cs="Arial"/>
          <w:sz w:val="32"/>
          <w:szCs w:val="32"/>
        </w:rPr>
      </w:pPr>
    </w:p>
    <w:p w14:paraId="0A4AE94E">
      <w:pPr>
        <w:pStyle w:val="6"/>
        <w:snapToGrid w:val="0"/>
        <w:jc w:val="center"/>
        <w:rPr>
          <w:rFonts w:ascii="Arial" w:hAnsi="Arial" w:cs="Arial"/>
          <w:sz w:val="32"/>
          <w:szCs w:val="32"/>
        </w:rPr>
      </w:pPr>
    </w:p>
    <w:p w14:paraId="13C7226F">
      <w:pPr>
        <w:pStyle w:val="6"/>
        <w:snapToGrid w:val="0"/>
        <w:jc w:val="center"/>
        <w:rPr>
          <w:rFonts w:ascii="Arial" w:hAnsi="Arial" w:cs="Arial"/>
          <w:sz w:val="32"/>
          <w:szCs w:val="32"/>
        </w:rPr>
      </w:pPr>
    </w:p>
    <w:p w14:paraId="0E6A0AE3">
      <w:pPr>
        <w:spacing w:line="360" w:lineRule="auto"/>
        <w:rPr>
          <w:rFonts w:hint="eastAsia"/>
          <w:bCs/>
          <w:sz w:val="32"/>
          <w:szCs w:val="32"/>
        </w:rPr>
      </w:pPr>
    </w:p>
    <w:p w14:paraId="221DD5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w:t>
      </w:r>
      <w:r>
        <w:rPr>
          <w:rFonts w:hint="eastAsia" w:cs="Times New Roman"/>
          <w:b/>
          <w:bCs/>
          <w:kern w:val="44"/>
          <w:sz w:val="32"/>
          <w:szCs w:val="32"/>
          <w:lang w:val="en-US" w:eastAsia="zh-CN" w:bidi="ar-SA"/>
        </w:rPr>
        <w:t>娄底市中心医院2026-2028年度等级保护测评服务</w:t>
      </w:r>
      <w:r>
        <w:rPr>
          <w:rFonts w:hint="eastAsia"/>
          <w:bCs/>
          <w:sz w:val="32"/>
          <w:szCs w:val="32"/>
          <w:lang w:val="en-US" w:eastAsia="zh-CN"/>
        </w:rPr>
        <w:t>采购项目</w:t>
      </w:r>
    </w:p>
    <w:p w14:paraId="2646632F">
      <w:pPr>
        <w:jc w:val="center"/>
        <w:rPr>
          <w:rFonts w:hint="default" w:ascii="Times New Roman" w:hAnsi="Times New Roman" w:eastAsia="宋体" w:cs="Times New Roman"/>
          <w:b/>
          <w:bCs/>
          <w:kern w:val="44"/>
          <w:sz w:val="32"/>
          <w:szCs w:val="32"/>
          <w:lang w:val="en-US" w:eastAsia="zh-CN" w:bidi="ar-SA"/>
        </w:rPr>
      </w:pPr>
      <w:r>
        <w:rPr>
          <w:rFonts w:hint="eastAsia" w:cs="Times New Roman"/>
          <w:b/>
          <w:bCs/>
          <w:kern w:val="44"/>
          <w:sz w:val="32"/>
          <w:szCs w:val="32"/>
          <w:lang w:val="en-US" w:eastAsia="zh-CN" w:bidi="ar-SA"/>
        </w:rPr>
        <w:t>（医院公开挂网</w:t>
      </w:r>
      <w:r>
        <w:rPr>
          <w:rFonts w:hint="eastAsia" w:ascii="Times New Roman" w:hAnsi="Times New Roman" w:eastAsia="宋体" w:cs="Times New Roman"/>
          <w:b/>
          <w:bCs/>
          <w:kern w:val="44"/>
          <w:sz w:val="32"/>
          <w:szCs w:val="32"/>
          <w:lang w:val="en-US" w:eastAsia="zh-CN" w:bidi="ar-SA"/>
        </w:rPr>
        <w:t>）</w:t>
      </w:r>
    </w:p>
    <w:p w14:paraId="2B704EEC">
      <w:pPr>
        <w:spacing w:line="320" w:lineRule="exact"/>
        <w:jc w:val="left"/>
        <w:rPr>
          <w:sz w:val="24"/>
        </w:rPr>
      </w:pPr>
    </w:p>
    <w:p w14:paraId="0354F586">
      <w:pPr>
        <w:spacing w:line="320" w:lineRule="exact"/>
        <w:ind w:firstLine="3520" w:firstLineChars="11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val="en-US" w:eastAsia="zh-CN"/>
        </w:rPr>
        <w:t>六</w:t>
      </w:r>
      <w:r>
        <w:rPr>
          <w:rFonts w:hint="eastAsia" w:ascii="宋体" w:hAnsi="宋体" w:cs="宋体"/>
          <w:bCs/>
          <w:sz w:val="32"/>
          <w:szCs w:val="32"/>
        </w:rPr>
        <w:t>年</w:t>
      </w:r>
      <w:r>
        <w:rPr>
          <w:rFonts w:hint="eastAsia" w:ascii="宋体" w:hAnsi="宋体" w:cs="宋体"/>
          <w:bCs/>
          <w:sz w:val="32"/>
          <w:szCs w:val="32"/>
          <w:lang w:val="en-US" w:eastAsia="zh-CN"/>
        </w:rPr>
        <w:t>九</w:t>
      </w:r>
      <w:r>
        <w:rPr>
          <w:rFonts w:hint="eastAsia" w:ascii="宋体" w:hAnsi="宋体" w:cs="宋体"/>
          <w:bCs/>
          <w:sz w:val="32"/>
          <w:szCs w:val="32"/>
        </w:rPr>
        <w:t>月</w:t>
      </w:r>
    </w:p>
    <w:p w14:paraId="43FCB49C">
      <w:pPr>
        <w:rPr>
          <w:rFonts w:hint="eastAsia" w:ascii="宋体" w:hAnsi="宋体" w:cs="宋体"/>
          <w:color w:val="auto"/>
          <w:sz w:val="44"/>
          <w:szCs w:val="44"/>
          <w:lang w:val="en-US" w:eastAsia="zh-CN"/>
        </w:rPr>
      </w:pPr>
      <w:r>
        <w:rPr>
          <w:rFonts w:hint="eastAsia" w:ascii="宋体" w:hAnsi="宋体" w:cs="宋体"/>
          <w:color w:val="auto"/>
          <w:sz w:val="44"/>
          <w:szCs w:val="44"/>
          <w:lang w:val="en-US" w:eastAsia="zh-CN"/>
        </w:rPr>
        <w:br w:type="page"/>
      </w:r>
    </w:p>
    <w:p w14:paraId="02230438">
      <w:pPr>
        <w:pStyle w:val="2"/>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p>
    <w:p w14:paraId="049FCDF5">
      <w:pPr>
        <w:pStyle w:val="6"/>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u w:val="single"/>
          <w:lang w:val="en-US" w:eastAsia="zh-CN"/>
        </w:rPr>
        <w:t>娄底市中心医院2026-2028年度等级保护测评服务采购项目</w:t>
      </w:r>
      <w:r>
        <w:rPr>
          <w:rFonts w:hint="eastAsia" w:asciiTheme="minorEastAsia" w:hAnsiTheme="minorEastAsia" w:eastAsiaTheme="minorEastAsia" w:cstheme="minorEastAsia"/>
          <w:bCs/>
          <w:color w:val="auto"/>
          <w:sz w:val="24"/>
          <w:szCs w:val="24"/>
          <w:lang w:val="en-US" w:eastAsia="zh-CN"/>
        </w:rPr>
        <w:t>进行医院公开挂网，将事项公告如下：</w:t>
      </w:r>
    </w:p>
    <w:p w14:paraId="33F26BBC">
      <w:pPr>
        <w:pStyle w:val="6"/>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一、项目信息</w:t>
      </w:r>
    </w:p>
    <w:p w14:paraId="20A851AA">
      <w:pPr>
        <w:pStyle w:val="6"/>
        <w:numPr>
          <w:ilvl w:val="0"/>
          <w:numId w:val="0"/>
        </w:numPr>
        <w:tabs>
          <w:tab w:val="left" w:pos="312"/>
        </w:tabs>
        <w:snapToGrid w:val="0"/>
        <w:spacing w:line="480" w:lineRule="auto"/>
        <w:ind w:firstLine="480" w:firstLineChars="200"/>
        <w:rPr>
          <w:rFonts w:hint="default"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项目名称：</w:t>
      </w:r>
      <w:r>
        <w:rPr>
          <w:rFonts w:hint="eastAsia" w:asciiTheme="minorEastAsia" w:hAnsiTheme="minorEastAsia" w:eastAsiaTheme="minorEastAsia" w:cstheme="minorEastAsia"/>
          <w:bCs/>
          <w:color w:val="auto"/>
          <w:sz w:val="24"/>
          <w:szCs w:val="24"/>
          <w:u w:val="single"/>
          <w:lang w:val="en-US" w:eastAsia="zh-CN"/>
        </w:rPr>
        <w:t>娄底市中心医院2026-2028年度等级保护测评服务采购项目</w:t>
      </w:r>
    </w:p>
    <w:p w14:paraId="0CDBF21C">
      <w:pPr>
        <w:pStyle w:val="6"/>
        <w:keepNext w:val="0"/>
        <w:keepLines w:val="0"/>
        <w:pageBreakBefore w:val="0"/>
        <w:widowControl w:val="0"/>
        <w:numPr>
          <w:ilvl w:val="0"/>
          <w:numId w:val="1"/>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采购方式</w:t>
      </w:r>
    </w:p>
    <w:p w14:paraId="7C7C445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bidi="ar-SA"/>
        </w:rPr>
        <w:t>1、医院公开挂网</w:t>
      </w:r>
      <w:r>
        <w:rPr>
          <w:rFonts w:hint="eastAsia" w:asciiTheme="minorEastAsia" w:hAnsiTheme="minorEastAsia" w:eastAsiaTheme="minorEastAsia" w:cstheme="minorEastAsia"/>
          <w:bCs/>
          <w:color w:val="auto"/>
          <w:sz w:val="24"/>
          <w:szCs w:val="24"/>
          <w:lang w:val="en-US" w:eastAsia="zh-CN"/>
        </w:rPr>
        <w:t>，最低评标价法，在满足所有参数的条件下，报价最低者中标，如有多个并列最低价，则由并列最低价投标人再次报价，直至出现最低报价为止。</w:t>
      </w:r>
    </w:p>
    <w:bookmarkEnd w:id="0"/>
    <w:p w14:paraId="0ACEB34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三、投标人资格要求</w:t>
      </w:r>
    </w:p>
    <w:p w14:paraId="55893B32">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1、投标人的基本资格条件：投标人必须是在中华人民共和国境内注册登记的法人、其他组织或者自然人，且应当符合《政府采购法》第二十二条第一款的规定；</w:t>
      </w:r>
    </w:p>
    <w:p w14:paraId="1F42DD7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2、参加政府采购活动近3年内，在经营活动中没有重大违法记录；</w:t>
      </w:r>
    </w:p>
    <w:p w14:paraId="0ACB140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3、投标人未列入经营异常名录和未列入严重违法失信企业名单（黑名单），投标人企业法人代表未被列入失信被执行人名单；</w:t>
      </w:r>
    </w:p>
    <w:p w14:paraId="21C808E0">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投标人在“信用中国”（www.creditchina.gov.cn）、中国政府采购网（www.ccgp.gov.cn）等网站，未被列入“失信被执行人”、“重大税收违法案件当事人名单”、“政府采购严重违法失信行为记录名单”；</w:t>
      </w:r>
    </w:p>
    <w:p w14:paraId="15D09420">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4、本项目不接受联合体投标，不得分包、转包；</w:t>
      </w:r>
    </w:p>
    <w:p w14:paraId="12B2191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5、单位负责人为同一人或者存在直接控股、管理关系的不同投标人，不得参加本次采购活动；</w:t>
      </w:r>
    </w:p>
    <w:p w14:paraId="2EC9C83E">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6、须具备公安部第三研究所颁发的《网络安全服务认证证书等级保护测评服务认证》，并在官网获证机构名录内(www.trimps.net.cn)；</w:t>
      </w:r>
    </w:p>
    <w:p w14:paraId="42DD21C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 xml:space="preserve">7、须具备有效期内的中国合格评定国家认可委员会检验机构认可证书（CNAS）。 </w:t>
      </w:r>
    </w:p>
    <w:p w14:paraId="04A1EF31">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8、须具备有效期内的中国网络安全审查认证和市场监管大数据中心颁发的信息安全服务资质认证证书，证书服务范围须包含风险评估、安全运维其中至少一项，提供有效期内的证书复印件。</w:t>
      </w:r>
    </w:p>
    <w:p w14:paraId="7C01B064">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投标人须承诺，在本项目三年合同服务期内（含全部服务年度），持续保持上述全部资质合法有效且处于正常从业状态。若服务期内出现资质过期、降级、被主管部门暂停或撤销从业资格的情况，甲方有权终止当期合同且不予续约，由此产生的全部责任由乙方承担。</w:t>
      </w:r>
    </w:p>
    <w:p w14:paraId="623B858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四、投标截止时间、开标时间及地点：</w:t>
      </w:r>
    </w:p>
    <w:p w14:paraId="6C1BC762">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1、投标截止时间、开标时间：详见医院官网公开挂网表</w:t>
      </w:r>
    </w:p>
    <w:p w14:paraId="27C4F677">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2、开标地点;娄底市中心医院</w:t>
      </w:r>
    </w:p>
    <w:p w14:paraId="67F7E3C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五、采购人地址和联系方法：</w:t>
      </w:r>
    </w:p>
    <w:p w14:paraId="2BA1D7AB">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1、采购人名称：娄底市中心医院</w:t>
      </w:r>
    </w:p>
    <w:p w14:paraId="31DB0AF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2、联系人及联系方式：张思远 15115875288</w:t>
      </w:r>
    </w:p>
    <w:p w14:paraId="5023AEF5">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3、采购人地址：娄底市长青中街51号</w:t>
      </w:r>
    </w:p>
    <w:p w14:paraId="0ADD55F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六、投标须知</w:t>
      </w:r>
    </w:p>
    <w:p w14:paraId="6DD88B5A">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1、否决投标的情形：</w:t>
      </w:r>
    </w:p>
    <w:p w14:paraId="4EF3F462">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1.1、投标人以他人名义投标、串通投标、以行贿手段谋取中标的；</w:t>
      </w:r>
    </w:p>
    <w:p w14:paraId="6CA551A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1.2、资格评审时，投标人资格条件不符合国家有关规定或者文件要求的，或者拒不按照要求对投标文件进行澄清、说明或补正，或者其说明补正无法证明其为合格投标人的；</w:t>
      </w:r>
    </w:p>
    <w:p w14:paraId="2BB116B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1.3、评标委员会认定投标人以低于成本报价竞标的；</w:t>
      </w:r>
    </w:p>
    <w:p w14:paraId="0D3123B4">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1.4、投标人未按照要求出席开标会的；</w:t>
      </w:r>
    </w:p>
    <w:p w14:paraId="79343047">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1.5、投标报价有错误的，评标委员会将要求投标人作出书面澄清说明和确认，投标人拒不作出澄清说明和确认的；</w:t>
      </w:r>
    </w:p>
    <w:p w14:paraId="1C567C2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1.6、投标文件存在弄虚作假或者隐瞒事实，或者未按照文件要求如实提供有关情况和文件，以及证明资料且对投标人有利的，应当否决其投标。被列为中标候选人的，应当取消其中标候选人资格。</w:t>
      </w:r>
    </w:p>
    <w:p w14:paraId="486FB98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2、有下列情形之一的，采购人将重新挂网采购：</w:t>
      </w:r>
    </w:p>
    <w:p w14:paraId="42006801">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2.1、投标截止时间止，投标人少于3家的；</w:t>
      </w:r>
    </w:p>
    <w:p w14:paraId="0F261BB7">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2.2、经评标委员会评审后，有效投标人少于3家的。</w:t>
      </w:r>
    </w:p>
    <w:p w14:paraId="6D411BA9">
      <w:pPr>
        <w:pStyle w:val="22"/>
        <w:rPr>
          <w:rFonts w:hint="eastAsia"/>
          <w:lang w:val="en-US" w:eastAsia="zh-CN"/>
        </w:rPr>
      </w:pPr>
    </w:p>
    <w:p w14:paraId="7E250597">
      <w:pPr>
        <w:pStyle w:val="22"/>
        <w:jc w:val="both"/>
        <w:rPr>
          <w:rFonts w:hint="default"/>
          <w:lang w:val="en-US" w:eastAsia="zh-CN"/>
        </w:rPr>
      </w:pPr>
    </w:p>
    <w:p w14:paraId="22CD3DC2">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715EDAE9">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0F41F978">
      <w:pPr>
        <w:pStyle w:val="22"/>
        <w:rPr>
          <w:rFonts w:hint="eastAsia" w:ascii="宋体" w:hAnsi="宋体" w:cs="宋体"/>
          <w:b/>
          <w:bCs/>
          <w:color w:val="auto"/>
          <w:sz w:val="44"/>
          <w:szCs w:val="44"/>
          <w:lang w:val="en-US" w:eastAsia="zh-CN"/>
        </w:rPr>
      </w:pPr>
    </w:p>
    <w:p w14:paraId="6DFDBEAA">
      <w:pPr>
        <w:pStyle w:val="15"/>
        <w:rPr>
          <w:rFonts w:hint="eastAsia" w:ascii="宋体" w:hAnsi="宋体" w:cs="宋体"/>
          <w:b/>
          <w:bCs/>
          <w:color w:val="auto"/>
          <w:sz w:val="44"/>
          <w:szCs w:val="44"/>
          <w:lang w:val="en-US" w:eastAsia="zh-CN"/>
        </w:rPr>
      </w:pPr>
    </w:p>
    <w:p w14:paraId="30F94F1D">
      <w:pPr>
        <w:rPr>
          <w:rFonts w:hint="eastAsia" w:ascii="宋体" w:hAnsi="宋体" w:cs="宋体"/>
          <w:b/>
          <w:bCs/>
          <w:color w:val="auto"/>
          <w:sz w:val="44"/>
          <w:szCs w:val="44"/>
          <w:lang w:val="en-US" w:eastAsia="zh-CN"/>
        </w:rPr>
      </w:pPr>
    </w:p>
    <w:p w14:paraId="102811BE">
      <w:pPr>
        <w:pStyle w:val="21"/>
        <w:rPr>
          <w:rFonts w:hint="eastAsia"/>
          <w:lang w:val="en-US" w:eastAsia="zh-CN"/>
        </w:rPr>
      </w:pPr>
    </w:p>
    <w:p w14:paraId="04DC7BC4">
      <w:pPr>
        <w:pStyle w:val="2"/>
        <w:rPr>
          <w:rFonts w:hint="eastAsia" w:ascii="宋体" w:hAnsi="宋体" w:cs="宋体"/>
          <w:b/>
          <w:bCs/>
          <w:color w:val="auto"/>
          <w:sz w:val="44"/>
          <w:szCs w:val="44"/>
          <w:lang w:val="en-US" w:eastAsia="zh-CN"/>
        </w:rPr>
      </w:pPr>
    </w:p>
    <w:p w14:paraId="127EFE5C">
      <w:pPr>
        <w:rPr>
          <w:rFonts w:hint="eastAsia" w:ascii="宋体" w:hAnsi="宋体" w:cs="宋体"/>
          <w:b/>
          <w:bCs/>
          <w:color w:val="auto"/>
          <w:sz w:val="44"/>
          <w:szCs w:val="44"/>
          <w:lang w:val="en-US" w:eastAsia="zh-CN"/>
        </w:rPr>
      </w:pPr>
    </w:p>
    <w:p w14:paraId="4A7B14FC">
      <w:pPr>
        <w:rPr>
          <w:rFonts w:hint="eastAsia" w:ascii="宋体" w:hAnsi="宋体" w:cs="宋体"/>
          <w:b/>
          <w:bCs/>
          <w:color w:val="auto"/>
          <w:sz w:val="44"/>
          <w:szCs w:val="44"/>
          <w:lang w:val="en-US" w:eastAsia="zh-CN"/>
        </w:rPr>
      </w:pPr>
    </w:p>
    <w:p w14:paraId="05DE6F3A">
      <w:pPr>
        <w:rPr>
          <w:rFonts w:hint="eastAsia"/>
          <w:lang w:val="en-US" w:eastAsia="zh-CN"/>
        </w:rPr>
      </w:pPr>
    </w:p>
    <w:p w14:paraId="28624900">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第二章采购需求</w:t>
      </w:r>
    </w:p>
    <w:p w14:paraId="736FC095">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一、采购清单、采购项目交付或者实施的时间和地点</w:t>
      </w:r>
    </w:p>
    <w:p w14:paraId="738C7315">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1.采购项目</w:t>
      </w:r>
    </w:p>
    <w:tbl>
      <w:tblPr>
        <w:tblStyle w:val="16"/>
        <w:tblW w:w="7303"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958"/>
        <w:gridCol w:w="2370"/>
        <w:gridCol w:w="1665"/>
        <w:gridCol w:w="2310"/>
      </w:tblGrid>
      <w:tr w14:paraId="38AB9E0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0" w:hRule="atLeast"/>
          <w:jc w:val="center"/>
        </w:trPr>
        <w:tc>
          <w:tcPr>
            <w:tcW w:w="958"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79E0CB90">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序号</w:t>
            </w:r>
          </w:p>
        </w:tc>
        <w:tc>
          <w:tcPr>
            <w:tcW w:w="2370"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04A50A28">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rPr>
              <w:t>项目</w:t>
            </w:r>
            <w:r>
              <w:rPr>
                <w:rFonts w:hint="eastAsia" w:asciiTheme="minorEastAsia" w:hAnsiTheme="minorEastAsia" w:eastAsiaTheme="minorEastAsia" w:cstheme="minorEastAsia"/>
                <w:kern w:val="2"/>
                <w:sz w:val="24"/>
                <w:szCs w:val="24"/>
              </w:rPr>
              <w:t>名称</w:t>
            </w:r>
          </w:p>
        </w:tc>
        <w:tc>
          <w:tcPr>
            <w:tcW w:w="1665"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137C3FB8">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服务年限</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6D78E54A">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预算</w:t>
            </w:r>
            <w:r>
              <w:rPr>
                <w:rFonts w:hint="eastAsia" w:asciiTheme="minorEastAsia" w:hAnsiTheme="minorEastAsia" w:eastAsiaTheme="minorEastAsia" w:cstheme="minorEastAsia"/>
                <w:kern w:val="2"/>
                <w:sz w:val="24"/>
                <w:szCs w:val="24"/>
                <w:lang w:eastAsia="zh-CN"/>
              </w:rPr>
              <w:t>总</w:t>
            </w:r>
            <w:r>
              <w:rPr>
                <w:rFonts w:hint="eastAsia" w:asciiTheme="minorEastAsia" w:hAnsiTheme="minorEastAsia" w:eastAsiaTheme="minorEastAsia" w:cstheme="minorEastAsia"/>
                <w:kern w:val="2"/>
                <w:sz w:val="24"/>
                <w:szCs w:val="24"/>
              </w:rPr>
              <w:t>价（万元）</w:t>
            </w:r>
          </w:p>
        </w:tc>
      </w:tr>
      <w:tr w14:paraId="69DE814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481" w:hRule="atLeast"/>
          <w:jc w:val="center"/>
        </w:trPr>
        <w:tc>
          <w:tcPr>
            <w:tcW w:w="958"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4508FB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370"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517944EF">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娄底市中心医院2026-2028年度等级保护测评服务</w:t>
            </w:r>
          </w:p>
        </w:tc>
        <w:tc>
          <w:tcPr>
            <w:tcW w:w="1665"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73D717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3</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19EAF0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75</w:t>
            </w:r>
          </w:p>
        </w:tc>
      </w:tr>
    </w:tbl>
    <w:p w14:paraId="737A1F41">
      <w:pPr>
        <w:spacing w:line="360" w:lineRule="auto"/>
        <w:rPr>
          <w:rFonts w:hint="eastAsia" w:asciiTheme="minorEastAsia" w:hAnsiTheme="minorEastAsia" w:eastAsiaTheme="minorEastAsia" w:cstheme="minorEastAsia"/>
          <w:bCs/>
          <w:color w:val="auto"/>
          <w:kern w:val="0"/>
          <w:sz w:val="24"/>
          <w:szCs w:val="24"/>
          <w:lang w:val="en-US" w:eastAsia="zh-CN" w:bidi="ar-SA"/>
        </w:rPr>
      </w:pPr>
    </w:p>
    <w:p w14:paraId="78C7E4BA">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2、服务时间：双方签订合同时具体约定。</w:t>
      </w:r>
    </w:p>
    <w:p w14:paraId="2EAE5CA4">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3、服务地点：娄底市中心医院。</w:t>
      </w:r>
    </w:p>
    <w:p w14:paraId="33C78225">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二、项目内容及要求（以下内容必须全部响应，否则视为无效投标）</w:t>
      </w:r>
    </w:p>
    <w:p w14:paraId="4DD9CFE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Theme="minorEastAsia" w:hAnsiTheme="minorEastAsia" w:eastAsiaTheme="minorEastAsia" w:cstheme="minorEastAsia"/>
          <w:b/>
          <w:bCs w:val="0"/>
          <w:color w:val="auto"/>
          <w:kern w:val="0"/>
          <w:sz w:val="24"/>
          <w:szCs w:val="24"/>
          <w:lang w:val="en-US" w:eastAsia="zh-CN" w:bidi="ar-SA"/>
        </w:rPr>
      </w:pPr>
      <w:r>
        <w:rPr>
          <w:rFonts w:hint="eastAsia" w:asciiTheme="minorEastAsia" w:hAnsiTheme="minorEastAsia" w:eastAsiaTheme="minorEastAsia" w:cstheme="minorEastAsia"/>
          <w:b/>
          <w:bCs w:val="0"/>
          <w:color w:val="auto"/>
          <w:kern w:val="0"/>
          <w:sz w:val="24"/>
          <w:szCs w:val="24"/>
          <w:lang w:val="en-US" w:eastAsia="zh-CN" w:bidi="ar-SA"/>
        </w:rPr>
        <w:t>（一）、项目概况：</w:t>
      </w:r>
    </w:p>
    <w:p w14:paraId="39F3C11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1、</w:t>
      </w:r>
      <w:r>
        <w:rPr>
          <w:rFonts w:hint="default" w:asciiTheme="minorEastAsia" w:hAnsiTheme="minorEastAsia" w:eastAsiaTheme="minorEastAsia" w:cstheme="minorEastAsia"/>
          <w:b w:val="0"/>
          <w:bCs/>
          <w:color w:val="auto"/>
          <w:kern w:val="0"/>
          <w:sz w:val="24"/>
          <w:szCs w:val="24"/>
          <w:lang w:val="en-US" w:eastAsia="zh-CN" w:bidi="ar-SA"/>
        </w:rPr>
        <w:t>三级信息系统等级保护测评服务单价限价为</w:t>
      </w:r>
      <w:r>
        <w:rPr>
          <w:rFonts w:hint="eastAsia" w:asciiTheme="minorEastAsia" w:hAnsiTheme="minorEastAsia" w:eastAsiaTheme="minorEastAsia" w:cstheme="minorEastAsia"/>
          <w:b w:val="0"/>
          <w:bCs/>
          <w:color w:val="auto"/>
          <w:kern w:val="0"/>
          <w:sz w:val="24"/>
          <w:szCs w:val="24"/>
          <w:lang w:val="en-US" w:eastAsia="zh-CN" w:bidi="ar-SA"/>
        </w:rPr>
        <w:t>2.92</w:t>
      </w:r>
      <w:r>
        <w:rPr>
          <w:rFonts w:hint="default" w:asciiTheme="minorEastAsia" w:hAnsiTheme="minorEastAsia" w:eastAsiaTheme="minorEastAsia" w:cstheme="minorEastAsia"/>
          <w:b w:val="0"/>
          <w:bCs/>
          <w:color w:val="auto"/>
          <w:kern w:val="0"/>
          <w:sz w:val="24"/>
          <w:szCs w:val="24"/>
          <w:lang w:val="en-US" w:eastAsia="zh-CN" w:bidi="ar-SA"/>
        </w:rPr>
        <w:t>万元/</w:t>
      </w:r>
      <w:r>
        <w:rPr>
          <w:rFonts w:hint="eastAsia" w:asciiTheme="minorEastAsia" w:hAnsiTheme="minorEastAsia" w:eastAsiaTheme="minorEastAsia" w:cstheme="minorEastAsia"/>
          <w:b w:val="0"/>
          <w:bCs/>
          <w:color w:val="auto"/>
          <w:kern w:val="0"/>
          <w:sz w:val="24"/>
          <w:szCs w:val="24"/>
          <w:lang w:val="en-US" w:eastAsia="zh-CN" w:bidi="ar-SA"/>
        </w:rPr>
        <w:t>次</w:t>
      </w:r>
      <w:r>
        <w:rPr>
          <w:rFonts w:hint="default" w:asciiTheme="minorEastAsia" w:hAnsiTheme="minorEastAsia" w:eastAsiaTheme="minorEastAsia" w:cstheme="minorEastAsia"/>
          <w:b w:val="0"/>
          <w:bCs/>
          <w:color w:val="auto"/>
          <w:kern w:val="0"/>
          <w:sz w:val="24"/>
          <w:szCs w:val="24"/>
          <w:lang w:val="en-US" w:eastAsia="zh-CN" w:bidi="ar-SA"/>
        </w:rPr>
        <w:t>/系统（每年开展一次测评）；</w:t>
      </w:r>
    </w:p>
    <w:p w14:paraId="62637DE6">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二级信息系统等级保护测评服务单价限价为2.</w:t>
      </w:r>
      <w:r>
        <w:rPr>
          <w:rFonts w:hint="eastAsia" w:asciiTheme="minorEastAsia" w:hAnsiTheme="minorEastAsia" w:eastAsiaTheme="minorEastAsia" w:cstheme="minorEastAsia"/>
          <w:b w:val="0"/>
          <w:bCs/>
          <w:color w:val="auto"/>
          <w:kern w:val="0"/>
          <w:sz w:val="24"/>
          <w:szCs w:val="24"/>
          <w:lang w:val="en-US" w:eastAsia="zh-CN" w:bidi="ar-SA"/>
        </w:rPr>
        <w:t>5</w:t>
      </w:r>
      <w:r>
        <w:rPr>
          <w:rFonts w:hint="default" w:asciiTheme="minorEastAsia" w:hAnsiTheme="minorEastAsia" w:eastAsiaTheme="minorEastAsia" w:cstheme="minorEastAsia"/>
          <w:b w:val="0"/>
          <w:bCs/>
          <w:color w:val="auto"/>
          <w:kern w:val="0"/>
          <w:sz w:val="24"/>
          <w:szCs w:val="24"/>
          <w:lang w:val="en-US" w:eastAsia="zh-CN" w:bidi="ar-SA"/>
        </w:rPr>
        <w:t>万元/</w:t>
      </w:r>
      <w:r>
        <w:rPr>
          <w:rFonts w:hint="eastAsia" w:asciiTheme="minorEastAsia" w:hAnsiTheme="minorEastAsia" w:eastAsiaTheme="minorEastAsia" w:cstheme="minorEastAsia"/>
          <w:b w:val="0"/>
          <w:bCs/>
          <w:color w:val="auto"/>
          <w:kern w:val="0"/>
          <w:sz w:val="24"/>
          <w:szCs w:val="24"/>
          <w:lang w:val="en-US" w:eastAsia="zh-CN" w:bidi="ar-SA"/>
        </w:rPr>
        <w:t>次</w:t>
      </w:r>
      <w:r>
        <w:rPr>
          <w:rFonts w:hint="default" w:asciiTheme="minorEastAsia" w:hAnsiTheme="minorEastAsia" w:eastAsiaTheme="minorEastAsia" w:cstheme="minorEastAsia"/>
          <w:b w:val="0"/>
          <w:bCs/>
          <w:color w:val="auto"/>
          <w:kern w:val="0"/>
          <w:sz w:val="24"/>
          <w:szCs w:val="24"/>
          <w:lang w:val="en-US" w:eastAsia="zh-CN" w:bidi="ar-SA"/>
        </w:rPr>
        <w:t>/系统（每两年开展一次测评，3年周期最多完成2次测评）；</w:t>
      </w:r>
    </w:p>
    <w:p w14:paraId="07C1C070">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2、</w:t>
      </w:r>
      <w:r>
        <w:rPr>
          <w:rFonts w:hint="default" w:asciiTheme="minorEastAsia" w:hAnsiTheme="minorEastAsia" w:eastAsiaTheme="minorEastAsia" w:cstheme="minorEastAsia"/>
          <w:b w:val="0"/>
          <w:bCs/>
          <w:color w:val="auto"/>
          <w:kern w:val="0"/>
          <w:sz w:val="24"/>
          <w:szCs w:val="24"/>
          <w:lang w:val="en-US" w:eastAsia="zh-CN" w:bidi="ar-SA"/>
        </w:rPr>
        <w:t>本项目三年服务周期总预算限额为75万元，三年全周期累计结算总金额不得超过本项目总预算限额。</w:t>
      </w:r>
    </w:p>
    <w:p w14:paraId="6DC7B4B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3、</w:t>
      </w:r>
      <w:r>
        <w:rPr>
          <w:rFonts w:hint="default" w:asciiTheme="minorEastAsia" w:hAnsiTheme="minorEastAsia" w:eastAsiaTheme="minorEastAsia" w:cstheme="minorEastAsia"/>
          <w:b w:val="0"/>
          <w:bCs/>
          <w:color w:val="auto"/>
          <w:kern w:val="0"/>
          <w:sz w:val="24"/>
          <w:szCs w:val="24"/>
          <w:lang w:val="en-US" w:eastAsia="zh-CN" w:bidi="ar-SA"/>
        </w:rPr>
        <w:t>三年服务期内，本合同覆盖测评系统总量不少于15个三级信息系统、2个二级信息系统，根据医院等保工作整体需求统筹安排各年度测评系统清单</w:t>
      </w:r>
      <w:r>
        <w:rPr>
          <w:rFonts w:hint="eastAsia" w:asciiTheme="minorEastAsia" w:hAnsiTheme="minorEastAsia" w:eastAsiaTheme="minorEastAsia" w:cstheme="minorEastAsia"/>
          <w:b w:val="0"/>
          <w:bCs/>
          <w:color w:val="auto"/>
          <w:kern w:val="0"/>
          <w:sz w:val="24"/>
          <w:szCs w:val="24"/>
          <w:lang w:val="en-US" w:eastAsia="zh-CN" w:bidi="ar-SA"/>
        </w:rPr>
        <w:t>，具体项目按时安排，费用按时结算</w:t>
      </w:r>
      <w:r>
        <w:rPr>
          <w:rFonts w:hint="default" w:asciiTheme="minorEastAsia" w:hAnsiTheme="minorEastAsia" w:eastAsiaTheme="minorEastAsia" w:cstheme="minorEastAsia"/>
          <w:b w:val="0"/>
          <w:bCs/>
          <w:color w:val="auto"/>
          <w:kern w:val="0"/>
          <w:sz w:val="24"/>
          <w:szCs w:val="24"/>
          <w:lang w:val="en-US" w:eastAsia="zh-CN" w:bidi="ar-SA"/>
        </w:rPr>
        <w:t>。</w:t>
      </w:r>
    </w:p>
    <w:p w14:paraId="39A5264E">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4、</w:t>
      </w:r>
      <w:r>
        <w:rPr>
          <w:rFonts w:hint="default" w:asciiTheme="minorEastAsia" w:hAnsiTheme="minorEastAsia" w:eastAsiaTheme="minorEastAsia" w:cstheme="minorEastAsia"/>
          <w:b w:val="0"/>
          <w:bCs/>
          <w:color w:val="auto"/>
          <w:kern w:val="0"/>
          <w:sz w:val="24"/>
          <w:szCs w:val="24"/>
          <w:lang w:val="en-US" w:eastAsia="zh-CN" w:bidi="ar-SA"/>
        </w:rPr>
        <w:t>每年度</w:t>
      </w:r>
      <w:r>
        <w:rPr>
          <w:rFonts w:hint="eastAsia" w:asciiTheme="minorEastAsia" w:hAnsiTheme="minorEastAsia" w:eastAsiaTheme="minorEastAsia" w:cstheme="minorEastAsia"/>
          <w:b w:val="0"/>
          <w:bCs/>
          <w:color w:val="auto"/>
          <w:kern w:val="0"/>
          <w:sz w:val="24"/>
          <w:szCs w:val="24"/>
          <w:lang w:val="en-US" w:eastAsia="zh-CN" w:bidi="ar-SA"/>
        </w:rPr>
        <w:t>医院</w:t>
      </w:r>
      <w:r>
        <w:rPr>
          <w:rFonts w:hint="default" w:asciiTheme="minorEastAsia" w:hAnsiTheme="minorEastAsia" w:eastAsiaTheme="minorEastAsia" w:cstheme="minorEastAsia"/>
          <w:b w:val="0"/>
          <w:bCs/>
          <w:color w:val="auto"/>
          <w:kern w:val="0"/>
          <w:sz w:val="24"/>
          <w:szCs w:val="24"/>
          <w:lang w:val="en-US" w:eastAsia="zh-CN" w:bidi="ar-SA"/>
        </w:rPr>
        <w:t>发出服务启动通知后，</w:t>
      </w:r>
      <w:r>
        <w:rPr>
          <w:rFonts w:hint="eastAsia" w:asciiTheme="minorEastAsia" w:hAnsiTheme="minorEastAsia" w:eastAsiaTheme="minorEastAsia" w:cstheme="minorEastAsia"/>
          <w:b w:val="0"/>
          <w:bCs/>
          <w:color w:val="auto"/>
          <w:kern w:val="0"/>
          <w:sz w:val="24"/>
          <w:szCs w:val="24"/>
          <w:lang w:val="en-US" w:eastAsia="zh-CN" w:bidi="ar-SA"/>
        </w:rPr>
        <w:t>中标人</w:t>
      </w:r>
      <w:r>
        <w:rPr>
          <w:rFonts w:hint="default" w:asciiTheme="minorEastAsia" w:hAnsiTheme="minorEastAsia" w:eastAsiaTheme="minorEastAsia" w:cstheme="minorEastAsia"/>
          <w:b w:val="0"/>
          <w:bCs/>
          <w:color w:val="auto"/>
          <w:kern w:val="0"/>
          <w:sz w:val="24"/>
          <w:szCs w:val="24"/>
          <w:lang w:val="en-US" w:eastAsia="zh-CN" w:bidi="ar-SA"/>
        </w:rPr>
        <w:t>应在7日内进场开展工作，并在60个日历日内完成当年度全部测评服务、提交正式成果并通过</w:t>
      </w:r>
      <w:r>
        <w:rPr>
          <w:rFonts w:hint="eastAsia" w:asciiTheme="minorEastAsia" w:hAnsiTheme="minorEastAsia" w:eastAsiaTheme="minorEastAsia" w:cstheme="minorEastAsia"/>
          <w:b w:val="0"/>
          <w:bCs/>
          <w:color w:val="auto"/>
          <w:kern w:val="0"/>
          <w:sz w:val="24"/>
          <w:szCs w:val="24"/>
          <w:lang w:val="en-US" w:eastAsia="zh-CN" w:bidi="ar-SA"/>
        </w:rPr>
        <w:t>医院</w:t>
      </w:r>
      <w:r>
        <w:rPr>
          <w:rFonts w:hint="default" w:asciiTheme="minorEastAsia" w:hAnsiTheme="minorEastAsia" w:eastAsiaTheme="minorEastAsia" w:cstheme="minorEastAsia"/>
          <w:b w:val="0"/>
          <w:bCs/>
          <w:color w:val="auto"/>
          <w:kern w:val="0"/>
          <w:sz w:val="24"/>
          <w:szCs w:val="24"/>
          <w:lang w:val="en-US" w:eastAsia="zh-CN" w:bidi="ar-SA"/>
        </w:rPr>
        <w:t>验收。各年度服务周期独立计算。</w:t>
      </w:r>
    </w:p>
    <w:p w14:paraId="09C0DDCE">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5、根据《信息安全等级保护管理办法》第十四条“信息系统建设完成后，运营、使用单位或者其主管部门应当选择符合本办法规定条件的测评机构，依据《信息系统安全等级保护测评要求》等技术标准，定期对信息系统安全等级状况开展等级测评，娄底市中心医院拟对以下系统开展等级保护测评；后续测评系统清单由甲方根据实际需求确定，双方在年度实施计划中另行约定。</w:t>
      </w:r>
    </w:p>
    <w:tbl>
      <w:tblPr>
        <w:tblStyle w:val="16"/>
        <w:tblpPr w:leftFromText="180" w:rightFromText="180" w:vertAnchor="text" w:horzAnchor="page" w:tblpX="2255" w:tblpY="139"/>
        <w:tblOverlap w:val="never"/>
        <w:tblW w:w="7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5"/>
        <w:gridCol w:w="6210"/>
      </w:tblGrid>
      <w:tr w14:paraId="56A5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5" w:type="dxa"/>
            <w:noWrap w:val="0"/>
            <w:vAlign w:val="center"/>
          </w:tcPr>
          <w:p w14:paraId="27114C86">
            <w:pPr>
              <w:adjustRightInd w:val="0"/>
              <w:snapToGrid w:val="0"/>
              <w:jc w:val="center"/>
              <w:rPr>
                <w:rFonts w:hint="eastAsia" w:ascii="宋体" w:hAnsi="宋体"/>
                <w:b/>
                <w:bCs/>
                <w:sz w:val="24"/>
                <w:szCs w:val="24"/>
              </w:rPr>
            </w:pPr>
            <w:r>
              <w:rPr>
                <w:rFonts w:hint="eastAsia" w:ascii="宋体" w:hAnsi="宋体"/>
                <w:b/>
                <w:bCs/>
                <w:sz w:val="24"/>
                <w:szCs w:val="24"/>
              </w:rPr>
              <w:t>序号</w:t>
            </w:r>
          </w:p>
        </w:tc>
        <w:tc>
          <w:tcPr>
            <w:tcW w:w="6210" w:type="dxa"/>
            <w:noWrap w:val="0"/>
            <w:vAlign w:val="center"/>
          </w:tcPr>
          <w:p w14:paraId="4519AA9D">
            <w:pPr>
              <w:adjustRightInd w:val="0"/>
              <w:snapToGrid w:val="0"/>
              <w:jc w:val="center"/>
              <w:rPr>
                <w:rFonts w:hint="eastAsia" w:ascii="宋体" w:hAnsi="宋体"/>
                <w:b/>
                <w:bCs/>
                <w:sz w:val="24"/>
                <w:szCs w:val="24"/>
              </w:rPr>
            </w:pPr>
            <w:r>
              <w:rPr>
                <w:rFonts w:hint="eastAsia" w:ascii="宋体" w:hAnsi="宋体"/>
                <w:b/>
                <w:bCs/>
                <w:sz w:val="24"/>
                <w:szCs w:val="24"/>
              </w:rPr>
              <w:t>系统名称</w:t>
            </w:r>
          </w:p>
        </w:tc>
      </w:tr>
      <w:tr w14:paraId="4DD9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noWrap w:val="0"/>
            <w:vAlign w:val="center"/>
          </w:tcPr>
          <w:p w14:paraId="178A6D62">
            <w:pPr>
              <w:adjustRightInd w:val="0"/>
              <w:snapToGrid w:val="0"/>
              <w:spacing w:line="400" w:lineRule="exact"/>
              <w:jc w:val="center"/>
              <w:rPr>
                <w:rFonts w:hint="eastAsia" w:ascii="宋体" w:hAnsi="宋体"/>
                <w:sz w:val="24"/>
                <w:szCs w:val="24"/>
              </w:rPr>
            </w:pPr>
            <w:r>
              <w:rPr>
                <w:rFonts w:hint="eastAsia" w:ascii="宋体" w:hAnsi="宋体"/>
                <w:sz w:val="24"/>
                <w:szCs w:val="24"/>
              </w:rPr>
              <w:t>1</w:t>
            </w:r>
          </w:p>
        </w:tc>
        <w:tc>
          <w:tcPr>
            <w:tcW w:w="6210" w:type="dxa"/>
            <w:noWrap w:val="0"/>
            <w:vAlign w:val="center"/>
          </w:tcPr>
          <w:p w14:paraId="2E0E8C91">
            <w:pPr>
              <w:adjustRightInd w:val="0"/>
              <w:snapToGrid w:val="0"/>
              <w:spacing w:line="400" w:lineRule="exact"/>
              <w:jc w:val="center"/>
              <w:rPr>
                <w:rFonts w:ascii="宋体" w:hAnsi="宋体"/>
                <w:sz w:val="24"/>
                <w:szCs w:val="24"/>
              </w:rPr>
            </w:pPr>
            <w:r>
              <w:rPr>
                <w:rFonts w:hint="eastAsia" w:ascii="宋体" w:hAnsi="宋体"/>
                <w:sz w:val="24"/>
                <w:szCs w:val="24"/>
              </w:rPr>
              <w:t>HIS信息系统</w:t>
            </w:r>
            <w:r>
              <w:rPr>
                <w:rFonts w:hint="eastAsia" w:ascii="宋体" w:hAnsi="宋体"/>
                <w:sz w:val="24"/>
                <w:szCs w:val="24"/>
                <w:lang w:val="en-US" w:eastAsia="zh-CN"/>
              </w:rPr>
              <w:t>（三级）</w:t>
            </w:r>
          </w:p>
        </w:tc>
      </w:tr>
      <w:tr w14:paraId="6409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noWrap w:val="0"/>
            <w:vAlign w:val="center"/>
          </w:tcPr>
          <w:p w14:paraId="7404B739">
            <w:pPr>
              <w:adjustRightInd w:val="0"/>
              <w:snapToGrid w:val="0"/>
              <w:spacing w:line="400" w:lineRule="exact"/>
              <w:jc w:val="center"/>
              <w:rPr>
                <w:rFonts w:hint="eastAsia" w:ascii="宋体" w:hAnsi="宋体"/>
                <w:sz w:val="24"/>
                <w:szCs w:val="24"/>
              </w:rPr>
            </w:pPr>
            <w:r>
              <w:rPr>
                <w:rFonts w:hint="eastAsia" w:ascii="宋体" w:hAnsi="宋体"/>
                <w:sz w:val="24"/>
                <w:szCs w:val="24"/>
              </w:rPr>
              <w:t>2</w:t>
            </w:r>
          </w:p>
        </w:tc>
        <w:tc>
          <w:tcPr>
            <w:tcW w:w="6210" w:type="dxa"/>
            <w:noWrap w:val="0"/>
            <w:vAlign w:val="center"/>
          </w:tcPr>
          <w:p w14:paraId="01D45C98">
            <w:pPr>
              <w:adjustRightInd w:val="0"/>
              <w:snapToGrid w:val="0"/>
              <w:spacing w:line="400" w:lineRule="exact"/>
              <w:jc w:val="center"/>
              <w:rPr>
                <w:rFonts w:ascii="宋体" w:hAnsi="宋体"/>
                <w:sz w:val="24"/>
                <w:szCs w:val="24"/>
              </w:rPr>
            </w:pPr>
            <w:r>
              <w:rPr>
                <w:rFonts w:hint="eastAsia" w:ascii="宋体" w:hAnsi="宋体"/>
                <w:sz w:val="24"/>
                <w:szCs w:val="24"/>
              </w:rPr>
              <w:t>LIS信息系统</w:t>
            </w:r>
            <w:r>
              <w:rPr>
                <w:rFonts w:hint="eastAsia" w:ascii="宋体" w:hAnsi="宋体"/>
                <w:sz w:val="24"/>
                <w:szCs w:val="24"/>
                <w:lang w:val="en-US" w:eastAsia="zh-CN"/>
              </w:rPr>
              <w:t>（三级）</w:t>
            </w:r>
          </w:p>
        </w:tc>
      </w:tr>
      <w:tr w14:paraId="3D52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25" w:type="dxa"/>
            <w:noWrap w:val="0"/>
            <w:vAlign w:val="center"/>
          </w:tcPr>
          <w:p w14:paraId="5831B82E">
            <w:pPr>
              <w:adjustRightInd w:val="0"/>
              <w:snapToGrid w:val="0"/>
              <w:spacing w:line="400" w:lineRule="exact"/>
              <w:jc w:val="center"/>
              <w:rPr>
                <w:rFonts w:hint="eastAsia" w:ascii="宋体" w:hAnsi="宋体"/>
                <w:sz w:val="24"/>
                <w:szCs w:val="24"/>
              </w:rPr>
            </w:pPr>
            <w:r>
              <w:rPr>
                <w:rFonts w:hint="eastAsia" w:ascii="宋体" w:hAnsi="宋体"/>
                <w:sz w:val="24"/>
                <w:szCs w:val="24"/>
              </w:rPr>
              <w:t>3</w:t>
            </w:r>
          </w:p>
        </w:tc>
        <w:tc>
          <w:tcPr>
            <w:tcW w:w="6210" w:type="dxa"/>
            <w:noWrap w:val="0"/>
            <w:vAlign w:val="center"/>
          </w:tcPr>
          <w:p w14:paraId="70BF8ED6">
            <w:pPr>
              <w:adjustRightInd w:val="0"/>
              <w:snapToGrid w:val="0"/>
              <w:spacing w:line="400" w:lineRule="exact"/>
              <w:jc w:val="center"/>
              <w:rPr>
                <w:rFonts w:ascii="宋体" w:hAnsi="宋体"/>
                <w:sz w:val="24"/>
                <w:szCs w:val="24"/>
              </w:rPr>
            </w:pPr>
            <w:r>
              <w:rPr>
                <w:rFonts w:hint="eastAsia" w:ascii="宋体" w:hAnsi="宋体"/>
                <w:sz w:val="24"/>
                <w:szCs w:val="24"/>
              </w:rPr>
              <w:t>EMR信息系统</w:t>
            </w:r>
            <w:r>
              <w:rPr>
                <w:rFonts w:hint="eastAsia" w:ascii="宋体" w:hAnsi="宋体"/>
                <w:sz w:val="24"/>
                <w:szCs w:val="24"/>
                <w:lang w:val="en-US" w:eastAsia="zh-CN"/>
              </w:rPr>
              <w:t>（三级）</w:t>
            </w:r>
          </w:p>
        </w:tc>
      </w:tr>
      <w:tr w14:paraId="4E535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noWrap w:val="0"/>
            <w:vAlign w:val="top"/>
          </w:tcPr>
          <w:p w14:paraId="53C56110">
            <w:pPr>
              <w:adjustRightInd w:val="0"/>
              <w:snapToGrid w:val="0"/>
              <w:spacing w:line="400" w:lineRule="exact"/>
              <w:jc w:val="center"/>
              <w:rPr>
                <w:rFonts w:hint="eastAsia" w:ascii="宋体" w:hAnsi="宋体"/>
                <w:sz w:val="24"/>
                <w:szCs w:val="24"/>
              </w:rPr>
            </w:pPr>
            <w:r>
              <w:rPr>
                <w:rFonts w:hint="eastAsia" w:ascii="宋体" w:hAnsi="宋体"/>
                <w:sz w:val="24"/>
                <w:szCs w:val="24"/>
              </w:rPr>
              <w:t>4</w:t>
            </w:r>
          </w:p>
        </w:tc>
        <w:tc>
          <w:tcPr>
            <w:tcW w:w="6210" w:type="dxa"/>
            <w:noWrap w:val="0"/>
            <w:vAlign w:val="top"/>
          </w:tcPr>
          <w:p w14:paraId="4E7EE077">
            <w:pPr>
              <w:adjustRightInd w:val="0"/>
              <w:snapToGrid w:val="0"/>
              <w:spacing w:line="400" w:lineRule="exact"/>
              <w:jc w:val="center"/>
              <w:rPr>
                <w:rFonts w:ascii="宋体" w:hAnsi="宋体"/>
                <w:sz w:val="24"/>
                <w:szCs w:val="24"/>
              </w:rPr>
            </w:pPr>
            <w:r>
              <w:rPr>
                <w:rFonts w:hint="eastAsia" w:ascii="宋体" w:hAnsi="宋体"/>
                <w:sz w:val="24"/>
                <w:szCs w:val="24"/>
              </w:rPr>
              <w:t>PACS信息系统</w:t>
            </w:r>
            <w:r>
              <w:rPr>
                <w:rFonts w:hint="eastAsia" w:ascii="宋体" w:hAnsi="宋体"/>
                <w:sz w:val="24"/>
                <w:szCs w:val="24"/>
                <w:lang w:val="en-US" w:eastAsia="zh-CN"/>
              </w:rPr>
              <w:t>（三级）</w:t>
            </w:r>
          </w:p>
        </w:tc>
      </w:tr>
      <w:tr w14:paraId="5E0A4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noWrap w:val="0"/>
            <w:vAlign w:val="top"/>
          </w:tcPr>
          <w:p w14:paraId="7A02C843">
            <w:pPr>
              <w:adjustRightInd w:val="0"/>
              <w:snapToGrid w:val="0"/>
              <w:spacing w:line="400" w:lineRule="exact"/>
              <w:jc w:val="center"/>
              <w:rPr>
                <w:rFonts w:hint="eastAsia" w:ascii="宋体" w:hAnsi="宋体" w:eastAsia="宋体"/>
                <w:sz w:val="24"/>
                <w:szCs w:val="24"/>
                <w:lang w:val="en-US" w:eastAsia="zh-CN"/>
              </w:rPr>
            </w:pPr>
            <w:r>
              <w:rPr>
                <w:rFonts w:hint="eastAsia" w:ascii="宋体" w:hAnsi="宋体"/>
                <w:sz w:val="24"/>
                <w:szCs w:val="24"/>
                <w:lang w:val="en-US" w:eastAsia="zh-CN"/>
              </w:rPr>
              <w:t>5</w:t>
            </w:r>
          </w:p>
        </w:tc>
        <w:tc>
          <w:tcPr>
            <w:tcW w:w="6210" w:type="dxa"/>
            <w:noWrap w:val="0"/>
            <w:vAlign w:val="top"/>
          </w:tcPr>
          <w:p w14:paraId="7A846A93">
            <w:pPr>
              <w:adjustRightInd w:val="0"/>
              <w:snapToGrid w:val="0"/>
              <w:spacing w:line="400" w:lineRule="exact"/>
              <w:jc w:val="center"/>
              <w:rPr>
                <w:rFonts w:hint="default" w:ascii="宋体" w:hAnsi="宋体" w:eastAsia="宋体"/>
                <w:sz w:val="24"/>
                <w:szCs w:val="24"/>
                <w:lang w:val="en-US" w:eastAsia="zh-CN"/>
              </w:rPr>
            </w:pPr>
            <w:r>
              <w:rPr>
                <w:rFonts w:hint="eastAsia" w:ascii="宋体" w:hAnsi="宋体"/>
                <w:sz w:val="24"/>
                <w:szCs w:val="24"/>
                <w:lang w:val="en-US" w:eastAsia="zh-CN"/>
              </w:rPr>
              <w:t>集成平台（三级）</w:t>
            </w:r>
          </w:p>
        </w:tc>
      </w:tr>
      <w:tr w14:paraId="39E1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noWrap w:val="0"/>
            <w:vAlign w:val="top"/>
          </w:tcPr>
          <w:p w14:paraId="7373FB28">
            <w:pPr>
              <w:adjustRightInd w:val="0"/>
              <w:snapToGrid w:val="0"/>
              <w:spacing w:line="400" w:lineRule="exact"/>
              <w:jc w:val="center"/>
              <w:rPr>
                <w:rFonts w:hint="eastAsia" w:ascii="宋体" w:hAnsi="宋体" w:eastAsia="宋体"/>
                <w:sz w:val="24"/>
                <w:szCs w:val="24"/>
                <w:lang w:val="en-US" w:eastAsia="zh-CN"/>
              </w:rPr>
            </w:pPr>
            <w:r>
              <w:rPr>
                <w:rFonts w:hint="eastAsia" w:ascii="宋体" w:hAnsi="宋体"/>
                <w:sz w:val="24"/>
                <w:szCs w:val="24"/>
                <w:lang w:val="en-US" w:eastAsia="zh-CN"/>
              </w:rPr>
              <w:t>6</w:t>
            </w:r>
          </w:p>
        </w:tc>
        <w:tc>
          <w:tcPr>
            <w:tcW w:w="6210" w:type="dxa"/>
            <w:noWrap w:val="0"/>
            <w:vAlign w:val="top"/>
          </w:tcPr>
          <w:p w14:paraId="3CC4A56F">
            <w:pPr>
              <w:adjustRightInd w:val="0"/>
              <w:snapToGrid w:val="0"/>
              <w:spacing w:line="400" w:lineRule="exact"/>
              <w:jc w:val="center"/>
              <w:rPr>
                <w:rFonts w:hint="eastAsia" w:ascii="宋体" w:hAnsi="宋体" w:eastAsia="宋体"/>
                <w:sz w:val="24"/>
                <w:szCs w:val="24"/>
                <w:lang w:val="en-US" w:eastAsia="zh-CN"/>
              </w:rPr>
            </w:pPr>
            <w:r>
              <w:rPr>
                <w:rFonts w:hint="eastAsia" w:ascii="宋体" w:hAnsi="宋体"/>
                <w:sz w:val="24"/>
                <w:szCs w:val="24"/>
                <w:lang w:val="en-US" w:eastAsia="zh-CN"/>
              </w:rPr>
              <w:t>官方网站（二级）</w:t>
            </w:r>
          </w:p>
        </w:tc>
      </w:tr>
    </w:tbl>
    <w:p w14:paraId="202C4A1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p>
    <w:p w14:paraId="462AE38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FF0000"/>
          <w:kern w:val="0"/>
          <w:sz w:val="24"/>
          <w:szCs w:val="24"/>
          <w:lang w:val="en-US" w:eastAsia="zh-CN" w:bidi="ar-SA"/>
        </w:rPr>
      </w:pPr>
    </w:p>
    <w:p w14:paraId="1D0784A1">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FF0000"/>
          <w:kern w:val="0"/>
          <w:sz w:val="24"/>
          <w:szCs w:val="24"/>
          <w:lang w:val="en-US" w:eastAsia="zh-CN" w:bidi="ar-SA"/>
        </w:rPr>
      </w:pPr>
    </w:p>
    <w:p w14:paraId="066D60D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FF0000"/>
          <w:kern w:val="0"/>
          <w:sz w:val="24"/>
          <w:szCs w:val="24"/>
          <w:lang w:val="en-US" w:eastAsia="zh-CN" w:bidi="ar-SA"/>
        </w:rPr>
      </w:pPr>
    </w:p>
    <w:p w14:paraId="4EF043F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FF0000"/>
          <w:kern w:val="0"/>
          <w:sz w:val="24"/>
          <w:szCs w:val="24"/>
          <w:lang w:val="en-US" w:eastAsia="zh-CN" w:bidi="ar-SA"/>
        </w:rPr>
      </w:pPr>
    </w:p>
    <w:p w14:paraId="3F44BBB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FF0000"/>
          <w:kern w:val="0"/>
          <w:sz w:val="24"/>
          <w:szCs w:val="24"/>
          <w:lang w:val="en-US" w:eastAsia="zh-CN" w:bidi="ar-SA"/>
        </w:rPr>
      </w:pPr>
    </w:p>
    <w:p w14:paraId="569C288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FF0000"/>
          <w:kern w:val="0"/>
          <w:sz w:val="24"/>
          <w:szCs w:val="24"/>
          <w:lang w:val="en-US" w:eastAsia="zh-CN" w:bidi="ar-SA"/>
        </w:rPr>
      </w:pPr>
    </w:p>
    <w:p w14:paraId="5CC14A5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textAlignment w:val="auto"/>
        <w:rPr>
          <w:rFonts w:hint="eastAsia" w:asciiTheme="minorEastAsia" w:hAnsiTheme="minorEastAsia" w:eastAsiaTheme="minorEastAsia" w:cstheme="minorEastAsia"/>
          <w:b w:val="0"/>
          <w:bCs/>
          <w:color w:val="FF0000"/>
          <w:kern w:val="0"/>
          <w:sz w:val="24"/>
          <w:szCs w:val="24"/>
          <w:lang w:val="en-US" w:eastAsia="zh-CN" w:bidi="ar-SA"/>
        </w:rPr>
      </w:pPr>
      <w:r>
        <w:rPr>
          <w:rFonts w:hint="eastAsia" w:asciiTheme="minorEastAsia" w:hAnsiTheme="minorEastAsia" w:eastAsiaTheme="minorEastAsia" w:cstheme="minorEastAsia"/>
          <w:b w:val="0"/>
          <w:bCs/>
          <w:color w:val="FF0000"/>
          <w:kern w:val="0"/>
          <w:sz w:val="24"/>
          <w:szCs w:val="24"/>
          <w:lang w:val="en-US" w:eastAsia="zh-CN" w:bidi="ar-SA"/>
        </w:rPr>
        <w:t xml:space="preserve"> </w:t>
      </w:r>
      <w:r>
        <w:rPr>
          <w:rFonts w:hint="eastAsia" w:asciiTheme="minorEastAsia" w:hAnsiTheme="minorEastAsia" w:eastAsiaTheme="minorEastAsia" w:cstheme="minorEastAsia"/>
          <w:b/>
          <w:bCs w:val="0"/>
          <w:color w:val="auto"/>
          <w:kern w:val="0"/>
          <w:sz w:val="24"/>
          <w:szCs w:val="24"/>
          <w:lang w:val="en-US" w:eastAsia="zh-CN" w:bidi="ar-SA"/>
        </w:rPr>
        <w:t>（二）、服务要求：</w:t>
      </w:r>
    </w:p>
    <w:p w14:paraId="753F02D6">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ascii="宋体" w:hAnsi="宋体"/>
          <w:b/>
          <w:bCs/>
          <w:sz w:val="24"/>
        </w:rPr>
      </w:pPr>
      <w:r>
        <w:rPr>
          <w:rFonts w:hint="eastAsia" w:ascii="宋体" w:hAnsi="宋体"/>
          <w:b/>
          <w:bCs/>
          <w:sz w:val="24"/>
        </w:rPr>
        <w:t>1</w:t>
      </w:r>
      <w:r>
        <w:rPr>
          <w:rFonts w:hint="eastAsia" w:ascii="宋体" w:hAnsi="宋体"/>
          <w:b/>
          <w:bCs/>
          <w:sz w:val="24"/>
          <w:lang w:eastAsia="zh-CN"/>
        </w:rPr>
        <w:t>、</w:t>
      </w:r>
      <w:r>
        <w:rPr>
          <w:rFonts w:hint="eastAsia" w:ascii="宋体" w:hAnsi="宋体"/>
          <w:b/>
          <w:bCs/>
          <w:sz w:val="24"/>
        </w:rPr>
        <w:t>依据政策及标准</w:t>
      </w:r>
    </w:p>
    <w:p w14:paraId="42ADDD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sz w:val="24"/>
        </w:rPr>
      </w:pPr>
      <w:r>
        <w:rPr>
          <w:rFonts w:hint="eastAsia" w:ascii="宋体" w:hAnsi="宋体"/>
          <w:sz w:val="24"/>
        </w:rPr>
        <w:t>投标人应依据国家相关政策标准开展工作，依据标准包括但不限于如下国家政策标准：</w:t>
      </w:r>
    </w:p>
    <w:p w14:paraId="3EFFC56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sz w:val="24"/>
        </w:rPr>
      </w:pPr>
      <w:r>
        <w:rPr>
          <w:rFonts w:hint="eastAsia" w:ascii="宋体" w:hAnsi="宋体"/>
          <w:sz w:val="24"/>
        </w:rPr>
        <w:t>●《中华人民共和国网络安全法》</w:t>
      </w:r>
    </w:p>
    <w:p w14:paraId="38C3C6F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sz w:val="24"/>
        </w:rPr>
      </w:pPr>
      <w:r>
        <w:rPr>
          <w:rFonts w:hint="eastAsia" w:ascii="宋体" w:hAnsi="宋体"/>
          <w:sz w:val="24"/>
        </w:rPr>
        <w:t>●《网络安全等级保护条例》(征求意见稿)</w:t>
      </w:r>
    </w:p>
    <w:p w14:paraId="1CED4A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sz w:val="24"/>
        </w:rPr>
      </w:pPr>
      <w:r>
        <w:rPr>
          <w:rFonts w:hint="eastAsia" w:ascii="宋体" w:hAnsi="宋体"/>
          <w:sz w:val="24"/>
        </w:rPr>
        <w:t>●《计算机信息系统安全保护等级划分准则》（GB 17859-1999）；</w:t>
      </w:r>
    </w:p>
    <w:p w14:paraId="6A70604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sz w:val="24"/>
        </w:rPr>
      </w:pPr>
      <w:r>
        <w:rPr>
          <w:rFonts w:hint="eastAsia" w:ascii="宋体" w:hAnsi="宋体"/>
          <w:sz w:val="24"/>
        </w:rPr>
        <w:t>●《信息安全等级保护管理办法》（公通字〔2007〕43号）；</w:t>
      </w:r>
    </w:p>
    <w:p w14:paraId="5FE80C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sz w:val="24"/>
        </w:rPr>
      </w:pPr>
      <w:r>
        <w:rPr>
          <w:rFonts w:hint="eastAsia" w:ascii="宋体" w:hAnsi="宋体"/>
          <w:sz w:val="24"/>
        </w:rPr>
        <w:t>●《信息安全技术网络安全等级保护实施指南》（</w:t>
      </w:r>
      <w:r>
        <w:rPr>
          <w:rFonts w:hint="eastAsia" w:ascii="宋体" w:hAnsi="宋体"/>
          <w:color w:val="auto"/>
          <w:sz w:val="24"/>
          <w:u w:val="none"/>
        </w:rPr>
        <w:t>GB/T 25058-2019</w:t>
      </w:r>
      <w:r>
        <w:rPr>
          <w:rFonts w:hint="eastAsia" w:ascii="宋体" w:hAnsi="宋体"/>
          <w:sz w:val="24"/>
        </w:rPr>
        <w:t>）；</w:t>
      </w:r>
    </w:p>
    <w:p w14:paraId="6D8DDE4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sz w:val="24"/>
        </w:rPr>
      </w:pPr>
      <w:r>
        <w:rPr>
          <w:rFonts w:hint="eastAsia" w:ascii="宋体" w:hAnsi="宋体"/>
          <w:sz w:val="24"/>
        </w:rPr>
        <w:t>●《信息安全技术网络安全等级保护定级指南》（GBT 22240-2020）；</w:t>
      </w:r>
    </w:p>
    <w:p w14:paraId="454E0DD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sz w:val="24"/>
        </w:rPr>
      </w:pPr>
      <w:r>
        <w:rPr>
          <w:rFonts w:hint="eastAsia" w:ascii="宋体" w:hAnsi="宋体"/>
          <w:sz w:val="24"/>
        </w:rPr>
        <w:t>●《信息安全技术网络安全等级保护基本要求》（GBT 22239-2019）；</w:t>
      </w:r>
    </w:p>
    <w:p w14:paraId="280251A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sz w:val="24"/>
        </w:rPr>
      </w:pPr>
      <w:r>
        <w:rPr>
          <w:rFonts w:hint="eastAsia" w:ascii="宋体" w:hAnsi="宋体"/>
          <w:sz w:val="24"/>
        </w:rPr>
        <w:t>●《信息安全技术网络安全等级保护测评要求》（GBT 28448-2019）；；</w:t>
      </w:r>
    </w:p>
    <w:p w14:paraId="7DEE686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sz w:val="24"/>
        </w:rPr>
      </w:pPr>
      <w:r>
        <w:rPr>
          <w:rFonts w:hint="eastAsia" w:ascii="宋体" w:hAnsi="宋体"/>
          <w:sz w:val="24"/>
        </w:rPr>
        <w:t>●《信息安全技术信息安全风险评估方法》（GB/T 20984-2022）；</w:t>
      </w:r>
    </w:p>
    <w:p w14:paraId="25D4E536">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ascii="宋体" w:hAnsi="宋体"/>
          <w:b/>
          <w:bCs/>
          <w:sz w:val="24"/>
        </w:rPr>
      </w:pPr>
      <w:r>
        <w:rPr>
          <w:rFonts w:hint="eastAsia" w:ascii="宋体" w:hAnsi="宋体"/>
          <w:b/>
          <w:bCs/>
          <w:sz w:val="24"/>
        </w:rPr>
        <w:t>2</w:t>
      </w:r>
      <w:r>
        <w:rPr>
          <w:rFonts w:hint="eastAsia" w:ascii="宋体" w:hAnsi="宋体"/>
          <w:b/>
          <w:bCs/>
          <w:sz w:val="24"/>
          <w:lang w:eastAsia="zh-CN"/>
        </w:rPr>
        <w:t>、</w:t>
      </w:r>
      <w:r>
        <w:rPr>
          <w:rFonts w:hint="eastAsia" w:ascii="宋体" w:hAnsi="宋体"/>
          <w:b/>
          <w:bCs/>
          <w:sz w:val="24"/>
        </w:rPr>
        <w:t>测评范围</w:t>
      </w:r>
    </w:p>
    <w:p w14:paraId="31D2846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rPr>
      </w:pPr>
      <w:r>
        <w:rPr>
          <w:rFonts w:ascii="宋体" w:hAnsi="宋体" w:eastAsia="宋体" w:cs="宋体"/>
          <w:color w:val="auto"/>
          <w:sz w:val="24"/>
          <w:szCs w:val="24"/>
        </w:rPr>
        <w:t>本项目三年服务期内测评覆盖范围包含但不限于下述信息系统，三年累计测评系统总量不少于15个三级系统、2个二级系统；每年度实际开展等级保护测评的具体系统范围，以甲乙双方当年确认的年度实施计划约定的信息系统清单为准：</w:t>
      </w:r>
    </w:p>
    <w:p w14:paraId="40FE844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lang w:eastAsia="zh-CN"/>
        </w:rPr>
      </w:pPr>
      <w:r>
        <w:rPr>
          <w:rFonts w:hint="eastAsia" w:ascii="宋体" w:hAnsi="宋体"/>
          <w:color w:val="auto"/>
          <w:sz w:val="24"/>
        </w:rPr>
        <w:t>HIS信息系统</w:t>
      </w:r>
      <w:r>
        <w:rPr>
          <w:rFonts w:ascii="宋体" w:hAnsi="宋体" w:eastAsia="宋体" w:cs="宋体"/>
          <w:color w:val="auto"/>
          <w:sz w:val="24"/>
          <w:szCs w:val="24"/>
        </w:rPr>
        <w:t>（202</w:t>
      </w:r>
      <w:r>
        <w:rPr>
          <w:rFonts w:hint="eastAsia" w:ascii="宋体" w:hAnsi="宋体" w:eastAsia="宋体" w:cs="宋体"/>
          <w:color w:val="auto"/>
          <w:sz w:val="24"/>
          <w:szCs w:val="24"/>
          <w:lang w:val="en-US" w:eastAsia="zh-CN"/>
        </w:rPr>
        <w:t>6、2027、2028</w:t>
      </w:r>
      <w:r>
        <w:rPr>
          <w:rFonts w:ascii="宋体" w:hAnsi="宋体" w:eastAsia="宋体" w:cs="宋体"/>
          <w:color w:val="auto"/>
          <w:sz w:val="24"/>
          <w:szCs w:val="24"/>
        </w:rPr>
        <w:t>年度）</w:t>
      </w:r>
      <w:r>
        <w:rPr>
          <w:rFonts w:hint="eastAsia" w:ascii="宋体" w:hAnsi="宋体"/>
          <w:color w:val="auto"/>
          <w:sz w:val="24"/>
          <w:lang w:eastAsia="zh-CN"/>
        </w:rPr>
        <w:t>、</w:t>
      </w:r>
      <w:r>
        <w:rPr>
          <w:rFonts w:hint="eastAsia" w:ascii="宋体" w:hAnsi="宋体"/>
          <w:color w:val="auto"/>
          <w:sz w:val="24"/>
        </w:rPr>
        <w:t>LIS信息系统</w:t>
      </w:r>
      <w:r>
        <w:rPr>
          <w:rFonts w:ascii="宋体" w:hAnsi="宋体" w:eastAsia="宋体" w:cs="宋体"/>
          <w:color w:val="auto"/>
          <w:sz w:val="24"/>
          <w:szCs w:val="24"/>
        </w:rPr>
        <w:t>（202</w:t>
      </w:r>
      <w:r>
        <w:rPr>
          <w:rFonts w:hint="eastAsia" w:ascii="宋体" w:hAnsi="宋体" w:eastAsia="宋体" w:cs="宋体"/>
          <w:color w:val="auto"/>
          <w:sz w:val="24"/>
          <w:szCs w:val="24"/>
          <w:lang w:val="en-US" w:eastAsia="zh-CN"/>
        </w:rPr>
        <w:t>6、2027、2028</w:t>
      </w:r>
      <w:r>
        <w:rPr>
          <w:rFonts w:ascii="宋体" w:hAnsi="宋体" w:eastAsia="宋体" w:cs="宋体"/>
          <w:color w:val="auto"/>
          <w:sz w:val="24"/>
          <w:szCs w:val="24"/>
        </w:rPr>
        <w:t>年度）</w:t>
      </w:r>
      <w:r>
        <w:rPr>
          <w:rFonts w:hint="eastAsia" w:ascii="宋体" w:hAnsi="宋体"/>
          <w:color w:val="auto"/>
          <w:sz w:val="24"/>
          <w:lang w:eastAsia="zh-CN"/>
        </w:rPr>
        <w:t>、</w:t>
      </w:r>
      <w:r>
        <w:rPr>
          <w:rFonts w:hint="eastAsia" w:ascii="宋体" w:hAnsi="宋体"/>
          <w:color w:val="auto"/>
          <w:sz w:val="24"/>
        </w:rPr>
        <w:t>EMR信息系统</w:t>
      </w:r>
      <w:r>
        <w:rPr>
          <w:rFonts w:ascii="宋体" w:hAnsi="宋体" w:eastAsia="宋体" w:cs="宋体"/>
          <w:color w:val="auto"/>
          <w:sz w:val="24"/>
          <w:szCs w:val="24"/>
        </w:rPr>
        <w:t>（202</w:t>
      </w:r>
      <w:r>
        <w:rPr>
          <w:rFonts w:hint="eastAsia" w:ascii="宋体" w:hAnsi="宋体" w:eastAsia="宋体" w:cs="宋体"/>
          <w:color w:val="auto"/>
          <w:sz w:val="24"/>
          <w:szCs w:val="24"/>
          <w:lang w:val="en-US" w:eastAsia="zh-CN"/>
        </w:rPr>
        <w:t>6、2027、2028</w:t>
      </w:r>
      <w:r>
        <w:rPr>
          <w:rFonts w:ascii="宋体" w:hAnsi="宋体" w:eastAsia="宋体" w:cs="宋体"/>
          <w:color w:val="auto"/>
          <w:sz w:val="24"/>
          <w:szCs w:val="24"/>
        </w:rPr>
        <w:t>年度）</w:t>
      </w:r>
      <w:r>
        <w:rPr>
          <w:rFonts w:hint="eastAsia" w:ascii="宋体" w:hAnsi="宋体"/>
          <w:color w:val="auto"/>
          <w:sz w:val="24"/>
          <w:lang w:eastAsia="zh-CN"/>
        </w:rPr>
        <w:t>、</w:t>
      </w:r>
      <w:r>
        <w:rPr>
          <w:rFonts w:hint="eastAsia" w:ascii="宋体" w:hAnsi="宋体"/>
          <w:color w:val="auto"/>
          <w:sz w:val="24"/>
        </w:rPr>
        <w:t>PACS信息系统</w:t>
      </w:r>
      <w:r>
        <w:rPr>
          <w:rFonts w:ascii="宋体" w:hAnsi="宋体" w:eastAsia="宋体" w:cs="宋体"/>
          <w:color w:val="auto"/>
          <w:sz w:val="24"/>
          <w:szCs w:val="24"/>
        </w:rPr>
        <w:t>（202</w:t>
      </w:r>
      <w:r>
        <w:rPr>
          <w:rFonts w:hint="eastAsia" w:ascii="宋体" w:hAnsi="宋体" w:eastAsia="宋体" w:cs="宋体"/>
          <w:color w:val="auto"/>
          <w:sz w:val="24"/>
          <w:szCs w:val="24"/>
          <w:lang w:val="en-US" w:eastAsia="zh-CN"/>
        </w:rPr>
        <w:t>6、2027、2028</w:t>
      </w:r>
      <w:r>
        <w:rPr>
          <w:rFonts w:ascii="宋体" w:hAnsi="宋体" w:eastAsia="宋体" w:cs="宋体"/>
          <w:color w:val="auto"/>
          <w:sz w:val="24"/>
          <w:szCs w:val="24"/>
        </w:rPr>
        <w:t>年度）</w:t>
      </w:r>
      <w:r>
        <w:rPr>
          <w:rFonts w:hint="eastAsia" w:ascii="宋体" w:hAnsi="宋体" w:cs="宋体"/>
          <w:color w:val="auto"/>
          <w:sz w:val="24"/>
          <w:szCs w:val="24"/>
          <w:lang w:eastAsia="zh-CN"/>
        </w:rPr>
        <w:t>、</w:t>
      </w:r>
      <w:r>
        <w:rPr>
          <w:rFonts w:hint="eastAsia" w:ascii="宋体" w:hAnsi="宋体"/>
          <w:color w:val="auto"/>
          <w:sz w:val="24"/>
          <w:lang w:val="en-US" w:eastAsia="zh-CN"/>
        </w:rPr>
        <w:t>集成平台</w:t>
      </w:r>
      <w:r>
        <w:rPr>
          <w:rFonts w:ascii="宋体" w:hAnsi="宋体" w:eastAsia="宋体" w:cs="宋体"/>
          <w:color w:val="auto"/>
          <w:sz w:val="24"/>
          <w:szCs w:val="24"/>
        </w:rPr>
        <w:t>（202</w:t>
      </w:r>
      <w:r>
        <w:rPr>
          <w:rFonts w:hint="eastAsia" w:ascii="宋体" w:hAnsi="宋体" w:eastAsia="宋体" w:cs="宋体"/>
          <w:color w:val="auto"/>
          <w:sz w:val="24"/>
          <w:szCs w:val="24"/>
          <w:lang w:val="en-US" w:eastAsia="zh-CN"/>
        </w:rPr>
        <w:t>6、2027、2028</w:t>
      </w:r>
      <w:r>
        <w:rPr>
          <w:rFonts w:ascii="宋体" w:hAnsi="宋体" w:eastAsia="宋体" w:cs="宋体"/>
          <w:color w:val="auto"/>
          <w:sz w:val="24"/>
          <w:szCs w:val="24"/>
        </w:rPr>
        <w:t>年度）</w:t>
      </w:r>
      <w:r>
        <w:rPr>
          <w:rFonts w:hint="eastAsia" w:ascii="宋体" w:hAnsi="宋体"/>
          <w:color w:val="auto"/>
          <w:sz w:val="24"/>
          <w:lang w:eastAsia="zh-CN"/>
        </w:rPr>
        <w:t>、</w:t>
      </w:r>
      <w:r>
        <w:rPr>
          <w:rFonts w:hint="eastAsia" w:ascii="宋体" w:hAnsi="宋体"/>
          <w:color w:val="auto"/>
          <w:sz w:val="24"/>
          <w:lang w:val="en-US" w:eastAsia="zh-CN"/>
        </w:rPr>
        <w:t>官方网站</w:t>
      </w:r>
      <w:r>
        <w:rPr>
          <w:rFonts w:ascii="宋体" w:hAnsi="宋体" w:eastAsia="宋体" w:cs="宋体"/>
          <w:color w:val="auto"/>
          <w:sz w:val="24"/>
          <w:szCs w:val="24"/>
        </w:rPr>
        <w:t>（202</w:t>
      </w:r>
      <w:r>
        <w:rPr>
          <w:rFonts w:hint="eastAsia" w:ascii="宋体" w:hAnsi="宋体" w:eastAsia="宋体" w:cs="宋体"/>
          <w:color w:val="auto"/>
          <w:sz w:val="24"/>
          <w:szCs w:val="24"/>
          <w:lang w:val="en-US" w:eastAsia="zh-CN"/>
        </w:rPr>
        <w:t>6</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2028</w:t>
      </w:r>
      <w:r>
        <w:rPr>
          <w:rFonts w:ascii="宋体" w:hAnsi="宋体" w:eastAsia="宋体" w:cs="宋体"/>
          <w:color w:val="auto"/>
          <w:sz w:val="24"/>
          <w:szCs w:val="24"/>
        </w:rPr>
        <w:t>年度）</w:t>
      </w:r>
      <w:r>
        <w:rPr>
          <w:rFonts w:hint="eastAsia" w:ascii="宋体" w:hAnsi="宋体" w:cs="宋体"/>
          <w:color w:val="auto"/>
          <w:sz w:val="24"/>
          <w:szCs w:val="24"/>
          <w:lang w:eastAsia="zh-CN"/>
        </w:rPr>
        <w:t>。</w:t>
      </w:r>
    </w:p>
    <w:p w14:paraId="3F08204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lang w:val="en-US" w:eastAsia="zh-CN"/>
        </w:rPr>
      </w:pPr>
      <w:r>
        <w:rPr>
          <w:rFonts w:ascii="宋体" w:hAnsi="宋体" w:eastAsia="宋体" w:cs="宋体"/>
          <w:color w:val="auto"/>
          <w:sz w:val="24"/>
          <w:szCs w:val="24"/>
        </w:rPr>
        <w:t>甲方有权根据等保工作实际需求调整测评计划，包括但不限于新增或减少测评系统、调整测评年度、变更系统定级级别，相关费用按中标对应级别单价据实核算</w:t>
      </w:r>
      <w:r>
        <w:rPr>
          <w:rFonts w:hint="eastAsia" w:ascii="宋体" w:hAnsi="宋体" w:cs="宋体"/>
          <w:color w:val="auto"/>
          <w:sz w:val="24"/>
          <w:szCs w:val="24"/>
          <w:lang w:eastAsia="zh-CN"/>
        </w:rPr>
        <w:t>。</w:t>
      </w:r>
    </w:p>
    <w:p w14:paraId="5500BB83">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ascii="宋体" w:hAnsi="宋体"/>
          <w:b/>
          <w:bCs/>
          <w:sz w:val="24"/>
        </w:rPr>
      </w:pPr>
      <w:r>
        <w:rPr>
          <w:rFonts w:hint="eastAsia" w:ascii="宋体" w:hAnsi="宋体"/>
          <w:b/>
          <w:bCs/>
          <w:sz w:val="24"/>
        </w:rPr>
        <w:t>3</w:t>
      </w:r>
      <w:r>
        <w:rPr>
          <w:rFonts w:hint="eastAsia" w:ascii="宋体" w:hAnsi="宋体"/>
          <w:b/>
          <w:bCs/>
          <w:sz w:val="24"/>
          <w:lang w:eastAsia="zh-CN"/>
        </w:rPr>
        <w:t>、</w:t>
      </w:r>
      <w:r>
        <w:rPr>
          <w:rFonts w:hint="eastAsia" w:ascii="宋体" w:hAnsi="宋体"/>
          <w:b/>
          <w:bCs/>
          <w:sz w:val="24"/>
        </w:rPr>
        <w:t>测评内容</w:t>
      </w:r>
    </w:p>
    <w:p w14:paraId="61BAFC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依据《信息安全技术网络安全等级保护基本要求》（</w:t>
      </w:r>
      <w:r>
        <w:rPr>
          <w:rFonts w:ascii="宋体" w:hAnsi="宋体"/>
          <w:sz w:val="24"/>
        </w:rPr>
        <w:t>GB/T 22239-2019</w:t>
      </w:r>
      <w:r>
        <w:rPr>
          <w:rFonts w:hint="eastAsia" w:ascii="宋体" w:hAnsi="宋体"/>
          <w:sz w:val="24"/>
        </w:rPr>
        <w:t>）三级要求，对信息系统进行等级测评，找出以上系统与国家标准要求之间的差距，对存在的风险进行评估，并出具《信息安全等级测评报告》《差距分析方案》</w:t>
      </w:r>
      <w:r>
        <w:rPr>
          <w:rFonts w:hint="eastAsia" w:ascii="宋体" w:hAnsi="宋体"/>
          <w:sz w:val="24"/>
          <w:lang w:val="en-US" w:eastAsia="zh-CN"/>
        </w:rPr>
        <w:t>和《安全评估报告》</w:t>
      </w:r>
      <w:r>
        <w:rPr>
          <w:rFonts w:hint="eastAsia" w:ascii="宋体" w:hAnsi="宋体"/>
          <w:sz w:val="24"/>
        </w:rPr>
        <w:t>。测评内容需包含：</w:t>
      </w:r>
    </w:p>
    <w:p w14:paraId="282AEDF6">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ascii="宋体" w:hAnsi="宋体"/>
          <w:b/>
          <w:bCs/>
          <w:sz w:val="24"/>
        </w:rPr>
      </w:pPr>
      <w:bookmarkStart w:id="1" w:name="_Toc182638545"/>
      <w:bookmarkStart w:id="2" w:name="_Toc278964495"/>
      <w:bookmarkStart w:id="3" w:name="_Toc183323075"/>
      <w:bookmarkStart w:id="4" w:name="_Toc230747272"/>
      <w:r>
        <w:rPr>
          <w:rFonts w:hint="eastAsia" w:ascii="宋体" w:hAnsi="宋体"/>
          <w:b/>
          <w:bCs/>
          <w:sz w:val="24"/>
        </w:rPr>
        <w:t>（1）</w:t>
      </w:r>
      <w:r>
        <w:rPr>
          <w:rFonts w:ascii="宋体" w:hAnsi="宋体"/>
          <w:b/>
          <w:bCs/>
          <w:sz w:val="24"/>
        </w:rPr>
        <w:t>安全</w:t>
      </w:r>
      <w:bookmarkEnd w:id="1"/>
      <w:bookmarkEnd w:id="2"/>
      <w:bookmarkEnd w:id="3"/>
      <w:bookmarkEnd w:id="4"/>
      <w:r>
        <w:rPr>
          <w:rFonts w:hint="eastAsia" w:ascii="宋体" w:hAnsi="宋体"/>
          <w:b/>
          <w:bCs/>
          <w:sz w:val="24"/>
        </w:rPr>
        <w:t>物理环境</w:t>
      </w:r>
    </w:p>
    <w:p w14:paraId="321AC2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szCs w:val="24"/>
        </w:rPr>
      </w:pPr>
      <w:r>
        <w:rPr>
          <w:rFonts w:ascii="宋体" w:hAnsi="宋体"/>
          <w:sz w:val="24"/>
          <w:szCs w:val="24"/>
        </w:rPr>
        <w:t>安全物理</w:t>
      </w:r>
      <w:r>
        <w:rPr>
          <w:rFonts w:hint="eastAsia" w:ascii="宋体" w:hAnsi="宋体"/>
          <w:sz w:val="24"/>
          <w:szCs w:val="24"/>
        </w:rPr>
        <w:t>环境</w:t>
      </w:r>
      <w:r>
        <w:rPr>
          <w:rFonts w:ascii="宋体" w:hAnsi="宋体"/>
          <w:sz w:val="24"/>
          <w:szCs w:val="24"/>
        </w:rPr>
        <w:t>测评</w:t>
      </w:r>
      <w:r>
        <w:rPr>
          <w:rFonts w:hint="eastAsia" w:ascii="宋体" w:hAnsi="宋体"/>
          <w:sz w:val="24"/>
          <w:szCs w:val="24"/>
        </w:rPr>
        <w:t>：</w:t>
      </w:r>
      <w:r>
        <w:rPr>
          <w:rFonts w:ascii="宋体" w:hAnsi="宋体"/>
          <w:sz w:val="24"/>
          <w:szCs w:val="24"/>
        </w:rPr>
        <w:t>通过访谈和检查的方式评测信息系统的物理安全保障情况。主要涉及对象为机房。</w:t>
      </w:r>
    </w:p>
    <w:p w14:paraId="51B2377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szCs w:val="24"/>
        </w:rPr>
      </w:pPr>
      <w:r>
        <w:rPr>
          <w:rFonts w:ascii="宋体" w:hAnsi="宋体"/>
          <w:sz w:val="24"/>
          <w:szCs w:val="24"/>
        </w:rPr>
        <w:t>在内容上，物理安全层面测评实施过程涉及10个安全子类，具体如下表：</w:t>
      </w:r>
      <w:bookmarkStart w:id="5" w:name="_Toc12871393"/>
      <w:bookmarkEnd w:id="5"/>
      <w:bookmarkStart w:id="6" w:name="_Toc12872131"/>
      <w:bookmarkEnd w:id="6"/>
      <w:bookmarkStart w:id="7" w:name="_Toc12872166"/>
      <w:bookmarkEnd w:id="7"/>
      <w:bookmarkStart w:id="8" w:name="_Toc12871438"/>
      <w:bookmarkEnd w:id="8"/>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
        <w:gridCol w:w="1085"/>
        <w:gridCol w:w="8412"/>
      </w:tblGrid>
      <w:tr w14:paraId="4662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892F661">
            <w:pPr>
              <w:jc w:val="center"/>
              <w:rPr>
                <w:rFonts w:hint="eastAsia"/>
                <w:b/>
                <w:bCs/>
                <w:sz w:val="24"/>
                <w:szCs w:val="24"/>
              </w:rPr>
            </w:pPr>
            <w:r>
              <w:rPr>
                <w:rFonts w:hint="eastAsia"/>
                <w:b/>
                <w:bCs/>
                <w:sz w:val="24"/>
                <w:szCs w:val="24"/>
              </w:rPr>
              <w:t>序号</w:t>
            </w:r>
          </w:p>
        </w:tc>
        <w:tc>
          <w:tcPr>
            <w:tcW w:w="727"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8CD34C4">
            <w:pPr>
              <w:jc w:val="center"/>
              <w:rPr>
                <w:rFonts w:hint="eastAsia"/>
                <w:b/>
                <w:bCs/>
                <w:sz w:val="24"/>
                <w:szCs w:val="24"/>
              </w:rPr>
            </w:pPr>
            <w:r>
              <w:rPr>
                <w:rFonts w:hint="eastAsia"/>
                <w:b/>
                <w:bCs/>
                <w:sz w:val="24"/>
                <w:szCs w:val="24"/>
              </w:rPr>
              <w:t>安全子类</w:t>
            </w:r>
          </w:p>
        </w:tc>
        <w:tc>
          <w:tcPr>
            <w:tcW w:w="384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56F2159">
            <w:pPr>
              <w:jc w:val="center"/>
              <w:rPr>
                <w:rFonts w:hint="eastAsia"/>
                <w:b/>
                <w:bCs/>
                <w:sz w:val="24"/>
                <w:szCs w:val="24"/>
              </w:rPr>
            </w:pPr>
            <w:r>
              <w:rPr>
                <w:rFonts w:hint="eastAsia"/>
                <w:b/>
                <w:bCs/>
                <w:sz w:val="24"/>
                <w:szCs w:val="24"/>
              </w:rPr>
              <w:t>测评指标描述</w:t>
            </w:r>
          </w:p>
        </w:tc>
      </w:tr>
      <w:tr w14:paraId="45FA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43B46343">
            <w:pPr>
              <w:jc w:val="center"/>
              <w:rPr>
                <w:sz w:val="24"/>
                <w:szCs w:val="24"/>
              </w:rPr>
            </w:pPr>
            <w:r>
              <w:rPr>
                <w:rFonts w:hint="eastAsia"/>
                <w:sz w:val="24"/>
                <w:szCs w:val="24"/>
              </w:rPr>
              <w:t>1</w:t>
            </w:r>
          </w:p>
        </w:tc>
        <w:tc>
          <w:tcPr>
            <w:tcW w:w="727" w:type="pct"/>
            <w:tcBorders>
              <w:top w:val="single" w:color="auto" w:sz="4" w:space="0"/>
              <w:left w:val="single" w:color="auto" w:sz="4" w:space="0"/>
              <w:bottom w:val="single" w:color="auto" w:sz="4" w:space="0"/>
              <w:right w:val="single" w:color="auto" w:sz="4" w:space="0"/>
            </w:tcBorders>
            <w:noWrap/>
            <w:vAlign w:val="center"/>
          </w:tcPr>
          <w:p w14:paraId="13991F98">
            <w:pPr>
              <w:widowControl/>
              <w:jc w:val="center"/>
              <w:rPr>
                <w:sz w:val="24"/>
                <w:szCs w:val="24"/>
              </w:rPr>
            </w:pPr>
            <w:r>
              <w:rPr>
                <w:sz w:val="24"/>
                <w:szCs w:val="24"/>
              </w:rPr>
              <w:t>物理位置的选择</w:t>
            </w:r>
          </w:p>
        </w:tc>
        <w:tc>
          <w:tcPr>
            <w:tcW w:w="3840" w:type="pct"/>
            <w:tcBorders>
              <w:top w:val="single" w:color="auto" w:sz="4" w:space="0"/>
              <w:left w:val="single" w:color="auto" w:sz="4" w:space="0"/>
              <w:bottom w:val="single" w:color="auto" w:sz="4" w:space="0"/>
              <w:right w:val="single" w:color="auto" w:sz="4" w:space="0"/>
            </w:tcBorders>
            <w:noWrap/>
            <w:vAlign w:val="center"/>
          </w:tcPr>
          <w:p w14:paraId="4D58DB13">
            <w:pPr>
              <w:widowControl/>
              <w:rPr>
                <w:sz w:val="24"/>
                <w:szCs w:val="24"/>
              </w:rPr>
            </w:pPr>
            <w:r>
              <w:rPr>
                <w:sz w:val="24"/>
                <w:szCs w:val="24"/>
              </w:rPr>
              <w:t>通过访谈物理安全负责人，检查机房，测评机房物理场所在位置上是否具有防震、防风和防雨等多方面的安全防范能力。</w:t>
            </w:r>
          </w:p>
        </w:tc>
      </w:tr>
      <w:tr w14:paraId="1EEE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6248832A">
            <w:pPr>
              <w:jc w:val="center"/>
              <w:rPr>
                <w:sz w:val="24"/>
                <w:szCs w:val="24"/>
              </w:rPr>
            </w:pPr>
            <w:r>
              <w:rPr>
                <w:rFonts w:hint="eastAsia"/>
                <w:sz w:val="24"/>
                <w:szCs w:val="24"/>
              </w:rPr>
              <w:t>2</w:t>
            </w:r>
          </w:p>
        </w:tc>
        <w:tc>
          <w:tcPr>
            <w:tcW w:w="727" w:type="pct"/>
            <w:tcBorders>
              <w:top w:val="single" w:color="auto" w:sz="4" w:space="0"/>
              <w:left w:val="single" w:color="auto" w:sz="4" w:space="0"/>
              <w:bottom w:val="single" w:color="auto" w:sz="4" w:space="0"/>
              <w:right w:val="single" w:color="auto" w:sz="4" w:space="0"/>
            </w:tcBorders>
            <w:noWrap/>
            <w:vAlign w:val="center"/>
          </w:tcPr>
          <w:p w14:paraId="625C19BE">
            <w:pPr>
              <w:widowControl/>
              <w:jc w:val="center"/>
              <w:rPr>
                <w:sz w:val="24"/>
                <w:szCs w:val="24"/>
              </w:rPr>
            </w:pPr>
            <w:r>
              <w:rPr>
                <w:sz w:val="24"/>
                <w:szCs w:val="24"/>
              </w:rPr>
              <w:t>物理访问控制</w:t>
            </w:r>
          </w:p>
        </w:tc>
        <w:tc>
          <w:tcPr>
            <w:tcW w:w="3840" w:type="pct"/>
            <w:tcBorders>
              <w:top w:val="single" w:color="auto" w:sz="4" w:space="0"/>
              <w:left w:val="single" w:color="auto" w:sz="4" w:space="0"/>
              <w:bottom w:val="single" w:color="auto" w:sz="4" w:space="0"/>
              <w:right w:val="single" w:color="auto" w:sz="4" w:space="0"/>
            </w:tcBorders>
            <w:noWrap/>
            <w:vAlign w:val="center"/>
          </w:tcPr>
          <w:p w14:paraId="3A116F86">
            <w:pPr>
              <w:widowControl/>
              <w:rPr>
                <w:sz w:val="24"/>
                <w:szCs w:val="24"/>
              </w:rPr>
            </w:pPr>
            <w:r>
              <w:rPr>
                <w:sz w:val="24"/>
                <w:szCs w:val="24"/>
              </w:rPr>
              <w:t>通过访谈物理安全负责人，检查机房出入口等过程，测评信息系统在物理访问控制方面的安全防范能力。</w:t>
            </w:r>
          </w:p>
        </w:tc>
      </w:tr>
      <w:tr w14:paraId="6B47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277FE0EB">
            <w:pPr>
              <w:jc w:val="center"/>
              <w:rPr>
                <w:sz w:val="24"/>
                <w:szCs w:val="24"/>
              </w:rPr>
            </w:pPr>
            <w:r>
              <w:rPr>
                <w:rFonts w:hint="eastAsia"/>
                <w:sz w:val="24"/>
                <w:szCs w:val="24"/>
              </w:rPr>
              <w:t>3</w:t>
            </w:r>
          </w:p>
        </w:tc>
        <w:tc>
          <w:tcPr>
            <w:tcW w:w="727" w:type="pct"/>
            <w:tcBorders>
              <w:top w:val="single" w:color="auto" w:sz="4" w:space="0"/>
              <w:left w:val="single" w:color="auto" w:sz="4" w:space="0"/>
              <w:bottom w:val="single" w:color="auto" w:sz="4" w:space="0"/>
              <w:right w:val="single" w:color="auto" w:sz="4" w:space="0"/>
            </w:tcBorders>
            <w:noWrap/>
            <w:vAlign w:val="center"/>
          </w:tcPr>
          <w:p w14:paraId="677048B3">
            <w:pPr>
              <w:widowControl/>
              <w:jc w:val="center"/>
              <w:rPr>
                <w:sz w:val="24"/>
                <w:szCs w:val="24"/>
              </w:rPr>
            </w:pPr>
            <w:r>
              <w:rPr>
                <w:sz w:val="24"/>
                <w:szCs w:val="24"/>
              </w:rPr>
              <w:t>防盗窃和防破坏</w:t>
            </w:r>
          </w:p>
        </w:tc>
        <w:tc>
          <w:tcPr>
            <w:tcW w:w="3840" w:type="pct"/>
            <w:tcBorders>
              <w:top w:val="single" w:color="auto" w:sz="4" w:space="0"/>
              <w:left w:val="single" w:color="auto" w:sz="4" w:space="0"/>
              <w:bottom w:val="single" w:color="auto" w:sz="4" w:space="0"/>
              <w:right w:val="single" w:color="auto" w:sz="4" w:space="0"/>
            </w:tcBorders>
            <w:noWrap/>
            <w:vAlign w:val="center"/>
          </w:tcPr>
          <w:p w14:paraId="3D748DBF">
            <w:pPr>
              <w:widowControl/>
              <w:rPr>
                <w:sz w:val="24"/>
                <w:szCs w:val="24"/>
              </w:rPr>
            </w:pPr>
            <w:r>
              <w:rPr>
                <w:sz w:val="24"/>
                <w:szCs w:val="24"/>
              </w:rPr>
              <w:t>通过访谈物理安全负责人，检查机房内的主要设备、介质和防盗报警设施等过程，测评信息系统是否采取必要的措施预防设备、介质等丢失和被破坏。</w:t>
            </w:r>
          </w:p>
        </w:tc>
      </w:tr>
      <w:tr w14:paraId="7AB9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23114A83">
            <w:pPr>
              <w:jc w:val="center"/>
              <w:rPr>
                <w:sz w:val="24"/>
                <w:szCs w:val="24"/>
              </w:rPr>
            </w:pPr>
            <w:r>
              <w:rPr>
                <w:rFonts w:hint="eastAsia"/>
                <w:sz w:val="24"/>
                <w:szCs w:val="24"/>
              </w:rPr>
              <w:t>4</w:t>
            </w:r>
          </w:p>
        </w:tc>
        <w:tc>
          <w:tcPr>
            <w:tcW w:w="727" w:type="pct"/>
            <w:tcBorders>
              <w:top w:val="single" w:color="auto" w:sz="4" w:space="0"/>
              <w:left w:val="single" w:color="auto" w:sz="4" w:space="0"/>
              <w:bottom w:val="single" w:color="auto" w:sz="4" w:space="0"/>
              <w:right w:val="single" w:color="auto" w:sz="4" w:space="0"/>
            </w:tcBorders>
            <w:noWrap/>
            <w:vAlign w:val="center"/>
          </w:tcPr>
          <w:p w14:paraId="3025C10D">
            <w:pPr>
              <w:widowControl/>
              <w:jc w:val="center"/>
              <w:rPr>
                <w:sz w:val="24"/>
                <w:szCs w:val="24"/>
              </w:rPr>
            </w:pPr>
            <w:r>
              <w:rPr>
                <w:sz w:val="24"/>
                <w:szCs w:val="24"/>
              </w:rPr>
              <w:t>防雷击</w:t>
            </w:r>
          </w:p>
        </w:tc>
        <w:tc>
          <w:tcPr>
            <w:tcW w:w="3840" w:type="pct"/>
            <w:tcBorders>
              <w:top w:val="single" w:color="auto" w:sz="4" w:space="0"/>
              <w:left w:val="single" w:color="auto" w:sz="4" w:space="0"/>
              <w:bottom w:val="single" w:color="auto" w:sz="4" w:space="0"/>
              <w:right w:val="single" w:color="auto" w:sz="4" w:space="0"/>
            </w:tcBorders>
            <w:noWrap/>
            <w:vAlign w:val="center"/>
          </w:tcPr>
          <w:p w14:paraId="05E2FE41">
            <w:pPr>
              <w:widowControl/>
              <w:rPr>
                <w:sz w:val="24"/>
                <w:szCs w:val="24"/>
              </w:rPr>
            </w:pPr>
            <w:r>
              <w:rPr>
                <w:sz w:val="24"/>
                <w:szCs w:val="24"/>
              </w:rPr>
              <w:t>通过访谈物理安全负责人，检查机房设计/验收文档，测评信息系统是否采取相应的措施预防雷击。</w:t>
            </w:r>
          </w:p>
        </w:tc>
      </w:tr>
      <w:tr w14:paraId="3675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63E102FE">
            <w:pPr>
              <w:jc w:val="center"/>
              <w:rPr>
                <w:sz w:val="24"/>
                <w:szCs w:val="24"/>
              </w:rPr>
            </w:pPr>
            <w:r>
              <w:rPr>
                <w:rFonts w:hint="eastAsia"/>
                <w:sz w:val="24"/>
                <w:szCs w:val="24"/>
              </w:rPr>
              <w:t>5</w:t>
            </w:r>
          </w:p>
        </w:tc>
        <w:tc>
          <w:tcPr>
            <w:tcW w:w="727" w:type="pct"/>
            <w:tcBorders>
              <w:top w:val="single" w:color="auto" w:sz="4" w:space="0"/>
              <w:left w:val="single" w:color="auto" w:sz="4" w:space="0"/>
              <w:bottom w:val="single" w:color="auto" w:sz="4" w:space="0"/>
              <w:right w:val="single" w:color="auto" w:sz="4" w:space="0"/>
            </w:tcBorders>
            <w:noWrap/>
            <w:vAlign w:val="center"/>
          </w:tcPr>
          <w:p w14:paraId="1DFD731A">
            <w:pPr>
              <w:widowControl/>
              <w:jc w:val="center"/>
              <w:rPr>
                <w:sz w:val="24"/>
                <w:szCs w:val="24"/>
              </w:rPr>
            </w:pPr>
            <w:r>
              <w:rPr>
                <w:sz w:val="24"/>
                <w:szCs w:val="24"/>
              </w:rPr>
              <w:t>防火</w:t>
            </w:r>
          </w:p>
        </w:tc>
        <w:tc>
          <w:tcPr>
            <w:tcW w:w="3840" w:type="pct"/>
            <w:tcBorders>
              <w:top w:val="single" w:color="auto" w:sz="4" w:space="0"/>
              <w:left w:val="single" w:color="auto" w:sz="4" w:space="0"/>
              <w:bottom w:val="single" w:color="auto" w:sz="4" w:space="0"/>
              <w:right w:val="single" w:color="auto" w:sz="4" w:space="0"/>
            </w:tcBorders>
            <w:noWrap/>
            <w:vAlign w:val="center"/>
          </w:tcPr>
          <w:p w14:paraId="35A62062">
            <w:pPr>
              <w:widowControl/>
              <w:rPr>
                <w:sz w:val="24"/>
                <w:szCs w:val="24"/>
              </w:rPr>
            </w:pPr>
            <w:r>
              <w:rPr>
                <w:sz w:val="24"/>
                <w:szCs w:val="24"/>
              </w:rPr>
              <w:t>通过访谈物理安全负责人，检查机房防火方面的安全管理制度，检查机房防火设备等过程，测评信息系统是否采取必要的措施防止火灾的发生。</w:t>
            </w:r>
          </w:p>
        </w:tc>
      </w:tr>
      <w:tr w14:paraId="2F02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248D1EE9">
            <w:pPr>
              <w:jc w:val="center"/>
              <w:rPr>
                <w:sz w:val="24"/>
                <w:szCs w:val="24"/>
              </w:rPr>
            </w:pPr>
            <w:r>
              <w:rPr>
                <w:rFonts w:hint="eastAsia"/>
                <w:sz w:val="24"/>
                <w:szCs w:val="24"/>
              </w:rPr>
              <w:t>6</w:t>
            </w:r>
          </w:p>
        </w:tc>
        <w:tc>
          <w:tcPr>
            <w:tcW w:w="727" w:type="pct"/>
            <w:tcBorders>
              <w:top w:val="single" w:color="auto" w:sz="4" w:space="0"/>
              <w:left w:val="single" w:color="auto" w:sz="4" w:space="0"/>
              <w:bottom w:val="single" w:color="auto" w:sz="4" w:space="0"/>
              <w:right w:val="single" w:color="auto" w:sz="4" w:space="0"/>
            </w:tcBorders>
            <w:noWrap/>
            <w:vAlign w:val="center"/>
          </w:tcPr>
          <w:p w14:paraId="7CDF14F1">
            <w:pPr>
              <w:widowControl/>
              <w:jc w:val="center"/>
              <w:rPr>
                <w:sz w:val="24"/>
                <w:szCs w:val="24"/>
              </w:rPr>
            </w:pPr>
            <w:r>
              <w:rPr>
                <w:sz w:val="24"/>
                <w:szCs w:val="24"/>
              </w:rPr>
              <w:t>防水和防潮</w:t>
            </w:r>
          </w:p>
        </w:tc>
        <w:tc>
          <w:tcPr>
            <w:tcW w:w="3840" w:type="pct"/>
            <w:tcBorders>
              <w:top w:val="single" w:color="auto" w:sz="4" w:space="0"/>
              <w:left w:val="single" w:color="auto" w:sz="4" w:space="0"/>
              <w:bottom w:val="single" w:color="auto" w:sz="4" w:space="0"/>
              <w:right w:val="single" w:color="auto" w:sz="4" w:space="0"/>
            </w:tcBorders>
            <w:noWrap/>
            <w:vAlign w:val="center"/>
          </w:tcPr>
          <w:p w14:paraId="3E2E3EF9">
            <w:pPr>
              <w:widowControl/>
              <w:rPr>
                <w:sz w:val="24"/>
                <w:szCs w:val="24"/>
              </w:rPr>
            </w:pPr>
            <w:r>
              <w:rPr>
                <w:sz w:val="24"/>
                <w:szCs w:val="24"/>
              </w:rPr>
              <w:t>通过访谈物理安全负责人，检查机房及其除潮设备等过程，测评信息系统是否采取必要措施来防止水灾和机房潮湿。</w:t>
            </w:r>
          </w:p>
        </w:tc>
      </w:tr>
      <w:tr w14:paraId="11FD1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6B11B9E3">
            <w:pPr>
              <w:jc w:val="center"/>
              <w:rPr>
                <w:sz w:val="24"/>
                <w:szCs w:val="24"/>
              </w:rPr>
            </w:pPr>
            <w:r>
              <w:rPr>
                <w:rFonts w:hint="eastAsia"/>
                <w:sz w:val="24"/>
                <w:szCs w:val="24"/>
              </w:rPr>
              <w:t>7</w:t>
            </w:r>
          </w:p>
        </w:tc>
        <w:tc>
          <w:tcPr>
            <w:tcW w:w="727" w:type="pct"/>
            <w:tcBorders>
              <w:top w:val="single" w:color="auto" w:sz="4" w:space="0"/>
              <w:left w:val="single" w:color="auto" w:sz="4" w:space="0"/>
              <w:bottom w:val="single" w:color="auto" w:sz="4" w:space="0"/>
              <w:right w:val="single" w:color="auto" w:sz="4" w:space="0"/>
            </w:tcBorders>
            <w:noWrap/>
            <w:vAlign w:val="center"/>
          </w:tcPr>
          <w:p w14:paraId="5C3F403F">
            <w:pPr>
              <w:widowControl/>
              <w:jc w:val="center"/>
              <w:rPr>
                <w:sz w:val="24"/>
                <w:szCs w:val="24"/>
              </w:rPr>
            </w:pPr>
            <w:r>
              <w:rPr>
                <w:sz w:val="24"/>
                <w:szCs w:val="24"/>
              </w:rPr>
              <w:t>防静电</w:t>
            </w:r>
          </w:p>
        </w:tc>
        <w:tc>
          <w:tcPr>
            <w:tcW w:w="3840" w:type="pct"/>
            <w:tcBorders>
              <w:top w:val="single" w:color="auto" w:sz="4" w:space="0"/>
              <w:left w:val="single" w:color="auto" w:sz="4" w:space="0"/>
              <w:bottom w:val="single" w:color="auto" w:sz="4" w:space="0"/>
              <w:right w:val="single" w:color="auto" w:sz="4" w:space="0"/>
            </w:tcBorders>
            <w:noWrap/>
            <w:vAlign w:val="center"/>
          </w:tcPr>
          <w:p w14:paraId="367B0B24">
            <w:pPr>
              <w:widowControl/>
              <w:rPr>
                <w:sz w:val="24"/>
                <w:szCs w:val="24"/>
              </w:rPr>
            </w:pPr>
            <w:r>
              <w:rPr>
                <w:sz w:val="24"/>
                <w:szCs w:val="24"/>
              </w:rPr>
              <w:t>通过访谈物理安全负责人，检查机房等过程，测评信息系统是否采取必要措施防止静电的产生。</w:t>
            </w:r>
          </w:p>
        </w:tc>
      </w:tr>
      <w:tr w14:paraId="7E15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74F39723">
            <w:pPr>
              <w:jc w:val="center"/>
              <w:rPr>
                <w:sz w:val="24"/>
                <w:szCs w:val="24"/>
              </w:rPr>
            </w:pPr>
            <w:r>
              <w:rPr>
                <w:rFonts w:hint="eastAsia"/>
                <w:sz w:val="24"/>
                <w:szCs w:val="24"/>
              </w:rPr>
              <w:t>8</w:t>
            </w:r>
          </w:p>
        </w:tc>
        <w:tc>
          <w:tcPr>
            <w:tcW w:w="727" w:type="pct"/>
            <w:tcBorders>
              <w:top w:val="single" w:color="auto" w:sz="4" w:space="0"/>
              <w:left w:val="single" w:color="auto" w:sz="4" w:space="0"/>
              <w:bottom w:val="single" w:color="auto" w:sz="4" w:space="0"/>
              <w:right w:val="single" w:color="auto" w:sz="4" w:space="0"/>
            </w:tcBorders>
            <w:noWrap/>
            <w:vAlign w:val="center"/>
          </w:tcPr>
          <w:p w14:paraId="06B7A700">
            <w:pPr>
              <w:widowControl/>
              <w:jc w:val="center"/>
              <w:rPr>
                <w:sz w:val="24"/>
                <w:szCs w:val="24"/>
              </w:rPr>
            </w:pPr>
            <w:r>
              <w:rPr>
                <w:sz w:val="24"/>
                <w:szCs w:val="24"/>
              </w:rPr>
              <w:t>温湿度控制</w:t>
            </w:r>
          </w:p>
        </w:tc>
        <w:tc>
          <w:tcPr>
            <w:tcW w:w="3840" w:type="pct"/>
            <w:tcBorders>
              <w:top w:val="single" w:color="auto" w:sz="4" w:space="0"/>
              <w:left w:val="single" w:color="auto" w:sz="4" w:space="0"/>
              <w:bottom w:val="single" w:color="auto" w:sz="4" w:space="0"/>
              <w:right w:val="single" w:color="auto" w:sz="4" w:space="0"/>
            </w:tcBorders>
            <w:noWrap/>
            <w:vAlign w:val="center"/>
          </w:tcPr>
          <w:p w14:paraId="32490852">
            <w:pPr>
              <w:widowControl/>
              <w:rPr>
                <w:sz w:val="24"/>
                <w:szCs w:val="24"/>
              </w:rPr>
            </w:pPr>
            <w:r>
              <w:rPr>
                <w:sz w:val="24"/>
                <w:szCs w:val="24"/>
              </w:rPr>
              <w:t>通过访谈物理安全负责人，检查机房的温湿度自动调节系统，测评信息系统是否采取必要措施对机房内的温湿度进行控制。</w:t>
            </w:r>
          </w:p>
        </w:tc>
      </w:tr>
      <w:tr w14:paraId="2612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1465EFC8">
            <w:pPr>
              <w:jc w:val="center"/>
              <w:rPr>
                <w:sz w:val="24"/>
                <w:szCs w:val="24"/>
              </w:rPr>
            </w:pPr>
            <w:r>
              <w:rPr>
                <w:rFonts w:hint="eastAsia"/>
                <w:sz w:val="24"/>
                <w:szCs w:val="24"/>
              </w:rPr>
              <w:t>9</w:t>
            </w:r>
          </w:p>
        </w:tc>
        <w:tc>
          <w:tcPr>
            <w:tcW w:w="727" w:type="pct"/>
            <w:tcBorders>
              <w:top w:val="single" w:color="auto" w:sz="4" w:space="0"/>
              <w:left w:val="single" w:color="auto" w:sz="4" w:space="0"/>
              <w:bottom w:val="single" w:color="auto" w:sz="4" w:space="0"/>
              <w:right w:val="single" w:color="auto" w:sz="4" w:space="0"/>
            </w:tcBorders>
            <w:noWrap/>
            <w:vAlign w:val="center"/>
          </w:tcPr>
          <w:p w14:paraId="03C95A17">
            <w:pPr>
              <w:widowControl/>
              <w:jc w:val="center"/>
              <w:rPr>
                <w:sz w:val="24"/>
                <w:szCs w:val="24"/>
              </w:rPr>
            </w:pPr>
            <w:r>
              <w:rPr>
                <w:sz w:val="24"/>
                <w:szCs w:val="24"/>
              </w:rPr>
              <w:t>电力供应</w:t>
            </w:r>
          </w:p>
        </w:tc>
        <w:tc>
          <w:tcPr>
            <w:tcW w:w="3840" w:type="pct"/>
            <w:tcBorders>
              <w:top w:val="single" w:color="auto" w:sz="4" w:space="0"/>
              <w:left w:val="single" w:color="auto" w:sz="4" w:space="0"/>
              <w:bottom w:val="single" w:color="auto" w:sz="4" w:space="0"/>
              <w:right w:val="single" w:color="auto" w:sz="4" w:space="0"/>
            </w:tcBorders>
            <w:noWrap/>
            <w:vAlign w:val="center"/>
          </w:tcPr>
          <w:p w14:paraId="7EED50C2">
            <w:pPr>
              <w:widowControl/>
              <w:rPr>
                <w:sz w:val="24"/>
                <w:szCs w:val="24"/>
              </w:rPr>
            </w:pPr>
            <w:r>
              <w:rPr>
                <w:sz w:val="24"/>
                <w:szCs w:val="24"/>
              </w:rPr>
              <w:t>通过访谈物理安全负责人，检查机房供电线路、设备等过程，测评是否具备为信息系统提供一定电力供应的能力。</w:t>
            </w:r>
          </w:p>
        </w:tc>
      </w:tr>
      <w:tr w14:paraId="486B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2F1543F8">
            <w:pPr>
              <w:jc w:val="center"/>
              <w:rPr>
                <w:sz w:val="24"/>
                <w:szCs w:val="24"/>
              </w:rPr>
            </w:pPr>
            <w:r>
              <w:rPr>
                <w:rFonts w:hint="eastAsia"/>
                <w:sz w:val="24"/>
                <w:szCs w:val="24"/>
              </w:rPr>
              <w:t>1</w:t>
            </w:r>
            <w:r>
              <w:rPr>
                <w:sz w:val="24"/>
                <w:szCs w:val="24"/>
              </w:rPr>
              <w:t>0</w:t>
            </w:r>
          </w:p>
        </w:tc>
        <w:tc>
          <w:tcPr>
            <w:tcW w:w="727" w:type="pct"/>
            <w:tcBorders>
              <w:top w:val="single" w:color="auto" w:sz="4" w:space="0"/>
              <w:left w:val="single" w:color="auto" w:sz="4" w:space="0"/>
              <w:bottom w:val="single" w:color="auto" w:sz="4" w:space="0"/>
              <w:right w:val="single" w:color="auto" w:sz="4" w:space="0"/>
            </w:tcBorders>
            <w:noWrap/>
            <w:vAlign w:val="center"/>
          </w:tcPr>
          <w:p w14:paraId="39FC66A0">
            <w:pPr>
              <w:widowControl/>
              <w:jc w:val="center"/>
              <w:rPr>
                <w:sz w:val="24"/>
                <w:szCs w:val="24"/>
              </w:rPr>
            </w:pPr>
            <w:r>
              <w:rPr>
                <w:sz w:val="24"/>
                <w:szCs w:val="24"/>
              </w:rPr>
              <w:t>电磁防护</w:t>
            </w:r>
          </w:p>
        </w:tc>
        <w:tc>
          <w:tcPr>
            <w:tcW w:w="3840" w:type="pct"/>
            <w:tcBorders>
              <w:top w:val="single" w:color="auto" w:sz="4" w:space="0"/>
              <w:left w:val="single" w:color="auto" w:sz="4" w:space="0"/>
              <w:bottom w:val="single" w:color="auto" w:sz="4" w:space="0"/>
              <w:right w:val="single" w:color="auto" w:sz="4" w:space="0"/>
            </w:tcBorders>
            <w:noWrap/>
            <w:vAlign w:val="center"/>
          </w:tcPr>
          <w:p w14:paraId="2341DB1C">
            <w:pPr>
              <w:widowControl/>
              <w:rPr>
                <w:sz w:val="24"/>
                <w:szCs w:val="24"/>
              </w:rPr>
            </w:pPr>
            <w:r>
              <w:rPr>
                <w:sz w:val="24"/>
                <w:szCs w:val="24"/>
              </w:rPr>
              <w:t>通过访谈物理安全负责人，检查主要设备等过程，测评信息系统是否具备一定的电磁防护能力。</w:t>
            </w:r>
          </w:p>
        </w:tc>
      </w:tr>
    </w:tbl>
    <w:p w14:paraId="17EE50D7">
      <w:pPr>
        <w:adjustRightInd w:val="0"/>
        <w:snapToGrid w:val="0"/>
        <w:spacing w:line="400" w:lineRule="exact"/>
        <w:ind w:firstLine="482" w:firstLineChars="200"/>
        <w:rPr>
          <w:rFonts w:ascii="宋体" w:hAnsi="宋体"/>
          <w:b/>
          <w:bCs/>
          <w:sz w:val="24"/>
          <w:szCs w:val="24"/>
        </w:rPr>
      </w:pPr>
      <w:bookmarkStart w:id="9" w:name="_Toc12351509"/>
      <w:bookmarkStart w:id="10" w:name="_Toc1750133"/>
      <w:bookmarkStart w:id="11" w:name="_Toc12808483"/>
      <w:r>
        <w:rPr>
          <w:rFonts w:hint="eastAsia" w:ascii="宋体" w:hAnsi="宋体"/>
          <w:b/>
          <w:bCs/>
          <w:sz w:val="24"/>
          <w:szCs w:val="24"/>
        </w:rPr>
        <w:t>（2）</w:t>
      </w:r>
      <w:r>
        <w:rPr>
          <w:rFonts w:ascii="宋体" w:hAnsi="宋体"/>
          <w:b/>
          <w:bCs/>
          <w:sz w:val="24"/>
          <w:szCs w:val="24"/>
        </w:rPr>
        <w:t>安全</w:t>
      </w:r>
      <w:r>
        <w:rPr>
          <w:rFonts w:hint="eastAsia" w:ascii="宋体" w:hAnsi="宋体"/>
          <w:b/>
          <w:bCs/>
          <w:sz w:val="24"/>
          <w:szCs w:val="24"/>
        </w:rPr>
        <w:t>通信</w:t>
      </w:r>
      <w:r>
        <w:rPr>
          <w:rFonts w:ascii="宋体" w:hAnsi="宋体"/>
          <w:b/>
          <w:bCs/>
          <w:sz w:val="24"/>
          <w:szCs w:val="24"/>
        </w:rPr>
        <w:t>网络</w:t>
      </w:r>
      <w:bookmarkEnd w:id="9"/>
      <w:bookmarkEnd w:id="10"/>
      <w:bookmarkEnd w:id="11"/>
    </w:p>
    <w:p w14:paraId="6A1C1A64">
      <w:pPr>
        <w:adjustRightInd w:val="0"/>
        <w:snapToGrid w:val="0"/>
        <w:spacing w:line="400" w:lineRule="exact"/>
        <w:ind w:firstLine="480" w:firstLineChars="200"/>
        <w:rPr>
          <w:rFonts w:ascii="宋体" w:hAnsi="宋体"/>
          <w:sz w:val="24"/>
          <w:szCs w:val="24"/>
        </w:rPr>
      </w:pPr>
      <w:r>
        <w:rPr>
          <w:rFonts w:hint="eastAsia" w:ascii="宋体" w:hAnsi="宋体"/>
          <w:sz w:val="24"/>
          <w:szCs w:val="24"/>
        </w:rPr>
        <w:t>安全通信网络</w:t>
      </w:r>
      <w:r>
        <w:rPr>
          <w:rFonts w:ascii="宋体" w:hAnsi="宋体"/>
          <w:sz w:val="24"/>
          <w:szCs w:val="24"/>
        </w:rPr>
        <w:t>测评</w:t>
      </w:r>
      <w:r>
        <w:rPr>
          <w:rFonts w:hint="eastAsia" w:ascii="宋体" w:hAnsi="宋体"/>
          <w:sz w:val="24"/>
          <w:szCs w:val="24"/>
        </w:rPr>
        <w:t>：</w:t>
      </w:r>
      <w:r>
        <w:rPr>
          <w:rFonts w:ascii="宋体" w:hAnsi="宋体"/>
          <w:sz w:val="24"/>
          <w:szCs w:val="24"/>
        </w:rPr>
        <w:t>通过访谈、检查和测试的方式评测信息系统的网络安全保障情况。主要涉及对象机房的网络设备、网络安全设备以及网络拓扑结构等三大类对象。在内容上，</w:t>
      </w:r>
      <w:r>
        <w:rPr>
          <w:rFonts w:hint="eastAsia" w:ascii="宋体" w:hAnsi="宋体"/>
          <w:sz w:val="24"/>
          <w:szCs w:val="24"/>
        </w:rPr>
        <w:t>通信网络安全</w:t>
      </w:r>
      <w:r>
        <w:rPr>
          <w:rFonts w:ascii="宋体" w:hAnsi="宋体"/>
          <w:sz w:val="24"/>
          <w:szCs w:val="24"/>
        </w:rPr>
        <w:t>层面测评过程涉及</w:t>
      </w:r>
      <w:r>
        <w:rPr>
          <w:rFonts w:hint="eastAsia" w:ascii="宋体" w:hAnsi="宋体"/>
          <w:sz w:val="24"/>
          <w:szCs w:val="24"/>
        </w:rPr>
        <w:t>3</w:t>
      </w:r>
      <w:r>
        <w:rPr>
          <w:rFonts w:ascii="宋体" w:hAnsi="宋体"/>
          <w:sz w:val="24"/>
          <w:szCs w:val="24"/>
        </w:rPr>
        <w:t>个工作单元。</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324"/>
        <w:gridCol w:w="7849"/>
      </w:tblGrid>
      <w:tr w14:paraId="1A6D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73CE200">
            <w:pPr>
              <w:jc w:val="center"/>
              <w:rPr>
                <w:rFonts w:hint="eastAsia"/>
                <w:b/>
                <w:bCs/>
                <w:sz w:val="24"/>
                <w:szCs w:val="24"/>
              </w:rPr>
            </w:pPr>
            <w:r>
              <w:rPr>
                <w:rFonts w:hint="eastAsia"/>
                <w:b/>
                <w:bCs/>
                <w:sz w:val="24"/>
                <w:szCs w:val="24"/>
              </w:rPr>
              <w:t>序号</w:t>
            </w:r>
          </w:p>
        </w:tc>
        <w:tc>
          <w:tcPr>
            <w:tcW w:w="665"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DD59613">
            <w:pPr>
              <w:jc w:val="center"/>
              <w:rPr>
                <w:rFonts w:hint="eastAsia"/>
                <w:b/>
                <w:bCs/>
                <w:sz w:val="24"/>
                <w:szCs w:val="24"/>
              </w:rPr>
            </w:pPr>
            <w:r>
              <w:rPr>
                <w:rFonts w:hint="eastAsia"/>
                <w:b/>
                <w:bCs/>
                <w:sz w:val="24"/>
                <w:szCs w:val="24"/>
              </w:rPr>
              <w:t>安全子类</w:t>
            </w:r>
          </w:p>
        </w:tc>
        <w:tc>
          <w:tcPr>
            <w:tcW w:w="393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9221D16">
            <w:pPr>
              <w:jc w:val="center"/>
              <w:rPr>
                <w:rFonts w:hint="eastAsia"/>
                <w:b/>
                <w:bCs/>
                <w:sz w:val="24"/>
                <w:szCs w:val="24"/>
              </w:rPr>
            </w:pPr>
            <w:r>
              <w:rPr>
                <w:rFonts w:hint="eastAsia"/>
                <w:b/>
                <w:bCs/>
                <w:sz w:val="24"/>
                <w:szCs w:val="24"/>
              </w:rPr>
              <w:t>测评指标描述</w:t>
            </w:r>
          </w:p>
        </w:tc>
      </w:tr>
      <w:tr w14:paraId="09F8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07B42FF5">
            <w:pPr>
              <w:jc w:val="center"/>
              <w:rPr>
                <w:sz w:val="24"/>
                <w:szCs w:val="24"/>
              </w:rPr>
            </w:pPr>
            <w:r>
              <w:rPr>
                <w:rFonts w:hint="eastAsia"/>
                <w:sz w:val="24"/>
                <w:szCs w:val="24"/>
              </w:rPr>
              <w:t>1</w:t>
            </w:r>
          </w:p>
        </w:tc>
        <w:tc>
          <w:tcPr>
            <w:tcW w:w="665" w:type="pct"/>
            <w:tcBorders>
              <w:top w:val="single" w:color="auto" w:sz="4" w:space="0"/>
              <w:left w:val="single" w:color="auto" w:sz="4" w:space="0"/>
              <w:bottom w:val="single" w:color="auto" w:sz="4" w:space="0"/>
              <w:right w:val="single" w:color="auto" w:sz="4" w:space="0"/>
            </w:tcBorders>
            <w:noWrap/>
            <w:vAlign w:val="center"/>
          </w:tcPr>
          <w:p w14:paraId="6E10CCC1">
            <w:pPr>
              <w:widowControl/>
              <w:jc w:val="center"/>
              <w:rPr>
                <w:sz w:val="24"/>
                <w:szCs w:val="24"/>
              </w:rPr>
            </w:pPr>
            <w:r>
              <w:rPr>
                <w:rFonts w:hint="eastAsia"/>
                <w:sz w:val="24"/>
                <w:szCs w:val="24"/>
              </w:rPr>
              <w:t>网络架构</w:t>
            </w:r>
          </w:p>
        </w:tc>
        <w:tc>
          <w:tcPr>
            <w:tcW w:w="3939" w:type="pct"/>
            <w:tcBorders>
              <w:top w:val="single" w:color="auto" w:sz="4" w:space="0"/>
              <w:left w:val="single" w:color="auto" w:sz="4" w:space="0"/>
              <w:bottom w:val="single" w:color="auto" w:sz="4" w:space="0"/>
              <w:right w:val="single" w:color="auto" w:sz="4" w:space="0"/>
            </w:tcBorders>
            <w:noWrap/>
            <w:vAlign w:val="center"/>
          </w:tcPr>
          <w:p w14:paraId="422FA321">
            <w:pPr>
              <w:widowControl/>
              <w:rPr>
                <w:sz w:val="24"/>
                <w:szCs w:val="24"/>
              </w:rPr>
            </w:pPr>
            <w:r>
              <w:rPr>
                <w:sz w:val="24"/>
                <w:szCs w:val="24"/>
              </w:rPr>
              <w:t>通过访谈网络管理员，检查网络拓扑情况、核查核心交换机、路由器，测评分析网络架构与网段划分、隔离等情况的合理性和有效性。</w:t>
            </w:r>
          </w:p>
        </w:tc>
      </w:tr>
      <w:tr w14:paraId="57B4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71860AA1">
            <w:pPr>
              <w:jc w:val="center"/>
              <w:rPr>
                <w:sz w:val="24"/>
                <w:szCs w:val="24"/>
              </w:rPr>
            </w:pPr>
            <w:r>
              <w:rPr>
                <w:rFonts w:hint="eastAsia"/>
                <w:sz w:val="24"/>
                <w:szCs w:val="24"/>
              </w:rPr>
              <w:t>2</w:t>
            </w:r>
          </w:p>
        </w:tc>
        <w:tc>
          <w:tcPr>
            <w:tcW w:w="665" w:type="pct"/>
            <w:tcBorders>
              <w:top w:val="single" w:color="auto" w:sz="4" w:space="0"/>
              <w:left w:val="single" w:color="auto" w:sz="4" w:space="0"/>
              <w:bottom w:val="single" w:color="auto" w:sz="4" w:space="0"/>
              <w:right w:val="single" w:color="auto" w:sz="4" w:space="0"/>
            </w:tcBorders>
            <w:noWrap/>
            <w:vAlign w:val="center"/>
          </w:tcPr>
          <w:p w14:paraId="75E5A924">
            <w:pPr>
              <w:widowControl/>
              <w:jc w:val="center"/>
              <w:rPr>
                <w:sz w:val="24"/>
                <w:szCs w:val="24"/>
              </w:rPr>
            </w:pPr>
            <w:r>
              <w:rPr>
                <w:rFonts w:hint="eastAsia"/>
                <w:sz w:val="24"/>
                <w:szCs w:val="24"/>
              </w:rPr>
              <w:t>通信传输</w:t>
            </w:r>
          </w:p>
        </w:tc>
        <w:tc>
          <w:tcPr>
            <w:tcW w:w="3939" w:type="pct"/>
            <w:tcBorders>
              <w:top w:val="single" w:color="auto" w:sz="4" w:space="0"/>
              <w:left w:val="single" w:color="auto" w:sz="4" w:space="0"/>
              <w:bottom w:val="single" w:color="auto" w:sz="4" w:space="0"/>
              <w:right w:val="single" w:color="auto" w:sz="4" w:space="0"/>
            </w:tcBorders>
            <w:noWrap/>
            <w:vAlign w:val="center"/>
          </w:tcPr>
          <w:p w14:paraId="62F8A506">
            <w:pPr>
              <w:widowControl/>
              <w:rPr>
                <w:sz w:val="24"/>
                <w:szCs w:val="24"/>
              </w:rPr>
            </w:pPr>
            <w:r>
              <w:rPr>
                <w:sz w:val="24"/>
                <w:szCs w:val="24"/>
              </w:rPr>
              <w:t>通过访谈</w:t>
            </w:r>
            <w:r>
              <w:rPr>
                <w:rFonts w:hint="eastAsia"/>
                <w:sz w:val="24"/>
                <w:szCs w:val="24"/>
              </w:rPr>
              <w:t>网络管理员</w:t>
            </w:r>
            <w:r>
              <w:rPr>
                <w:sz w:val="24"/>
                <w:szCs w:val="24"/>
              </w:rPr>
              <w:t>，检查</w:t>
            </w:r>
            <w:r>
              <w:rPr>
                <w:rFonts w:hint="eastAsia"/>
                <w:sz w:val="24"/>
                <w:szCs w:val="24"/>
              </w:rPr>
              <w:t>各硬件设备传输过程中是否采用加密技术</w:t>
            </w:r>
            <w:r>
              <w:rPr>
                <w:sz w:val="24"/>
                <w:szCs w:val="24"/>
              </w:rPr>
              <w:t>。</w:t>
            </w:r>
          </w:p>
        </w:tc>
      </w:tr>
      <w:tr w14:paraId="4D45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4249E551">
            <w:pPr>
              <w:jc w:val="center"/>
              <w:rPr>
                <w:sz w:val="24"/>
                <w:szCs w:val="24"/>
              </w:rPr>
            </w:pPr>
            <w:r>
              <w:rPr>
                <w:rFonts w:hint="eastAsia"/>
                <w:sz w:val="24"/>
                <w:szCs w:val="24"/>
              </w:rPr>
              <w:t>3</w:t>
            </w:r>
          </w:p>
        </w:tc>
        <w:tc>
          <w:tcPr>
            <w:tcW w:w="665" w:type="pct"/>
            <w:tcBorders>
              <w:top w:val="single" w:color="auto" w:sz="4" w:space="0"/>
              <w:left w:val="single" w:color="auto" w:sz="4" w:space="0"/>
              <w:bottom w:val="single" w:color="auto" w:sz="4" w:space="0"/>
              <w:right w:val="single" w:color="auto" w:sz="4" w:space="0"/>
            </w:tcBorders>
            <w:noWrap/>
            <w:vAlign w:val="center"/>
          </w:tcPr>
          <w:p w14:paraId="53E4E9D2">
            <w:pPr>
              <w:widowControl/>
              <w:jc w:val="center"/>
              <w:rPr>
                <w:sz w:val="24"/>
                <w:szCs w:val="24"/>
              </w:rPr>
            </w:pPr>
            <w:r>
              <w:rPr>
                <w:rFonts w:hint="eastAsia"/>
                <w:sz w:val="24"/>
                <w:szCs w:val="24"/>
              </w:rPr>
              <w:t>可信验证</w:t>
            </w:r>
          </w:p>
        </w:tc>
        <w:tc>
          <w:tcPr>
            <w:tcW w:w="3939" w:type="pct"/>
            <w:tcBorders>
              <w:top w:val="single" w:color="auto" w:sz="4" w:space="0"/>
              <w:left w:val="single" w:color="auto" w:sz="4" w:space="0"/>
              <w:bottom w:val="single" w:color="auto" w:sz="4" w:space="0"/>
              <w:right w:val="single" w:color="auto" w:sz="4" w:space="0"/>
            </w:tcBorders>
            <w:noWrap/>
            <w:vAlign w:val="center"/>
          </w:tcPr>
          <w:p w14:paraId="63394CAC">
            <w:pPr>
              <w:widowControl/>
              <w:rPr>
                <w:sz w:val="24"/>
                <w:szCs w:val="24"/>
              </w:rPr>
            </w:pPr>
            <w:r>
              <w:rPr>
                <w:rFonts w:hint="eastAsia"/>
                <w:sz w:val="24"/>
                <w:szCs w:val="24"/>
              </w:rPr>
              <w:t>通过访谈网络管理员，检查各硬件设备传输过程中是否采用可信验证技术。</w:t>
            </w:r>
          </w:p>
        </w:tc>
      </w:tr>
    </w:tbl>
    <w:p w14:paraId="589F6DEE">
      <w:pPr>
        <w:adjustRightInd w:val="0"/>
        <w:snapToGrid w:val="0"/>
        <w:spacing w:line="400" w:lineRule="exact"/>
        <w:ind w:firstLine="482" w:firstLineChars="200"/>
        <w:rPr>
          <w:rFonts w:ascii="宋体" w:hAnsi="宋体"/>
          <w:b/>
          <w:bCs/>
          <w:sz w:val="24"/>
          <w:szCs w:val="24"/>
        </w:rPr>
      </w:pPr>
      <w:bookmarkStart w:id="12" w:name="_Toc12351510"/>
      <w:bookmarkStart w:id="13" w:name="_Toc1750137"/>
      <w:bookmarkStart w:id="14" w:name="_Toc12808484"/>
      <w:r>
        <w:rPr>
          <w:rFonts w:hint="eastAsia" w:ascii="宋体" w:hAnsi="宋体"/>
          <w:b/>
          <w:bCs/>
          <w:sz w:val="24"/>
          <w:szCs w:val="24"/>
        </w:rPr>
        <w:t>（3）安全区域边界</w:t>
      </w:r>
      <w:bookmarkEnd w:id="12"/>
      <w:bookmarkEnd w:id="13"/>
      <w:bookmarkEnd w:id="14"/>
    </w:p>
    <w:p w14:paraId="79DDA22B">
      <w:pPr>
        <w:adjustRightInd w:val="0"/>
        <w:snapToGrid w:val="0"/>
        <w:spacing w:line="400" w:lineRule="exact"/>
        <w:ind w:firstLine="480" w:firstLineChars="200"/>
        <w:rPr>
          <w:rFonts w:ascii="宋体" w:hAnsi="宋体"/>
          <w:sz w:val="24"/>
          <w:szCs w:val="24"/>
        </w:rPr>
      </w:pPr>
      <w:r>
        <w:rPr>
          <w:rFonts w:ascii="宋体" w:hAnsi="宋体"/>
          <w:sz w:val="24"/>
          <w:szCs w:val="24"/>
        </w:rPr>
        <w:t>安全</w:t>
      </w:r>
      <w:r>
        <w:rPr>
          <w:rFonts w:hint="eastAsia" w:ascii="宋体" w:hAnsi="宋体"/>
          <w:sz w:val="24"/>
          <w:szCs w:val="24"/>
        </w:rPr>
        <w:t>区域边界</w:t>
      </w:r>
      <w:r>
        <w:rPr>
          <w:rFonts w:ascii="宋体" w:hAnsi="宋体"/>
          <w:sz w:val="24"/>
          <w:szCs w:val="24"/>
        </w:rPr>
        <w:t>测评</w:t>
      </w:r>
      <w:r>
        <w:rPr>
          <w:rFonts w:hint="eastAsia" w:ascii="宋体" w:hAnsi="宋体"/>
          <w:sz w:val="24"/>
          <w:szCs w:val="24"/>
        </w:rPr>
        <w:t>：</w:t>
      </w:r>
      <w:r>
        <w:rPr>
          <w:rFonts w:ascii="宋体" w:hAnsi="宋体"/>
          <w:sz w:val="24"/>
          <w:szCs w:val="24"/>
        </w:rPr>
        <w:t>通过访谈、检查和测试的方式评测信息系统的</w:t>
      </w:r>
      <w:r>
        <w:rPr>
          <w:rFonts w:hint="eastAsia" w:ascii="宋体" w:hAnsi="宋体"/>
          <w:sz w:val="24"/>
          <w:szCs w:val="24"/>
        </w:rPr>
        <w:t>边界防护，</w:t>
      </w:r>
      <w:r>
        <w:rPr>
          <w:rFonts w:ascii="宋体" w:hAnsi="宋体"/>
          <w:sz w:val="24"/>
          <w:szCs w:val="24"/>
        </w:rPr>
        <w:t>在内容上，</w:t>
      </w:r>
      <w:r>
        <w:rPr>
          <w:rFonts w:hint="eastAsia" w:ascii="宋体" w:hAnsi="宋体"/>
          <w:sz w:val="24"/>
          <w:szCs w:val="24"/>
        </w:rPr>
        <w:t>安全区域边界</w:t>
      </w:r>
      <w:r>
        <w:rPr>
          <w:rFonts w:ascii="宋体" w:hAnsi="宋体"/>
          <w:sz w:val="24"/>
          <w:szCs w:val="24"/>
        </w:rPr>
        <w:t>测评实施过程涉及</w:t>
      </w:r>
      <w:r>
        <w:rPr>
          <w:rFonts w:hint="eastAsia" w:ascii="宋体" w:hAnsi="宋体"/>
          <w:sz w:val="24"/>
          <w:szCs w:val="24"/>
        </w:rPr>
        <w:t>6</w:t>
      </w:r>
      <w:r>
        <w:rPr>
          <w:rFonts w:ascii="宋体" w:hAnsi="宋体"/>
          <w:sz w:val="24"/>
          <w:szCs w:val="24"/>
        </w:rPr>
        <w:t>个安全子类。</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2687"/>
        <w:gridCol w:w="6320"/>
      </w:tblGrid>
      <w:tr w14:paraId="531E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4534A6E">
            <w:pPr>
              <w:jc w:val="center"/>
              <w:rPr>
                <w:b/>
                <w:kern w:val="0"/>
                <w:sz w:val="24"/>
                <w:szCs w:val="24"/>
              </w:rPr>
            </w:pPr>
            <w:r>
              <w:rPr>
                <w:b/>
                <w:kern w:val="0"/>
                <w:sz w:val="24"/>
                <w:szCs w:val="24"/>
              </w:rPr>
              <w:t>序号</w:t>
            </w:r>
          </w:p>
        </w:tc>
        <w:tc>
          <w:tcPr>
            <w:tcW w:w="134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01F504B">
            <w:pPr>
              <w:jc w:val="center"/>
              <w:rPr>
                <w:b/>
                <w:kern w:val="0"/>
                <w:sz w:val="24"/>
                <w:szCs w:val="24"/>
              </w:rPr>
            </w:pPr>
            <w:r>
              <w:rPr>
                <w:b/>
                <w:kern w:val="0"/>
                <w:sz w:val="24"/>
                <w:szCs w:val="24"/>
              </w:rPr>
              <w:t>安全子类</w:t>
            </w:r>
          </w:p>
        </w:tc>
        <w:tc>
          <w:tcPr>
            <w:tcW w:w="317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F8D09F5">
            <w:pPr>
              <w:jc w:val="center"/>
              <w:rPr>
                <w:b/>
                <w:kern w:val="0"/>
                <w:sz w:val="24"/>
                <w:szCs w:val="24"/>
              </w:rPr>
            </w:pPr>
            <w:r>
              <w:rPr>
                <w:b/>
                <w:kern w:val="0"/>
                <w:sz w:val="24"/>
                <w:szCs w:val="24"/>
              </w:rPr>
              <w:t>测评指标描述</w:t>
            </w:r>
          </w:p>
        </w:tc>
      </w:tr>
      <w:tr w14:paraId="29FA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79" w:type="pct"/>
            <w:tcBorders>
              <w:top w:val="single" w:color="auto" w:sz="4" w:space="0"/>
              <w:left w:val="single" w:color="auto" w:sz="4" w:space="0"/>
              <w:bottom w:val="single" w:color="auto" w:sz="4" w:space="0"/>
              <w:right w:val="single" w:color="auto" w:sz="4" w:space="0"/>
            </w:tcBorders>
            <w:noWrap/>
            <w:vAlign w:val="center"/>
          </w:tcPr>
          <w:p w14:paraId="73489C35">
            <w:pPr>
              <w:jc w:val="center"/>
              <w:rPr>
                <w:sz w:val="24"/>
                <w:szCs w:val="24"/>
              </w:rPr>
            </w:pPr>
            <w:r>
              <w:rPr>
                <w:rFonts w:hint="eastAsia"/>
                <w:sz w:val="24"/>
                <w:szCs w:val="24"/>
              </w:rPr>
              <w:t>1</w:t>
            </w:r>
          </w:p>
        </w:tc>
        <w:tc>
          <w:tcPr>
            <w:tcW w:w="1349" w:type="pct"/>
            <w:tcBorders>
              <w:top w:val="single" w:color="auto" w:sz="4" w:space="0"/>
              <w:left w:val="single" w:color="auto" w:sz="4" w:space="0"/>
              <w:bottom w:val="single" w:color="auto" w:sz="4" w:space="0"/>
              <w:right w:val="single" w:color="auto" w:sz="4" w:space="0"/>
            </w:tcBorders>
            <w:noWrap/>
            <w:vAlign w:val="center"/>
          </w:tcPr>
          <w:p w14:paraId="0AB89C11">
            <w:pPr>
              <w:widowControl/>
              <w:jc w:val="center"/>
              <w:rPr>
                <w:sz w:val="24"/>
                <w:szCs w:val="24"/>
              </w:rPr>
            </w:pPr>
            <w:r>
              <w:rPr>
                <w:rFonts w:hint="eastAsia"/>
                <w:sz w:val="24"/>
                <w:szCs w:val="24"/>
              </w:rPr>
              <w:t>边界防护</w:t>
            </w:r>
          </w:p>
        </w:tc>
        <w:tc>
          <w:tcPr>
            <w:tcW w:w="3171" w:type="pct"/>
            <w:tcBorders>
              <w:top w:val="single" w:color="auto" w:sz="4" w:space="0"/>
              <w:left w:val="single" w:color="auto" w:sz="4" w:space="0"/>
              <w:bottom w:val="single" w:color="auto" w:sz="4" w:space="0"/>
              <w:right w:val="single" w:color="auto" w:sz="4" w:space="0"/>
            </w:tcBorders>
            <w:noWrap/>
            <w:vAlign w:val="center"/>
          </w:tcPr>
          <w:p w14:paraId="7F910D1A">
            <w:pPr>
              <w:widowControl/>
              <w:rPr>
                <w:sz w:val="24"/>
                <w:szCs w:val="24"/>
              </w:rPr>
            </w:pPr>
            <w:r>
              <w:rPr>
                <w:rFonts w:hint="eastAsia"/>
                <w:sz w:val="24"/>
                <w:szCs w:val="24"/>
              </w:rPr>
              <w:t>通过访谈网络管理员，查看边界设备防护措施。</w:t>
            </w:r>
          </w:p>
        </w:tc>
      </w:tr>
      <w:tr w14:paraId="74F5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79" w:type="pct"/>
            <w:tcBorders>
              <w:top w:val="single" w:color="auto" w:sz="4" w:space="0"/>
              <w:left w:val="single" w:color="auto" w:sz="4" w:space="0"/>
              <w:bottom w:val="single" w:color="auto" w:sz="4" w:space="0"/>
              <w:right w:val="single" w:color="auto" w:sz="4" w:space="0"/>
            </w:tcBorders>
            <w:noWrap/>
            <w:vAlign w:val="center"/>
          </w:tcPr>
          <w:p w14:paraId="049D2D4B">
            <w:pPr>
              <w:jc w:val="center"/>
              <w:rPr>
                <w:sz w:val="24"/>
                <w:szCs w:val="24"/>
              </w:rPr>
            </w:pPr>
            <w:r>
              <w:rPr>
                <w:rFonts w:hint="eastAsia"/>
                <w:sz w:val="24"/>
                <w:szCs w:val="24"/>
              </w:rPr>
              <w:t>2</w:t>
            </w:r>
          </w:p>
        </w:tc>
        <w:tc>
          <w:tcPr>
            <w:tcW w:w="1349" w:type="pct"/>
            <w:tcBorders>
              <w:top w:val="single" w:color="auto" w:sz="4" w:space="0"/>
              <w:left w:val="single" w:color="auto" w:sz="4" w:space="0"/>
              <w:bottom w:val="single" w:color="auto" w:sz="4" w:space="0"/>
              <w:right w:val="single" w:color="auto" w:sz="4" w:space="0"/>
            </w:tcBorders>
            <w:noWrap/>
            <w:vAlign w:val="center"/>
          </w:tcPr>
          <w:p w14:paraId="2D669F4D">
            <w:pPr>
              <w:widowControl/>
              <w:jc w:val="center"/>
              <w:rPr>
                <w:sz w:val="24"/>
                <w:szCs w:val="24"/>
              </w:rPr>
            </w:pPr>
            <w:r>
              <w:rPr>
                <w:sz w:val="24"/>
                <w:szCs w:val="24"/>
              </w:rPr>
              <w:t>访问控制</w:t>
            </w:r>
          </w:p>
        </w:tc>
        <w:tc>
          <w:tcPr>
            <w:tcW w:w="3171" w:type="pct"/>
            <w:tcBorders>
              <w:top w:val="single" w:color="auto" w:sz="4" w:space="0"/>
              <w:left w:val="single" w:color="auto" w:sz="4" w:space="0"/>
              <w:bottom w:val="single" w:color="auto" w:sz="4" w:space="0"/>
              <w:right w:val="single" w:color="auto" w:sz="4" w:space="0"/>
            </w:tcBorders>
            <w:noWrap/>
            <w:vAlign w:val="center"/>
          </w:tcPr>
          <w:p w14:paraId="2DF9B7F4">
            <w:pPr>
              <w:widowControl/>
              <w:rPr>
                <w:sz w:val="24"/>
                <w:szCs w:val="24"/>
              </w:rPr>
            </w:pPr>
            <w:r>
              <w:rPr>
                <w:rFonts w:hint="eastAsia"/>
                <w:sz w:val="24"/>
                <w:szCs w:val="24"/>
              </w:rPr>
              <w:t>通过访谈网络管理员，查看边界设备的访问控制策略。</w:t>
            </w:r>
          </w:p>
        </w:tc>
      </w:tr>
      <w:tr w14:paraId="3DA7C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79" w:type="pct"/>
            <w:tcBorders>
              <w:top w:val="single" w:color="auto" w:sz="4" w:space="0"/>
              <w:left w:val="single" w:color="auto" w:sz="4" w:space="0"/>
              <w:bottom w:val="single" w:color="auto" w:sz="4" w:space="0"/>
              <w:right w:val="single" w:color="auto" w:sz="4" w:space="0"/>
            </w:tcBorders>
            <w:noWrap/>
            <w:vAlign w:val="center"/>
          </w:tcPr>
          <w:p w14:paraId="47C42FE6">
            <w:pPr>
              <w:jc w:val="center"/>
              <w:rPr>
                <w:sz w:val="24"/>
                <w:szCs w:val="24"/>
              </w:rPr>
            </w:pPr>
            <w:r>
              <w:rPr>
                <w:rFonts w:hint="eastAsia"/>
                <w:sz w:val="24"/>
                <w:szCs w:val="24"/>
              </w:rPr>
              <w:t>3</w:t>
            </w:r>
          </w:p>
        </w:tc>
        <w:tc>
          <w:tcPr>
            <w:tcW w:w="1349" w:type="pct"/>
            <w:tcBorders>
              <w:top w:val="single" w:color="auto" w:sz="4" w:space="0"/>
              <w:left w:val="single" w:color="auto" w:sz="4" w:space="0"/>
              <w:bottom w:val="single" w:color="auto" w:sz="4" w:space="0"/>
              <w:right w:val="single" w:color="auto" w:sz="4" w:space="0"/>
            </w:tcBorders>
            <w:noWrap/>
            <w:vAlign w:val="center"/>
          </w:tcPr>
          <w:p w14:paraId="08F0C41A">
            <w:pPr>
              <w:widowControl/>
              <w:jc w:val="center"/>
              <w:rPr>
                <w:sz w:val="24"/>
                <w:szCs w:val="24"/>
              </w:rPr>
            </w:pPr>
            <w:r>
              <w:rPr>
                <w:sz w:val="24"/>
                <w:szCs w:val="24"/>
              </w:rPr>
              <w:t>入侵防范</w:t>
            </w:r>
          </w:p>
        </w:tc>
        <w:tc>
          <w:tcPr>
            <w:tcW w:w="3171" w:type="pct"/>
            <w:tcBorders>
              <w:top w:val="single" w:color="auto" w:sz="4" w:space="0"/>
              <w:left w:val="single" w:color="auto" w:sz="4" w:space="0"/>
              <w:bottom w:val="single" w:color="auto" w:sz="4" w:space="0"/>
              <w:right w:val="single" w:color="auto" w:sz="4" w:space="0"/>
            </w:tcBorders>
            <w:noWrap/>
            <w:vAlign w:val="center"/>
          </w:tcPr>
          <w:p w14:paraId="11AA915D">
            <w:pPr>
              <w:widowControl/>
              <w:rPr>
                <w:sz w:val="24"/>
                <w:szCs w:val="24"/>
              </w:rPr>
            </w:pPr>
            <w:r>
              <w:rPr>
                <w:rFonts w:hint="eastAsia"/>
                <w:sz w:val="24"/>
                <w:szCs w:val="24"/>
              </w:rPr>
              <w:t>通过访谈网络管理员，查看各个关键网络节点的防入侵措施。</w:t>
            </w:r>
          </w:p>
        </w:tc>
      </w:tr>
      <w:tr w14:paraId="13F3F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79" w:type="pct"/>
            <w:tcBorders>
              <w:top w:val="single" w:color="auto" w:sz="4" w:space="0"/>
              <w:left w:val="single" w:color="auto" w:sz="4" w:space="0"/>
              <w:bottom w:val="single" w:color="auto" w:sz="4" w:space="0"/>
              <w:right w:val="single" w:color="auto" w:sz="4" w:space="0"/>
            </w:tcBorders>
            <w:noWrap/>
            <w:vAlign w:val="center"/>
          </w:tcPr>
          <w:p w14:paraId="1628BE70">
            <w:pPr>
              <w:jc w:val="center"/>
              <w:rPr>
                <w:sz w:val="24"/>
                <w:szCs w:val="24"/>
              </w:rPr>
            </w:pPr>
            <w:r>
              <w:rPr>
                <w:rFonts w:hint="eastAsia"/>
                <w:sz w:val="24"/>
                <w:szCs w:val="24"/>
              </w:rPr>
              <w:t>4</w:t>
            </w:r>
          </w:p>
        </w:tc>
        <w:tc>
          <w:tcPr>
            <w:tcW w:w="1349" w:type="pct"/>
            <w:tcBorders>
              <w:top w:val="single" w:color="auto" w:sz="4" w:space="0"/>
              <w:left w:val="single" w:color="auto" w:sz="4" w:space="0"/>
              <w:bottom w:val="single" w:color="auto" w:sz="4" w:space="0"/>
              <w:right w:val="single" w:color="auto" w:sz="4" w:space="0"/>
            </w:tcBorders>
            <w:noWrap/>
            <w:vAlign w:val="center"/>
          </w:tcPr>
          <w:p w14:paraId="1E6B0CC9">
            <w:pPr>
              <w:widowControl/>
              <w:jc w:val="center"/>
              <w:rPr>
                <w:sz w:val="24"/>
                <w:szCs w:val="24"/>
              </w:rPr>
            </w:pPr>
            <w:r>
              <w:rPr>
                <w:sz w:val="24"/>
                <w:szCs w:val="24"/>
              </w:rPr>
              <w:t>恶意代码防范</w:t>
            </w:r>
            <w:r>
              <w:rPr>
                <w:rFonts w:hint="eastAsia"/>
                <w:sz w:val="24"/>
                <w:szCs w:val="24"/>
              </w:rPr>
              <w:t>和垃圾邮件防范</w:t>
            </w:r>
          </w:p>
        </w:tc>
        <w:tc>
          <w:tcPr>
            <w:tcW w:w="3171" w:type="pct"/>
            <w:tcBorders>
              <w:top w:val="single" w:color="auto" w:sz="4" w:space="0"/>
              <w:left w:val="single" w:color="auto" w:sz="4" w:space="0"/>
              <w:bottom w:val="single" w:color="auto" w:sz="4" w:space="0"/>
              <w:right w:val="single" w:color="auto" w:sz="4" w:space="0"/>
            </w:tcBorders>
            <w:noWrap/>
            <w:vAlign w:val="center"/>
          </w:tcPr>
          <w:p w14:paraId="53964133">
            <w:pPr>
              <w:widowControl/>
              <w:rPr>
                <w:sz w:val="24"/>
                <w:szCs w:val="24"/>
              </w:rPr>
            </w:pPr>
            <w:r>
              <w:rPr>
                <w:rFonts w:hint="eastAsia"/>
                <w:sz w:val="24"/>
                <w:szCs w:val="24"/>
              </w:rPr>
              <w:t>通过访谈网络管理员，查看各个关键网络节点恶意代码防范措施。</w:t>
            </w:r>
          </w:p>
        </w:tc>
      </w:tr>
      <w:tr w14:paraId="5A762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79" w:type="pct"/>
            <w:tcBorders>
              <w:top w:val="single" w:color="auto" w:sz="4" w:space="0"/>
              <w:left w:val="single" w:color="auto" w:sz="4" w:space="0"/>
              <w:bottom w:val="single" w:color="auto" w:sz="4" w:space="0"/>
              <w:right w:val="single" w:color="auto" w:sz="4" w:space="0"/>
            </w:tcBorders>
            <w:noWrap/>
            <w:vAlign w:val="center"/>
          </w:tcPr>
          <w:p w14:paraId="150A13AF">
            <w:pPr>
              <w:jc w:val="center"/>
              <w:rPr>
                <w:sz w:val="24"/>
                <w:szCs w:val="24"/>
              </w:rPr>
            </w:pPr>
            <w:r>
              <w:rPr>
                <w:rFonts w:hint="eastAsia"/>
                <w:sz w:val="24"/>
                <w:szCs w:val="24"/>
              </w:rPr>
              <w:t>5</w:t>
            </w:r>
          </w:p>
        </w:tc>
        <w:tc>
          <w:tcPr>
            <w:tcW w:w="1349" w:type="pct"/>
            <w:tcBorders>
              <w:top w:val="single" w:color="auto" w:sz="4" w:space="0"/>
              <w:left w:val="single" w:color="auto" w:sz="4" w:space="0"/>
              <w:bottom w:val="single" w:color="auto" w:sz="4" w:space="0"/>
              <w:right w:val="single" w:color="auto" w:sz="4" w:space="0"/>
            </w:tcBorders>
            <w:noWrap/>
            <w:vAlign w:val="center"/>
          </w:tcPr>
          <w:p w14:paraId="41139C03">
            <w:pPr>
              <w:widowControl/>
              <w:jc w:val="center"/>
              <w:rPr>
                <w:sz w:val="24"/>
                <w:szCs w:val="24"/>
              </w:rPr>
            </w:pPr>
            <w:r>
              <w:rPr>
                <w:rFonts w:hint="eastAsia"/>
                <w:sz w:val="24"/>
                <w:szCs w:val="24"/>
              </w:rPr>
              <w:t>安全审计</w:t>
            </w:r>
          </w:p>
        </w:tc>
        <w:tc>
          <w:tcPr>
            <w:tcW w:w="3171" w:type="pct"/>
            <w:tcBorders>
              <w:top w:val="single" w:color="auto" w:sz="4" w:space="0"/>
              <w:left w:val="single" w:color="auto" w:sz="4" w:space="0"/>
              <w:bottom w:val="single" w:color="auto" w:sz="4" w:space="0"/>
              <w:right w:val="single" w:color="auto" w:sz="4" w:space="0"/>
            </w:tcBorders>
            <w:noWrap/>
            <w:vAlign w:val="center"/>
          </w:tcPr>
          <w:p w14:paraId="476C94F9">
            <w:pPr>
              <w:widowControl/>
              <w:rPr>
                <w:sz w:val="24"/>
                <w:szCs w:val="24"/>
              </w:rPr>
            </w:pPr>
            <w:r>
              <w:rPr>
                <w:rFonts w:hint="eastAsia"/>
                <w:sz w:val="24"/>
                <w:szCs w:val="24"/>
              </w:rPr>
              <w:t>通过访谈网络管理员，查看边界设备的日志审计策略和记录。</w:t>
            </w:r>
          </w:p>
        </w:tc>
      </w:tr>
      <w:tr w14:paraId="0F270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79" w:type="pct"/>
            <w:tcBorders>
              <w:top w:val="single" w:color="auto" w:sz="4" w:space="0"/>
              <w:left w:val="single" w:color="auto" w:sz="4" w:space="0"/>
              <w:bottom w:val="single" w:color="auto" w:sz="4" w:space="0"/>
              <w:right w:val="single" w:color="auto" w:sz="4" w:space="0"/>
            </w:tcBorders>
            <w:noWrap/>
            <w:vAlign w:val="center"/>
          </w:tcPr>
          <w:p w14:paraId="0B17746C">
            <w:pPr>
              <w:jc w:val="center"/>
              <w:rPr>
                <w:sz w:val="24"/>
                <w:szCs w:val="24"/>
              </w:rPr>
            </w:pPr>
            <w:r>
              <w:rPr>
                <w:sz w:val="24"/>
                <w:szCs w:val="24"/>
              </w:rPr>
              <w:t>6</w:t>
            </w:r>
          </w:p>
        </w:tc>
        <w:tc>
          <w:tcPr>
            <w:tcW w:w="1349" w:type="pct"/>
            <w:tcBorders>
              <w:top w:val="single" w:color="auto" w:sz="4" w:space="0"/>
              <w:left w:val="single" w:color="auto" w:sz="4" w:space="0"/>
              <w:bottom w:val="single" w:color="auto" w:sz="4" w:space="0"/>
              <w:right w:val="single" w:color="auto" w:sz="4" w:space="0"/>
            </w:tcBorders>
            <w:noWrap/>
            <w:vAlign w:val="center"/>
          </w:tcPr>
          <w:p w14:paraId="6785D400">
            <w:pPr>
              <w:widowControl/>
              <w:jc w:val="center"/>
              <w:rPr>
                <w:sz w:val="24"/>
                <w:szCs w:val="24"/>
              </w:rPr>
            </w:pPr>
            <w:r>
              <w:rPr>
                <w:rFonts w:hint="eastAsia"/>
                <w:sz w:val="24"/>
                <w:szCs w:val="24"/>
              </w:rPr>
              <w:t>可信验证</w:t>
            </w:r>
          </w:p>
        </w:tc>
        <w:tc>
          <w:tcPr>
            <w:tcW w:w="3171" w:type="pct"/>
            <w:tcBorders>
              <w:top w:val="single" w:color="auto" w:sz="4" w:space="0"/>
              <w:left w:val="single" w:color="auto" w:sz="4" w:space="0"/>
              <w:bottom w:val="single" w:color="auto" w:sz="4" w:space="0"/>
              <w:right w:val="single" w:color="auto" w:sz="4" w:space="0"/>
            </w:tcBorders>
            <w:noWrap/>
            <w:vAlign w:val="center"/>
          </w:tcPr>
          <w:p w14:paraId="250FBEA7">
            <w:pPr>
              <w:widowControl/>
              <w:rPr>
                <w:sz w:val="24"/>
                <w:szCs w:val="24"/>
              </w:rPr>
            </w:pPr>
            <w:r>
              <w:rPr>
                <w:rFonts w:hint="eastAsia"/>
                <w:sz w:val="24"/>
                <w:szCs w:val="24"/>
              </w:rPr>
              <w:t>通过访谈网络管理员，查看边界设备是否采用可信验证技术。</w:t>
            </w:r>
          </w:p>
        </w:tc>
      </w:tr>
    </w:tbl>
    <w:p w14:paraId="65264BEE">
      <w:pPr>
        <w:adjustRightInd w:val="0"/>
        <w:snapToGrid w:val="0"/>
        <w:spacing w:line="400" w:lineRule="exact"/>
        <w:ind w:firstLine="482" w:firstLineChars="200"/>
        <w:rPr>
          <w:rFonts w:ascii="宋体" w:hAnsi="宋体"/>
          <w:b/>
          <w:bCs/>
          <w:sz w:val="24"/>
          <w:szCs w:val="24"/>
        </w:rPr>
      </w:pPr>
      <w:bookmarkStart w:id="15" w:name="_Toc1750141"/>
      <w:bookmarkStart w:id="16" w:name="_Toc12808485"/>
      <w:bookmarkStart w:id="17" w:name="_Toc12351511"/>
      <w:r>
        <w:rPr>
          <w:rFonts w:hint="eastAsia" w:ascii="宋体" w:hAnsi="宋体"/>
          <w:b/>
          <w:bCs/>
          <w:sz w:val="24"/>
          <w:szCs w:val="24"/>
        </w:rPr>
        <w:t>（4）安全计算环境</w:t>
      </w:r>
      <w:bookmarkEnd w:id="15"/>
      <w:bookmarkEnd w:id="16"/>
      <w:bookmarkEnd w:id="17"/>
    </w:p>
    <w:p w14:paraId="3B0BCAA2">
      <w:pPr>
        <w:adjustRightInd w:val="0"/>
        <w:snapToGrid w:val="0"/>
        <w:spacing w:line="400" w:lineRule="exact"/>
        <w:ind w:firstLine="480" w:firstLineChars="200"/>
        <w:rPr>
          <w:rFonts w:ascii="宋体" w:hAnsi="宋体"/>
          <w:sz w:val="24"/>
          <w:szCs w:val="24"/>
        </w:rPr>
      </w:pPr>
      <w:r>
        <w:rPr>
          <w:rFonts w:ascii="宋体" w:hAnsi="宋体"/>
          <w:sz w:val="24"/>
          <w:szCs w:val="24"/>
        </w:rPr>
        <w:t>安全</w:t>
      </w:r>
      <w:r>
        <w:rPr>
          <w:rFonts w:hint="eastAsia" w:ascii="宋体" w:hAnsi="宋体"/>
          <w:sz w:val="24"/>
          <w:szCs w:val="24"/>
        </w:rPr>
        <w:t>计算环境</w:t>
      </w:r>
      <w:r>
        <w:rPr>
          <w:rFonts w:ascii="宋体" w:hAnsi="宋体"/>
          <w:sz w:val="24"/>
          <w:szCs w:val="24"/>
        </w:rPr>
        <w:t>测评</w:t>
      </w:r>
      <w:r>
        <w:rPr>
          <w:rFonts w:hint="eastAsia" w:ascii="宋体" w:hAnsi="宋体"/>
          <w:sz w:val="24"/>
          <w:szCs w:val="24"/>
        </w:rPr>
        <w:t>：</w:t>
      </w:r>
      <w:r>
        <w:rPr>
          <w:rFonts w:ascii="宋体" w:hAnsi="宋体"/>
          <w:sz w:val="24"/>
          <w:szCs w:val="24"/>
        </w:rPr>
        <w:t>通过访谈、检查和测试的方式评测信息系统的应用安全保障情况。在内容上，</w:t>
      </w:r>
      <w:r>
        <w:rPr>
          <w:rFonts w:hint="eastAsia" w:ascii="宋体" w:hAnsi="宋体"/>
          <w:sz w:val="24"/>
          <w:szCs w:val="24"/>
        </w:rPr>
        <w:t>安全计算环境</w:t>
      </w:r>
      <w:r>
        <w:rPr>
          <w:rFonts w:ascii="宋体" w:hAnsi="宋体"/>
          <w:sz w:val="24"/>
          <w:szCs w:val="24"/>
        </w:rPr>
        <w:t>测评实施过程涉及</w:t>
      </w:r>
      <w:r>
        <w:rPr>
          <w:rFonts w:hint="eastAsia" w:ascii="宋体" w:hAnsi="宋体"/>
          <w:sz w:val="24"/>
          <w:szCs w:val="24"/>
        </w:rPr>
        <w:t>11</w:t>
      </w:r>
      <w:r>
        <w:rPr>
          <w:rFonts w:ascii="宋体" w:hAnsi="宋体"/>
          <w:sz w:val="24"/>
          <w:szCs w:val="24"/>
        </w:rPr>
        <w:t>个工作单元，具体如下表：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324"/>
        <w:gridCol w:w="7849"/>
      </w:tblGrid>
      <w:tr w14:paraId="224D7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1855390">
            <w:pPr>
              <w:jc w:val="center"/>
              <w:rPr>
                <w:b/>
                <w:kern w:val="0"/>
                <w:sz w:val="24"/>
                <w:szCs w:val="24"/>
              </w:rPr>
            </w:pPr>
            <w:r>
              <w:rPr>
                <w:b/>
                <w:kern w:val="0"/>
                <w:sz w:val="24"/>
                <w:szCs w:val="24"/>
              </w:rPr>
              <w:t>序号</w:t>
            </w:r>
          </w:p>
        </w:tc>
        <w:tc>
          <w:tcPr>
            <w:tcW w:w="665"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3F6BBB8">
            <w:pPr>
              <w:jc w:val="center"/>
              <w:rPr>
                <w:b/>
                <w:kern w:val="0"/>
                <w:sz w:val="24"/>
                <w:szCs w:val="24"/>
              </w:rPr>
            </w:pPr>
            <w:r>
              <w:rPr>
                <w:b/>
                <w:kern w:val="0"/>
                <w:sz w:val="24"/>
                <w:szCs w:val="24"/>
              </w:rPr>
              <w:t>安全子类</w:t>
            </w:r>
          </w:p>
        </w:tc>
        <w:tc>
          <w:tcPr>
            <w:tcW w:w="393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171CDAA">
            <w:pPr>
              <w:jc w:val="center"/>
              <w:rPr>
                <w:b/>
                <w:kern w:val="0"/>
                <w:sz w:val="24"/>
                <w:szCs w:val="24"/>
              </w:rPr>
            </w:pPr>
            <w:r>
              <w:rPr>
                <w:b/>
                <w:kern w:val="0"/>
                <w:sz w:val="24"/>
                <w:szCs w:val="24"/>
              </w:rPr>
              <w:t>测评指标描述</w:t>
            </w:r>
          </w:p>
        </w:tc>
      </w:tr>
      <w:tr w14:paraId="3B976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5C34BAA1">
            <w:pPr>
              <w:jc w:val="center"/>
              <w:rPr>
                <w:sz w:val="24"/>
                <w:szCs w:val="24"/>
              </w:rPr>
            </w:pPr>
            <w:r>
              <w:rPr>
                <w:rFonts w:hint="eastAsia"/>
                <w:sz w:val="24"/>
                <w:szCs w:val="24"/>
              </w:rPr>
              <w:t>1</w:t>
            </w:r>
          </w:p>
        </w:tc>
        <w:tc>
          <w:tcPr>
            <w:tcW w:w="665" w:type="pct"/>
            <w:tcBorders>
              <w:top w:val="single" w:color="auto" w:sz="4" w:space="0"/>
              <w:left w:val="single" w:color="auto" w:sz="4" w:space="0"/>
              <w:bottom w:val="single" w:color="auto" w:sz="4" w:space="0"/>
              <w:right w:val="single" w:color="auto" w:sz="4" w:space="0"/>
            </w:tcBorders>
            <w:noWrap/>
            <w:vAlign w:val="center"/>
          </w:tcPr>
          <w:p w14:paraId="010DCCDA">
            <w:pPr>
              <w:widowControl/>
              <w:jc w:val="center"/>
              <w:rPr>
                <w:sz w:val="24"/>
                <w:szCs w:val="24"/>
              </w:rPr>
            </w:pPr>
            <w:r>
              <w:rPr>
                <w:sz w:val="24"/>
                <w:szCs w:val="24"/>
              </w:rPr>
              <w:t>身份鉴别</w:t>
            </w:r>
          </w:p>
        </w:tc>
        <w:tc>
          <w:tcPr>
            <w:tcW w:w="3939" w:type="pct"/>
            <w:tcBorders>
              <w:top w:val="single" w:color="auto" w:sz="4" w:space="0"/>
              <w:left w:val="single" w:color="auto" w:sz="4" w:space="0"/>
              <w:bottom w:val="single" w:color="auto" w:sz="4" w:space="0"/>
              <w:right w:val="single" w:color="auto" w:sz="4" w:space="0"/>
            </w:tcBorders>
            <w:noWrap/>
            <w:vAlign w:val="center"/>
          </w:tcPr>
          <w:p w14:paraId="34B4C852">
            <w:pPr>
              <w:widowControl/>
              <w:rPr>
                <w:sz w:val="24"/>
                <w:szCs w:val="24"/>
              </w:rPr>
            </w:pPr>
            <w:r>
              <w:rPr>
                <w:sz w:val="24"/>
                <w:szCs w:val="24"/>
              </w:rPr>
              <w:t>检查</w:t>
            </w:r>
            <w:r>
              <w:rPr>
                <w:rFonts w:hint="eastAsia"/>
                <w:sz w:val="24"/>
                <w:szCs w:val="24"/>
              </w:rPr>
              <w:t>信息系统网络设备、安全设备、服务器、数据库和应用系统</w:t>
            </w:r>
            <w:r>
              <w:rPr>
                <w:sz w:val="24"/>
                <w:szCs w:val="24"/>
              </w:rPr>
              <w:t>的身份标识与鉴别功能设置和使用配置情况；</w:t>
            </w:r>
          </w:p>
          <w:p w14:paraId="2CE61334">
            <w:pPr>
              <w:widowControl/>
              <w:rPr>
                <w:sz w:val="24"/>
                <w:szCs w:val="24"/>
              </w:rPr>
            </w:pPr>
            <w:r>
              <w:rPr>
                <w:sz w:val="24"/>
                <w:szCs w:val="24"/>
              </w:rPr>
              <w:t>检查应用系统对用户登录各种情况的处理，如登录失败处理、登录连接超时等。</w:t>
            </w:r>
          </w:p>
        </w:tc>
      </w:tr>
      <w:tr w14:paraId="50093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4DEAA4EF">
            <w:pPr>
              <w:jc w:val="center"/>
              <w:rPr>
                <w:sz w:val="24"/>
                <w:szCs w:val="24"/>
              </w:rPr>
            </w:pPr>
            <w:r>
              <w:rPr>
                <w:rFonts w:hint="eastAsia"/>
                <w:sz w:val="24"/>
                <w:szCs w:val="24"/>
              </w:rPr>
              <w:t>2</w:t>
            </w:r>
          </w:p>
        </w:tc>
        <w:tc>
          <w:tcPr>
            <w:tcW w:w="665" w:type="pct"/>
            <w:tcBorders>
              <w:top w:val="single" w:color="auto" w:sz="4" w:space="0"/>
              <w:left w:val="single" w:color="auto" w:sz="4" w:space="0"/>
              <w:bottom w:val="single" w:color="auto" w:sz="4" w:space="0"/>
              <w:right w:val="single" w:color="auto" w:sz="4" w:space="0"/>
            </w:tcBorders>
            <w:noWrap/>
            <w:vAlign w:val="center"/>
          </w:tcPr>
          <w:p w14:paraId="04D6DE2F">
            <w:pPr>
              <w:widowControl/>
              <w:jc w:val="center"/>
              <w:rPr>
                <w:sz w:val="24"/>
                <w:szCs w:val="24"/>
              </w:rPr>
            </w:pPr>
            <w:r>
              <w:rPr>
                <w:sz w:val="24"/>
                <w:szCs w:val="24"/>
              </w:rPr>
              <w:t>访问控制</w:t>
            </w:r>
          </w:p>
        </w:tc>
        <w:tc>
          <w:tcPr>
            <w:tcW w:w="3939" w:type="pct"/>
            <w:tcBorders>
              <w:top w:val="single" w:color="auto" w:sz="4" w:space="0"/>
              <w:left w:val="single" w:color="auto" w:sz="4" w:space="0"/>
              <w:bottom w:val="single" w:color="auto" w:sz="4" w:space="0"/>
              <w:right w:val="single" w:color="auto" w:sz="4" w:space="0"/>
            </w:tcBorders>
            <w:noWrap/>
            <w:vAlign w:val="center"/>
          </w:tcPr>
          <w:p w14:paraId="6DDE6F8C">
            <w:pPr>
              <w:widowControl/>
              <w:rPr>
                <w:sz w:val="24"/>
                <w:szCs w:val="24"/>
              </w:rPr>
            </w:pPr>
            <w:r>
              <w:rPr>
                <w:sz w:val="24"/>
                <w:szCs w:val="24"/>
              </w:rPr>
              <w:t>检查</w:t>
            </w:r>
            <w:r>
              <w:rPr>
                <w:rFonts w:hint="eastAsia"/>
                <w:sz w:val="24"/>
                <w:szCs w:val="24"/>
              </w:rPr>
              <w:t>网络设备、安全设备、服务器、数据库和应用系统</w:t>
            </w:r>
            <w:r>
              <w:rPr>
                <w:sz w:val="24"/>
                <w:szCs w:val="24"/>
              </w:rPr>
              <w:t>的访问控制功能设置情况，如访问控制的策略、访问控制粒度、权限设置情况等。</w:t>
            </w:r>
          </w:p>
        </w:tc>
      </w:tr>
      <w:tr w14:paraId="542E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264B7970">
            <w:pPr>
              <w:jc w:val="center"/>
              <w:rPr>
                <w:sz w:val="24"/>
                <w:szCs w:val="24"/>
              </w:rPr>
            </w:pPr>
            <w:r>
              <w:rPr>
                <w:rFonts w:hint="eastAsia"/>
                <w:sz w:val="24"/>
                <w:szCs w:val="24"/>
              </w:rPr>
              <w:t>3</w:t>
            </w:r>
          </w:p>
        </w:tc>
        <w:tc>
          <w:tcPr>
            <w:tcW w:w="665" w:type="pct"/>
            <w:tcBorders>
              <w:top w:val="single" w:color="auto" w:sz="4" w:space="0"/>
              <w:left w:val="single" w:color="auto" w:sz="4" w:space="0"/>
              <w:bottom w:val="single" w:color="auto" w:sz="4" w:space="0"/>
              <w:right w:val="single" w:color="auto" w:sz="4" w:space="0"/>
            </w:tcBorders>
            <w:noWrap/>
            <w:vAlign w:val="center"/>
          </w:tcPr>
          <w:p w14:paraId="0C723C40">
            <w:pPr>
              <w:widowControl/>
              <w:jc w:val="center"/>
              <w:rPr>
                <w:sz w:val="24"/>
                <w:szCs w:val="24"/>
              </w:rPr>
            </w:pPr>
            <w:r>
              <w:rPr>
                <w:sz w:val="24"/>
                <w:szCs w:val="24"/>
              </w:rPr>
              <w:t>安全审计</w:t>
            </w:r>
          </w:p>
        </w:tc>
        <w:tc>
          <w:tcPr>
            <w:tcW w:w="3939" w:type="pct"/>
            <w:tcBorders>
              <w:top w:val="single" w:color="auto" w:sz="4" w:space="0"/>
              <w:left w:val="single" w:color="auto" w:sz="4" w:space="0"/>
              <w:bottom w:val="single" w:color="auto" w:sz="4" w:space="0"/>
              <w:right w:val="single" w:color="auto" w:sz="4" w:space="0"/>
            </w:tcBorders>
            <w:noWrap/>
            <w:vAlign w:val="center"/>
          </w:tcPr>
          <w:p w14:paraId="34BCAA4E">
            <w:pPr>
              <w:widowControl/>
              <w:rPr>
                <w:sz w:val="24"/>
                <w:szCs w:val="24"/>
              </w:rPr>
            </w:pPr>
            <w:r>
              <w:rPr>
                <w:sz w:val="24"/>
                <w:szCs w:val="24"/>
              </w:rPr>
              <w:t>检查</w:t>
            </w:r>
            <w:r>
              <w:rPr>
                <w:rFonts w:hint="eastAsia"/>
                <w:sz w:val="24"/>
                <w:szCs w:val="24"/>
              </w:rPr>
              <w:t>网络设备、安全设备、服务器、数据库和应用系统</w:t>
            </w:r>
            <w:r>
              <w:rPr>
                <w:sz w:val="24"/>
                <w:szCs w:val="24"/>
              </w:rPr>
              <w:t>的安全审计配置情况，如覆盖范围、记录的项目和内容等；</w:t>
            </w:r>
          </w:p>
          <w:p w14:paraId="15F85884">
            <w:pPr>
              <w:widowControl/>
              <w:rPr>
                <w:sz w:val="24"/>
                <w:szCs w:val="24"/>
              </w:rPr>
            </w:pPr>
            <w:r>
              <w:rPr>
                <w:sz w:val="24"/>
                <w:szCs w:val="24"/>
              </w:rPr>
              <w:t>检查应用系统安全审计进程和记录的保护情况。</w:t>
            </w:r>
          </w:p>
        </w:tc>
      </w:tr>
      <w:tr w14:paraId="3FA33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2AE44571">
            <w:pPr>
              <w:jc w:val="center"/>
              <w:rPr>
                <w:sz w:val="24"/>
                <w:szCs w:val="24"/>
              </w:rPr>
            </w:pPr>
            <w:r>
              <w:rPr>
                <w:rFonts w:hint="eastAsia"/>
                <w:sz w:val="24"/>
                <w:szCs w:val="24"/>
              </w:rPr>
              <w:t>4</w:t>
            </w:r>
          </w:p>
        </w:tc>
        <w:tc>
          <w:tcPr>
            <w:tcW w:w="665" w:type="pct"/>
            <w:tcBorders>
              <w:top w:val="single" w:color="auto" w:sz="4" w:space="0"/>
              <w:left w:val="single" w:color="auto" w:sz="4" w:space="0"/>
              <w:bottom w:val="single" w:color="auto" w:sz="4" w:space="0"/>
              <w:right w:val="single" w:color="auto" w:sz="4" w:space="0"/>
            </w:tcBorders>
            <w:noWrap/>
            <w:vAlign w:val="center"/>
          </w:tcPr>
          <w:p w14:paraId="3FC1C6AB">
            <w:pPr>
              <w:widowControl/>
              <w:jc w:val="center"/>
              <w:rPr>
                <w:sz w:val="24"/>
                <w:szCs w:val="24"/>
              </w:rPr>
            </w:pPr>
            <w:r>
              <w:rPr>
                <w:rFonts w:hint="eastAsia"/>
                <w:sz w:val="24"/>
                <w:szCs w:val="24"/>
              </w:rPr>
              <w:t>可信验证</w:t>
            </w:r>
          </w:p>
        </w:tc>
        <w:tc>
          <w:tcPr>
            <w:tcW w:w="3939" w:type="pct"/>
            <w:tcBorders>
              <w:top w:val="single" w:color="auto" w:sz="4" w:space="0"/>
              <w:left w:val="single" w:color="auto" w:sz="4" w:space="0"/>
              <w:bottom w:val="single" w:color="auto" w:sz="4" w:space="0"/>
              <w:right w:val="single" w:color="auto" w:sz="4" w:space="0"/>
            </w:tcBorders>
            <w:noWrap/>
            <w:vAlign w:val="center"/>
          </w:tcPr>
          <w:p w14:paraId="5ACB6C0C">
            <w:pPr>
              <w:widowControl/>
              <w:rPr>
                <w:sz w:val="24"/>
                <w:szCs w:val="24"/>
              </w:rPr>
            </w:pPr>
            <w:r>
              <w:rPr>
                <w:rFonts w:hint="eastAsia"/>
                <w:sz w:val="24"/>
                <w:szCs w:val="24"/>
              </w:rPr>
              <w:t>检查计算设备的系统引导程序、系统程序、重要配置参数和应用系统程序等是否可以进行可信验证，并检测可信验证受到破坏时进行报警。</w:t>
            </w:r>
          </w:p>
        </w:tc>
      </w:tr>
      <w:tr w14:paraId="0CD3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118C130C">
            <w:pPr>
              <w:jc w:val="center"/>
              <w:rPr>
                <w:sz w:val="24"/>
                <w:szCs w:val="24"/>
              </w:rPr>
            </w:pPr>
            <w:r>
              <w:rPr>
                <w:rFonts w:hint="eastAsia"/>
                <w:sz w:val="24"/>
                <w:szCs w:val="24"/>
              </w:rPr>
              <w:t>5</w:t>
            </w:r>
          </w:p>
        </w:tc>
        <w:tc>
          <w:tcPr>
            <w:tcW w:w="665" w:type="pct"/>
            <w:tcBorders>
              <w:top w:val="single" w:color="auto" w:sz="4" w:space="0"/>
              <w:left w:val="single" w:color="auto" w:sz="4" w:space="0"/>
              <w:bottom w:val="single" w:color="auto" w:sz="4" w:space="0"/>
              <w:right w:val="single" w:color="auto" w:sz="4" w:space="0"/>
            </w:tcBorders>
            <w:noWrap/>
            <w:vAlign w:val="center"/>
          </w:tcPr>
          <w:p w14:paraId="78D5C14C">
            <w:pPr>
              <w:widowControl/>
              <w:jc w:val="center"/>
              <w:rPr>
                <w:sz w:val="24"/>
                <w:szCs w:val="24"/>
              </w:rPr>
            </w:pPr>
            <w:r>
              <w:rPr>
                <w:rFonts w:hint="eastAsia"/>
                <w:sz w:val="24"/>
                <w:szCs w:val="24"/>
              </w:rPr>
              <w:t>入侵防范</w:t>
            </w:r>
          </w:p>
        </w:tc>
        <w:tc>
          <w:tcPr>
            <w:tcW w:w="3939" w:type="pct"/>
            <w:tcBorders>
              <w:top w:val="single" w:color="auto" w:sz="4" w:space="0"/>
              <w:left w:val="single" w:color="auto" w:sz="4" w:space="0"/>
              <w:bottom w:val="single" w:color="auto" w:sz="4" w:space="0"/>
              <w:right w:val="single" w:color="auto" w:sz="4" w:space="0"/>
            </w:tcBorders>
            <w:noWrap/>
            <w:vAlign w:val="center"/>
          </w:tcPr>
          <w:p w14:paraId="5A87E8D2">
            <w:pPr>
              <w:widowControl/>
              <w:rPr>
                <w:sz w:val="24"/>
                <w:szCs w:val="24"/>
              </w:rPr>
            </w:pPr>
            <w:r>
              <w:rPr>
                <w:sz w:val="24"/>
                <w:szCs w:val="24"/>
              </w:rPr>
              <w:t>检查</w:t>
            </w:r>
            <w:r>
              <w:rPr>
                <w:rFonts w:hint="eastAsia"/>
                <w:sz w:val="24"/>
                <w:szCs w:val="24"/>
              </w:rPr>
              <w:t>网络设备、安全设备、服务器、数据库和应用系统入侵防范，如</w:t>
            </w:r>
            <w:r>
              <w:rPr>
                <w:sz w:val="24"/>
                <w:szCs w:val="24"/>
              </w:rPr>
              <w:t>关闭不需要的端口和服务、最小化安装、部署入侵防范产品等</w:t>
            </w:r>
            <w:r>
              <w:rPr>
                <w:rFonts w:hint="eastAsia"/>
                <w:sz w:val="24"/>
                <w:szCs w:val="24"/>
              </w:rPr>
              <w:t>。</w:t>
            </w:r>
          </w:p>
        </w:tc>
      </w:tr>
      <w:tr w14:paraId="5925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3858C366">
            <w:pPr>
              <w:jc w:val="center"/>
              <w:rPr>
                <w:sz w:val="24"/>
                <w:szCs w:val="24"/>
              </w:rPr>
            </w:pPr>
            <w:r>
              <w:rPr>
                <w:rFonts w:hint="eastAsia"/>
                <w:sz w:val="24"/>
                <w:szCs w:val="24"/>
              </w:rPr>
              <w:t>6</w:t>
            </w:r>
          </w:p>
        </w:tc>
        <w:tc>
          <w:tcPr>
            <w:tcW w:w="665" w:type="pct"/>
            <w:tcBorders>
              <w:top w:val="single" w:color="auto" w:sz="4" w:space="0"/>
              <w:left w:val="single" w:color="auto" w:sz="4" w:space="0"/>
              <w:bottom w:val="single" w:color="auto" w:sz="4" w:space="0"/>
              <w:right w:val="single" w:color="auto" w:sz="4" w:space="0"/>
            </w:tcBorders>
            <w:noWrap/>
            <w:vAlign w:val="center"/>
          </w:tcPr>
          <w:p w14:paraId="6E639C79">
            <w:pPr>
              <w:widowControl/>
              <w:jc w:val="center"/>
              <w:rPr>
                <w:sz w:val="24"/>
                <w:szCs w:val="24"/>
              </w:rPr>
            </w:pPr>
            <w:r>
              <w:rPr>
                <w:rFonts w:hint="eastAsia"/>
                <w:sz w:val="24"/>
                <w:szCs w:val="24"/>
              </w:rPr>
              <w:t>恶意代码防范</w:t>
            </w:r>
          </w:p>
        </w:tc>
        <w:tc>
          <w:tcPr>
            <w:tcW w:w="3939" w:type="pct"/>
            <w:tcBorders>
              <w:top w:val="single" w:color="auto" w:sz="4" w:space="0"/>
              <w:left w:val="single" w:color="auto" w:sz="4" w:space="0"/>
              <w:bottom w:val="single" w:color="auto" w:sz="4" w:space="0"/>
              <w:right w:val="single" w:color="auto" w:sz="4" w:space="0"/>
            </w:tcBorders>
            <w:noWrap/>
            <w:vAlign w:val="center"/>
          </w:tcPr>
          <w:p w14:paraId="1EA98AFF">
            <w:pPr>
              <w:widowControl/>
              <w:rPr>
                <w:sz w:val="24"/>
                <w:szCs w:val="24"/>
              </w:rPr>
            </w:pPr>
            <w:r>
              <w:rPr>
                <w:sz w:val="24"/>
                <w:szCs w:val="24"/>
              </w:rPr>
              <w:t>检查</w:t>
            </w:r>
            <w:r>
              <w:rPr>
                <w:rFonts w:hint="eastAsia"/>
                <w:sz w:val="24"/>
                <w:szCs w:val="24"/>
              </w:rPr>
              <w:t>网络设备、安全设备、服务器、数据库和应用系统恶意代码防范措施。</w:t>
            </w:r>
          </w:p>
        </w:tc>
      </w:tr>
      <w:tr w14:paraId="4CAE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46E0027A">
            <w:pPr>
              <w:jc w:val="center"/>
              <w:rPr>
                <w:sz w:val="24"/>
                <w:szCs w:val="24"/>
              </w:rPr>
            </w:pPr>
            <w:r>
              <w:rPr>
                <w:rFonts w:hint="eastAsia"/>
                <w:sz w:val="24"/>
                <w:szCs w:val="24"/>
              </w:rPr>
              <w:t>7</w:t>
            </w:r>
          </w:p>
        </w:tc>
        <w:tc>
          <w:tcPr>
            <w:tcW w:w="665" w:type="pct"/>
            <w:tcBorders>
              <w:top w:val="single" w:color="auto" w:sz="4" w:space="0"/>
              <w:left w:val="single" w:color="auto" w:sz="4" w:space="0"/>
              <w:bottom w:val="single" w:color="auto" w:sz="4" w:space="0"/>
              <w:right w:val="single" w:color="auto" w:sz="4" w:space="0"/>
            </w:tcBorders>
            <w:noWrap/>
            <w:vAlign w:val="center"/>
          </w:tcPr>
          <w:p w14:paraId="51C9BC0F">
            <w:pPr>
              <w:widowControl/>
              <w:jc w:val="center"/>
              <w:rPr>
                <w:sz w:val="24"/>
                <w:szCs w:val="24"/>
              </w:rPr>
            </w:pPr>
            <w:r>
              <w:rPr>
                <w:rFonts w:hint="eastAsia"/>
                <w:sz w:val="24"/>
                <w:szCs w:val="24"/>
              </w:rPr>
              <w:t>数据</w:t>
            </w:r>
            <w:r>
              <w:rPr>
                <w:sz w:val="24"/>
                <w:szCs w:val="24"/>
              </w:rPr>
              <w:t>完整性</w:t>
            </w:r>
          </w:p>
        </w:tc>
        <w:tc>
          <w:tcPr>
            <w:tcW w:w="3939" w:type="pct"/>
            <w:tcBorders>
              <w:top w:val="single" w:color="auto" w:sz="4" w:space="0"/>
              <w:left w:val="single" w:color="auto" w:sz="4" w:space="0"/>
              <w:bottom w:val="single" w:color="auto" w:sz="4" w:space="0"/>
              <w:right w:val="single" w:color="auto" w:sz="4" w:space="0"/>
            </w:tcBorders>
            <w:noWrap/>
            <w:vAlign w:val="center"/>
          </w:tcPr>
          <w:p w14:paraId="58E4D10E">
            <w:pPr>
              <w:widowControl/>
              <w:rPr>
                <w:sz w:val="24"/>
                <w:szCs w:val="24"/>
              </w:rPr>
            </w:pPr>
            <w:r>
              <w:rPr>
                <w:sz w:val="24"/>
                <w:szCs w:val="24"/>
              </w:rPr>
              <w:t>检查</w:t>
            </w:r>
            <w:r>
              <w:rPr>
                <w:rFonts w:hint="eastAsia"/>
                <w:sz w:val="24"/>
                <w:szCs w:val="24"/>
              </w:rPr>
              <w:t>网络设备、安全设备、服务器、数据库和应用系统</w:t>
            </w:r>
            <w:r>
              <w:rPr>
                <w:sz w:val="24"/>
                <w:szCs w:val="24"/>
              </w:rPr>
              <w:t>的通信完整性保护情况。</w:t>
            </w:r>
          </w:p>
        </w:tc>
      </w:tr>
      <w:tr w14:paraId="723C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167206C6">
            <w:pPr>
              <w:jc w:val="center"/>
              <w:rPr>
                <w:sz w:val="24"/>
                <w:szCs w:val="24"/>
              </w:rPr>
            </w:pPr>
            <w:r>
              <w:rPr>
                <w:rFonts w:hint="eastAsia"/>
                <w:sz w:val="24"/>
                <w:szCs w:val="24"/>
              </w:rPr>
              <w:t>8</w:t>
            </w:r>
          </w:p>
        </w:tc>
        <w:tc>
          <w:tcPr>
            <w:tcW w:w="665" w:type="pct"/>
            <w:tcBorders>
              <w:top w:val="single" w:color="auto" w:sz="4" w:space="0"/>
              <w:left w:val="single" w:color="auto" w:sz="4" w:space="0"/>
              <w:bottom w:val="single" w:color="auto" w:sz="4" w:space="0"/>
              <w:right w:val="single" w:color="auto" w:sz="4" w:space="0"/>
            </w:tcBorders>
            <w:noWrap/>
            <w:vAlign w:val="center"/>
          </w:tcPr>
          <w:p w14:paraId="73A056E6">
            <w:pPr>
              <w:widowControl/>
              <w:jc w:val="center"/>
              <w:rPr>
                <w:sz w:val="24"/>
                <w:szCs w:val="24"/>
              </w:rPr>
            </w:pPr>
            <w:r>
              <w:rPr>
                <w:rFonts w:hint="eastAsia"/>
                <w:sz w:val="24"/>
                <w:szCs w:val="24"/>
              </w:rPr>
              <w:t>数据</w:t>
            </w:r>
            <w:r>
              <w:rPr>
                <w:sz w:val="24"/>
                <w:szCs w:val="24"/>
              </w:rPr>
              <w:t>保密性</w:t>
            </w:r>
          </w:p>
        </w:tc>
        <w:tc>
          <w:tcPr>
            <w:tcW w:w="3939" w:type="pct"/>
            <w:tcBorders>
              <w:top w:val="single" w:color="auto" w:sz="4" w:space="0"/>
              <w:left w:val="single" w:color="auto" w:sz="4" w:space="0"/>
              <w:bottom w:val="single" w:color="auto" w:sz="4" w:space="0"/>
              <w:right w:val="single" w:color="auto" w:sz="4" w:space="0"/>
            </w:tcBorders>
            <w:noWrap/>
            <w:vAlign w:val="center"/>
          </w:tcPr>
          <w:p w14:paraId="4BBC8771">
            <w:pPr>
              <w:widowControl/>
              <w:rPr>
                <w:sz w:val="24"/>
                <w:szCs w:val="24"/>
              </w:rPr>
            </w:pPr>
            <w:r>
              <w:rPr>
                <w:sz w:val="24"/>
                <w:szCs w:val="24"/>
              </w:rPr>
              <w:t>检查</w:t>
            </w:r>
            <w:r>
              <w:rPr>
                <w:rFonts w:hint="eastAsia"/>
                <w:sz w:val="24"/>
                <w:szCs w:val="24"/>
              </w:rPr>
              <w:t>网络设备、安全设备、服务器、数据库和应用系统</w:t>
            </w:r>
            <w:r>
              <w:rPr>
                <w:sz w:val="24"/>
                <w:szCs w:val="24"/>
              </w:rPr>
              <w:t>的通信保密性保护情况。</w:t>
            </w:r>
          </w:p>
        </w:tc>
      </w:tr>
      <w:tr w14:paraId="690F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4E3040D3">
            <w:pPr>
              <w:jc w:val="center"/>
              <w:rPr>
                <w:sz w:val="24"/>
                <w:szCs w:val="24"/>
              </w:rPr>
            </w:pPr>
            <w:r>
              <w:rPr>
                <w:rFonts w:hint="eastAsia"/>
                <w:sz w:val="24"/>
                <w:szCs w:val="24"/>
              </w:rPr>
              <w:t>9</w:t>
            </w:r>
          </w:p>
        </w:tc>
        <w:tc>
          <w:tcPr>
            <w:tcW w:w="665" w:type="pct"/>
            <w:tcBorders>
              <w:top w:val="single" w:color="auto" w:sz="4" w:space="0"/>
              <w:left w:val="single" w:color="auto" w:sz="4" w:space="0"/>
              <w:bottom w:val="single" w:color="auto" w:sz="4" w:space="0"/>
              <w:right w:val="single" w:color="auto" w:sz="4" w:space="0"/>
            </w:tcBorders>
            <w:noWrap/>
            <w:vAlign w:val="center"/>
          </w:tcPr>
          <w:p w14:paraId="14A216E3">
            <w:pPr>
              <w:widowControl/>
              <w:jc w:val="center"/>
              <w:rPr>
                <w:sz w:val="24"/>
                <w:szCs w:val="24"/>
              </w:rPr>
            </w:pPr>
            <w:r>
              <w:rPr>
                <w:rFonts w:hint="eastAsia"/>
                <w:sz w:val="24"/>
                <w:szCs w:val="24"/>
              </w:rPr>
              <w:t>数据备份和恢复</w:t>
            </w:r>
          </w:p>
        </w:tc>
        <w:tc>
          <w:tcPr>
            <w:tcW w:w="3939" w:type="pct"/>
            <w:tcBorders>
              <w:top w:val="single" w:color="auto" w:sz="4" w:space="0"/>
              <w:left w:val="single" w:color="auto" w:sz="4" w:space="0"/>
              <w:bottom w:val="single" w:color="auto" w:sz="4" w:space="0"/>
              <w:right w:val="single" w:color="auto" w:sz="4" w:space="0"/>
            </w:tcBorders>
            <w:noWrap/>
            <w:vAlign w:val="center"/>
          </w:tcPr>
          <w:p w14:paraId="4BB815C9">
            <w:pPr>
              <w:widowControl/>
              <w:rPr>
                <w:sz w:val="24"/>
                <w:szCs w:val="24"/>
              </w:rPr>
            </w:pPr>
            <w:r>
              <w:rPr>
                <w:sz w:val="24"/>
                <w:szCs w:val="24"/>
              </w:rPr>
              <w:t>检查</w:t>
            </w:r>
            <w:r>
              <w:rPr>
                <w:rFonts w:hint="eastAsia"/>
                <w:sz w:val="24"/>
                <w:szCs w:val="24"/>
              </w:rPr>
              <w:t>网络设备、安全设备、服务器、数据库和应用系统的关键信息备份情况</w:t>
            </w:r>
            <w:r>
              <w:rPr>
                <w:sz w:val="24"/>
                <w:szCs w:val="24"/>
              </w:rPr>
              <w:t>。</w:t>
            </w:r>
          </w:p>
        </w:tc>
      </w:tr>
      <w:tr w14:paraId="03BE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58A6AE7A">
            <w:pPr>
              <w:jc w:val="center"/>
              <w:rPr>
                <w:sz w:val="24"/>
                <w:szCs w:val="24"/>
              </w:rPr>
            </w:pPr>
            <w:r>
              <w:rPr>
                <w:sz w:val="24"/>
                <w:szCs w:val="24"/>
              </w:rPr>
              <w:t>10</w:t>
            </w:r>
          </w:p>
        </w:tc>
        <w:tc>
          <w:tcPr>
            <w:tcW w:w="665" w:type="pct"/>
            <w:tcBorders>
              <w:top w:val="single" w:color="auto" w:sz="4" w:space="0"/>
              <w:left w:val="single" w:color="auto" w:sz="4" w:space="0"/>
              <w:bottom w:val="single" w:color="auto" w:sz="4" w:space="0"/>
              <w:right w:val="single" w:color="auto" w:sz="4" w:space="0"/>
            </w:tcBorders>
            <w:noWrap/>
            <w:vAlign w:val="center"/>
          </w:tcPr>
          <w:p w14:paraId="2DB5A831">
            <w:pPr>
              <w:widowControl/>
              <w:jc w:val="center"/>
              <w:rPr>
                <w:sz w:val="24"/>
                <w:szCs w:val="24"/>
              </w:rPr>
            </w:pPr>
            <w:r>
              <w:rPr>
                <w:rFonts w:hint="eastAsia"/>
                <w:sz w:val="24"/>
                <w:szCs w:val="24"/>
              </w:rPr>
              <w:t>剩余信息保护</w:t>
            </w:r>
          </w:p>
        </w:tc>
        <w:tc>
          <w:tcPr>
            <w:tcW w:w="3939" w:type="pct"/>
            <w:tcBorders>
              <w:top w:val="single" w:color="auto" w:sz="4" w:space="0"/>
              <w:left w:val="single" w:color="auto" w:sz="4" w:space="0"/>
              <w:bottom w:val="single" w:color="auto" w:sz="4" w:space="0"/>
              <w:right w:val="single" w:color="auto" w:sz="4" w:space="0"/>
            </w:tcBorders>
            <w:noWrap/>
            <w:vAlign w:val="center"/>
          </w:tcPr>
          <w:p w14:paraId="716A15EB">
            <w:pPr>
              <w:widowControl/>
              <w:rPr>
                <w:sz w:val="24"/>
                <w:szCs w:val="24"/>
              </w:rPr>
            </w:pPr>
            <w:r>
              <w:rPr>
                <w:sz w:val="24"/>
                <w:szCs w:val="24"/>
              </w:rPr>
              <w:t>检查</w:t>
            </w:r>
            <w:r>
              <w:rPr>
                <w:rFonts w:hint="eastAsia"/>
                <w:sz w:val="24"/>
                <w:szCs w:val="24"/>
              </w:rPr>
              <w:t>网络设备、安全设备、服务器、数据库和应用系统</w:t>
            </w:r>
            <w:r>
              <w:rPr>
                <w:sz w:val="24"/>
                <w:szCs w:val="24"/>
              </w:rPr>
              <w:t>。</w:t>
            </w:r>
          </w:p>
        </w:tc>
      </w:tr>
      <w:tr w14:paraId="2D9B9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5EC6AF15">
            <w:pPr>
              <w:jc w:val="center"/>
              <w:rPr>
                <w:sz w:val="24"/>
                <w:szCs w:val="24"/>
              </w:rPr>
            </w:pPr>
            <w:r>
              <w:rPr>
                <w:sz w:val="24"/>
                <w:szCs w:val="24"/>
              </w:rPr>
              <w:t>11</w:t>
            </w:r>
          </w:p>
        </w:tc>
        <w:tc>
          <w:tcPr>
            <w:tcW w:w="665" w:type="pct"/>
            <w:tcBorders>
              <w:top w:val="single" w:color="auto" w:sz="4" w:space="0"/>
              <w:left w:val="single" w:color="auto" w:sz="4" w:space="0"/>
              <w:bottom w:val="single" w:color="auto" w:sz="4" w:space="0"/>
              <w:right w:val="single" w:color="auto" w:sz="4" w:space="0"/>
            </w:tcBorders>
            <w:noWrap/>
            <w:vAlign w:val="center"/>
          </w:tcPr>
          <w:p w14:paraId="2310D702">
            <w:pPr>
              <w:widowControl/>
              <w:jc w:val="center"/>
              <w:rPr>
                <w:sz w:val="24"/>
                <w:szCs w:val="24"/>
              </w:rPr>
            </w:pPr>
            <w:r>
              <w:rPr>
                <w:rFonts w:hint="eastAsia"/>
                <w:sz w:val="24"/>
                <w:szCs w:val="24"/>
              </w:rPr>
              <w:t>个人信息保护</w:t>
            </w:r>
          </w:p>
        </w:tc>
        <w:tc>
          <w:tcPr>
            <w:tcW w:w="3939" w:type="pct"/>
            <w:tcBorders>
              <w:top w:val="single" w:color="auto" w:sz="4" w:space="0"/>
              <w:left w:val="single" w:color="auto" w:sz="4" w:space="0"/>
              <w:bottom w:val="single" w:color="auto" w:sz="4" w:space="0"/>
              <w:right w:val="single" w:color="auto" w:sz="4" w:space="0"/>
            </w:tcBorders>
            <w:noWrap/>
            <w:vAlign w:val="center"/>
          </w:tcPr>
          <w:p w14:paraId="2E839C54">
            <w:pPr>
              <w:widowControl/>
              <w:rPr>
                <w:sz w:val="24"/>
                <w:szCs w:val="24"/>
              </w:rPr>
            </w:pPr>
            <w:r>
              <w:rPr>
                <w:rFonts w:hint="eastAsia"/>
                <w:sz w:val="24"/>
                <w:szCs w:val="24"/>
              </w:rPr>
              <w:t>检查系统收集个人信息和使用个人信息的情况。</w:t>
            </w:r>
          </w:p>
        </w:tc>
      </w:tr>
    </w:tbl>
    <w:p w14:paraId="3B4E64C8">
      <w:pPr>
        <w:adjustRightInd w:val="0"/>
        <w:snapToGrid w:val="0"/>
        <w:spacing w:line="400" w:lineRule="exact"/>
        <w:ind w:firstLine="482" w:firstLineChars="200"/>
        <w:rPr>
          <w:rFonts w:ascii="宋体" w:hAnsi="宋体"/>
          <w:b/>
          <w:bCs/>
          <w:sz w:val="24"/>
          <w:szCs w:val="24"/>
        </w:rPr>
      </w:pPr>
      <w:bookmarkStart w:id="18" w:name="_Toc1750145"/>
      <w:bookmarkStart w:id="19" w:name="_Toc12351512"/>
      <w:bookmarkStart w:id="20" w:name="_Toc12808486"/>
      <w:r>
        <w:rPr>
          <w:rFonts w:hint="eastAsia" w:ascii="宋体" w:hAnsi="宋体"/>
          <w:b/>
          <w:bCs/>
          <w:sz w:val="24"/>
          <w:szCs w:val="24"/>
        </w:rPr>
        <w:t>（5）安全管理中心</w:t>
      </w:r>
      <w:bookmarkEnd w:id="18"/>
      <w:bookmarkEnd w:id="19"/>
      <w:bookmarkEnd w:id="20"/>
    </w:p>
    <w:p w14:paraId="787274E0">
      <w:pPr>
        <w:adjustRightInd w:val="0"/>
        <w:snapToGrid w:val="0"/>
        <w:spacing w:line="400" w:lineRule="exact"/>
        <w:ind w:firstLine="480" w:firstLineChars="200"/>
        <w:rPr>
          <w:rFonts w:ascii="宋体" w:hAnsi="宋体"/>
          <w:sz w:val="24"/>
          <w:szCs w:val="24"/>
        </w:rPr>
      </w:pPr>
      <w:r>
        <w:rPr>
          <w:rFonts w:ascii="宋体" w:hAnsi="宋体"/>
          <w:sz w:val="24"/>
          <w:szCs w:val="24"/>
        </w:rPr>
        <w:t>在内容上，</w:t>
      </w:r>
      <w:r>
        <w:rPr>
          <w:rFonts w:hint="eastAsia" w:ascii="宋体" w:hAnsi="宋体"/>
          <w:sz w:val="24"/>
          <w:szCs w:val="24"/>
        </w:rPr>
        <w:t>安全管理中心</w:t>
      </w:r>
      <w:r>
        <w:rPr>
          <w:rFonts w:ascii="宋体" w:hAnsi="宋体"/>
          <w:sz w:val="24"/>
          <w:szCs w:val="24"/>
        </w:rPr>
        <w:t>层面测评实施过程涉及4个工作单元，具体如下表：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490"/>
        <w:gridCol w:w="7683"/>
      </w:tblGrid>
      <w:tr w14:paraId="79F54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7C218AD">
            <w:pPr>
              <w:jc w:val="center"/>
              <w:rPr>
                <w:b/>
                <w:kern w:val="0"/>
                <w:sz w:val="24"/>
                <w:szCs w:val="24"/>
              </w:rPr>
            </w:pPr>
            <w:r>
              <w:rPr>
                <w:b/>
                <w:kern w:val="0"/>
                <w:sz w:val="24"/>
                <w:szCs w:val="24"/>
              </w:rPr>
              <w:t>序号</w:t>
            </w:r>
          </w:p>
        </w:tc>
        <w:tc>
          <w:tcPr>
            <w:tcW w:w="748"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4FC8D7F">
            <w:pPr>
              <w:jc w:val="center"/>
              <w:rPr>
                <w:b/>
                <w:kern w:val="0"/>
                <w:sz w:val="24"/>
                <w:szCs w:val="24"/>
              </w:rPr>
            </w:pPr>
            <w:r>
              <w:rPr>
                <w:b/>
                <w:kern w:val="0"/>
                <w:sz w:val="24"/>
                <w:szCs w:val="24"/>
              </w:rPr>
              <w:t>安全子类</w:t>
            </w:r>
          </w:p>
        </w:tc>
        <w:tc>
          <w:tcPr>
            <w:tcW w:w="385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AD9A83B">
            <w:pPr>
              <w:jc w:val="center"/>
              <w:rPr>
                <w:b/>
                <w:kern w:val="0"/>
                <w:sz w:val="24"/>
                <w:szCs w:val="24"/>
              </w:rPr>
            </w:pPr>
            <w:r>
              <w:rPr>
                <w:b/>
                <w:kern w:val="0"/>
                <w:sz w:val="24"/>
                <w:szCs w:val="24"/>
              </w:rPr>
              <w:t>测评指标描述</w:t>
            </w:r>
          </w:p>
        </w:tc>
      </w:tr>
      <w:tr w14:paraId="59E1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0904586B">
            <w:pPr>
              <w:widowControl/>
              <w:jc w:val="center"/>
              <w:rPr>
                <w:sz w:val="24"/>
                <w:szCs w:val="24"/>
              </w:rPr>
            </w:pPr>
            <w:r>
              <w:rPr>
                <w:sz w:val="24"/>
                <w:szCs w:val="24"/>
              </w:rPr>
              <w:t>1</w:t>
            </w:r>
          </w:p>
        </w:tc>
        <w:tc>
          <w:tcPr>
            <w:tcW w:w="748" w:type="pct"/>
            <w:tcBorders>
              <w:top w:val="single" w:color="auto" w:sz="4" w:space="0"/>
              <w:left w:val="single" w:color="auto" w:sz="4" w:space="0"/>
              <w:bottom w:val="single" w:color="auto" w:sz="4" w:space="0"/>
              <w:right w:val="single" w:color="auto" w:sz="4" w:space="0"/>
            </w:tcBorders>
            <w:noWrap/>
            <w:vAlign w:val="center"/>
          </w:tcPr>
          <w:p w14:paraId="68C6DA81">
            <w:pPr>
              <w:widowControl/>
              <w:jc w:val="center"/>
              <w:rPr>
                <w:sz w:val="24"/>
                <w:szCs w:val="24"/>
              </w:rPr>
            </w:pPr>
            <w:r>
              <w:rPr>
                <w:rFonts w:hint="eastAsia"/>
                <w:sz w:val="24"/>
                <w:szCs w:val="24"/>
              </w:rPr>
              <w:t>系统管理</w:t>
            </w:r>
          </w:p>
        </w:tc>
        <w:tc>
          <w:tcPr>
            <w:tcW w:w="3856" w:type="pct"/>
            <w:tcBorders>
              <w:top w:val="single" w:color="auto" w:sz="4" w:space="0"/>
              <w:left w:val="single" w:color="auto" w:sz="4" w:space="0"/>
              <w:bottom w:val="single" w:color="auto" w:sz="4" w:space="0"/>
              <w:right w:val="single" w:color="auto" w:sz="4" w:space="0"/>
            </w:tcBorders>
            <w:noWrap/>
            <w:vAlign w:val="center"/>
          </w:tcPr>
          <w:p w14:paraId="1D8F262C">
            <w:pPr>
              <w:widowControl/>
              <w:rPr>
                <w:sz w:val="24"/>
                <w:szCs w:val="24"/>
              </w:rPr>
            </w:pPr>
            <w:r>
              <w:rPr>
                <w:rFonts w:hint="eastAsia"/>
                <w:sz w:val="24"/>
                <w:szCs w:val="24"/>
              </w:rPr>
              <w:t>通过访谈系统管理员，对系统的资源和运行配置进行配置、控制和管理是否全由系统管理员进行操作。</w:t>
            </w:r>
          </w:p>
        </w:tc>
      </w:tr>
      <w:tr w14:paraId="0138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7750E977">
            <w:pPr>
              <w:widowControl/>
              <w:jc w:val="center"/>
              <w:rPr>
                <w:sz w:val="24"/>
                <w:szCs w:val="24"/>
              </w:rPr>
            </w:pPr>
            <w:r>
              <w:rPr>
                <w:sz w:val="24"/>
                <w:szCs w:val="24"/>
              </w:rPr>
              <w:t>2</w:t>
            </w:r>
          </w:p>
        </w:tc>
        <w:tc>
          <w:tcPr>
            <w:tcW w:w="748" w:type="pct"/>
            <w:tcBorders>
              <w:top w:val="single" w:color="auto" w:sz="4" w:space="0"/>
              <w:left w:val="single" w:color="auto" w:sz="4" w:space="0"/>
              <w:bottom w:val="single" w:color="auto" w:sz="4" w:space="0"/>
              <w:right w:val="single" w:color="auto" w:sz="4" w:space="0"/>
            </w:tcBorders>
            <w:noWrap/>
            <w:vAlign w:val="center"/>
          </w:tcPr>
          <w:p w14:paraId="336F3AC4">
            <w:pPr>
              <w:widowControl/>
              <w:jc w:val="center"/>
              <w:rPr>
                <w:sz w:val="24"/>
                <w:szCs w:val="24"/>
              </w:rPr>
            </w:pPr>
            <w:r>
              <w:rPr>
                <w:rFonts w:hint="eastAsia"/>
                <w:sz w:val="24"/>
                <w:szCs w:val="24"/>
              </w:rPr>
              <w:t>审计管理</w:t>
            </w:r>
          </w:p>
        </w:tc>
        <w:tc>
          <w:tcPr>
            <w:tcW w:w="3856" w:type="pct"/>
            <w:tcBorders>
              <w:top w:val="single" w:color="auto" w:sz="4" w:space="0"/>
              <w:left w:val="single" w:color="auto" w:sz="4" w:space="0"/>
              <w:bottom w:val="single" w:color="auto" w:sz="4" w:space="0"/>
              <w:right w:val="single" w:color="auto" w:sz="4" w:space="0"/>
            </w:tcBorders>
            <w:noWrap/>
            <w:vAlign w:val="center"/>
          </w:tcPr>
          <w:p w14:paraId="59A07D20">
            <w:pPr>
              <w:widowControl/>
              <w:rPr>
                <w:sz w:val="24"/>
                <w:szCs w:val="24"/>
              </w:rPr>
            </w:pPr>
            <w:r>
              <w:rPr>
                <w:rFonts w:hint="eastAsia"/>
                <w:sz w:val="24"/>
                <w:szCs w:val="24"/>
              </w:rPr>
              <w:t>通过访谈安全审计员，是否对审计记录进行分析，并根据分析结果进行处理，包括根据安全审计策略对审计记录进行存储、管理和查询等。</w:t>
            </w:r>
          </w:p>
        </w:tc>
      </w:tr>
      <w:tr w14:paraId="0CF34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6F1440FB">
            <w:pPr>
              <w:widowControl/>
              <w:jc w:val="center"/>
              <w:rPr>
                <w:sz w:val="24"/>
                <w:szCs w:val="24"/>
              </w:rPr>
            </w:pPr>
            <w:r>
              <w:rPr>
                <w:sz w:val="24"/>
                <w:szCs w:val="24"/>
              </w:rPr>
              <w:t>3</w:t>
            </w:r>
          </w:p>
        </w:tc>
        <w:tc>
          <w:tcPr>
            <w:tcW w:w="748" w:type="pct"/>
            <w:tcBorders>
              <w:top w:val="single" w:color="auto" w:sz="4" w:space="0"/>
              <w:left w:val="single" w:color="auto" w:sz="4" w:space="0"/>
              <w:bottom w:val="single" w:color="auto" w:sz="4" w:space="0"/>
              <w:right w:val="single" w:color="auto" w:sz="4" w:space="0"/>
            </w:tcBorders>
            <w:noWrap/>
            <w:vAlign w:val="center"/>
          </w:tcPr>
          <w:p w14:paraId="5FFDCD2E">
            <w:pPr>
              <w:widowControl/>
              <w:jc w:val="center"/>
              <w:rPr>
                <w:sz w:val="24"/>
                <w:szCs w:val="24"/>
              </w:rPr>
            </w:pPr>
            <w:r>
              <w:rPr>
                <w:rFonts w:hint="eastAsia"/>
                <w:sz w:val="24"/>
                <w:szCs w:val="24"/>
              </w:rPr>
              <w:t>安全管理</w:t>
            </w:r>
          </w:p>
        </w:tc>
        <w:tc>
          <w:tcPr>
            <w:tcW w:w="3856" w:type="pct"/>
            <w:tcBorders>
              <w:top w:val="single" w:color="auto" w:sz="4" w:space="0"/>
              <w:left w:val="single" w:color="auto" w:sz="4" w:space="0"/>
              <w:bottom w:val="single" w:color="auto" w:sz="4" w:space="0"/>
              <w:right w:val="single" w:color="auto" w:sz="4" w:space="0"/>
            </w:tcBorders>
            <w:noWrap/>
            <w:vAlign w:val="center"/>
          </w:tcPr>
          <w:p w14:paraId="09D36635">
            <w:pPr>
              <w:widowControl/>
              <w:rPr>
                <w:sz w:val="24"/>
                <w:szCs w:val="24"/>
              </w:rPr>
            </w:pPr>
            <w:r>
              <w:rPr>
                <w:rFonts w:hint="eastAsia"/>
                <w:sz w:val="24"/>
                <w:szCs w:val="24"/>
              </w:rPr>
              <w:t>通过访问安全员，对系统的安全策略进行配置，包括安全参数的设置、主体、客体进行统一安全标记，对主体进行授权，配置可信验证策略是否全由安全员进行操作。</w:t>
            </w:r>
          </w:p>
        </w:tc>
      </w:tr>
      <w:tr w14:paraId="5EC4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66A2411C">
            <w:pPr>
              <w:widowControl/>
              <w:jc w:val="center"/>
              <w:rPr>
                <w:sz w:val="24"/>
                <w:szCs w:val="24"/>
              </w:rPr>
            </w:pPr>
            <w:r>
              <w:rPr>
                <w:rFonts w:hint="eastAsia"/>
                <w:sz w:val="24"/>
                <w:szCs w:val="24"/>
              </w:rPr>
              <w:t>4</w:t>
            </w:r>
          </w:p>
        </w:tc>
        <w:tc>
          <w:tcPr>
            <w:tcW w:w="748" w:type="pct"/>
            <w:tcBorders>
              <w:top w:val="single" w:color="auto" w:sz="4" w:space="0"/>
              <w:left w:val="single" w:color="auto" w:sz="4" w:space="0"/>
              <w:bottom w:val="single" w:color="auto" w:sz="4" w:space="0"/>
              <w:right w:val="single" w:color="auto" w:sz="4" w:space="0"/>
            </w:tcBorders>
            <w:noWrap/>
            <w:vAlign w:val="center"/>
          </w:tcPr>
          <w:p w14:paraId="4DB2035E">
            <w:pPr>
              <w:widowControl/>
              <w:jc w:val="center"/>
              <w:rPr>
                <w:sz w:val="24"/>
                <w:szCs w:val="24"/>
              </w:rPr>
            </w:pPr>
            <w:r>
              <w:rPr>
                <w:rFonts w:hint="eastAsia"/>
                <w:sz w:val="24"/>
                <w:szCs w:val="24"/>
              </w:rPr>
              <w:t>集中管控</w:t>
            </w:r>
          </w:p>
        </w:tc>
        <w:tc>
          <w:tcPr>
            <w:tcW w:w="3856" w:type="pct"/>
            <w:tcBorders>
              <w:top w:val="single" w:color="auto" w:sz="4" w:space="0"/>
              <w:left w:val="single" w:color="auto" w:sz="4" w:space="0"/>
              <w:bottom w:val="single" w:color="auto" w:sz="4" w:space="0"/>
              <w:right w:val="single" w:color="auto" w:sz="4" w:space="0"/>
            </w:tcBorders>
            <w:noWrap/>
            <w:vAlign w:val="center"/>
          </w:tcPr>
          <w:p w14:paraId="24BEDFD2">
            <w:pPr>
              <w:widowControl/>
              <w:rPr>
                <w:sz w:val="24"/>
                <w:szCs w:val="24"/>
              </w:rPr>
            </w:pPr>
            <w:r>
              <w:rPr>
                <w:sz w:val="24"/>
                <w:szCs w:val="24"/>
              </w:rPr>
              <w:t>通过访谈安全员</w:t>
            </w:r>
            <w:r>
              <w:rPr>
                <w:rFonts w:hint="eastAsia"/>
                <w:sz w:val="24"/>
                <w:szCs w:val="24"/>
              </w:rPr>
              <w:t>，</w:t>
            </w:r>
            <w:r>
              <w:rPr>
                <w:rFonts w:hint="eastAsia" w:ascii="宋体" w:hAnsi="宋体"/>
                <w:sz w:val="24"/>
                <w:szCs w:val="24"/>
              </w:rPr>
              <w:t>对分布在网络中的安全设备或安全组件进行管控，对网络链路、安全设备、网络设备和服务器等的运行状况进行集中监测、对分散在各个设备上的审计数据进行收集汇总和集中分析，对安全策略、恶意代码、补丁升级等安全相关事项进行集中管理，对网络中发生的各类安全事件进行识别、报警和分析的情况。</w:t>
            </w:r>
          </w:p>
        </w:tc>
      </w:tr>
    </w:tbl>
    <w:p w14:paraId="580AD3EA">
      <w:pPr>
        <w:tabs>
          <w:tab w:val="left" w:pos="5805"/>
        </w:tabs>
        <w:adjustRightInd w:val="0"/>
        <w:snapToGrid w:val="0"/>
        <w:spacing w:line="400" w:lineRule="exact"/>
        <w:ind w:firstLine="482" w:firstLineChars="200"/>
        <w:rPr>
          <w:rFonts w:ascii="宋体" w:hAnsi="宋体"/>
          <w:b/>
          <w:bCs/>
          <w:sz w:val="24"/>
          <w:szCs w:val="24"/>
        </w:rPr>
      </w:pPr>
      <w:bookmarkStart w:id="21" w:name="_Toc12808487"/>
      <w:bookmarkStart w:id="22" w:name="_Toc1750149"/>
      <w:bookmarkStart w:id="23" w:name="_Toc12351513"/>
      <w:r>
        <w:rPr>
          <w:rFonts w:hint="eastAsia" w:ascii="宋体" w:hAnsi="宋体"/>
          <w:b/>
          <w:bCs/>
          <w:sz w:val="24"/>
          <w:szCs w:val="24"/>
        </w:rPr>
        <w:t>（</w:t>
      </w:r>
      <w:r>
        <w:rPr>
          <w:rFonts w:ascii="宋体" w:hAnsi="宋体"/>
          <w:b/>
          <w:bCs/>
          <w:sz w:val="24"/>
          <w:szCs w:val="24"/>
        </w:rPr>
        <w:t>6</w:t>
      </w:r>
      <w:r>
        <w:rPr>
          <w:rFonts w:hint="eastAsia" w:ascii="宋体" w:hAnsi="宋体"/>
          <w:b/>
          <w:bCs/>
          <w:sz w:val="24"/>
          <w:szCs w:val="24"/>
        </w:rPr>
        <w:t>）</w:t>
      </w:r>
      <w:r>
        <w:rPr>
          <w:rFonts w:ascii="宋体" w:hAnsi="宋体"/>
          <w:b/>
          <w:bCs/>
          <w:sz w:val="24"/>
          <w:szCs w:val="24"/>
        </w:rPr>
        <w:t>安全管理制度</w:t>
      </w:r>
      <w:bookmarkEnd w:id="21"/>
      <w:bookmarkEnd w:id="22"/>
      <w:bookmarkEnd w:id="23"/>
    </w:p>
    <w:p w14:paraId="6DB3E502">
      <w:pPr>
        <w:adjustRightInd w:val="0"/>
        <w:snapToGrid w:val="0"/>
        <w:spacing w:line="400" w:lineRule="exact"/>
        <w:ind w:firstLine="480" w:firstLineChars="200"/>
        <w:rPr>
          <w:rFonts w:ascii="宋体" w:hAnsi="宋体"/>
          <w:sz w:val="24"/>
          <w:szCs w:val="24"/>
        </w:rPr>
      </w:pPr>
      <w:r>
        <w:rPr>
          <w:rFonts w:ascii="宋体" w:hAnsi="宋体"/>
          <w:sz w:val="24"/>
          <w:szCs w:val="24"/>
        </w:rPr>
        <w:t>安全</w:t>
      </w:r>
      <w:r>
        <w:rPr>
          <w:rFonts w:hint="eastAsia" w:ascii="宋体" w:hAnsi="宋体"/>
          <w:sz w:val="24"/>
          <w:szCs w:val="24"/>
        </w:rPr>
        <w:t>策略和</w:t>
      </w:r>
      <w:r>
        <w:rPr>
          <w:rFonts w:ascii="宋体" w:hAnsi="宋体"/>
          <w:sz w:val="24"/>
          <w:szCs w:val="24"/>
        </w:rPr>
        <w:t>管理制度测评</w:t>
      </w:r>
      <w:r>
        <w:rPr>
          <w:rFonts w:hint="eastAsia" w:ascii="宋体" w:hAnsi="宋体"/>
          <w:sz w:val="24"/>
          <w:szCs w:val="24"/>
        </w:rPr>
        <w:t>：</w:t>
      </w:r>
      <w:r>
        <w:rPr>
          <w:rFonts w:ascii="宋体" w:hAnsi="宋体"/>
          <w:sz w:val="24"/>
          <w:szCs w:val="24"/>
        </w:rPr>
        <w:t xml:space="preserve">通过访谈和检查的形式评测安全管理制度的制定、发布、评审和修订等情况。主要涉及安全主管人员、安全管理人员、各类其它人员、各类管理制度、各类操作规程文件等对象。 </w:t>
      </w:r>
    </w:p>
    <w:p w14:paraId="1B782AF6">
      <w:pPr>
        <w:adjustRightInd w:val="0"/>
        <w:snapToGrid w:val="0"/>
        <w:spacing w:line="400" w:lineRule="exact"/>
        <w:ind w:firstLine="480" w:firstLineChars="200"/>
        <w:rPr>
          <w:rFonts w:ascii="宋体" w:hAnsi="宋体"/>
          <w:sz w:val="24"/>
          <w:szCs w:val="24"/>
        </w:rPr>
      </w:pPr>
      <w:r>
        <w:rPr>
          <w:rFonts w:ascii="宋体" w:hAnsi="宋体"/>
          <w:sz w:val="24"/>
          <w:szCs w:val="24"/>
        </w:rPr>
        <w:t>在内容上，安全管理制度测评实施过程涉及4个工作单元，具体如下表：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324"/>
        <w:gridCol w:w="7849"/>
      </w:tblGrid>
      <w:tr w14:paraId="2E870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062746B">
            <w:pPr>
              <w:jc w:val="center"/>
              <w:rPr>
                <w:b/>
                <w:kern w:val="0"/>
                <w:sz w:val="24"/>
                <w:szCs w:val="24"/>
              </w:rPr>
            </w:pPr>
            <w:r>
              <w:rPr>
                <w:b/>
                <w:kern w:val="0"/>
                <w:sz w:val="24"/>
                <w:szCs w:val="24"/>
              </w:rPr>
              <w:t>序号</w:t>
            </w:r>
          </w:p>
        </w:tc>
        <w:tc>
          <w:tcPr>
            <w:tcW w:w="665"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8FA42A6">
            <w:pPr>
              <w:jc w:val="center"/>
              <w:rPr>
                <w:b/>
                <w:kern w:val="0"/>
                <w:sz w:val="24"/>
                <w:szCs w:val="24"/>
              </w:rPr>
            </w:pPr>
            <w:r>
              <w:rPr>
                <w:b/>
                <w:kern w:val="0"/>
                <w:sz w:val="24"/>
                <w:szCs w:val="24"/>
              </w:rPr>
              <w:t>安全子类</w:t>
            </w:r>
          </w:p>
        </w:tc>
        <w:tc>
          <w:tcPr>
            <w:tcW w:w="393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1B3C3D7">
            <w:pPr>
              <w:jc w:val="center"/>
              <w:rPr>
                <w:b/>
                <w:kern w:val="0"/>
                <w:sz w:val="24"/>
                <w:szCs w:val="24"/>
              </w:rPr>
            </w:pPr>
            <w:r>
              <w:rPr>
                <w:b/>
                <w:kern w:val="0"/>
                <w:sz w:val="24"/>
                <w:szCs w:val="24"/>
              </w:rPr>
              <w:t>测评指标描述</w:t>
            </w:r>
          </w:p>
        </w:tc>
      </w:tr>
      <w:tr w14:paraId="45663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08D1C17D">
            <w:pPr>
              <w:widowControl/>
              <w:jc w:val="center"/>
              <w:rPr>
                <w:sz w:val="24"/>
                <w:szCs w:val="24"/>
              </w:rPr>
            </w:pPr>
            <w:r>
              <w:rPr>
                <w:sz w:val="24"/>
                <w:szCs w:val="24"/>
              </w:rPr>
              <w:t>1</w:t>
            </w:r>
          </w:p>
        </w:tc>
        <w:tc>
          <w:tcPr>
            <w:tcW w:w="665" w:type="pct"/>
            <w:tcBorders>
              <w:top w:val="single" w:color="auto" w:sz="4" w:space="0"/>
              <w:left w:val="single" w:color="auto" w:sz="4" w:space="0"/>
              <w:bottom w:val="single" w:color="auto" w:sz="4" w:space="0"/>
              <w:right w:val="single" w:color="auto" w:sz="4" w:space="0"/>
            </w:tcBorders>
            <w:noWrap/>
            <w:vAlign w:val="center"/>
          </w:tcPr>
          <w:p w14:paraId="629C35E4">
            <w:pPr>
              <w:widowControl/>
              <w:jc w:val="center"/>
              <w:rPr>
                <w:sz w:val="24"/>
                <w:szCs w:val="24"/>
              </w:rPr>
            </w:pPr>
            <w:r>
              <w:rPr>
                <w:rFonts w:hint="eastAsia"/>
                <w:sz w:val="24"/>
                <w:szCs w:val="24"/>
              </w:rPr>
              <w:t>安全策略</w:t>
            </w:r>
          </w:p>
        </w:tc>
        <w:tc>
          <w:tcPr>
            <w:tcW w:w="3939" w:type="pct"/>
            <w:tcBorders>
              <w:top w:val="single" w:color="auto" w:sz="4" w:space="0"/>
              <w:left w:val="single" w:color="auto" w:sz="4" w:space="0"/>
              <w:bottom w:val="single" w:color="auto" w:sz="4" w:space="0"/>
              <w:right w:val="single" w:color="auto" w:sz="4" w:space="0"/>
            </w:tcBorders>
            <w:noWrap/>
            <w:vAlign w:val="center"/>
          </w:tcPr>
          <w:p w14:paraId="6B1E2B53">
            <w:pPr>
              <w:widowControl/>
              <w:rPr>
                <w:sz w:val="24"/>
                <w:szCs w:val="24"/>
              </w:rPr>
            </w:pPr>
            <w:r>
              <w:rPr>
                <w:sz w:val="24"/>
                <w:szCs w:val="24"/>
              </w:rPr>
              <w:t>通过访谈安全主管，检查有关管理制度文档和重要操作规程等过程，测评信息系统管理制度在内容覆盖上是否全面、完善。</w:t>
            </w:r>
          </w:p>
        </w:tc>
      </w:tr>
      <w:tr w14:paraId="23421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275D306B">
            <w:pPr>
              <w:widowControl/>
              <w:jc w:val="center"/>
              <w:rPr>
                <w:sz w:val="24"/>
                <w:szCs w:val="24"/>
              </w:rPr>
            </w:pPr>
            <w:r>
              <w:rPr>
                <w:sz w:val="24"/>
                <w:szCs w:val="24"/>
              </w:rPr>
              <w:t>2</w:t>
            </w:r>
          </w:p>
        </w:tc>
        <w:tc>
          <w:tcPr>
            <w:tcW w:w="665" w:type="pct"/>
            <w:tcBorders>
              <w:top w:val="single" w:color="auto" w:sz="4" w:space="0"/>
              <w:left w:val="single" w:color="auto" w:sz="4" w:space="0"/>
              <w:bottom w:val="single" w:color="auto" w:sz="4" w:space="0"/>
              <w:right w:val="single" w:color="auto" w:sz="4" w:space="0"/>
            </w:tcBorders>
            <w:noWrap/>
            <w:vAlign w:val="center"/>
          </w:tcPr>
          <w:p w14:paraId="081B12A9">
            <w:pPr>
              <w:widowControl/>
              <w:jc w:val="center"/>
              <w:rPr>
                <w:sz w:val="24"/>
                <w:szCs w:val="24"/>
              </w:rPr>
            </w:pPr>
            <w:r>
              <w:rPr>
                <w:rFonts w:hint="eastAsia"/>
                <w:sz w:val="24"/>
                <w:szCs w:val="24"/>
              </w:rPr>
              <w:t>管理制度</w:t>
            </w:r>
          </w:p>
        </w:tc>
        <w:tc>
          <w:tcPr>
            <w:tcW w:w="3939" w:type="pct"/>
            <w:tcBorders>
              <w:top w:val="single" w:color="auto" w:sz="4" w:space="0"/>
              <w:left w:val="single" w:color="auto" w:sz="4" w:space="0"/>
              <w:bottom w:val="single" w:color="auto" w:sz="4" w:space="0"/>
              <w:right w:val="single" w:color="auto" w:sz="4" w:space="0"/>
            </w:tcBorders>
            <w:noWrap/>
            <w:vAlign w:val="center"/>
          </w:tcPr>
          <w:p w14:paraId="3B66A908">
            <w:pPr>
              <w:widowControl/>
              <w:rPr>
                <w:sz w:val="24"/>
                <w:szCs w:val="24"/>
              </w:rPr>
            </w:pPr>
            <w:r>
              <w:rPr>
                <w:sz w:val="24"/>
                <w:szCs w:val="24"/>
              </w:rPr>
              <w:t>通过访谈安全主管，检查有关制度制定要求文档等过程，测评信息系统管理制度的制定和发布过程是否遵循一定的流程。</w:t>
            </w:r>
          </w:p>
        </w:tc>
      </w:tr>
      <w:tr w14:paraId="288C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02F8A33E">
            <w:pPr>
              <w:widowControl/>
              <w:jc w:val="center"/>
              <w:rPr>
                <w:sz w:val="24"/>
                <w:szCs w:val="24"/>
              </w:rPr>
            </w:pPr>
            <w:r>
              <w:rPr>
                <w:sz w:val="24"/>
                <w:szCs w:val="24"/>
              </w:rPr>
              <w:t>3</w:t>
            </w:r>
          </w:p>
        </w:tc>
        <w:tc>
          <w:tcPr>
            <w:tcW w:w="665" w:type="pct"/>
            <w:tcBorders>
              <w:top w:val="single" w:color="auto" w:sz="4" w:space="0"/>
              <w:left w:val="single" w:color="auto" w:sz="4" w:space="0"/>
              <w:bottom w:val="single" w:color="auto" w:sz="4" w:space="0"/>
              <w:right w:val="single" w:color="auto" w:sz="4" w:space="0"/>
            </w:tcBorders>
            <w:noWrap/>
            <w:vAlign w:val="center"/>
          </w:tcPr>
          <w:p w14:paraId="3915ADB0">
            <w:pPr>
              <w:widowControl/>
              <w:jc w:val="center"/>
              <w:rPr>
                <w:sz w:val="24"/>
                <w:szCs w:val="24"/>
              </w:rPr>
            </w:pPr>
            <w:r>
              <w:rPr>
                <w:rFonts w:hint="eastAsia"/>
                <w:sz w:val="24"/>
                <w:szCs w:val="24"/>
              </w:rPr>
              <w:t>制定和发布</w:t>
            </w:r>
          </w:p>
        </w:tc>
        <w:tc>
          <w:tcPr>
            <w:tcW w:w="3939" w:type="pct"/>
            <w:tcBorders>
              <w:top w:val="single" w:color="auto" w:sz="4" w:space="0"/>
              <w:left w:val="single" w:color="auto" w:sz="4" w:space="0"/>
              <w:bottom w:val="single" w:color="auto" w:sz="4" w:space="0"/>
              <w:right w:val="single" w:color="auto" w:sz="4" w:space="0"/>
            </w:tcBorders>
            <w:noWrap/>
            <w:vAlign w:val="center"/>
          </w:tcPr>
          <w:p w14:paraId="400CD3C3">
            <w:pPr>
              <w:widowControl/>
              <w:rPr>
                <w:sz w:val="24"/>
                <w:szCs w:val="24"/>
              </w:rPr>
            </w:pPr>
            <w:r>
              <w:rPr>
                <w:sz w:val="24"/>
                <w:szCs w:val="24"/>
              </w:rPr>
              <w:t>通过访谈安全主管，检查管理制度评审记录等过程，测评信息系统管理制度定期评审和修订情况。</w:t>
            </w:r>
          </w:p>
        </w:tc>
      </w:tr>
      <w:tr w14:paraId="0A2E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77E5B149">
            <w:pPr>
              <w:widowControl/>
              <w:jc w:val="center"/>
              <w:rPr>
                <w:sz w:val="24"/>
                <w:szCs w:val="24"/>
              </w:rPr>
            </w:pPr>
            <w:r>
              <w:rPr>
                <w:rFonts w:hint="eastAsia"/>
                <w:sz w:val="24"/>
                <w:szCs w:val="24"/>
              </w:rPr>
              <w:t>4</w:t>
            </w:r>
          </w:p>
        </w:tc>
        <w:tc>
          <w:tcPr>
            <w:tcW w:w="665" w:type="pct"/>
            <w:tcBorders>
              <w:top w:val="single" w:color="auto" w:sz="4" w:space="0"/>
              <w:left w:val="single" w:color="auto" w:sz="4" w:space="0"/>
              <w:bottom w:val="single" w:color="auto" w:sz="4" w:space="0"/>
              <w:right w:val="single" w:color="auto" w:sz="4" w:space="0"/>
            </w:tcBorders>
            <w:noWrap/>
            <w:vAlign w:val="center"/>
          </w:tcPr>
          <w:p w14:paraId="03148D14">
            <w:pPr>
              <w:widowControl/>
              <w:jc w:val="center"/>
              <w:rPr>
                <w:sz w:val="24"/>
                <w:szCs w:val="24"/>
              </w:rPr>
            </w:pPr>
            <w:r>
              <w:rPr>
                <w:rFonts w:hint="eastAsia"/>
                <w:sz w:val="24"/>
                <w:szCs w:val="24"/>
              </w:rPr>
              <w:t>评审和修订</w:t>
            </w:r>
          </w:p>
        </w:tc>
        <w:tc>
          <w:tcPr>
            <w:tcW w:w="3939" w:type="pct"/>
            <w:tcBorders>
              <w:top w:val="single" w:color="auto" w:sz="4" w:space="0"/>
              <w:left w:val="single" w:color="auto" w:sz="4" w:space="0"/>
              <w:bottom w:val="single" w:color="auto" w:sz="4" w:space="0"/>
              <w:right w:val="single" w:color="auto" w:sz="4" w:space="0"/>
            </w:tcBorders>
            <w:noWrap/>
            <w:vAlign w:val="center"/>
          </w:tcPr>
          <w:p w14:paraId="0F75A58B">
            <w:pPr>
              <w:widowControl/>
              <w:rPr>
                <w:sz w:val="24"/>
                <w:szCs w:val="24"/>
              </w:rPr>
            </w:pPr>
            <w:r>
              <w:rPr>
                <w:sz w:val="24"/>
                <w:szCs w:val="24"/>
              </w:rPr>
              <w:t>通过访谈安全主管，检查管理制度评审记录等过程，测评信息系统管理制度定期评审和修订情况。</w:t>
            </w:r>
          </w:p>
        </w:tc>
      </w:tr>
    </w:tbl>
    <w:p w14:paraId="58334F5A">
      <w:pPr>
        <w:tabs>
          <w:tab w:val="left" w:pos="5805"/>
        </w:tabs>
        <w:adjustRightInd w:val="0"/>
        <w:snapToGrid w:val="0"/>
        <w:spacing w:line="400" w:lineRule="exact"/>
        <w:ind w:firstLine="482" w:firstLineChars="200"/>
        <w:rPr>
          <w:rFonts w:ascii="宋体" w:hAnsi="宋体"/>
          <w:b/>
          <w:bCs/>
          <w:sz w:val="24"/>
          <w:szCs w:val="24"/>
        </w:rPr>
      </w:pPr>
      <w:bookmarkStart w:id="24" w:name="_Toc12808488"/>
      <w:bookmarkStart w:id="25" w:name="_Toc12351514"/>
      <w:bookmarkStart w:id="26" w:name="_Toc1750153"/>
      <w:r>
        <w:rPr>
          <w:rFonts w:hint="eastAsia" w:ascii="宋体" w:hAnsi="宋体"/>
          <w:b/>
          <w:bCs/>
          <w:sz w:val="24"/>
          <w:szCs w:val="24"/>
        </w:rPr>
        <w:t>（</w:t>
      </w:r>
      <w:r>
        <w:rPr>
          <w:rFonts w:ascii="宋体" w:hAnsi="宋体"/>
          <w:b/>
          <w:bCs/>
          <w:sz w:val="24"/>
          <w:szCs w:val="24"/>
        </w:rPr>
        <w:t>7</w:t>
      </w:r>
      <w:r>
        <w:rPr>
          <w:rFonts w:hint="eastAsia" w:ascii="宋体" w:hAnsi="宋体"/>
          <w:b/>
          <w:bCs/>
          <w:sz w:val="24"/>
          <w:szCs w:val="24"/>
        </w:rPr>
        <w:t>）</w:t>
      </w:r>
      <w:r>
        <w:rPr>
          <w:rFonts w:ascii="宋体" w:hAnsi="宋体"/>
          <w:b/>
          <w:bCs/>
          <w:sz w:val="24"/>
          <w:szCs w:val="24"/>
        </w:rPr>
        <w:t>安全管理机构</w:t>
      </w:r>
      <w:bookmarkEnd w:id="24"/>
      <w:bookmarkEnd w:id="25"/>
      <w:bookmarkEnd w:id="26"/>
    </w:p>
    <w:p w14:paraId="22A4CEFD">
      <w:pPr>
        <w:adjustRightInd w:val="0"/>
        <w:snapToGrid w:val="0"/>
        <w:spacing w:line="400" w:lineRule="exact"/>
        <w:ind w:firstLine="480" w:firstLineChars="200"/>
        <w:rPr>
          <w:rFonts w:ascii="宋体" w:hAnsi="宋体"/>
          <w:sz w:val="24"/>
          <w:szCs w:val="24"/>
        </w:rPr>
      </w:pPr>
      <w:r>
        <w:rPr>
          <w:rFonts w:hint="eastAsia" w:ascii="宋体" w:hAnsi="宋体"/>
          <w:sz w:val="24"/>
          <w:szCs w:val="24"/>
        </w:rPr>
        <w:t>安全管理机构测评：通过访谈和检查的形式评测安全管理机构的组成情况和机构工作组织情况。主要涉及安全主管人员、安全管理人员、相关的文件资料和工作记录等对象。</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324"/>
        <w:gridCol w:w="7849"/>
      </w:tblGrid>
      <w:tr w14:paraId="34BF9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B0A9AF4">
            <w:pPr>
              <w:jc w:val="center"/>
              <w:rPr>
                <w:b/>
                <w:kern w:val="0"/>
                <w:sz w:val="24"/>
                <w:szCs w:val="24"/>
              </w:rPr>
            </w:pPr>
            <w:r>
              <w:rPr>
                <w:b/>
                <w:kern w:val="0"/>
                <w:sz w:val="24"/>
                <w:szCs w:val="24"/>
              </w:rPr>
              <w:t>序号</w:t>
            </w:r>
          </w:p>
        </w:tc>
        <w:tc>
          <w:tcPr>
            <w:tcW w:w="665"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39FEC17">
            <w:pPr>
              <w:jc w:val="center"/>
              <w:rPr>
                <w:b/>
                <w:kern w:val="0"/>
                <w:sz w:val="24"/>
                <w:szCs w:val="24"/>
              </w:rPr>
            </w:pPr>
            <w:r>
              <w:rPr>
                <w:b/>
                <w:kern w:val="0"/>
                <w:sz w:val="24"/>
                <w:szCs w:val="24"/>
              </w:rPr>
              <w:t>安全子类</w:t>
            </w:r>
          </w:p>
        </w:tc>
        <w:tc>
          <w:tcPr>
            <w:tcW w:w="393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CA8EF5D">
            <w:pPr>
              <w:jc w:val="center"/>
              <w:rPr>
                <w:b/>
                <w:kern w:val="0"/>
                <w:sz w:val="24"/>
                <w:szCs w:val="24"/>
              </w:rPr>
            </w:pPr>
            <w:r>
              <w:rPr>
                <w:b/>
                <w:kern w:val="0"/>
                <w:sz w:val="24"/>
                <w:szCs w:val="24"/>
              </w:rPr>
              <w:t>测评指标描述</w:t>
            </w:r>
          </w:p>
        </w:tc>
      </w:tr>
      <w:tr w14:paraId="7278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1359A932">
            <w:pPr>
              <w:jc w:val="center"/>
              <w:rPr>
                <w:sz w:val="24"/>
                <w:szCs w:val="24"/>
              </w:rPr>
            </w:pPr>
            <w:r>
              <w:rPr>
                <w:rFonts w:hint="eastAsia"/>
                <w:sz w:val="24"/>
                <w:szCs w:val="24"/>
              </w:rPr>
              <w:t>1</w:t>
            </w:r>
          </w:p>
        </w:tc>
        <w:tc>
          <w:tcPr>
            <w:tcW w:w="665" w:type="pct"/>
            <w:tcBorders>
              <w:top w:val="single" w:color="auto" w:sz="4" w:space="0"/>
              <w:left w:val="single" w:color="auto" w:sz="4" w:space="0"/>
              <w:bottom w:val="single" w:color="auto" w:sz="4" w:space="0"/>
              <w:right w:val="single" w:color="auto" w:sz="4" w:space="0"/>
            </w:tcBorders>
            <w:noWrap/>
            <w:vAlign w:val="center"/>
          </w:tcPr>
          <w:p w14:paraId="27F7E0D2">
            <w:pPr>
              <w:widowControl/>
              <w:jc w:val="center"/>
              <w:rPr>
                <w:sz w:val="24"/>
                <w:szCs w:val="24"/>
              </w:rPr>
            </w:pPr>
            <w:r>
              <w:rPr>
                <w:sz w:val="24"/>
                <w:szCs w:val="24"/>
              </w:rPr>
              <w:t>岗位设置</w:t>
            </w:r>
          </w:p>
        </w:tc>
        <w:tc>
          <w:tcPr>
            <w:tcW w:w="3939" w:type="pct"/>
            <w:tcBorders>
              <w:top w:val="single" w:color="auto" w:sz="4" w:space="0"/>
              <w:left w:val="single" w:color="auto" w:sz="4" w:space="0"/>
              <w:bottom w:val="single" w:color="auto" w:sz="4" w:space="0"/>
              <w:right w:val="single" w:color="auto" w:sz="4" w:space="0"/>
            </w:tcBorders>
            <w:noWrap/>
            <w:vAlign w:val="center"/>
          </w:tcPr>
          <w:p w14:paraId="6C30F643">
            <w:pPr>
              <w:widowControl/>
              <w:rPr>
                <w:sz w:val="24"/>
                <w:szCs w:val="24"/>
              </w:rPr>
            </w:pPr>
            <w:r>
              <w:rPr>
                <w:sz w:val="24"/>
                <w:szCs w:val="24"/>
              </w:rPr>
              <w:t>通过访谈安全主管，检查部门/岗位职责文件，测评信息系统安全主管部门设置情况以及各岗位设置和岗位职责情况。</w:t>
            </w:r>
          </w:p>
        </w:tc>
      </w:tr>
      <w:tr w14:paraId="08217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541C3C23">
            <w:pPr>
              <w:jc w:val="center"/>
              <w:rPr>
                <w:sz w:val="24"/>
                <w:szCs w:val="24"/>
              </w:rPr>
            </w:pPr>
            <w:r>
              <w:rPr>
                <w:rFonts w:hint="eastAsia"/>
                <w:sz w:val="24"/>
                <w:szCs w:val="24"/>
              </w:rPr>
              <w:t>2</w:t>
            </w:r>
          </w:p>
        </w:tc>
        <w:tc>
          <w:tcPr>
            <w:tcW w:w="665" w:type="pct"/>
            <w:tcBorders>
              <w:top w:val="single" w:color="auto" w:sz="4" w:space="0"/>
              <w:left w:val="single" w:color="auto" w:sz="4" w:space="0"/>
              <w:bottom w:val="single" w:color="auto" w:sz="4" w:space="0"/>
              <w:right w:val="single" w:color="auto" w:sz="4" w:space="0"/>
            </w:tcBorders>
            <w:noWrap/>
            <w:vAlign w:val="center"/>
          </w:tcPr>
          <w:p w14:paraId="09A82D9B">
            <w:pPr>
              <w:widowControl/>
              <w:jc w:val="center"/>
              <w:rPr>
                <w:sz w:val="24"/>
                <w:szCs w:val="24"/>
              </w:rPr>
            </w:pPr>
            <w:r>
              <w:rPr>
                <w:sz w:val="24"/>
                <w:szCs w:val="24"/>
              </w:rPr>
              <w:t>人员配备</w:t>
            </w:r>
          </w:p>
        </w:tc>
        <w:tc>
          <w:tcPr>
            <w:tcW w:w="3939" w:type="pct"/>
            <w:tcBorders>
              <w:top w:val="single" w:color="auto" w:sz="4" w:space="0"/>
              <w:left w:val="single" w:color="auto" w:sz="4" w:space="0"/>
              <w:bottom w:val="single" w:color="auto" w:sz="4" w:space="0"/>
              <w:right w:val="single" w:color="auto" w:sz="4" w:space="0"/>
            </w:tcBorders>
            <w:noWrap/>
            <w:vAlign w:val="center"/>
          </w:tcPr>
          <w:p w14:paraId="4D156E64">
            <w:pPr>
              <w:widowControl/>
              <w:rPr>
                <w:sz w:val="24"/>
                <w:szCs w:val="24"/>
              </w:rPr>
            </w:pPr>
            <w:r>
              <w:rPr>
                <w:sz w:val="24"/>
                <w:szCs w:val="24"/>
              </w:rPr>
              <w:t>通过访谈安全主管，检查人员名单等文档，测评信息系统各个岗位人员配备情况。</w:t>
            </w:r>
          </w:p>
        </w:tc>
      </w:tr>
      <w:tr w14:paraId="3DEE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5C2BAE90">
            <w:pPr>
              <w:jc w:val="center"/>
              <w:rPr>
                <w:sz w:val="24"/>
                <w:szCs w:val="24"/>
              </w:rPr>
            </w:pPr>
            <w:r>
              <w:rPr>
                <w:rFonts w:hint="eastAsia"/>
                <w:sz w:val="24"/>
                <w:szCs w:val="24"/>
              </w:rPr>
              <w:t>3</w:t>
            </w:r>
          </w:p>
        </w:tc>
        <w:tc>
          <w:tcPr>
            <w:tcW w:w="665" w:type="pct"/>
            <w:tcBorders>
              <w:top w:val="single" w:color="auto" w:sz="4" w:space="0"/>
              <w:left w:val="single" w:color="auto" w:sz="4" w:space="0"/>
              <w:bottom w:val="single" w:color="auto" w:sz="4" w:space="0"/>
              <w:right w:val="single" w:color="auto" w:sz="4" w:space="0"/>
            </w:tcBorders>
            <w:noWrap/>
            <w:vAlign w:val="center"/>
          </w:tcPr>
          <w:p w14:paraId="4CAB0F0C">
            <w:pPr>
              <w:widowControl/>
              <w:jc w:val="center"/>
              <w:rPr>
                <w:sz w:val="24"/>
                <w:szCs w:val="24"/>
              </w:rPr>
            </w:pPr>
            <w:r>
              <w:rPr>
                <w:sz w:val="24"/>
                <w:szCs w:val="24"/>
              </w:rPr>
              <w:t>授权和审批</w:t>
            </w:r>
          </w:p>
        </w:tc>
        <w:tc>
          <w:tcPr>
            <w:tcW w:w="3939" w:type="pct"/>
            <w:tcBorders>
              <w:top w:val="single" w:color="auto" w:sz="4" w:space="0"/>
              <w:left w:val="single" w:color="auto" w:sz="4" w:space="0"/>
              <w:bottom w:val="single" w:color="auto" w:sz="4" w:space="0"/>
              <w:right w:val="single" w:color="auto" w:sz="4" w:space="0"/>
            </w:tcBorders>
            <w:noWrap/>
            <w:vAlign w:val="center"/>
          </w:tcPr>
          <w:p w14:paraId="61F45F9A">
            <w:pPr>
              <w:widowControl/>
              <w:rPr>
                <w:sz w:val="24"/>
                <w:szCs w:val="24"/>
              </w:rPr>
            </w:pPr>
            <w:r>
              <w:rPr>
                <w:sz w:val="24"/>
                <w:szCs w:val="24"/>
              </w:rPr>
              <w:t>通过访谈安全主管，检查相关文档，测评信息系统对关键活动的授权和审批情况。</w:t>
            </w:r>
          </w:p>
        </w:tc>
      </w:tr>
      <w:tr w14:paraId="73EC1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441CD0FE">
            <w:pPr>
              <w:jc w:val="center"/>
              <w:rPr>
                <w:sz w:val="24"/>
                <w:szCs w:val="24"/>
              </w:rPr>
            </w:pPr>
            <w:r>
              <w:rPr>
                <w:rFonts w:hint="eastAsia"/>
                <w:sz w:val="24"/>
                <w:szCs w:val="24"/>
              </w:rPr>
              <w:t>4</w:t>
            </w:r>
          </w:p>
        </w:tc>
        <w:tc>
          <w:tcPr>
            <w:tcW w:w="665" w:type="pct"/>
            <w:tcBorders>
              <w:top w:val="single" w:color="auto" w:sz="4" w:space="0"/>
              <w:left w:val="single" w:color="auto" w:sz="4" w:space="0"/>
              <w:bottom w:val="single" w:color="auto" w:sz="4" w:space="0"/>
              <w:right w:val="single" w:color="auto" w:sz="4" w:space="0"/>
            </w:tcBorders>
            <w:noWrap/>
            <w:vAlign w:val="center"/>
          </w:tcPr>
          <w:p w14:paraId="7091141E">
            <w:pPr>
              <w:widowControl/>
              <w:jc w:val="center"/>
              <w:rPr>
                <w:sz w:val="24"/>
                <w:szCs w:val="24"/>
              </w:rPr>
            </w:pPr>
            <w:r>
              <w:rPr>
                <w:sz w:val="24"/>
                <w:szCs w:val="24"/>
              </w:rPr>
              <w:t>沟通和合作</w:t>
            </w:r>
          </w:p>
        </w:tc>
        <w:tc>
          <w:tcPr>
            <w:tcW w:w="3939" w:type="pct"/>
            <w:tcBorders>
              <w:top w:val="single" w:color="auto" w:sz="4" w:space="0"/>
              <w:left w:val="single" w:color="auto" w:sz="4" w:space="0"/>
              <w:bottom w:val="single" w:color="auto" w:sz="4" w:space="0"/>
              <w:right w:val="single" w:color="auto" w:sz="4" w:space="0"/>
            </w:tcBorders>
            <w:noWrap/>
            <w:vAlign w:val="center"/>
          </w:tcPr>
          <w:p w14:paraId="3620C23E">
            <w:pPr>
              <w:widowControl/>
              <w:rPr>
                <w:sz w:val="24"/>
                <w:szCs w:val="24"/>
              </w:rPr>
            </w:pPr>
            <w:r>
              <w:rPr>
                <w:sz w:val="24"/>
                <w:szCs w:val="24"/>
              </w:rPr>
              <w:t>通过访谈安全主管，检查相关文档，测评信息系统内部部门间、与外部单位间的沟通与合作情况。</w:t>
            </w:r>
          </w:p>
        </w:tc>
      </w:tr>
      <w:tr w14:paraId="2FFD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3893A288">
            <w:pPr>
              <w:jc w:val="center"/>
              <w:rPr>
                <w:sz w:val="24"/>
                <w:szCs w:val="24"/>
              </w:rPr>
            </w:pPr>
            <w:r>
              <w:rPr>
                <w:rFonts w:hint="eastAsia"/>
                <w:sz w:val="24"/>
                <w:szCs w:val="24"/>
              </w:rPr>
              <w:t>5</w:t>
            </w:r>
          </w:p>
        </w:tc>
        <w:tc>
          <w:tcPr>
            <w:tcW w:w="665" w:type="pct"/>
            <w:tcBorders>
              <w:top w:val="single" w:color="auto" w:sz="4" w:space="0"/>
              <w:left w:val="single" w:color="auto" w:sz="4" w:space="0"/>
              <w:bottom w:val="single" w:color="auto" w:sz="4" w:space="0"/>
              <w:right w:val="single" w:color="auto" w:sz="4" w:space="0"/>
            </w:tcBorders>
            <w:noWrap/>
            <w:vAlign w:val="center"/>
          </w:tcPr>
          <w:p w14:paraId="5E553B7F">
            <w:pPr>
              <w:widowControl/>
              <w:jc w:val="center"/>
              <w:rPr>
                <w:sz w:val="24"/>
                <w:szCs w:val="24"/>
              </w:rPr>
            </w:pPr>
            <w:r>
              <w:rPr>
                <w:sz w:val="24"/>
                <w:szCs w:val="24"/>
              </w:rPr>
              <w:t>审核和检查</w:t>
            </w:r>
          </w:p>
        </w:tc>
        <w:tc>
          <w:tcPr>
            <w:tcW w:w="3939" w:type="pct"/>
            <w:tcBorders>
              <w:top w:val="single" w:color="auto" w:sz="4" w:space="0"/>
              <w:left w:val="single" w:color="auto" w:sz="4" w:space="0"/>
              <w:bottom w:val="single" w:color="auto" w:sz="4" w:space="0"/>
              <w:right w:val="single" w:color="auto" w:sz="4" w:space="0"/>
            </w:tcBorders>
            <w:noWrap/>
            <w:vAlign w:val="center"/>
          </w:tcPr>
          <w:p w14:paraId="0CCDA608">
            <w:pPr>
              <w:widowControl/>
              <w:rPr>
                <w:sz w:val="24"/>
                <w:szCs w:val="24"/>
              </w:rPr>
            </w:pPr>
            <w:r>
              <w:rPr>
                <w:sz w:val="24"/>
                <w:szCs w:val="24"/>
              </w:rPr>
              <w:t>通过访谈安全主管，检查记录文档等过程，测评信息系统安全工作的审核和检查情况。</w:t>
            </w:r>
          </w:p>
        </w:tc>
      </w:tr>
    </w:tbl>
    <w:p w14:paraId="2C336725">
      <w:pPr>
        <w:tabs>
          <w:tab w:val="left" w:pos="5805"/>
        </w:tabs>
        <w:adjustRightInd w:val="0"/>
        <w:snapToGrid w:val="0"/>
        <w:spacing w:line="400" w:lineRule="exact"/>
        <w:ind w:firstLine="482" w:firstLineChars="200"/>
        <w:rPr>
          <w:rFonts w:ascii="宋体" w:hAnsi="宋体"/>
          <w:b/>
          <w:bCs/>
          <w:sz w:val="24"/>
          <w:szCs w:val="24"/>
        </w:rPr>
      </w:pPr>
      <w:bookmarkStart w:id="27" w:name="_Toc12351515"/>
      <w:bookmarkStart w:id="28" w:name="_Toc12808489"/>
      <w:bookmarkStart w:id="29" w:name="_Toc1750157"/>
      <w:r>
        <w:rPr>
          <w:rFonts w:hint="eastAsia" w:ascii="宋体" w:hAnsi="宋体"/>
          <w:b/>
          <w:bCs/>
          <w:sz w:val="24"/>
          <w:szCs w:val="24"/>
        </w:rPr>
        <w:t>（8）安全管理人员</w:t>
      </w:r>
      <w:bookmarkEnd w:id="27"/>
      <w:bookmarkEnd w:id="28"/>
      <w:bookmarkEnd w:id="29"/>
    </w:p>
    <w:p w14:paraId="58C9AD66">
      <w:pPr>
        <w:adjustRightInd w:val="0"/>
        <w:snapToGrid w:val="0"/>
        <w:spacing w:line="400" w:lineRule="exact"/>
        <w:ind w:firstLine="480" w:firstLineChars="200"/>
        <w:rPr>
          <w:rFonts w:ascii="宋体" w:hAnsi="宋体"/>
          <w:sz w:val="24"/>
          <w:szCs w:val="24"/>
        </w:rPr>
      </w:pPr>
      <w:r>
        <w:rPr>
          <w:rFonts w:hint="eastAsia" w:ascii="宋体" w:hAnsi="宋体"/>
          <w:sz w:val="24"/>
          <w:szCs w:val="24"/>
        </w:rPr>
        <w:t xml:space="preserve">安全管理人员测评：通过访谈和检查的形式评测机构人员安全控制方面的情况。主要涉及安全主管人员、人事管理人员、相关管理制度、相关工作记录等对象。 </w:t>
      </w:r>
    </w:p>
    <w:p w14:paraId="709E9A1D">
      <w:pPr>
        <w:adjustRightInd w:val="0"/>
        <w:snapToGrid w:val="0"/>
        <w:spacing w:line="400" w:lineRule="exact"/>
        <w:ind w:firstLine="480" w:firstLineChars="200"/>
        <w:rPr>
          <w:rFonts w:ascii="宋体" w:hAnsi="宋体"/>
          <w:sz w:val="24"/>
          <w:szCs w:val="24"/>
        </w:rPr>
      </w:pPr>
      <w:r>
        <w:rPr>
          <w:rFonts w:hint="eastAsia" w:ascii="宋体" w:hAnsi="宋体"/>
          <w:sz w:val="24"/>
          <w:szCs w:val="24"/>
        </w:rPr>
        <w:t>在内容上，人员安全管理测评实施过程涉及4个工作单元，具体如下表：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324"/>
        <w:gridCol w:w="7849"/>
      </w:tblGrid>
      <w:tr w14:paraId="46FAE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753ADD8">
            <w:pPr>
              <w:jc w:val="center"/>
              <w:rPr>
                <w:b/>
                <w:kern w:val="0"/>
                <w:sz w:val="24"/>
                <w:szCs w:val="24"/>
              </w:rPr>
            </w:pPr>
            <w:r>
              <w:rPr>
                <w:b/>
                <w:kern w:val="0"/>
                <w:sz w:val="24"/>
                <w:szCs w:val="24"/>
              </w:rPr>
              <w:t>序号</w:t>
            </w:r>
          </w:p>
        </w:tc>
        <w:tc>
          <w:tcPr>
            <w:tcW w:w="665"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5F5B8B5">
            <w:pPr>
              <w:jc w:val="center"/>
              <w:rPr>
                <w:b/>
                <w:kern w:val="0"/>
                <w:sz w:val="24"/>
                <w:szCs w:val="24"/>
              </w:rPr>
            </w:pPr>
            <w:r>
              <w:rPr>
                <w:b/>
                <w:kern w:val="0"/>
                <w:sz w:val="24"/>
                <w:szCs w:val="24"/>
              </w:rPr>
              <w:t>安全子类</w:t>
            </w:r>
          </w:p>
        </w:tc>
        <w:tc>
          <w:tcPr>
            <w:tcW w:w="393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AE4E37B">
            <w:pPr>
              <w:jc w:val="center"/>
              <w:rPr>
                <w:b/>
                <w:kern w:val="0"/>
                <w:sz w:val="24"/>
                <w:szCs w:val="24"/>
              </w:rPr>
            </w:pPr>
            <w:r>
              <w:rPr>
                <w:b/>
                <w:kern w:val="0"/>
                <w:sz w:val="24"/>
                <w:szCs w:val="24"/>
              </w:rPr>
              <w:t>测评指标描述</w:t>
            </w:r>
          </w:p>
        </w:tc>
      </w:tr>
      <w:tr w14:paraId="36CCE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58AC0954">
            <w:pPr>
              <w:widowControl/>
              <w:jc w:val="center"/>
              <w:rPr>
                <w:sz w:val="24"/>
                <w:szCs w:val="24"/>
              </w:rPr>
            </w:pPr>
            <w:r>
              <w:rPr>
                <w:sz w:val="24"/>
                <w:szCs w:val="24"/>
              </w:rPr>
              <w:t>1</w:t>
            </w:r>
          </w:p>
        </w:tc>
        <w:tc>
          <w:tcPr>
            <w:tcW w:w="665" w:type="pct"/>
            <w:tcBorders>
              <w:top w:val="single" w:color="auto" w:sz="4" w:space="0"/>
              <w:left w:val="single" w:color="auto" w:sz="4" w:space="0"/>
              <w:bottom w:val="single" w:color="auto" w:sz="4" w:space="0"/>
              <w:right w:val="single" w:color="auto" w:sz="4" w:space="0"/>
            </w:tcBorders>
            <w:noWrap/>
            <w:vAlign w:val="center"/>
          </w:tcPr>
          <w:p w14:paraId="731DD3DE">
            <w:pPr>
              <w:widowControl/>
              <w:jc w:val="center"/>
              <w:rPr>
                <w:sz w:val="24"/>
                <w:szCs w:val="24"/>
              </w:rPr>
            </w:pPr>
            <w:r>
              <w:rPr>
                <w:rFonts w:hint="eastAsia"/>
                <w:sz w:val="24"/>
                <w:szCs w:val="24"/>
              </w:rPr>
              <w:t>人员录用</w:t>
            </w:r>
          </w:p>
        </w:tc>
        <w:tc>
          <w:tcPr>
            <w:tcW w:w="3939" w:type="pct"/>
            <w:tcBorders>
              <w:top w:val="single" w:color="auto" w:sz="4" w:space="0"/>
              <w:left w:val="single" w:color="auto" w:sz="4" w:space="0"/>
              <w:bottom w:val="single" w:color="auto" w:sz="4" w:space="0"/>
              <w:right w:val="single" w:color="auto" w:sz="4" w:space="0"/>
            </w:tcBorders>
            <w:noWrap/>
            <w:vAlign w:val="center"/>
          </w:tcPr>
          <w:p w14:paraId="157EE22C">
            <w:pPr>
              <w:widowControl/>
              <w:rPr>
                <w:sz w:val="24"/>
                <w:szCs w:val="24"/>
              </w:rPr>
            </w:pPr>
            <w:r>
              <w:rPr>
                <w:sz w:val="24"/>
                <w:szCs w:val="24"/>
              </w:rPr>
              <w:t>通过访谈人事负责人，检查人员录用文档等过程，测评信息系统录用人员时是否对人员提出要求以及是否对其进行各种审查和考核。</w:t>
            </w:r>
          </w:p>
        </w:tc>
      </w:tr>
      <w:tr w14:paraId="1CD2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45CA6BE7">
            <w:pPr>
              <w:widowControl/>
              <w:jc w:val="center"/>
              <w:rPr>
                <w:sz w:val="24"/>
                <w:szCs w:val="24"/>
              </w:rPr>
            </w:pPr>
            <w:r>
              <w:rPr>
                <w:sz w:val="24"/>
                <w:szCs w:val="24"/>
              </w:rPr>
              <w:t>2</w:t>
            </w:r>
          </w:p>
        </w:tc>
        <w:tc>
          <w:tcPr>
            <w:tcW w:w="665" w:type="pct"/>
            <w:tcBorders>
              <w:top w:val="single" w:color="auto" w:sz="4" w:space="0"/>
              <w:left w:val="single" w:color="auto" w:sz="4" w:space="0"/>
              <w:bottom w:val="single" w:color="auto" w:sz="4" w:space="0"/>
              <w:right w:val="single" w:color="auto" w:sz="4" w:space="0"/>
            </w:tcBorders>
            <w:noWrap/>
            <w:vAlign w:val="center"/>
          </w:tcPr>
          <w:p w14:paraId="3293635E">
            <w:pPr>
              <w:widowControl/>
              <w:jc w:val="center"/>
              <w:rPr>
                <w:sz w:val="24"/>
                <w:szCs w:val="24"/>
              </w:rPr>
            </w:pPr>
            <w:r>
              <w:rPr>
                <w:rFonts w:hint="eastAsia"/>
                <w:sz w:val="24"/>
                <w:szCs w:val="24"/>
              </w:rPr>
              <w:t>人员离岗</w:t>
            </w:r>
          </w:p>
        </w:tc>
        <w:tc>
          <w:tcPr>
            <w:tcW w:w="3939" w:type="pct"/>
            <w:tcBorders>
              <w:top w:val="single" w:color="auto" w:sz="4" w:space="0"/>
              <w:left w:val="single" w:color="auto" w:sz="4" w:space="0"/>
              <w:bottom w:val="single" w:color="auto" w:sz="4" w:space="0"/>
              <w:right w:val="single" w:color="auto" w:sz="4" w:space="0"/>
            </w:tcBorders>
            <w:noWrap/>
            <w:vAlign w:val="center"/>
          </w:tcPr>
          <w:p w14:paraId="20E199F2">
            <w:pPr>
              <w:widowControl/>
              <w:rPr>
                <w:sz w:val="24"/>
                <w:szCs w:val="24"/>
              </w:rPr>
            </w:pPr>
            <w:r>
              <w:rPr>
                <w:sz w:val="24"/>
                <w:szCs w:val="24"/>
              </w:rPr>
              <w:t>通过访谈人事负责人，检查人员离岗安全处理记录等过程，测评信息系统人员离岗时是否按照一定的手续办理。</w:t>
            </w:r>
          </w:p>
        </w:tc>
      </w:tr>
      <w:tr w14:paraId="3ACD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38A39D1B">
            <w:pPr>
              <w:widowControl/>
              <w:jc w:val="center"/>
              <w:rPr>
                <w:sz w:val="24"/>
                <w:szCs w:val="24"/>
              </w:rPr>
            </w:pPr>
            <w:r>
              <w:rPr>
                <w:sz w:val="24"/>
                <w:szCs w:val="24"/>
              </w:rPr>
              <w:t>3</w:t>
            </w:r>
          </w:p>
        </w:tc>
        <w:tc>
          <w:tcPr>
            <w:tcW w:w="665" w:type="pct"/>
            <w:tcBorders>
              <w:top w:val="single" w:color="auto" w:sz="4" w:space="0"/>
              <w:left w:val="single" w:color="auto" w:sz="4" w:space="0"/>
              <w:bottom w:val="single" w:color="auto" w:sz="4" w:space="0"/>
              <w:right w:val="single" w:color="auto" w:sz="4" w:space="0"/>
            </w:tcBorders>
            <w:noWrap/>
            <w:vAlign w:val="center"/>
          </w:tcPr>
          <w:p w14:paraId="706D2739">
            <w:pPr>
              <w:widowControl/>
              <w:jc w:val="center"/>
              <w:rPr>
                <w:sz w:val="24"/>
                <w:szCs w:val="24"/>
              </w:rPr>
            </w:pPr>
            <w:r>
              <w:rPr>
                <w:rFonts w:hint="eastAsia"/>
                <w:sz w:val="24"/>
                <w:szCs w:val="24"/>
              </w:rPr>
              <w:t>安全意识教育和培训</w:t>
            </w:r>
          </w:p>
        </w:tc>
        <w:tc>
          <w:tcPr>
            <w:tcW w:w="3939" w:type="pct"/>
            <w:tcBorders>
              <w:top w:val="single" w:color="auto" w:sz="4" w:space="0"/>
              <w:left w:val="single" w:color="auto" w:sz="4" w:space="0"/>
              <w:bottom w:val="single" w:color="auto" w:sz="4" w:space="0"/>
              <w:right w:val="single" w:color="auto" w:sz="4" w:space="0"/>
            </w:tcBorders>
            <w:noWrap/>
            <w:vAlign w:val="center"/>
          </w:tcPr>
          <w:p w14:paraId="40B810E0">
            <w:pPr>
              <w:widowControl/>
              <w:rPr>
                <w:sz w:val="24"/>
                <w:szCs w:val="24"/>
              </w:rPr>
            </w:pPr>
            <w:r>
              <w:rPr>
                <w:sz w:val="24"/>
                <w:szCs w:val="24"/>
              </w:rPr>
              <w:t>通过访谈安全主管，检查培训计划和执行记录等文档，测评是否对人员进行安全方面的教育和培训。</w:t>
            </w:r>
          </w:p>
        </w:tc>
      </w:tr>
      <w:tr w14:paraId="22DA9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3247158F">
            <w:pPr>
              <w:widowControl/>
              <w:jc w:val="center"/>
              <w:rPr>
                <w:sz w:val="24"/>
                <w:szCs w:val="24"/>
              </w:rPr>
            </w:pPr>
            <w:r>
              <w:rPr>
                <w:rFonts w:hint="eastAsia"/>
                <w:sz w:val="24"/>
                <w:szCs w:val="24"/>
              </w:rPr>
              <w:t>4</w:t>
            </w:r>
          </w:p>
        </w:tc>
        <w:tc>
          <w:tcPr>
            <w:tcW w:w="665" w:type="pct"/>
            <w:tcBorders>
              <w:top w:val="single" w:color="auto" w:sz="4" w:space="0"/>
              <w:left w:val="single" w:color="auto" w:sz="4" w:space="0"/>
              <w:bottom w:val="single" w:color="auto" w:sz="4" w:space="0"/>
              <w:right w:val="single" w:color="auto" w:sz="4" w:space="0"/>
            </w:tcBorders>
            <w:noWrap/>
            <w:vAlign w:val="center"/>
          </w:tcPr>
          <w:p w14:paraId="6EA0E71A">
            <w:pPr>
              <w:widowControl/>
              <w:jc w:val="center"/>
              <w:rPr>
                <w:sz w:val="24"/>
                <w:szCs w:val="24"/>
              </w:rPr>
            </w:pPr>
            <w:r>
              <w:rPr>
                <w:rFonts w:hint="eastAsia"/>
                <w:sz w:val="24"/>
                <w:szCs w:val="24"/>
              </w:rPr>
              <w:t>外部人员访问管理</w:t>
            </w:r>
          </w:p>
        </w:tc>
        <w:tc>
          <w:tcPr>
            <w:tcW w:w="3939" w:type="pct"/>
            <w:tcBorders>
              <w:top w:val="single" w:color="auto" w:sz="4" w:space="0"/>
              <w:left w:val="single" w:color="auto" w:sz="4" w:space="0"/>
              <w:bottom w:val="single" w:color="auto" w:sz="4" w:space="0"/>
              <w:right w:val="single" w:color="auto" w:sz="4" w:space="0"/>
            </w:tcBorders>
            <w:noWrap/>
            <w:vAlign w:val="center"/>
          </w:tcPr>
          <w:p w14:paraId="6700C05C">
            <w:pPr>
              <w:widowControl/>
              <w:rPr>
                <w:sz w:val="24"/>
                <w:szCs w:val="24"/>
              </w:rPr>
            </w:pPr>
            <w:r>
              <w:rPr>
                <w:sz w:val="24"/>
                <w:szCs w:val="24"/>
              </w:rPr>
              <w:t>通过访谈安全主管，检查有关文档等过程，测评对第三方人员访问（物理、逻辑）系统是否采取必要控制措施。</w:t>
            </w:r>
          </w:p>
        </w:tc>
      </w:tr>
    </w:tbl>
    <w:p w14:paraId="7E33D7C3">
      <w:pPr>
        <w:tabs>
          <w:tab w:val="left" w:pos="5805"/>
        </w:tabs>
        <w:adjustRightInd w:val="0"/>
        <w:snapToGrid w:val="0"/>
        <w:spacing w:line="400" w:lineRule="exact"/>
        <w:ind w:firstLine="482" w:firstLineChars="200"/>
        <w:rPr>
          <w:rFonts w:ascii="宋体" w:hAnsi="宋体"/>
          <w:b/>
          <w:bCs/>
          <w:sz w:val="24"/>
          <w:szCs w:val="24"/>
        </w:rPr>
      </w:pPr>
      <w:bookmarkStart w:id="30" w:name="_Toc1750161"/>
      <w:bookmarkStart w:id="31" w:name="_Toc12808490"/>
      <w:bookmarkStart w:id="32" w:name="_Toc12351516"/>
      <w:r>
        <w:rPr>
          <w:rFonts w:hint="eastAsia" w:ascii="宋体" w:hAnsi="宋体"/>
          <w:b/>
          <w:bCs/>
          <w:sz w:val="24"/>
          <w:szCs w:val="24"/>
        </w:rPr>
        <w:t>（9）安全</w:t>
      </w:r>
      <w:r>
        <w:rPr>
          <w:rFonts w:ascii="宋体" w:hAnsi="宋体"/>
          <w:b/>
          <w:bCs/>
          <w:sz w:val="24"/>
          <w:szCs w:val="24"/>
        </w:rPr>
        <w:t>建设管理</w:t>
      </w:r>
      <w:bookmarkEnd w:id="30"/>
      <w:bookmarkEnd w:id="31"/>
      <w:bookmarkEnd w:id="32"/>
    </w:p>
    <w:p w14:paraId="3CE3F08C">
      <w:pPr>
        <w:adjustRightInd w:val="0"/>
        <w:snapToGrid w:val="0"/>
        <w:spacing w:line="400" w:lineRule="exact"/>
        <w:ind w:firstLine="480" w:firstLineChars="200"/>
        <w:rPr>
          <w:rFonts w:ascii="宋体" w:hAnsi="宋体"/>
          <w:sz w:val="24"/>
          <w:szCs w:val="24"/>
        </w:rPr>
      </w:pPr>
      <w:r>
        <w:rPr>
          <w:rFonts w:hint="eastAsia" w:ascii="宋体" w:hAnsi="宋体"/>
          <w:sz w:val="24"/>
          <w:szCs w:val="24"/>
        </w:rPr>
        <w:t>安全建设管理测评：通过访谈和检查的形式评测系统建设管理过程中的安全控制情况。主要涉及安全主管人员、系统建设负责人、各类管理制度、操作规程文件、执行过程记录等对象。</w:t>
      </w:r>
    </w:p>
    <w:p w14:paraId="2A4D8378">
      <w:pPr>
        <w:adjustRightInd w:val="0"/>
        <w:snapToGrid w:val="0"/>
        <w:spacing w:line="400" w:lineRule="exact"/>
        <w:ind w:firstLine="480" w:firstLineChars="200"/>
        <w:rPr>
          <w:rFonts w:hint="eastAsia" w:ascii="宋体" w:hAnsi="宋体"/>
          <w:sz w:val="24"/>
          <w:szCs w:val="24"/>
        </w:rPr>
      </w:pPr>
      <w:r>
        <w:rPr>
          <w:rFonts w:hint="eastAsia" w:ascii="宋体" w:hAnsi="宋体"/>
          <w:sz w:val="24"/>
          <w:szCs w:val="24"/>
        </w:rPr>
        <w:t>在内容上，系统建设管理测评实施过程涉及10个工作单元，具体如下表：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324"/>
        <w:gridCol w:w="7849"/>
      </w:tblGrid>
      <w:tr w14:paraId="55623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4045854">
            <w:pPr>
              <w:jc w:val="center"/>
              <w:rPr>
                <w:b/>
                <w:kern w:val="0"/>
                <w:sz w:val="24"/>
                <w:szCs w:val="24"/>
              </w:rPr>
            </w:pPr>
            <w:r>
              <w:rPr>
                <w:b/>
                <w:kern w:val="0"/>
                <w:sz w:val="24"/>
                <w:szCs w:val="24"/>
              </w:rPr>
              <w:t>序号</w:t>
            </w:r>
          </w:p>
        </w:tc>
        <w:tc>
          <w:tcPr>
            <w:tcW w:w="665"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AE1C3B2">
            <w:pPr>
              <w:jc w:val="center"/>
              <w:rPr>
                <w:b/>
                <w:kern w:val="0"/>
                <w:sz w:val="24"/>
                <w:szCs w:val="24"/>
              </w:rPr>
            </w:pPr>
            <w:r>
              <w:rPr>
                <w:b/>
                <w:kern w:val="0"/>
                <w:sz w:val="24"/>
                <w:szCs w:val="24"/>
              </w:rPr>
              <w:t>安全子类</w:t>
            </w:r>
          </w:p>
        </w:tc>
        <w:tc>
          <w:tcPr>
            <w:tcW w:w="393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938E8E0">
            <w:pPr>
              <w:jc w:val="center"/>
              <w:rPr>
                <w:b/>
                <w:kern w:val="0"/>
                <w:sz w:val="24"/>
                <w:szCs w:val="24"/>
              </w:rPr>
            </w:pPr>
            <w:r>
              <w:rPr>
                <w:b/>
                <w:kern w:val="0"/>
                <w:sz w:val="24"/>
                <w:szCs w:val="24"/>
              </w:rPr>
              <w:t>测评指标描述</w:t>
            </w:r>
          </w:p>
        </w:tc>
      </w:tr>
      <w:tr w14:paraId="6F9D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4E140FE7">
            <w:pPr>
              <w:jc w:val="center"/>
              <w:rPr>
                <w:sz w:val="24"/>
                <w:szCs w:val="24"/>
              </w:rPr>
            </w:pPr>
            <w:r>
              <w:rPr>
                <w:rFonts w:hint="eastAsia"/>
                <w:sz w:val="24"/>
                <w:szCs w:val="24"/>
              </w:rPr>
              <w:t>1</w:t>
            </w:r>
          </w:p>
        </w:tc>
        <w:tc>
          <w:tcPr>
            <w:tcW w:w="665" w:type="pct"/>
            <w:tcBorders>
              <w:top w:val="single" w:color="auto" w:sz="4" w:space="0"/>
              <w:left w:val="single" w:color="auto" w:sz="4" w:space="0"/>
              <w:bottom w:val="single" w:color="auto" w:sz="4" w:space="0"/>
              <w:right w:val="single" w:color="auto" w:sz="4" w:space="0"/>
            </w:tcBorders>
            <w:noWrap/>
            <w:vAlign w:val="center"/>
          </w:tcPr>
          <w:p w14:paraId="3F4CDF56">
            <w:pPr>
              <w:widowControl/>
              <w:jc w:val="center"/>
              <w:rPr>
                <w:sz w:val="24"/>
                <w:szCs w:val="24"/>
              </w:rPr>
            </w:pPr>
            <w:r>
              <w:rPr>
                <w:sz w:val="24"/>
                <w:szCs w:val="24"/>
              </w:rPr>
              <w:t>定级</w:t>
            </w:r>
            <w:r>
              <w:rPr>
                <w:rFonts w:hint="eastAsia"/>
                <w:sz w:val="24"/>
                <w:szCs w:val="24"/>
              </w:rPr>
              <w:t>和备案</w:t>
            </w:r>
          </w:p>
        </w:tc>
        <w:tc>
          <w:tcPr>
            <w:tcW w:w="3939" w:type="pct"/>
            <w:tcBorders>
              <w:top w:val="single" w:color="auto" w:sz="4" w:space="0"/>
              <w:left w:val="single" w:color="auto" w:sz="4" w:space="0"/>
              <w:bottom w:val="single" w:color="auto" w:sz="4" w:space="0"/>
              <w:right w:val="single" w:color="auto" w:sz="4" w:space="0"/>
            </w:tcBorders>
            <w:noWrap/>
            <w:vAlign w:val="center"/>
          </w:tcPr>
          <w:p w14:paraId="107683A6">
            <w:pPr>
              <w:widowControl/>
              <w:rPr>
                <w:sz w:val="24"/>
                <w:szCs w:val="24"/>
              </w:rPr>
            </w:pPr>
            <w:r>
              <w:rPr>
                <w:sz w:val="24"/>
                <w:szCs w:val="24"/>
              </w:rPr>
              <w:t>通过访谈安全主管，检查系统定级相关文档等过程，测评是否按照一定要求确定系统的安全等级。</w:t>
            </w:r>
          </w:p>
        </w:tc>
      </w:tr>
      <w:tr w14:paraId="7151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77CA542F">
            <w:pPr>
              <w:jc w:val="center"/>
              <w:rPr>
                <w:sz w:val="24"/>
                <w:szCs w:val="24"/>
              </w:rPr>
            </w:pPr>
            <w:r>
              <w:rPr>
                <w:rFonts w:hint="eastAsia"/>
                <w:sz w:val="24"/>
                <w:szCs w:val="24"/>
              </w:rPr>
              <w:t>2</w:t>
            </w:r>
          </w:p>
        </w:tc>
        <w:tc>
          <w:tcPr>
            <w:tcW w:w="665" w:type="pct"/>
            <w:tcBorders>
              <w:top w:val="single" w:color="auto" w:sz="4" w:space="0"/>
              <w:left w:val="single" w:color="auto" w:sz="4" w:space="0"/>
              <w:bottom w:val="single" w:color="auto" w:sz="4" w:space="0"/>
              <w:right w:val="single" w:color="auto" w:sz="4" w:space="0"/>
            </w:tcBorders>
            <w:noWrap/>
            <w:vAlign w:val="center"/>
          </w:tcPr>
          <w:p w14:paraId="201271A1">
            <w:pPr>
              <w:widowControl/>
              <w:jc w:val="center"/>
              <w:rPr>
                <w:sz w:val="24"/>
                <w:szCs w:val="24"/>
              </w:rPr>
            </w:pPr>
            <w:r>
              <w:rPr>
                <w:sz w:val="24"/>
                <w:szCs w:val="24"/>
              </w:rPr>
              <w:t>安全方案设计</w:t>
            </w:r>
          </w:p>
        </w:tc>
        <w:tc>
          <w:tcPr>
            <w:tcW w:w="3939" w:type="pct"/>
            <w:tcBorders>
              <w:top w:val="single" w:color="auto" w:sz="4" w:space="0"/>
              <w:left w:val="single" w:color="auto" w:sz="4" w:space="0"/>
              <w:bottom w:val="single" w:color="auto" w:sz="4" w:space="0"/>
              <w:right w:val="single" w:color="auto" w:sz="4" w:space="0"/>
            </w:tcBorders>
            <w:noWrap/>
            <w:vAlign w:val="center"/>
          </w:tcPr>
          <w:p w14:paraId="729B502F">
            <w:pPr>
              <w:widowControl/>
              <w:rPr>
                <w:sz w:val="24"/>
                <w:szCs w:val="24"/>
              </w:rPr>
            </w:pPr>
            <w:r>
              <w:rPr>
                <w:sz w:val="24"/>
                <w:szCs w:val="24"/>
              </w:rPr>
              <w:t>通过访谈系统建设负责人，检查系统安全建设方案等文档，测评系统整体的安全规划设计是否按照一定流程进行。</w:t>
            </w:r>
          </w:p>
        </w:tc>
      </w:tr>
      <w:tr w14:paraId="00B1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21E70737">
            <w:pPr>
              <w:jc w:val="center"/>
              <w:rPr>
                <w:sz w:val="24"/>
                <w:szCs w:val="24"/>
              </w:rPr>
            </w:pPr>
            <w:r>
              <w:rPr>
                <w:rFonts w:hint="eastAsia"/>
                <w:sz w:val="24"/>
                <w:szCs w:val="24"/>
              </w:rPr>
              <w:t>3</w:t>
            </w:r>
          </w:p>
        </w:tc>
        <w:tc>
          <w:tcPr>
            <w:tcW w:w="665" w:type="pct"/>
            <w:tcBorders>
              <w:top w:val="single" w:color="auto" w:sz="4" w:space="0"/>
              <w:left w:val="single" w:color="auto" w:sz="4" w:space="0"/>
              <w:bottom w:val="single" w:color="auto" w:sz="4" w:space="0"/>
              <w:right w:val="single" w:color="auto" w:sz="4" w:space="0"/>
            </w:tcBorders>
            <w:noWrap/>
            <w:vAlign w:val="center"/>
          </w:tcPr>
          <w:p w14:paraId="3B7EFCF9">
            <w:pPr>
              <w:widowControl/>
              <w:jc w:val="center"/>
              <w:rPr>
                <w:sz w:val="24"/>
                <w:szCs w:val="24"/>
              </w:rPr>
            </w:pPr>
            <w:r>
              <w:rPr>
                <w:sz w:val="24"/>
                <w:szCs w:val="24"/>
              </w:rPr>
              <w:t>产品采购和使用</w:t>
            </w:r>
          </w:p>
        </w:tc>
        <w:tc>
          <w:tcPr>
            <w:tcW w:w="3939" w:type="pct"/>
            <w:tcBorders>
              <w:top w:val="single" w:color="auto" w:sz="4" w:space="0"/>
              <w:left w:val="single" w:color="auto" w:sz="4" w:space="0"/>
              <w:bottom w:val="single" w:color="auto" w:sz="4" w:space="0"/>
              <w:right w:val="single" w:color="auto" w:sz="4" w:space="0"/>
            </w:tcBorders>
            <w:noWrap/>
            <w:vAlign w:val="center"/>
          </w:tcPr>
          <w:p w14:paraId="23FF2260">
            <w:pPr>
              <w:widowControl/>
              <w:rPr>
                <w:sz w:val="24"/>
                <w:szCs w:val="24"/>
              </w:rPr>
            </w:pPr>
            <w:r>
              <w:rPr>
                <w:sz w:val="24"/>
                <w:szCs w:val="24"/>
              </w:rPr>
              <w:t>通过访谈安全主管、系统建设负责人和安全产品等过程，测评是否按照一定的要求进行系统的产品采购。</w:t>
            </w:r>
          </w:p>
        </w:tc>
      </w:tr>
      <w:tr w14:paraId="18A87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7B6D6718">
            <w:pPr>
              <w:jc w:val="center"/>
              <w:rPr>
                <w:sz w:val="24"/>
                <w:szCs w:val="24"/>
              </w:rPr>
            </w:pPr>
            <w:r>
              <w:rPr>
                <w:rFonts w:hint="eastAsia"/>
                <w:sz w:val="24"/>
                <w:szCs w:val="24"/>
              </w:rPr>
              <w:t>4</w:t>
            </w:r>
          </w:p>
        </w:tc>
        <w:tc>
          <w:tcPr>
            <w:tcW w:w="665" w:type="pct"/>
            <w:tcBorders>
              <w:top w:val="single" w:color="auto" w:sz="4" w:space="0"/>
              <w:left w:val="single" w:color="auto" w:sz="4" w:space="0"/>
              <w:bottom w:val="single" w:color="auto" w:sz="4" w:space="0"/>
              <w:right w:val="single" w:color="auto" w:sz="4" w:space="0"/>
            </w:tcBorders>
            <w:noWrap/>
            <w:vAlign w:val="center"/>
          </w:tcPr>
          <w:p w14:paraId="7D0F9773">
            <w:pPr>
              <w:widowControl/>
              <w:jc w:val="center"/>
              <w:rPr>
                <w:sz w:val="24"/>
                <w:szCs w:val="24"/>
              </w:rPr>
            </w:pPr>
            <w:r>
              <w:rPr>
                <w:sz w:val="24"/>
                <w:szCs w:val="24"/>
              </w:rPr>
              <w:t>自行软件开发</w:t>
            </w:r>
          </w:p>
        </w:tc>
        <w:tc>
          <w:tcPr>
            <w:tcW w:w="3939" w:type="pct"/>
            <w:tcBorders>
              <w:top w:val="single" w:color="auto" w:sz="4" w:space="0"/>
              <w:left w:val="single" w:color="auto" w:sz="4" w:space="0"/>
              <w:bottom w:val="single" w:color="auto" w:sz="4" w:space="0"/>
              <w:right w:val="single" w:color="auto" w:sz="4" w:space="0"/>
            </w:tcBorders>
            <w:noWrap/>
            <w:vAlign w:val="center"/>
          </w:tcPr>
          <w:p w14:paraId="0C5EAB73">
            <w:pPr>
              <w:widowControl/>
              <w:rPr>
                <w:sz w:val="24"/>
                <w:szCs w:val="24"/>
              </w:rPr>
            </w:pPr>
            <w:r>
              <w:rPr>
                <w:sz w:val="24"/>
                <w:szCs w:val="24"/>
              </w:rPr>
              <w:t>通过访谈系统建设负责人，检查相关软件开发文档等，测评自行开发的软件是否采取必要的措施保证开发过程的安全性。</w:t>
            </w:r>
          </w:p>
        </w:tc>
      </w:tr>
      <w:tr w14:paraId="6748E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5B9D470C">
            <w:pPr>
              <w:jc w:val="center"/>
              <w:rPr>
                <w:sz w:val="24"/>
                <w:szCs w:val="24"/>
              </w:rPr>
            </w:pPr>
            <w:r>
              <w:rPr>
                <w:rFonts w:hint="eastAsia"/>
                <w:sz w:val="24"/>
                <w:szCs w:val="24"/>
              </w:rPr>
              <w:t>5</w:t>
            </w:r>
          </w:p>
        </w:tc>
        <w:tc>
          <w:tcPr>
            <w:tcW w:w="665" w:type="pct"/>
            <w:tcBorders>
              <w:top w:val="single" w:color="auto" w:sz="4" w:space="0"/>
              <w:left w:val="single" w:color="auto" w:sz="4" w:space="0"/>
              <w:bottom w:val="single" w:color="auto" w:sz="4" w:space="0"/>
              <w:right w:val="single" w:color="auto" w:sz="4" w:space="0"/>
            </w:tcBorders>
            <w:noWrap/>
            <w:vAlign w:val="center"/>
          </w:tcPr>
          <w:p w14:paraId="1EA0A48E">
            <w:pPr>
              <w:widowControl/>
              <w:jc w:val="center"/>
              <w:rPr>
                <w:sz w:val="24"/>
                <w:szCs w:val="24"/>
              </w:rPr>
            </w:pPr>
            <w:r>
              <w:rPr>
                <w:sz w:val="24"/>
                <w:szCs w:val="24"/>
              </w:rPr>
              <w:t>外包软件开发</w:t>
            </w:r>
          </w:p>
        </w:tc>
        <w:tc>
          <w:tcPr>
            <w:tcW w:w="3939" w:type="pct"/>
            <w:tcBorders>
              <w:top w:val="single" w:color="auto" w:sz="4" w:space="0"/>
              <w:left w:val="single" w:color="auto" w:sz="4" w:space="0"/>
              <w:bottom w:val="single" w:color="auto" w:sz="4" w:space="0"/>
              <w:right w:val="single" w:color="auto" w:sz="4" w:space="0"/>
            </w:tcBorders>
            <w:noWrap/>
            <w:vAlign w:val="center"/>
          </w:tcPr>
          <w:p w14:paraId="6CEF1674">
            <w:pPr>
              <w:widowControl/>
              <w:rPr>
                <w:sz w:val="24"/>
                <w:szCs w:val="24"/>
              </w:rPr>
            </w:pPr>
            <w:r>
              <w:rPr>
                <w:sz w:val="24"/>
                <w:szCs w:val="24"/>
              </w:rPr>
              <w:t>通过访谈系统建设负责人，检查相关文档，测评外包开发的软件是否采取必要的措施保证开发过程的安全性和日后的维护工作能够正常开展。</w:t>
            </w:r>
          </w:p>
        </w:tc>
      </w:tr>
      <w:tr w14:paraId="0B3F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396DCC7F">
            <w:pPr>
              <w:jc w:val="center"/>
              <w:rPr>
                <w:sz w:val="24"/>
                <w:szCs w:val="24"/>
              </w:rPr>
            </w:pPr>
            <w:r>
              <w:rPr>
                <w:rFonts w:hint="eastAsia"/>
                <w:sz w:val="24"/>
                <w:szCs w:val="24"/>
              </w:rPr>
              <w:t>6</w:t>
            </w:r>
          </w:p>
        </w:tc>
        <w:tc>
          <w:tcPr>
            <w:tcW w:w="665" w:type="pct"/>
            <w:tcBorders>
              <w:top w:val="single" w:color="auto" w:sz="4" w:space="0"/>
              <w:left w:val="single" w:color="auto" w:sz="4" w:space="0"/>
              <w:bottom w:val="single" w:color="auto" w:sz="4" w:space="0"/>
              <w:right w:val="single" w:color="auto" w:sz="4" w:space="0"/>
            </w:tcBorders>
            <w:noWrap/>
            <w:vAlign w:val="center"/>
          </w:tcPr>
          <w:p w14:paraId="7304BB21">
            <w:pPr>
              <w:widowControl/>
              <w:jc w:val="center"/>
              <w:rPr>
                <w:sz w:val="24"/>
                <w:szCs w:val="24"/>
              </w:rPr>
            </w:pPr>
            <w:r>
              <w:rPr>
                <w:sz w:val="24"/>
                <w:szCs w:val="24"/>
              </w:rPr>
              <w:t>工程实施</w:t>
            </w:r>
          </w:p>
        </w:tc>
        <w:tc>
          <w:tcPr>
            <w:tcW w:w="3939" w:type="pct"/>
            <w:tcBorders>
              <w:top w:val="single" w:color="auto" w:sz="4" w:space="0"/>
              <w:left w:val="single" w:color="auto" w:sz="4" w:space="0"/>
              <w:bottom w:val="single" w:color="auto" w:sz="4" w:space="0"/>
              <w:right w:val="single" w:color="auto" w:sz="4" w:space="0"/>
            </w:tcBorders>
            <w:noWrap/>
            <w:vAlign w:val="center"/>
          </w:tcPr>
          <w:p w14:paraId="51BD5EA1">
            <w:pPr>
              <w:widowControl/>
              <w:rPr>
                <w:sz w:val="24"/>
                <w:szCs w:val="24"/>
              </w:rPr>
            </w:pPr>
            <w:r>
              <w:rPr>
                <w:sz w:val="24"/>
                <w:szCs w:val="24"/>
              </w:rPr>
              <w:t>通过访谈系统建设负责人，检查相关文档，测评系统建设的实施过程是否采取必要的措施使其在机构可控的范围内进行。</w:t>
            </w:r>
          </w:p>
        </w:tc>
      </w:tr>
      <w:tr w14:paraId="5615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43391026">
            <w:pPr>
              <w:jc w:val="center"/>
              <w:rPr>
                <w:sz w:val="24"/>
                <w:szCs w:val="24"/>
              </w:rPr>
            </w:pPr>
            <w:r>
              <w:rPr>
                <w:rFonts w:hint="eastAsia"/>
                <w:sz w:val="24"/>
                <w:szCs w:val="24"/>
              </w:rPr>
              <w:t>7</w:t>
            </w:r>
          </w:p>
        </w:tc>
        <w:tc>
          <w:tcPr>
            <w:tcW w:w="665" w:type="pct"/>
            <w:tcBorders>
              <w:top w:val="single" w:color="auto" w:sz="4" w:space="0"/>
              <w:left w:val="single" w:color="auto" w:sz="4" w:space="0"/>
              <w:bottom w:val="single" w:color="auto" w:sz="4" w:space="0"/>
              <w:right w:val="single" w:color="auto" w:sz="4" w:space="0"/>
            </w:tcBorders>
            <w:noWrap/>
            <w:vAlign w:val="center"/>
          </w:tcPr>
          <w:p w14:paraId="6343E0EB">
            <w:pPr>
              <w:widowControl/>
              <w:jc w:val="center"/>
              <w:rPr>
                <w:sz w:val="24"/>
                <w:szCs w:val="24"/>
              </w:rPr>
            </w:pPr>
            <w:r>
              <w:rPr>
                <w:sz w:val="24"/>
                <w:szCs w:val="24"/>
              </w:rPr>
              <w:t>测试验收</w:t>
            </w:r>
          </w:p>
        </w:tc>
        <w:tc>
          <w:tcPr>
            <w:tcW w:w="3939" w:type="pct"/>
            <w:tcBorders>
              <w:top w:val="single" w:color="auto" w:sz="4" w:space="0"/>
              <w:left w:val="single" w:color="auto" w:sz="4" w:space="0"/>
              <w:bottom w:val="single" w:color="auto" w:sz="4" w:space="0"/>
              <w:right w:val="single" w:color="auto" w:sz="4" w:space="0"/>
            </w:tcBorders>
            <w:noWrap/>
            <w:vAlign w:val="center"/>
          </w:tcPr>
          <w:p w14:paraId="763E0271">
            <w:pPr>
              <w:widowControl/>
              <w:rPr>
                <w:sz w:val="24"/>
                <w:szCs w:val="24"/>
              </w:rPr>
            </w:pPr>
            <w:r>
              <w:rPr>
                <w:sz w:val="24"/>
                <w:szCs w:val="24"/>
              </w:rPr>
              <w:t>通过访谈系统建设负责人，检查测试验收等相关文档，测评系统运行前是否对其进行测试验收工作。</w:t>
            </w:r>
          </w:p>
        </w:tc>
      </w:tr>
      <w:tr w14:paraId="4DA5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22F67CFC">
            <w:pPr>
              <w:jc w:val="center"/>
              <w:rPr>
                <w:sz w:val="24"/>
                <w:szCs w:val="24"/>
              </w:rPr>
            </w:pPr>
            <w:r>
              <w:rPr>
                <w:rFonts w:hint="eastAsia"/>
                <w:sz w:val="24"/>
                <w:szCs w:val="24"/>
              </w:rPr>
              <w:t>8</w:t>
            </w:r>
          </w:p>
        </w:tc>
        <w:tc>
          <w:tcPr>
            <w:tcW w:w="665" w:type="pct"/>
            <w:tcBorders>
              <w:top w:val="single" w:color="auto" w:sz="4" w:space="0"/>
              <w:left w:val="single" w:color="auto" w:sz="4" w:space="0"/>
              <w:bottom w:val="single" w:color="auto" w:sz="4" w:space="0"/>
              <w:right w:val="single" w:color="auto" w:sz="4" w:space="0"/>
            </w:tcBorders>
            <w:noWrap/>
            <w:vAlign w:val="center"/>
          </w:tcPr>
          <w:p w14:paraId="2C04122C">
            <w:pPr>
              <w:widowControl/>
              <w:jc w:val="center"/>
              <w:rPr>
                <w:sz w:val="24"/>
                <w:szCs w:val="24"/>
              </w:rPr>
            </w:pPr>
            <w:r>
              <w:rPr>
                <w:sz w:val="24"/>
                <w:szCs w:val="24"/>
              </w:rPr>
              <w:t>系统交付</w:t>
            </w:r>
          </w:p>
        </w:tc>
        <w:tc>
          <w:tcPr>
            <w:tcW w:w="3939" w:type="pct"/>
            <w:tcBorders>
              <w:top w:val="single" w:color="auto" w:sz="4" w:space="0"/>
              <w:left w:val="single" w:color="auto" w:sz="4" w:space="0"/>
              <w:bottom w:val="single" w:color="auto" w:sz="4" w:space="0"/>
              <w:right w:val="single" w:color="auto" w:sz="4" w:space="0"/>
            </w:tcBorders>
            <w:noWrap/>
            <w:vAlign w:val="center"/>
          </w:tcPr>
          <w:p w14:paraId="07A92F4E">
            <w:pPr>
              <w:widowControl/>
              <w:rPr>
                <w:sz w:val="24"/>
                <w:szCs w:val="24"/>
              </w:rPr>
            </w:pPr>
            <w:r>
              <w:rPr>
                <w:sz w:val="24"/>
                <w:szCs w:val="24"/>
              </w:rPr>
              <w:t>通过访谈系统运维负责人，检查系统交付清单等过程，测评是否采取必要的措施对系统交付过程进行有效控制。</w:t>
            </w:r>
          </w:p>
        </w:tc>
      </w:tr>
      <w:tr w14:paraId="0230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724B4603">
            <w:pPr>
              <w:jc w:val="center"/>
              <w:rPr>
                <w:sz w:val="24"/>
                <w:szCs w:val="24"/>
              </w:rPr>
            </w:pPr>
            <w:r>
              <w:rPr>
                <w:rFonts w:hint="eastAsia"/>
                <w:sz w:val="24"/>
                <w:szCs w:val="24"/>
              </w:rPr>
              <w:t>9</w:t>
            </w:r>
          </w:p>
        </w:tc>
        <w:tc>
          <w:tcPr>
            <w:tcW w:w="665" w:type="pct"/>
            <w:tcBorders>
              <w:top w:val="single" w:color="auto" w:sz="4" w:space="0"/>
              <w:left w:val="single" w:color="auto" w:sz="4" w:space="0"/>
              <w:bottom w:val="single" w:color="auto" w:sz="4" w:space="0"/>
              <w:right w:val="single" w:color="auto" w:sz="4" w:space="0"/>
            </w:tcBorders>
            <w:noWrap/>
            <w:vAlign w:val="center"/>
          </w:tcPr>
          <w:p w14:paraId="74690F01">
            <w:pPr>
              <w:widowControl/>
              <w:jc w:val="center"/>
              <w:rPr>
                <w:sz w:val="24"/>
                <w:szCs w:val="24"/>
              </w:rPr>
            </w:pPr>
            <w:r>
              <w:rPr>
                <w:rFonts w:hint="eastAsia"/>
                <w:sz w:val="24"/>
                <w:szCs w:val="24"/>
              </w:rPr>
              <w:t>等级测评</w:t>
            </w:r>
          </w:p>
        </w:tc>
        <w:tc>
          <w:tcPr>
            <w:tcW w:w="3939" w:type="pct"/>
            <w:tcBorders>
              <w:top w:val="single" w:color="auto" w:sz="4" w:space="0"/>
              <w:left w:val="single" w:color="auto" w:sz="4" w:space="0"/>
              <w:bottom w:val="single" w:color="auto" w:sz="4" w:space="0"/>
              <w:right w:val="single" w:color="auto" w:sz="4" w:space="0"/>
            </w:tcBorders>
            <w:noWrap/>
            <w:vAlign w:val="center"/>
          </w:tcPr>
          <w:p w14:paraId="3B2134F8">
            <w:pPr>
              <w:widowControl/>
              <w:rPr>
                <w:sz w:val="24"/>
                <w:szCs w:val="24"/>
              </w:rPr>
            </w:pPr>
            <w:r>
              <w:rPr>
                <w:sz w:val="24"/>
                <w:szCs w:val="24"/>
              </w:rPr>
              <w:t>通过访谈系统运维负责人，</w:t>
            </w:r>
            <w:r>
              <w:rPr>
                <w:rFonts w:hint="eastAsia"/>
                <w:sz w:val="24"/>
                <w:szCs w:val="24"/>
              </w:rPr>
              <w:t>核查定期开展等级测评和等级保护整改情况。</w:t>
            </w:r>
          </w:p>
        </w:tc>
      </w:tr>
      <w:tr w14:paraId="43A8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19D76B7A">
            <w:pPr>
              <w:jc w:val="center"/>
              <w:rPr>
                <w:sz w:val="24"/>
                <w:szCs w:val="24"/>
              </w:rPr>
            </w:pPr>
            <w:r>
              <w:rPr>
                <w:sz w:val="24"/>
                <w:szCs w:val="24"/>
              </w:rPr>
              <w:t>10</w:t>
            </w:r>
          </w:p>
        </w:tc>
        <w:tc>
          <w:tcPr>
            <w:tcW w:w="665" w:type="pct"/>
            <w:tcBorders>
              <w:top w:val="single" w:color="auto" w:sz="4" w:space="0"/>
              <w:left w:val="single" w:color="auto" w:sz="4" w:space="0"/>
              <w:bottom w:val="single" w:color="auto" w:sz="4" w:space="0"/>
              <w:right w:val="single" w:color="auto" w:sz="4" w:space="0"/>
            </w:tcBorders>
            <w:noWrap/>
            <w:vAlign w:val="center"/>
          </w:tcPr>
          <w:p w14:paraId="34378C50">
            <w:pPr>
              <w:widowControl/>
              <w:jc w:val="center"/>
              <w:rPr>
                <w:sz w:val="24"/>
                <w:szCs w:val="24"/>
              </w:rPr>
            </w:pPr>
            <w:r>
              <w:rPr>
                <w:sz w:val="24"/>
                <w:szCs w:val="24"/>
              </w:rPr>
              <w:t>服务</w:t>
            </w:r>
            <w:r>
              <w:rPr>
                <w:rFonts w:hint="eastAsia"/>
                <w:sz w:val="24"/>
                <w:szCs w:val="24"/>
              </w:rPr>
              <w:t>供应</w:t>
            </w:r>
            <w:r>
              <w:rPr>
                <w:sz w:val="24"/>
                <w:szCs w:val="24"/>
              </w:rPr>
              <w:t>商选择</w:t>
            </w:r>
          </w:p>
        </w:tc>
        <w:tc>
          <w:tcPr>
            <w:tcW w:w="3939" w:type="pct"/>
            <w:tcBorders>
              <w:top w:val="single" w:color="auto" w:sz="4" w:space="0"/>
              <w:left w:val="single" w:color="auto" w:sz="4" w:space="0"/>
              <w:bottom w:val="single" w:color="auto" w:sz="4" w:space="0"/>
              <w:right w:val="single" w:color="auto" w:sz="4" w:space="0"/>
            </w:tcBorders>
            <w:noWrap/>
            <w:vAlign w:val="center"/>
          </w:tcPr>
          <w:p w14:paraId="46FD6FE2">
            <w:pPr>
              <w:widowControl/>
              <w:rPr>
                <w:sz w:val="24"/>
                <w:szCs w:val="24"/>
              </w:rPr>
            </w:pPr>
            <w:r>
              <w:rPr>
                <w:sz w:val="24"/>
                <w:szCs w:val="24"/>
              </w:rPr>
              <w:t>通过访谈系统运维负责人，测评是否选择符合国家有关规定的安全服务单位进行相关的安全服务工作。</w:t>
            </w:r>
          </w:p>
        </w:tc>
      </w:tr>
    </w:tbl>
    <w:p w14:paraId="459A4BC2">
      <w:pPr>
        <w:keepNext w:val="0"/>
        <w:keepLines w:val="0"/>
        <w:pageBreakBefore w:val="0"/>
        <w:widowControl w:val="0"/>
        <w:tabs>
          <w:tab w:val="left" w:pos="5805"/>
        </w:tabs>
        <w:kinsoku/>
        <w:wordWrap/>
        <w:overflowPunct/>
        <w:topLinePunct w:val="0"/>
        <w:autoSpaceDE/>
        <w:autoSpaceDN/>
        <w:bidi w:val="0"/>
        <w:adjustRightInd w:val="0"/>
        <w:snapToGrid w:val="0"/>
        <w:spacing w:line="360" w:lineRule="auto"/>
        <w:ind w:firstLine="482" w:firstLineChars="200"/>
        <w:textAlignment w:val="auto"/>
        <w:rPr>
          <w:rFonts w:ascii="宋体" w:hAnsi="宋体"/>
          <w:b/>
          <w:bCs/>
          <w:sz w:val="24"/>
        </w:rPr>
      </w:pPr>
      <w:bookmarkStart w:id="33" w:name="_Toc12351517"/>
      <w:bookmarkStart w:id="34" w:name="_Toc12808491"/>
      <w:bookmarkStart w:id="35" w:name="_Toc1750165"/>
      <w:r>
        <w:rPr>
          <w:rFonts w:hint="eastAsia" w:ascii="宋体" w:hAnsi="宋体"/>
          <w:b/>
          <w:bCs/>
          <w:sz w:val="24"/>
        </w:rPr>
        <w:t>（</w:t>
      </w:r>
      <w:r>
        <w:rPr>
          <w:rFonts w:ascii="宋体" w:hAnsi="宋体"/>
          <w:b/>
          <w:bCs/>
          <w:sz w:val="24"/>
        </w:rPr>
        <w:t>10</w:t>
      </w:r>
      <w:r>
        <w:rPr>
          <w:rFonts w:hint="eastAsia" w:ascii="宋体" w:hAnsi="宋体"/>
          <w:b/>
          <w:bCs/>
          <w:sz w:val="24"/>
        </w:rPr>
        <w:t>）安全</w:t>
      </w:r>
      <w:r>
        <w:rPr>
          <w:rFonts w:ascii="宋体" w:hAnsi="宋体"/>
          <w:b/>
          <w:bCs/>
          <w:sz w:val="24"/>
        </w:rPr>
        <w:t>运维管理测评</w:t>
      </w:r>
      <w:bookmarkEnd w:id="33"/>
      <w:bookmarkEnd w:id="34"/>
      <w:bookmarkEnd w:id="35"/>
    </w:p>
    <w:p w14:paraId="1E9522B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安全运维管理测评：通过访谈和检查的形式评测系统运维管理过程中的安全控制情况。主要涉及安全主管人员、安全管理人员、各类运维人员、各类管理制度、操作规程文件、执行过程记录等对象。</w:t>
      </w:r>
    </w:p>
    <w:p w14:paraId="0465928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在内容上，系统运维管理测评实施过程涉及14个工作单元，具体如下表：</w:t>
      </w:r>
    </w:p>
    <w:tbl>
      <w:tblPr>
        <w:tblStyle w:val="16"/>
        <w:tblW w:w="49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2376"/>
        <w:gridCol w:w="6868"/>
      </w:tblGrid>
      <w:tr w14:paraId="0EAD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5"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0017898">
            <w:pPr>
              <w:jc w:val="center"/>
              <w:rPr>
                <w:b/>
                <w:kern w:val="0"/>
                <w:sz w:val="24"/>
                <w:szCs w:val="24"/>
              </w:rPr>
            </w:pPr>
            <w:r>
              <w:rPr>
                <w:b/>
                <w:kern w:val="0"/>
                <w:sz w:val="24"/>
                <w:szCs w:val="24"/>
              </w:rPr>
              <w:t>序号</w:t>
            </w:r>
          </w:p>
        </w:tc>
        <w:tc>
          <w:tcPr>
            <w:tcW w:w="1017"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581089D">
            <w:pPr>
              <w:jc w:val="center"/>
              <w:rPr>
                <w:b/>
                <w:kern w:val="0"/>
                <w:sz w:val="24"/>
                <w:szCs w:val="24"/>
              </w:rPr>
            </w:pPr>
            <w:r>
              <w:rPr>
                <w:b/>
                <w:kern w:val="0"/>
                <w:sz w:val="24"/>
                <w:szCs w:val="24"/>
              </w:rPr>
              <w:t>安全子类</w:t>
            </w:r>
          </w:p>
        </w:tc>
        <w:tc>
          <w:tcPr>
            <w:tcW w:w="36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3C006EC">
            <w:pPr>
              <w:jc w:val="center"/>
              <w:rPr>
                <w:b/>
                <w:kern w:val="0"/>
                <w:sz w:val="24"/>
                <w:szCs w:val="24"/>
              </w:rPr>
            </w:pPr>
            <w:r>
              <w:rPr>
                <w:b/>
                <w:kern w:val="0"/>
                <w:sz w:val="24"/>
                <w:szCs w:val="24"/>
              </w:rPr>
              <w:t>测评指标描述</w:t>
            </w:r>
          </w:p>
        </w:tc>
      </w:tr>
      <w:tr w14:paraId="1884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4768B1DA">
            <w:pPr>
              <w:jc w:val="center"/>
              <w:rPr>
                <w:sz w:val="24"/>
                <w:szCs w:val="24"/>
              </w:rPr>
            </w:pPr>
            <w:r>
              <w:rPr>
                <w:rFonts w:hint="eastAsia"/>
                <w:sz w:val="24"/>
                <w:szCs w:val="24"/>
              </w:rPr>
              <w:t>1</w:t>
            </w:r>
          </w:p>
        </w:tc>
        <w:tc>
          <w:tcPr>
            <w:tcW w:w="1017" w:type="pct"/>
            <w:tcBorders>
              <w:top w:val="single" w:color="auto" w:sz="4" w:space="0"/>
              <w:left w:val="single" w:color="auto" w:sz="4" w:space="0"/>
              <w:bottom w:val="single" w:color="auto" w:sz="4" w:space="0"/>
              <w:right w:val="single" w:color="auto" w:sz="4" w:space="0"/>
            </w:tcBorders>
            <w:noWrap/>
            <w:vAlign w:val="center"/>
          </w:tcPr>
          <w:p w14:paraId="76437368">
            <w:pPr>
              <w:widowControl/>
              <w:jc w:val="center"/>
              <w:rPr>
                <w:sz w:val="24"/>
                <w:szCs w:val="24"/>
              </w:rPr>
            </w:pPr>
            <w:r>
              <w:rPr>
                <w:sz w:val="24"/>
                <w:szCs w:val="24"/>
              </w:rPr>
              <w:t>环境管理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70E7B8F9">
            <w:pPr>
              <w:widowControl/>
              <w:rPr>
                <w:sz w:val="24"/>
                <w:szCs w:val="24"/>
              </w:rPr>
            </w:pPr>
            <w:r>
              <w:rPr>
                <w:sz w:val="24"/>
                <w:szCs w:val="24"/>
              </w:rPr>
              <w:t>通过访谈物理安全负责人，检查机房安全管理制度，机房和办公环境等过程，测评是否采取必要的措施对机房的出入控制以及办公环境的人员行为等方面进行安全管理。</w:t>
            </w:r>
          </w:p>
        </w:tc>
      </w:tr>
      <w:tr w14:paraId="09FB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027DC444">
            <w:pPr>
              <w:jc w:val="center"/>
              <w:rPr>
                <w:sz w:val="24"/>
                <w:szCs w:val="24"/>
              </w:rPr>
            </w:pPr>
            <w:r>
              <w:rPr>
                <w:rFonts w:hint="eastAsia"/>
                <w:sz w:val="24"/>
                <w:szCs w:val="24"/>
              </w:rPr>
              <w:t>2</w:t>
            </w:r>
          </w:p>
        </w:tc>
        <w:tc>
          <w:tcPr>
            <w:tcW w:w="1017" w:type="pct"/>
            <w:tcBorders>
              <w:top w:val="single" w:color="auto" w:sz="4" w:space="0"/>
              <w:left w:val="single" w:color="auto" w:sz="4" w:space="0"/>
              <w:bottom w:val="single" w:color="auto" w:sz="4" w:space="0"/>
              <w:right w:val="single" w:color="auto" w:sz="4" w:space="0"/>
            </w:tcBorders>
            <w:noWrap/>
            <w:vAlign w:val="center"/>
          </w:tcPr>
          <w:p w14:paraId="65C34B39">
            <w:pPr>
              <w:widowControl/>
              <w:jc w:val="center"/>
              <w:rPr>
                <w:sz w:val="24"/>
                <w:szCs w:val="24"/>
              </w:rPr>
            </w:pPr>
            <w:r>
              <w:rPr>
                <w:sz w:val="24"/>
                <w:szCs w:val="24"/>
              </w:rPr>
              <w:t>资产管理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0F438BC8">
            <w:pPr>
              <w:widowControl/>
              <w:rPr>
                <w:sz w:val="24"/>
                <w:szCs w:val="24"/>
              </w:rPr>
            </w:pPr>
            <w:r>
              <w:rPr>
                <w:sz w:val="24"/>
                <w:szCs w:val="24"/>
              </w:rPr>
              <w:t>通过访谈资产管理员，检查资产清单，检查系统、网络设备等过程，测评是否采取必要的措施对系统的资产进行分类标识管理。</w:t>
            </w:r>
          </w:p>
        </w:tc>
      </w:tr>
      <w:tr w14:paraId="406D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0337B2C9">
            <w:pPr>
              <w:jc w:val="center"/>
              <w:rPr>
                <w:sz w:val="24"/>
                <w:szCs w:val="24"/>
              </w:rPr>
            </w:pPr>
            <w:r>
              <w:rPr>
                <w:rFonts w:hint="eastAsia"/>
                <w:sz w:val="24"/>
                <w:szCs w:val="24"/>
              </w:rPr>
              <w:t>3</w:t>
            </w:r>
          </w:p>
        </w:tc>
        <w:tc>
          <w:tcPr>
            <w:tcW w:w="1017" w:type="pct"/>
            <w:tcBorders>
              <w:top w:val="single" w:color="auto" w:sz="4" w:space="0"/>
              <w:left w:val="single" w:color="auto" w:sz="4" w:space="0"/>
              <w:bottom w:val="single" w:color="auto" w:sz="4" w:space="0"/>
              <w:right w:val="single" w:color="auto" w:sz="4" w:space="0"/>
            </w:tcBorders>
            <w:noWrap/>
            <w:vAlign w:val="center"/>
          </w:tcPr>
          <w:p w14:paraId="008C54EE">
            <w:pPr>
              <w:widowControl/>
              <w:jc w:val="center"/>
              <w:rPr>
                <w:sz w:val="24"/>
                <w:szCs w:val="24"/>
              </w:rPr>
            </w:pPr>
            <w:r>
              <w:rPr>
                <w:sz w:val="24"/>
                <w:szCs w:val="24"/>
              </w:rPr>
              <w:t>介质管理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687BC389">
            <w:pPr>
              <w:widowControl/>
              <w:rPr>
                <w:sz w:val="24"/>
                <w:szCs w:val="24"/>
              </w:rPr>
            </w:pPr>
            <w:r>
              <w:rPr>
                <w:sz w:val="24"/>
                <w:szCs w:val="24"/>
              </w:rPr>
              <w:t>通过访谈资产管理员，检查介质管理记录和各类介质等过程，测评是否采取必要的措施对介质存放环境、使用、维护和销毁等方面进行管理。</w:t>
            </w:r>
          </w:p>
        </w:tc>
      </w:tr>
      <w:tr w14:paraId="79696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7207851B">
            <w:pPr>
              <w:jc w:val="center"/>
              <w:rPr>
                <w:sz w:val="24"/>
                <w:szCs w:val="24"/>
              </w:rPr>
            </w:pPr>
            <w:r>
              <w:rPr>
                <w:rFonts w:hint="eastAsia"/>
                <w:sz w:val="24"/>
                <w:szCs w:val="24"/>
              </w:rPr>
              <w:t>4</w:t>
            </w:r>
          </w:p>
        </w:tc>
        <w:tc>
          <w:tcPr>
            <w:tcW w:w="1017" w:type="pct"/>
            <w:tcBorders>
              <w:top w:val="single" w:color="auto" w:sz="4" w:space="0"/>
              <w:left w:val="single" w:color="auto" w:sz="4" w:space="0"/>
              <w:bottom w:val="single" w:color="auto" w:sz="4" w:space="0"/>
              <w:right w:val="single" w:color="auto" w:sz="4" w:space="0"/>
            </w:tcBorders>
            <w:noWrap/>
            <w:vAlign w:val="center"/>
          </w:tcPr>
          <w:p w14:paraId="225D1FDA">
            <w:pPr>
              <w:widowControl/>
              <w:jc w:val="center"/>
              <w:rPr>
                <w:sz w:val="24"/>
                <w:szCs w:val="24"/>
              </w:rPr>
            </w:pPr>
            <w:r>
              <w:rPr>
                <w:sz w:val="24"/>
                <w:szCs w:val="24"/>
              </w:rPr>
              <w:t>设备</w:t>
            </w:r>
            <w:r>
              <w:rPr>
                <w:rFonts w:hint="eastAsia"/>
                <w:sz w:val="24"/>
                <w:szCs w:val="24"/>
              </w:rPr>
              <w:t>维护</w:t>
            </w:r>
            <w:r>
              <w:rPr>
                <w:sz w:val="24"/>
                <w:szCs w:val="24"/>
              </w:rPr>
              <w:t>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5B71AD26">
            <w:pPr>
              <w:widowControl/>
              <w:rPr>
                <w:sz w:val="24"/>
                <w:szCs w:val="24"/>
              </w:rPr>
            </w:pPr>
            <w:r>
              <w:rPr>
                <w:sz w:val="24"/>
                <w:szCs w:val="24"/>
              </w:rPr>
              <w:t>通过访谈资产管理员、系统管理员，检查设备使用管理文档和设备操作规程等过程，测评是否采取必要的措施确保设备在使用、维护和销毁等过程安全。</w:t>
            </w:r>
          </w:p>
        </w:tc>
      </w:tr>
      <w:tr w14:paraId="376B7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7243A4A9">
            <w:pPr>
              <w:jc w:val="center"/>
              <w:rPr>
                <w:sz w:val="24"/>
                <w:szCs w:val="24"/>
              </w:rPr>
            </w:pPr>
            <w:r>
              <w:rPr>
                <w:rFonts w:hint="eastAsia"/>
                <w:sz w:val="24"/>
                <w:szCs w:val="24"/>
              </w:rPr>
              <w:t>5</w:t>
            </w:r>
          </w:p>
        </w:tc>
        <w:tc>
          <w:tcPr>
            <w:tcW w:w="1017" w:type="pct"/>
            <w:tcBorders>
              <w:top w:val="single" w:color="auto" w:sz="4" w:space="0"/>
              <w:left w:val="single" w:color="auto" w:sz="4" w:space="0"/>
              <w:bottom w:val="single" w:color="auto" w:sz="4" w:space="0"/>
              <w:right w:val="single" w:color="auto" w:sz="4" w:space="0"/>
            </w:tcBorders>
            <w:noWrap/>
            <w:vAlign w:val="center"/>
          </w:tcPr>
          <w:p w14:paraId="50E5A78D">
            <w:pPr>
              <w:widowControl/>
              <w:jc w:val="center"/>
              <w:rPr>
                <w:sz w:val="24"/>
                <w:szCs w:val="24"/>
              </w:rPr>
            </w:pPr>
            <w:r>
              <w:rPr>
                <w:rFonts w:hint="eastAsia"/>
                <w:sz w:val="24"/>
                <w:szCs w:val="24"/>
              </w:rPr>
              <w:t>漏洞和风险</w:t>
            </w:r>
            <w:r>
              <w:rPr>
                <w:sz w:val="24"/>
                <w:szCs w:val="24"/>
              </w:rPr>
              <w:t>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73FEBD66">
            <w:pPr>
              <w:widowControl/>
              <w:rPr>
                <w:sz w:val="24"/>
                <w:szCs w:val="24"/>
              </w:rPr>
            </w:pPr>
            <w:r>
              <w:rPr>
                <w:sz w:val="24"/>
                <w:szCs w:val="24"/>
              </w:rPr>
              <w:t>通过访谈安全主管、系统管理员，检查系统安全管理制度、系统审计日志和系统漏洞扫描报告等过程，测评是否采取必要的措施对系统的安全配置、系统账户、漏洞扫描和审计日志等方面进行有效的管理。</w:t>
            </w:r>
          </w:p>
        </w:tc>
      </w:tr>
      <w:tr w14:paraId="4B1C4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39626C7F">
            <w:pPr>
              <w:jc w:val="center"/>
              <w:rPr>
                <w:sz w:val="24"/>
                <w:szCs w:val="24"/>
              </w:rPr>
            </w:pPr>
            <w:r>
              <w:rPr>
                <w:rFonts w:hint="eastAsia"/>
                <w:sz w:val="24"/>
                <w:szCs w:val="24"/>
              </w:rPr>
              <w:t>6</w:t>
            </w:r>
          </w:p>
        </w:tc>
        <w:tc>
          <w:tcPr>
            <w:tcW w:w="1017" w:type="pct"/>
            <w:tcBorders>
              <w:top w:val="single" w:color="auto" w:sz="4" w:space="0"/>
              <w:left w:val="single" w:color="auto" w:sz="4" w:space="0"/>
              <w:bottom w:val="single" w:color="auto" w:sz="4" w:space="0"/>
              <w:right w:val="single" w:color="auto" w:sz="4" w:space="0"/>
            </w:tcBorders>
            <w:noWrap/>
            <w:vAlign w:val="center"/>
          </w:tcPr>
          <w:p w14:paraId="30BBF0B4">
            <w:pPr>
              <w:widowControl/>
              <w:jc w:val="center"/>
              <w:rPr>
                <w:sz w:val="24"/>
                <w:szCs w:val="24"/>
              </w:rPr>
            </w:pPr>
            <w:r>
              <w:rPr>
                <w:rFonts w:hint="eastAsia"/>
                <w:sz w:val="24"/>
                <w:szCs w:val="24"/>
              </w:rPr>
              <w:t>网络和</w:t>
            </w:r>
            <w:r>
              <w:rPr>
                <w:sz w:val="24"/>
                <w:szCs w:val="24"/>
              </w:rPr>
              <w:t>系统安全管理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687BA521">
            <w:pPr>
              <w:widowControl/>
              <w:rPr>
                <w:sz w:val="24"/>
                <w:szCs w:val="24"/>
              </w:rPr>
            </w:pPr>
            <w:r>
              <w:rPr>
                <w:sz w:val="24"/>
                <w:szCs w:val="24"/>
              </w:rPr>
              <w:t>通过访谈安全主管、网络管理员，检查网络安全管理制度、网络审计日志和网络漏洞扫描报告等过程，测评是否采取必要的措施对网络的安全配置、网络用户权限和审计日志等方面进行有效的管理，确保网络安全运行。</w:t>
            </w:r>
          </w:p>
        </w:tc>
      </w:tr>
      <w:tr w14:paraId="3CE8B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5395D383">
            <w:pPr>
              <w:jc w:val="center"/>
              <w:rPr>
                <w:sz w:val="24"/>
                <w:szCs w:val="24"/>
              </w:rPr>
            </w:pPr>
            <w:r>
              <w:rPr>
                <w:rFonts w:hint="eastAsia"/>
                <w:sz w:val="24"/>
                <w:szCs w:val="24"/>
              </w:rPr>
              <w:t>7</w:t>
            </w:r>
          </w:p>
        </w:tc>
        <w:tc>
          <w:tcPr>
            <w:tcW w:w="1017" w:type="pct"/>
            <w:tcBorders>
              <w:top w:val="single" w:color="auto" w:sz="4" w:space="0"/>
              <w:left w:val="single" w:color="auto" w:sz="4" w:space="0"/>
              <w:bottom w:val="single" w:color="auto" w:sz="4" w:space="0"/>
              <w:right w:val="single" w:color="auto" w:sz="4" w:space="0"/>
            </w:tcBorders>
            <w:noWrap/>
            <w:vAlign w:val="center"/>
          </w:tcPr>
          <w:p w14:paraId="70E91A44">
            <w:pPr>
              <w:widowControl/>
              <w:jc w:val="center"/>
              <w:rPr>
                <w:sz w:val="24"/>
                <w:szCs w:val="24"/>
              </w:rPr>
            </w:pPr>
            <w:r>
              <w:rPr>
                <w:sz w:val="24"/>
                <w:szCs w:val="24"/>
              </w:rPr>
              <w:t>恶意代码防范管理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762EC830">
            <w:pPr>
              <w:widowControl/>
              <w:rPr>
                <w:sz w:val="24"/>
                <w:szCs w:val="24"/>
              </w:rPr>
            </w:pPr>
            <w:r>
              <w:rPr>
                <w:sz w:val="24"/>
                <w:szCs w:val="24"/>
              </w:rPr>
              <w:t>通过访谈系统运维负责人，检查恶意代码防范管理文档和恶意代码检测记录等过程，测评是否采取必要的措施对恶意代码进行有效管理，确保系统具有恶意代码防范能力。</w:t>
            </w:r>
          </w:p>
        </w:tc>
      </w:tr>
      <w:tr w14:paraId="0AD89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459C72FF">
            <w:pPr>
              <w:jc w:val="center"/>
              <w:rPr>
                <w:sz w:val="24"/>
                <w:szCs w:val="24"/>
              </w:rPr>
            </w:pPr>
            <w:r>
              <w:rPr>
                <w:rFonts w:hint="eastAsia"/>
                <w:sz w:val="24"/>
                <w:szCs w:val="24"/>
              </w:rPr>
              <w:t>8</w:t>
            </w:r>
          </w:p>
        </w:tc>
        <w:tc>
          <w:tcPr>
            <w:tcW w:w="1017" w:type="pct"/>
            <w:tcBorders>
              <w:top w:val="single" w:color="auto" w:sz="4" w:space="0"/>
              <w:left w:val="single" w:color="auto" w:sz="4" w:space="0"/>
              <w:bottom w:val="single" w:color="auto" w:sz="4" w:space="0"/>
              <w:right w:val="single" w:color="auto" w:sz="4" w:space="0"/>
            </w:tcBorders>
            <w:noWrap/>
            <w:vAlign w:val="center"/>
          </w:tcPr>
          <w:p w14:paraId="70A7969E">
            <w:pPr>
              <w:widowControl/>
              <w:jc w:val="center"/>
              <w:rPr>
                <w:sz w:val="24"/>
                <w:szCs w:val="24"/>
              </w:rPr>
            </w:pPr>
            <w:r>
              <w:rPr>
                <w:rFonts w:hint="eastAsia"/>
                <w:sz w:val="24"/>
                <w:szCs w:val="24"/>
              </w:rPr>
              <w:t>配置管理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463BA715">
            <w:pPr>
              <w:widowControl/>
              <w:rPr>
                <w:sz w:val="24"/>
                <w:szCs w:val="24"/>
              </w:rPr>
            </w:pPr>
            <w:r>
              <w:rPr>
                <w:sz w:val="24"/>
                <w:szCs w:val="24"/>
              </w:rPr>
              <w:t>通过访谈系统运维负责人，</w:t>
            </w:r>
            <w:r>
              <w:rPr>
                <w:rFonts w:hint="eastAsia"/>
                <w:sz w:val="24"/>
                <w:szCs w:val="24"/>
              </w:rPr>
              <w:t>核查配置库的建立和维护情况。</w:t>
            </w:r>
          </w:p>
        </w:tc>
      </w:tr>
      <w:tr w14:paraId="46347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2FD1BDB8">
            <w:pPr>
              <w:jc w:val="center"/>
              <w:rPr>
                <w:sz w:val="24"/>
                <w:szCs w:val="24"/>
              </w:rPr>
            </w:pPr>
            <w:r>
              <w:rPr>
                <w:rFonts w:hint="eastAsia"/>
                <w:sz w:val="24"/>
                <w:szCs w:val="24"/>
              </w:rPr>
              <w:t>9</w:t>
            </w:r>
          </w:p>
        </w:tc>
        <w:tc>
          <w:tcPr>
            <w:tcW w:w="1017" w:type="pct"/>
            <w:tcBorders>
              <w:top w:val="single" w:color="auto" w:sz="4" w:space="0"/>
              <w:left w:val="single" w:color="auto" w:sz="4" w:space="0"/>
              <w:bottom w:val="single" w:color="auto" w:sz="4" w:space="0"/>
              <w:right w:val="single" w:color="auto" w:sz="4" w:space="0"/>
            </w:tcBorders>
            <w:noWrap/>
            <w:vAlign w:val="center"/>
          </w:tcPr>
          <w:p w14:paraId="043957D4">
            <w:pPr>
              <w:widowControl/>
              <w:jc w:val="center"/>
              <w:rPr>
                <w:sz w:val="24"/>
                <w:szCs w:val="24"/>
              </w:rPr>
            </w:pPr>
            <w:r>
              <w:rPr>
                <w:sz w:val="24"/>
                <w:szCs w:val="24"/>
              </w:rPr>
              <w:t>密码管理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39AA8EC6">
            <w:pPr>
              <w:widowControl/>
              <w:rPr>
                <w:sz w:val="24"/>
                <w:szCs w:val="24"/>
              </w:rPr>
            </w:pPr>
            <w:r>
              <w:rPr>
                <w:sz w:val="24"/>
                <w:szCs w:val="24"/>
              </w:rPr>
              <w:t>通过访谈安全员，测评是否能够确保信息系统中密码算法和密钥的使用符合国家密码管理规定。</w:t>
            </w:r>
          </w:p>
        </w:tc>
      </w:tr>
      <w:tr w14:paraId="4138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34C306B3">
            <w:pPr>
              <w:jc w:val="center"/>
              <w:rPr>
                <w:sz w:val="24"/>
                <w:szCs w:val="24"/>
              </w:rPr>
            </w:pPr>
            <w:r>
              <w:rPr>
                <w:sz w:val="24"/>
                <w:szCs w:val="24"/>
              </w:rPr>
              <w:t>10</w:t>
            </w:r>
          </w:p>
        </w:tc>
        <w:tc>
          <w:tcPr>
            <w:tcW w:w="1017" w:type="pct"/>
            <w:tcBorders>
              <w:top w:val="single" w:color="auto" w:sz="4" w:space="0"/>
              <w:left w:val="single" w:color="auto" w:sz="4" w:space="0"/>
              <w:bottom w:val="single" w:color="auto" w:sz="4" w:space="0"/>
              <w:right w:val="single" w:color="auto" w:sz="4" w:space="0"/>
            </w:tcBorders>
            <w:noWrap/>
            <w:vAlign w:val="center"/>
          </w:tcPr>
          <w:p w14:paraId="2072FA7F">
            <w:pPr>
              <w:widowControl/>
              <w:jc w:val="center"/>
              <w:rPr>
                <w:sz w:val="24"/>
                <w:szCs w:val="24"/>
              </w:rPr>
            </w:pPr>
            <w:r>
              <w:rPr>
                <w:sz w:val="24"/>
                <w:szCs w:val="24"/>
              </w:rPr>
              <w:t>变更管理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26ECA316">
            <w:pPr>
              <w:widowControl/>
              <w:rPr>
                <w:sz w:val="24"/>
                <w:szCs w:val="24"/>
              </w:rPr>
            </w:pPr>
            <w:r>
              <w:rPr>
                <w:sz w:val="24"/>
                <w:szCs w:val="24"/>
              </w:rPr>
              <w:t>通过访谈系统运维负责人，检查变更方案和变更管理制度等过程，测评是否采取必要的措施对系统发生的变更进行有效管理。</w:t>
            </w:r>
          </w:p>
        </w:tc>
      </w:tr>
      <w:tr w14:paraId="3CDA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57636E56">
            <w:pPr>
              <w:jc w:val="center"/>
              <w:rPr>
                <w:sz w:val="24"/>
                <w:szCs w:val="24"/>
              </w:rPr>
            </w:pPr>
            <w:r>
              <w:rPr>
                <w:sz w:val="24"/>
                <w:szCs w:val="24"/>
              </w:rPr>
              <w:t>11</w:t>
            </w:r>
          </w:p>
        </w:tc>
        <w:tc>
          <w:tcPr>
            <w:tcW w:w="1017" w:type="pct"/>
            <w:tcBorders>
              <w:top w:val="single" w:color="auto" w:sz="4" w:space="0"/>
              <w:left w:val="single" w:color="auto" w:sz="4" w:space="0"/>
              <w:bottom w:val="single" w:color="auto" w:sz="4" w:space="0"/>
              <w:right w:val="single" w:color="auto" w:sz="4" w:space="0"/>
            </w:tcBorders>
            <w:noWrap/>
            <w:vAlign w:val="center"/>
          </w:tcPr>
          <w:p w14:paraId="4D470820">
            <w:pPr>
              <w:widowControl/>
              <w:jc w:val="center"/>
              <w:rPr>
                <w:sz w:val="24"/>
                <w:szCs w:val="24"/>
              </w:rPr>
            </w:pPr>
            <w:r>
              <w:rPr>
                <w:sz w:val="24"/>
                <w:szCs w:val="24"/>
              </w:rPr>
              <w:t>备份与恢复管理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613AFF55">
            <w:pPr>
              <w:widowControl/>
              <w:rPr>
                <w:sz w:val="24"/>
                <w:szCs w:val="24"/>
              </w:rPr>
            </w:pPr>
            <w:r>
              <w:rPr>
                <w:sz w:val="24"/>
                <w:szCs w:val="24"/>
              </w:rPr>
              <w:t>通过访谈系统管理员、网络管理员，检查系统备份管理文档和记录等过程，测评是否采取必要的措施对重要业务信息，系统数据和系统软件进行备份，并确保必要时能够对这些数据有效地恢复。</w:t>
            </w:r>
          </w:p>
        </w:tc>
      </w:tr>
      <w:tr w14:paraId="7D6CA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3DEA02DB">
            <w:pPr>
              <w:jc w:val="center"/>
              <w:rPr>
                <w:sz w:val="24"/>
                <w:szCs w:val="24"/>
              </w:rPr>
            </w:pPr>
            <w:r>
              <w:rPr>
                <w:sz w:val="24"/>
                <w:szCs w:val="24"/>
              </w:rPr>
              <w:t>12</w:t>
            </w:r>
          </w:p>
        </w:tc>
        <w:tc>
          <w:tcPr>
            <w:tcW w:w="1017" w:type="pct"/>
            <w:tcBorders>
              <w:top w:val="single" w:color="auto" w:sz="4" w:space="0"/>
              <w:left w:val="single" w:color="auto" w:sz="4" w:space="0"/>
              <w:bottom w:val="single" w:color="auto" w:sz="4" w:space="0"/>
              <w:right w:val="single" w:color="auto" w:sz="4" w:space="0"/>
            </w:tcBorders>
            <w:noWrap/>
            <w:vAlign w:val="center"/>
          </w:tcPr>
          <w:p w14:paraId="7243AA5A">
            <w:pPr>
              <w:widowControl/>
              <w:jc w:val="center"/>
              <w:rPr>
                <w:sz w:val="24"/>
                <w:szCs w:val="24"/>
              </w:rPr>
            </w:pPr>
            <w:r>
              <w:rPr>
                <w:sz w:val="24"/>
                <w:szCs w:val="24"/>
              </w:rPr>
              <w:t>安全事件处置</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33FDEA4C">
            <w:pPr>
              <w:widowControl/>
              <w:rPr>
                <w:sz w:val="24"/>
                <w:szCs w:val="24"/>
              </w:rPr>
            </w:pPr>
            <w:r>
              <w:rPr>
                <w:sz w:val="24"/>
                <w:szCs w:val="24"/>
              </w:rPr>
              <w:t>通过访谈系统运维负责人，检查安全事件记录分析文档、安全事件报告和处置管理制度等过程，测评是否采取必要的措施对安全事件进行等级划分和对安全事件的报告、处理过程进行有效的管理。</w:t>
            </w:r>
          </w:p>
        </w:tc>
      </w:tr>
      <w:tr w14:paraId="06E13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5F486DA2">
            <w:pPr>
              <w:jc w:val="center"/>
              <w:rPr>
                <w:sz w:val="24"/>
                <w:szCs w:val="24"/>
              </w:rPr>
            </w:pPr>
            <w:r>
              <w:rPr>
                <w:sz w:val="24"/>
                <w:szCs w:val="24"/>
              </w:rPr>
              <w:t>13</w:t>
            </w:r>
          </w:p>
        </w:tc>
        <w:tc>
          <w:tcPr>
            <w:tcW w:w="1017" w:type="pct"/>
            <w:tcBorders>
              <w:top w:val="single" w:color="auto" w:sz="4" w:space="0"/>
              <w:left w:val="single" w:color="auto" w:sz="4" w:space="0"/>
              <w:bottom w:val="single" w:color="auto" w:sz="4" w:space="0"/>
              <w:right w:val="single" w:color="auto" w:sz="4" w:space="0"/>
            </w:tcBorders>
            <w:noWrap/>
            <w:vAlign w:val="center"/>
          </w:tcPr>
          <w:p w14:paraId="2BD7CF8E">
            <w:pPr>
              <w:widowControl/>
              <w:jc w:val="center"/>
              <w:rPr>
                <w:sz w:val="24"/>
                <w:szCs w:val="24"/>
              </w:rPr>
            </w:pPr>
            <w:r>
              <w:rPr>
                <w:sz w:val="24"/>
                <w:szCs w:val="24"/>
              </w:rPr>
              <w:t>应急预案管理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3150279F">
            <w:pPr>
              <w:widowControl/>
              <w:rPr>
                <w:sz w:val="24"/>
                <w:szCs w:val="24"/>
              </w:rPr>
            </w:pPr>
            <w:r>
              <w:rPr>
                <w:sz w:val="24"/>
                <w:szCs w:val="24"/>
              </w:rPr>
              <w:t>通过访谈系统运维负责人，检查应急响应预案文档等过程，测评是否针对不同安全事件制定相应的应急预案，是否对应急预案展开培训、演练和审查等。</w:t>
            </w:r>
          </w:p>
        </w:tc>
      </w:tr>
      <w:tr w14:paraId="0346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4A57D18E">
            <w:pPr>
              <w:jc w:val="center"/>
              <w:rPr>
                <w:sz w:val="24"/>
                <w:szCs w:val="24"/>
              </w:rPr>
            </w:pPr>
            <w:r>
              <w:rPr>
                <w:sz w:val="24"/>
                <w:szCs w:val="24"/>
              </w:rPr>
              <w:t>14</w:t>
            </w:r>
          </w:p>
        </w:tc>
        <w:tc>
          <w:tcPr>
            <w:tcW w:w="1017" w:type="pct"/>
            <w:tcBorders>
              <w:top w:val="single" w:color="auto" w:sz="4" w:space="0"/>
              <w:left w:val="single" w:color="auto" w:sz="4" w:space="0"/>
              <w:bottom w:val="single" w:color="auto" w:sz="4" w:space="0"/>
              <w:right w:val="single" w:color="auto" w:sz="4" w:space="0"/>
            </w:tcBorders>
            <w:noWrap/>
            <w:vAlign w:val="center"/>
          </w:tcPr>
          <w:p w14:paraId="4BB50696">
            <w:pPr>
              <w:widowControl/>
              <w:jc w:val="center"/>
              <w:rPr>
                <w:sz w:val="24"/>
                <w:szCs w:val="24"/>
              </w:rPr>
            </w:pPr>
            <w:r>
              <w:rPr>
                <w:rFonts w:hint="eastAsia"/>
                <w:sz w:val="24"/>
                <w:szCs w:val="24"/>
              </w:rPr>
              <w:t>外部运维管理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3243495B">
            <w:pPr>
              <w:widowControl/>
              <w:rPr>
                <w:sz w:val="24"/>
                <w:szCs w:val="24"/>
              </w:rPr>
            </w:pPr>
            <w:r>
              <w:rPr>
                <w:sz w:val="24"/>
                <w:szCs w:val="24"/>
              </w:rPr>
              <w:t>通过访谈系统运维负责人，</w:t>
            </w:r>
            <w:r>
              <w:rPr>
                <w:rFonts w:hint="eastAsia"/>
                <w:sz w:val="24"/>
                <w:szCs w:val="24"/>
              </w:rPr>
              <w:t>核查</w:t>
            </w:r>
            <w:r>
              <w:rPr>
                <w:rFonts w:hint="eastAsia" w:ascii="宋体" w:hAnsi="宋体"/>
                <w:sz w:val="24"/>
                <w:szCs w:val="24"/>
              </w:rPr>
              <w:t>外包运维服务商选择和安全相关协议的签订情况。</w:t>
            </w:r>
          </w:p>
        </w:tc>
      </w:tr>
    </w:tbl>
    <w:p w14:paraId="00365A18">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ascii="宋体" w:hAnsi="宋体"/>
          <w:b/>
          <w:bCs/>
          <w:sz w:val="24"/>
        </w:rPr>
      </w:pPr>
      <w:r>
        <w:rPr>
          <w:rFonts w:hint="eastAsia" w:ascii="宋体" w:hAnsi="宋体"/>
          <w:b/>
          <w:bCs/>
          <w:sz w:val="24"/>
        </w:rPr>
        <w:t>（1</w:t>
      </w:r>
      <w:r>
        <w:rPr>
          <w:rFonts w:ascii="宋体" w:hAnsi="宋体"/>
          <w:b/>
          <w:bCs/>
          <w:sz w:val="24"/>
        </w:rPr>
        <w:t>1</w:t>
      </w:r>
      <w:r>
        <w:rPr>
          <w:rFonts w:hint="eastAsia" w:ascii="宋体" w:hAnsi="宋体"/>
          <w:b/>
          <w:bCs/>
          <w:sz w:val="24"/>
        </w:rPr>
        <w:t>）工具测试</w:t>
      </w:r>
    </w:p>
    <w:p w14:paraId="65C4F782">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根据工具测试过程管理表单，使用漏洞扫描工具对信息系统的设备进行扫描，扫描结束后，</w:t>
      </w:r>
      <w:r>
        <w:rPr>
          <w:rFonts w:ascii="宋体" w:hAnsi="宋体"/>
          <w:sz w:val="24"/>
        </w:rPr>
        <w:t>根据目标</w:t>
      </w:r>
      <w:r>
        <w:rPr>
          <w:rFonts w:hint="eastAsia" w:ascii="宋体" w:hAnsi="宋体"/>
          <w:sz w:val="24"/>
        </w:rPr>
        <w:t>设备</w:t>
      </w:r>
      <w:r>
        <w:rPr>
          <w:rFonts w:ascii="宋体" w:hAnsi="宋体"/>
          <w:sz w:val="24"/>
        </w:rPr>
        <w:t>的具体情况，判断漏洞验证的风险程度。</w:t>
      </w:r>
    </w:p>
    <w:p w14:paraId="0C37793F">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ascii="宋体" w:hAnsi="宋体"/>
          <w:b/>
          <w:bCs/>
          <w:sz w:val="24"/>
        </w:rPr>
      </w:pPr>
      <w:r>
        <w:rPr>
          <w:rFonts w:hint="eastAsia" w:ascii="宋体" w:hAnsi="宋体"/>
          <w:b/>
          <w:bCs/>
          <w:sz w:val="24"/>
        </w:rPr>
        <w:t>4</w:t>
      </w:r>
      <w:r>
        <w:rPr>
          <w:rFonts w:hint="eastAsia" w:ascii="宋体" w:hAnsi="宋体"/>
          <w:b/>
          <w:bCs/>
          <w:sz w:val="24"/>
          <w:lang w:eastAsia="zh-CN"/>
        </w:rPr>
        <w:t>、</w:t>
      </w:r>
      <w:r>
        <w:rPr>
          <w:rFonts w:hint="eastAsia" w:ascii="宋体" w:hAnsi="宋体"/>
          <w:b/>
          <w:bCs/>
          <w:sz w:val="24"/>
        </w:rPr>
        <w:t>实施流程</w:t>
      </w:r>
      <w:bookmarkStart w:id="36" w:name="_Toc236979477"/>
      <w:bookmarkStart w:id="37" w:name="_Toc275270328"/>
      <w:bookmarkStart w:id="38" w:name="_Toc236536821"/>
    </w:p>
    <w:p w14:paraId="03DC6DD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（1）</w:t>
      </w:r>
      <w:r>
        <w:rPr>
          <w:rFonts w:ascii="宋体" w:hAnsi="宋体"/>
          <w:sz w:val="24"/>
        </w:rPr>
        <w:t>测评准备</w:t>
      </w:r>
      <w:bookmarkEnd w:id="36"/>
      <w:bookmarkEnd w:id="37"/>
      <w:bookmarkEnd w:id="38"/>
      <w:r>
        <w:rPr>
          <w:rFonts w:hint="eastAsia" w:ascii="宋体" w:hAnsi="宋体"/>
          <w:sz w:val="24"/>
        </w:rPr>
        <w:t>：</w:t>
      </w:r>
      <w:r>
        <w:rPr>
          <w:rFonts w:ascii="宋体" w:hAnsi="宋体"/>
          <w:sz w:val="24"/>
        </w:rPr>
        <w:t>投标人主要完成启动测评项目，组建测评项目组；通过收集和分析被测系统的相关资料信息，掌握被测系统的大体情况；并准备测评工具和表单等测评所需的相关资料</w:t>
      </w:r>
      <w:r>
        <w:rPr>
          <w:rFonts w:hint="eastAsia" w:ascii="宋体" w:hAnsi="宋体"/>
          <w:sz w:val="24"/>
        </w:rPr>
        <w:t>。</w:t>
      </w:r>
    </w:p>
    <w:p w14:paraId="59C46588">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）方案编制：</w:t>
      </w:r>
      <w:r>
        <w:rPr>
          <w:rFonts w:ascii="宋体" w:hAnsi="宋体"/>
          <w:sz w:val="24"/>
        </w:rPr>
        <w:t>投标人主要完成确定测评对象和测评指标，选择测试工具接入点，从而进一步确定测评实施内容，并从已有的测评指导书中选择本次需要用到的测评指导书，最后根据上述情况编制测评方案。</w:t>
      </w:r>
    </w:p>
    <w:p w14:paraId="4400AE7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）现场测评：</w:t>
      </w:r>
      <w:r>
        <w:rPr>
          <w:rFonts w:ascii="宋体" w:hAnsi="宋体"/>
          <w:sz w:val="24"/>
        </w:rPr>
        <w:t>投标人在与测评委托单位就测评方案达成一致意见，并进一步确定测评配合人员，完成测评指导书各项测评内容，获取足够的测评证据。</w:t>
      </w:r>
    </w:p>
    <w:p w14:paraId="3F627AE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）分析与报告编制：</w:t>
      </w:r>
      <w:r>
        <w:rPr>
          <w:rFonts w:ascii="宋体" w:hAnsi="宋体"/>
          <w:sz w:val="24"/>
        </w:rPr>
        <w:t>测评人员通过分析现场测评获得的测评证据和资料，判定单项测评结果及单元测评结果，进行整体测评和风险分析，形成等级测评结论，并编制测评报告。</w:t>
      </w:r>
    </w:p>
    <w:p w14:paraId="5AEE32C2">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ascii="宋体" w:hAnsi="宋体"/>
          <w:b/>
          <w:bCs/>
          <w:sz w:val="24"/>
        </w:rPr>
      </w:pPr>
      <w:r>
        <w:rPr>
          <w:rFonts w:hint="eastAsia" w:ascii="宋体" w:hAnsi="宋体"/>
          <w:b/>
          <w:bCs/>
          <w:sz w:val="24"/>
        </w:rPr>
        <w:t>5</w:t>
      </w:r>
      <w:r>
        <w:rPr>
          <w:rFonts w:hint="eastAsia" w:ascii="宋体" w:hAnsi="宋体"/>
          <w:b/>
          <w:bCs/>
          <w:sz w:val="24"/>
          <w:lang w:eastAsia="zh-CN"/>
        </w:rPr>
        <w:t>、</w:t>
      </w:r>
      <w:r>
        <w:rPr>
          <w:rFonts w:hint="eastAsia" w:ascii="宋体" w:hAnsi="宋体"/>
          <w:b/>
          <w:bCs/>
          <w:sz w:val="24"/>
        </w:rPr>
        <w:t>技术服务要求</w:t>
      </w:r>
    </w:p>
    <w:p w14:paraId="32AA17FB">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5</w:t>
      </w:r>
      <w:r>
        <w:rPr>
          <w:rFonts w:ascii="宋体" w:hAnsi="宋体"/>
          <w:sz w:val="24"/>
        </w:rPr>
        <w:t>.1</w:t>
      </w:r>
      <w:r>
        <w:rPr>
          <w:rFonts w:hint="eastAsia" w:ascii="宋体" w:hAnsi="宋体"/>
          <w:sz w:val="24"/>
        </w:rPr>
        <w:t>本次等级测评应满足的原则</w:t>
      </w:r>
    </w:p>
    <w:p w14:paraId="76ED352E">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投标人应严格依据下列原则和国家等级保护相关标准开展项目实施工作。</w:t>
      </w:r>
    </w:p>
    <w:p w14:paraId="21431CAD">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（1）保密原则：对测评的过程数据和结果数据严格保密，未经授权不得泄露给任何单位和个人，不得利用此数据进行任何侵害招标人的行为，否则招标人有权追究投标人的责任。</w:t>
      </w:r>
    </w:p>
    <w:p w14:paraId="16084CB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（2）标准性原则：测评方案的设计与实施应依据国家等级保护的相关标准进行。</w:t>
      </w:r>
    </w:p>
    <w:p w14:paraId="167B7C3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（3）规范性原则：投标人的工作中的过程和文档，具有很好的规范性，可以便于项目的跟踪和控制。</w:t>
      </w:r>
    </w:p>
    <w:p w14:paraId="1A6FD844">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（4）可控性原则：测评服务的进度要跟上进度表的安排，保证招标人对于测评工作的可控性。</w:t>
      </w:r>
    </w:p>
    <w:p w14:paraId="754D6572">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（5）整体性原则：测评的范围和内容应当整体全面，包括国家等级保护相关要求涉及的各个层面。</w:t>
      </w:r>
    </w:p>
    <w:p w14:paraId="7D9A2FB9">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（6）最小影响原则：测评工作应尽可能小的影响系统和网络，并在可控范围内；测评工作不能对现有信息系统的的正常运行、业务的正常开展产生任何影响。</w:t>
      </w:r>
    </w:p>
    <w:p w14:paraId="2F9A03B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5</w:t>
      </w:r>
      <w:r>
        <w:rPr>
          <w:rFonts w:ascii="宋体" w:hAnsi="宋体"/>
          <w:sz w:val="24"/>
        </w:rPr>
        <w:t>.2</w:t>
      </w:r>
      <w:r>
        <w:rPr>
          <w:rFonts w:hint="eastAsia" w:ascii="宋体" w:hAnsi="宋体"/>
          <w:sz w:val="24"/>
        </w:rPr>
        <w:t>项目保密要求</w:t>
      </w:r>
    </w:p>
    <w:p w14:paraId="0BC0BBE2">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（1）对服务的过程数据和结果数据严格保密，未经授权不得泄露给任何单位和个人，不得利用此数据进行任何侵害招标人的行为，否则招标人有权追究投标方的责任；</w:t>
      </w:r>
    </w:p>
    <w:p w14:paraId="57B6F0EA">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（2）对涉及医院的检查项目、资料、检查过程和结果以及医院的知识产权、所有权等其它信息采取保密措施；</w:t>
      </w:r>
    </w:p>
    <w:p w14:paraId="173D7A1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（3）在接收医院的检查项目时，应对检查项目加强监管，防止泄密。信息安全等级保护评测之前必须签订保密协议。所有检查项目，不经用户同意，不得向与检查无关人员展示；</w:t>
      </w:r>
    </w:p>
    <w:p w14:paraId="0977094B">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（4）所有检查过程均对外保密，与检查无关人员未经批准，不得擅自进入检查现场；</w:t>
      </w:r>
    </w:p>
    <w:p w14:paraId="4E98AF2B">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（5）在未经许可的情况下与检查无关的人员不得接触被检查项目及相关资料，不得参与检查和编制检查报告；</w:t>
      </w:r>
    </w:p>
    <w:p w14:paraId="5006815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（6）出具的检查报告应为保密，未经医院授权，不得将检查报告转交他人，不得擅自公布检查结果；</w:t>
      </w:r>
    </w:p>
    <w:p w14:paraId="61C4CB78">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（7）当医院要求用电话、图文传真或其它方式传送检查结果时，应有医院正式的书面委托并证实相关通讯方式可靠后方可执行；</w:t>
      </w:r>
    </w:p>
    <w:p w14:paraId="3A67933E">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（8）不得向无关人员泄露任何有关医院资料和检查结果，检查结果只能通过相关程序及约定的告知方式通知相应业务单位和个人；</w:t>
      </w:r>
    </w:p>
    <w:p w14:paraId="0B2423C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宋体" w:hAnsi="宋体"/>
          <w:sz w:val="24"/>
        </w:rPr>
        <w:t>（9）对接触医院检查项目、资料及其它相关信息的人员应履行为医院保护所有权的义务，不得利用医院的有关知识产权为己牟利。</w:t>
      </w:r>
    </w:p>
    <w:p w14:paraId="3BA59831">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ascii="宋体" w:hAnsi="宋体"/>
          <w:b/>
          <w:bCs/>
          <w:sz w:val="24"/>
        </w:rPr>
      </w:pPr>
      <w:r>
        <w:rPr>
          <w:rFonts w:hint="eastAsia" w:ascii="宋体" w:hAnsi="宋体"/>
          <w:b/>
          <w:bCs/>
          <w:sz w:val="24"/>
        </w:rPr>
        <w:t>6、项目成果要求</w:t>
      </w:r>
    </w:p>
    <w:p w14:paraId="5D401A3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测评工作按年度开展，每年度测评完成后，投标人应针对当年度实际完成测评的全部信息系统，按系统分别提交对应年度的项目成果。每个系统单独出具对应年度的《信息安全等级保护测评报告》、整改建议及安全评估报告，报告需完整描述被测系统当年度的信息安全现状，找出存在的安全隐患，明确系统安全防护措施与国家标准要求之间的差距，对存在的漏洞进行风险分析，最后提出针对性整改建议。提交的成果文件需满足公安网监部门等级保护备案及复测的相关要求。</w:t>
      </w:r>
    </w:p>
    <w:p w14:paraId="2F7DFF8A">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default" w:asciiTheme="minorEastAsia" w:hAnsiTheme="minorEastAsia" w:eastAsiaTheme="minorEastAsia" w:cstheme="minorEastAsia"/>
          <w:b/>
          <w:bCs w:val="0"/>
          <w:color w:val="auto"/>
          <w:kern w:val="0"/>
          <w:sz w:val="24"/>
          <w:szCs w:val="24"/>
          <w:lang w:val="en-US" w:eastAsia="zh-CN" w:bidi="ar-SA"/>
        </w:rPr>
      </w:pPr>
      <w:r>
        <w:rPr>
          <w:rFonts w:hint="eastAsia" w:asciiTheme="minorEastAsia" w:hAnsiTheme="minorEastAsia" w:eastAsiaTheme="minorEastAsia" w:cstheme="minorEastAsia"/>
          <w:b/>
          <w:bCs w:val="0"/>
          <w:color w:val="auto"/>
          <w:kern w:val="0"/>
          <w:sz w:val="24"/>
          <w:szCs w:val="24"/>
          <w:lang w:val="en-US" w:eastAsia="zh-CN" w:bidi="ar-SA"/>
        </w:rPr>
        <w:t xml:space="preserve">（三）、付款方式及验收 </w:t>
      </w:r>
    </w:p>
    <w:p w14:paraId="41F1E248">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olor w:val="auto"/>
          <w:sz w:val="24"/>
        </w:rPr>
        <w:t>1.付款方式：</w:t>
      </w:r>
      <w:r>
        <w:rPr>
          <w:rFonts w:hint="eastAsia" w:ascii="宋体" w:hAnsi="宋体" w:eastAsia="宋体" w:cs="宋体"/>
          <w:color w:val="auto"/>
          <w:sz w:val="24"/>
          <w:szCs w:val="24"/>
        </w:rPr>
        <w:t>本项目签订三年期服务合同，服务期限自合同签订之日起计算，按年度结算支付。乙方完成当年度全部测评服务且通过甲方验收合格的前提下，甲方支付当年度服务费用。每年度结算前，甲方有权对乙方当期资质有效性进行核验，乙方须配合提供有效期内的全部资质证明文件；经核验资质不符合要求的，甲方有权终止剩余服务周期合同，不再支付后续年度费用，由此产生的全部责任由乙方承担。每年度结算金额以中标单价和当年度双方确认的测评系统数量为准，三年累计结算总金额不得超过本项目总预算限额。</w:t>
      </w:r>
    </w:p>
    <w:p w14:paraId="38D69465">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olor w:val="auto"/>
          <w:sz w:val="24"/>
        </w:rPr>
      </w:pPr>
      <w:r>
        <w:rPr>
          <w:rFonts w:hint="eastAsia" w:ascii="宋体" w:hAnsi="宋体"/>
          <w:color w:val="auto"/>
          <w:sz w:val="24"/>
        </w:rPr>
        <w:t>2.验收：协助甲方完成信息系统定级备案，向甲方提交《信息系统安全等级保护测评报告》、整改建议及安全评估报告。</w:t>
      </w:r>
    </w:p>
    <w:p w14:paraId="23C9B8D5">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若乙方提交的当年度测评成果未通过甲方验收，或出具的测评报告不满足公安网监部门等级保护备案及复测要求的，甲方有权不予支付当年度服务费用，且有权无责单方解除本合同、终止全部剩余服务周期，无需向乙方承担任何违约责任、赔偿责任或补偿责任，由此产生的全部损失及法律责任由乙方自行承担。</w:t>
      </w:r>
    </w:p>
    <w:p w14:paraId="1E1EF99E">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olor w:val="auto"/>
          <w:sz w:val="24"/>
        </w:rPr>
      </w:pPr>
      <w:r>
        <w:rPr>
          <w:rFonts w:hint="eastAsia" w:ascii="宋体" w:hAnsi="宋体"/>
          <w:color w:val="auto"/>
          <w:sz w:val="24"/>
          <w:lang w:val="en-US" w:eastAsia="zh-CN"/>
        </w:rPr>
        <w:t>4</w:t>
      </w:r>
      <w:r>
        <w:rPr>
          <w:rFonts w:hint="eastAsia" w:ascii="宋体" w:hAnsi="宋体"/>
          <w:color w:val="auto"/>
          <w:sz w:val="24"/>
        </w:rPr>
        <w:t>.文件未约定内容，由双方在合同中补充约定。</w:t>
      </w:r>
    </w:p>
    <w:p w14:paraId="6E77EF9B">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sz w:val="24"/>
        </w:rPr>
      </w:pPr>
      <w:r>
        <w:rPr>
          <w:rFonts w:hint="eastAsia" w:ascii="宋体" w:hAnsi="宋体"/>
          <w:color w:val="auto"/>
          <w:sz w:val="24"/>
          <w:lang w:val="en-US" w:eastAsia="zh-CN"/>
        </w:rPr>
        <w:t>5.</w:t>
      </w:r>
      <w:r>
        <w:rPr>
          <w:rFonts w:hint="eastAsia" w:ascii="宋体" w:hAnsi="宋体" w:eastAsia="宋体" w:cs="宋体"/>
          <w:color w:val="auto"/>
          <w:sz w:val="24"/>
          <w:szCs w:val="24"/>
        </w:rPr>
        <w:t>本项目采用年度服务费用包干方式建设，</w:t>
      </w:r>
      <w:r>
        <w:rPr>
          <w:rFonts w:hint="eastAsia" w:ascii="宋体" w:hAnsi="宋体"/>
          <w:color w:val="auto"/>
          <w:sz w:val="24"/>
        </w:rPr>
        <w:t>供应</w:t>
      </w:r>
      <w:r>
        <w:rPr>
          <w:rFonts w:hint="eastAsia" w:ascii="宋体" w:hAnsi="宋体"/>
          <w:sz w:val="24"/>
        </w:rPr>
        <w:t>商应根据项目要求和现场情况，详细列明项目所需的人工、管理、财务等所有费用，如一旦中标，在项目实施中出现任何遗漏，均由中标人免费提供，采购人不再支付任何费用；</w:t>
      </w:r>
    </w:p>
    <w:p w14:paraId="4C12A25A">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sz w:val="24"/>
        </w:rPr>
      </w:pPr>
      <w:r>
        <w:rPr>
          <w:rFonts w:hint="eastAsia" w:ascii="宋体" w:hAnsi="宋体"/>
          <w:sz w:val="24"/>
          <w:lang w:val="en-US" w:eastAsia="zh-CN"/>
        </w:rPr>
        <w:t>6.</w:t>
      </w:r>
      <w:r>
        <w:rPr>
          <w:rFonts w:hint="eastAsia" w:ascii="宋体" w:hAnsi="宋体"/>
          <w:sz w:val="24"/>
        </w:rPr>
        <w:t>所提供资料要求真实有效，否则作废标处理。</w:t>
      </w:r>
    </w:p>
    <w:p w14:paraId="190203F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Theme="minorEastAsia" w:hAnsiTheme="minorEastAsia" w:eastAsiaTheme="minorEastAsia" w:cstheme="minorEastAsia"/>
          <w:b w:val="0"/>
          <w:bCs/>
          <w:color w:val="FF0000"/>
          <w:kern w:val="0"/>
          <w:sz w:val="24"/>
          <w:szCs w:val="24"/>
          <w:lang w:val="en-US" w:eastAsia="zh-CN" w:bidi="ar-SA"/>
        </w:rPr>
      </w:pPr>
      <w:r>
        <w:rPr>
          <w:rFonts w:hint="eastAsia" w:asciiTheme="minorEastAsia" w:hAnsiTheme="minorEastAsia" w:eastAsiaTheme="minorEastAsia" w:cstheme="minorEastAsia"/>
          <w:b/>
          <w:bCs w:val="0"/>
          <w:color w:val="auto"/>
          <w:kern w:val="0"/>
          <w:sz w:val="24"/>
          <w:szCs w:val="24"/>
          <w:lang w:val="en-US" w:eastAsia="zh-CN" w:bidi="ar-SA"/>
        </w:rPr>
        <w:t>（四）</w:t>
      </w:r>
      <w:r>
        <w:rPr>
          <w:rFonts w:hint="eastAsia" w:ascii="宋体" w:hAnsi="宋体"/>
          <w:b/>
          <w:bCs/>
          <w:sz w:val="24"/>
        </w:rPr>
        <w:t>服务团队要求</w:t>
      </w:r>
    </w:p>
    <w:p w14:paraId="103C7F84">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Times New Roman"/>
          <w:sz w:val="24"/>
        </w:rPr>
      </w:pPr>
      <w:r>
        <w:rPr>
          <w:rFonts w:hint="eastAsia" w:ascii="宋体" w:hAnsi="宋体" w:cs="Times New Roman"/>
          <w:sz w:val="24"/>
        </w:rPr>
        <w:t>在整个服务期内，</w:t>
      </w:r>
      <w:r>
        <w:rPr>
          <w:rFonts w:hint="eastAsia" w:ascii="宋体" w:hAnsi="宋体" w:cs="Times New Roman"/>
          <w:sz w:val="24"/>
          <w:lang w:val="en-US" w:eastAsia="zh-CN"/>
        </w:rPr>
        <w:t>投标人</w:t>
      </w:r>
      <w:r>
        <w:rPr>
          <w:rFonts w:hint="eastAsia" w:ascii="宋体" w:hAnsi="宋体" w:cs="Times New Roman"/>
          <w:sz w:val="24"/>
        </w:rPr>
        <w:t>每年度投入本项目的项目团队人员配置须满足本条款要求：</w:t>
      </w:r>
    </w:p>
    <w:p w14:paraId="1603EC1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Times New Roman"/>
          <w:sz w:val="24"/>
          <w:lang w:eastAsia="zh-CN"/>
        </w:rPr>
      </w:pPr>
      <w:r>
        <w:rPr>
          <w:rFonts w:hint="eastAsia" w:ascii="宋体" w:hAnsi="宋体" w:cs="Times New Roman"/>
          <w:sz w:val="24"/>
          <w:lang w:val="en-US" w:eastAsia="zh-CN"/>
        </w:rPr>
        <w:t>1、</w:t>
      </w:r>
      <w:r>
        <w:rPr>
          <w:rFonts w:hint="eastAsia" w:ascii="宋体" w:hAnsi="宋体" w:cs="Times New Roman"/>
          <w:sz w:val="24"/>
        </w:rPr>
        <w:t>本项目项目经理（1人）须具备信息/网络安全等级测评师证书（高级）</w:t>
      </w:r>
      <w:r>
        <w:rPr>
          <w:rFonts w:hint="eastAsia" w:ascii="宋体" w:hAnsi="宋体" w:cs="Times New Roman"/>
          <w:sz w:val="24"/>
          <w:lang w:eastAsia="zh-CN"/>
        </w:rPr>
        <w:t>；</w:t>
      </w:r>
    </w:p>
    <w:p w14:paraId="710C1562">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Times New Roman"/>
          <w:sz w:val="24"/>
          <w:lang w:eastAsia="zh-CN"/>
        </w:rPr>
      </w:pPr>
      <w:r>
        <w:rPr>
          <w:rFonts w:hint="eastAsia" w:ascii="宋体" w:hAnsi="宋体" w:cs="Times New Roman"/>
          <w:sz w:val="24"/>
          <w:lang w:val="en-US" w:eastAsia="zh-CN"/>
        </w:rPr>
        <w:t>2、</w:t>
      </w:r>
      <w:r>
        <w:rPr>
          <w:rFonts w:hint="eastAsia" w:ascii="宋体" w:hAnsi="宋体" w:cs="Times New Roman"/>
          <w:sz w:val="24"/>
        </w:rPr>
        <w:t>实施团队须满足</w:t>
      </w:r>
      <w:r>
        <w:rPr>
          <w:rFonts w:hint="eastAsia" w:ascii="宋体" w:hAnsi="宋体" w:cs="Times New Roman"/>
          <w:sz w:val="24"/>
          <w:lang w:val="en-US" w:eastAsia="zh-CN"/>
        </w:rPr>
        <w:t>2</w:t>
      </w:r>
      <w:r>
        <w:rPr>
          <w:rFonts w:hint="eastAsia" w:ascii="宋体" w:hAnsi="宋体" w:cs="Times New Roman"/>
          <w:sz w:val="24"/>
        </w:rPr>
        <w:t>名专业技术人员同时具备信息/网络安全等级测评师证书（中级及以上）</w:t>
      </w:r>
      <w:r>
        <w:rPr>
          <w:rFonts w:hint="eastAsia" w:ascii="宋体" w:hAnsi="宋体" w:cs="Times New Roman"/>
          <w:sz w:val="24"/>
          <w:lang w:eastAsia="zh-CN"/>
        </w:rPr>
        <w:t>；</w:t>
      </w:r>
    </w:p>
    <w:p w14:paraId="2EE2E87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Times New Roman"/>
          <w:sz w:val="24"/>
        </w:rPr>
      </w:pPr>
      <w:r>
        <w:rPr>
          <w:rFonts w:hint="eastAsia" w:ascii="宋体" w:hAnsi="宋体" w:cs="Times New Roman"/>
          <w:sz w:val="24"/>
          <w:lang w:val="en-US" w:eastAsia="zh-CN"/>
        </w:rPr>
        <w:t>3</w:t>
      </w:r>
      <w:r>
        <w:rPr>
          <w:rFonts w:hint="eastAsia" w:ascii="宋体" w:hAnsi="宋体" w:cs="Times New Roman"/>
          <w:sz w:val="24"/>
          <w:lang w:eastAsia="zh-CN"/>
        </w:rPr>
        <w:t>、</w:t>
      </w:r>
      <w:r>
        <w:rPr>
          <w:rFonts w:hint="eastAsia" w:ascii="宋体" w:hAnsi="宋体" w:cs="Times New Roman"/>
          <w:sz w:val="24"/>
          <w:lang w:val="en-US" w:eastAsia="zh-CN"/>
        </w:rPr>
        <w:t>提供有效期内证书复印件及近三个月供应商为其缴纳的社保证明。</w:t>
      </w:r>
    </w:p>
    <w:p w14:paraId="11D949B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Times New Roman"/>
          <w:sz w:val="24"/>
        </w:rPr>
      </w:pPr>
      <w:r>
        <w:rPr>
          <w:rFonts w:hint="eastAsia" w:ascii="宋体" w:hAnsi="宋体" w:cs="Times New Roman"/>
          <w:sz w:val="24"/>
        </w:rPr>
        <w:t>（以上要求提供相关证书或证明材料复印件并盖公章上传）。</w:t>
      </w:r>
    </w:p>
    <w:p w14:paraId="207A445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Theme="minorEastAsia" w:hAnsiTheme="minorEastAsia" w:eastAsiaTheme="minorEastAsia" w:cstheme="minorEastAsia"/>
          <w:b/>
          <w:bCs w:val="0"/>
          <w:color w:val="auto"/>
          <w:kern w:val="0"/>
          <w:sz w:val="24"/>
          <w:szCs w:val="24"/>
          <w:lang w:val="en-US" w:eastAsia="zh-CN" w:bidi="ar-SA"/>
        </w:rPr>
      </w:pPr>
    </w:p>
    <w:p w14:paraId="7CC3410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default" w:asciiTheme="minorEastAsia" w:hAnsiTheme="minorEastAsia" w:eastAsiaTheme="minorEastAsia" w:cstheme="minorEastAsia"/>
          <w:b/>
          <w:bCs w:val="0"/>
          <w:color w:val="auto"/>
          <w:kern w:val="0"/>
          <w:sz w:val="24"/>
          <w:szCs w:val="24"/>
          <w:lang w:val="en-US" w:eastAsia="zh-CN" w:bidi="ar-SA"/>
        </w:rPr>
      </w:pPr>
      <w:r>
        <w:rPr>
          <w:rFonts w:hint="eastAsia" w:asciiTheme="minorEastAsia" w:hAnsiTheme="minorEastAsia" w:eastAsiaTheme="minorEastAsia" w:cstheme="minorEastAsia"/>
          <w:b/>
          <w:bCs w:val="0"/>
          <w:color w:val="auto"/>
          <w:kern w:val="0"/>
          <w:sz w:val="24"/>
          <w:szCs w:val="24"/>
          <w:lang w:val="en-US" w:eastAsia="zh-CN" w:bidi="ar-SA"/>
        </w:rPr>
        <w:t>（五）报价及评审价格计算方式：</w:t>
      </w:r>
    </w:p>
    <w:p w14:paraId="1B9A606F">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FF0000"/>
          <w:kern w:val="0"/>
          <w:sz w:val="24"/>
          <w:szCs w:val="24"/>
          <w:lang w:val="en-US" w:eastAsia="zh-CN" w:bidi="ar-SA"/>
        </w:rPr>
      </w:pPr>
      <w:r>
        <w:rPr>
          <w:rFonts w:hint="eastAsia" w:asciiTheme="minorEastAsia" w:hAnsiTheme="minorEastAsia" w:eastAsiaTheme="minorEastAsia" w:cstheme="minorEastAsia"/>
          <w:b w:val="0"/>
          <w:bCs/>
          <w:color w:val="FF0000"/>
          <w:kern w:val="0"/>
          <w:sz w:val="24"/>
          <w:szCs w:val="24"/>
          <w:lang w:val="en-US" w:eastAsia="zh-CN" w:bidi="ar-SA"/>
        </w:rPr>
        <w:t>1、投标人报价不得高于单项限价和总预算限价，否则视为无效投标</w:t>
      </w:r>
    </w:p>
    <w:p w14:paraId="283F4F6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FF0000"/>
          <w:kern w:val="0"/>
          <w:sz w:val="24"/>
          <w:szCs w:val="24"/>
          <w:lang w:val="en-US" w:eastAsia="zh-CN" w:bidi="ar-SA"/>
        </w:rPr>
      </w:pPr>
      <w:r>
        <w:rPr>
          <w:rFonts w:hint="eastAsia" w:asciiTheme="minorEastAsia" w:hAnsiTheme="minorEastAsia" w:eastAsiaTheme="minorEastAsia" w:cstheme="minorEastAsia"/>
          <w:b w:val="0"/>
          <w:bCs/>
          <w:color w:val="FF0000"/>
          <w:kern w:val="0"/>
          <w:sz w:val="24"/>
          <w:szCs w:val="24"/>
          <w:lang w:val="en-US" w:eastAsia="zh-CN" w:bidi="ar-SA"/>
        </w:rPr>
        <w:t>2、评审价格计算方式如下：</w:t>
      </w:r>
    </w:p>
    <w:p w14:paraId="798B457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FF0000"/>
          <w:kern w:val="0"/>
          <w:sz w:val="24"/>
          <w:szCs w:val="24"/>
          <w:lang w:val="en-US" w:eastAsia="zh-CN" w:bidi="ar-SA"/>
        </w:rPr>
      </w:pPr>
      <w:r>
        <w:rPr>
          <w:rFonts w:hint="eastAsia" w:asciiTheme="minorEastAsia" w:hAnsiTheme="minorEastAsia" w:eastAsiaTheme="minorEastAsia" w:cstheme="minorEastAsia"/>
          <w:b w:val="0"/>
          <w:bCs/>
          <w:color w:val="FF0000"/>
          <w:kern w:val="0"/>
          <w:sz w:val="24"/>
          <w:szCs w:val="24"/>
          <w:lang w:val="en-US" w:eastAsia="zh-CN" w:bidi="ar-SA"/>
        </w:rPr>
        <w:t>评审价格=三级单项报价*15+两级单项报价*2，以满足招标文件要求且评审价格最低者为第一中标候选人。</w:t>
      </w:r>
    </w:p>
    <w:p w14:paraId="71C188E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FF0000"/>
          <w:kern w:val="0"/>
          <w:sz w:val="24"/>
          <w:szCs w:val="24"/>
          <w:lang w:val="en-US" w:eastAsia="zh-CN" w:bidi="ar-SA"/>
        </w:rPr>
      </w:pPr>
      <w:r>
        <w:rPr>
          <w:rFonts w:hint="eastAsia" w:asciiTheme="minorEastAsia" w:hAnsiTheme="minorEastAsia" w:eastAsiaTheme="minorEastAsia" w:cstheme="minorEastAsia"/>
          <w:b w:val="0"/>
          <w:bCs/>
          <w:color w:val="FF0000"/>
          <w:kern w:val="0"/>
          <w:sz w:val="24"/>
          <w:szCs w:val="24"/>
          <w:lang w:val="en-US" w:eastAsia="zh-CN" w:bidi="ar-SA"/>
        </w:rPr>
        <w:t>例：投标人报价三级信息系统2.9万元/次/系统，二级信息系统2.5万元/次/系统，则评审总价为：2.9*15+2.5*2=48.5万</w:t>
      </w:r>
    </w:p>
    <w:p w14:paraId="005C0C8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Theme="minorEastAsia" w:hAnsiTheme="minorEastAsia" w:eastAsiaTheme="minorEastAsia" w:cstheme="minorEastAsia"/>
          <w:bCs/>
          <w:color w:val="auto"/>
          <w:kern w:val="0"/>
          <w:sz w:val="28"/>
          <w:szCs w:val="28"/>
          <w:lang w:val="en-US" w:eastAsia="zh-CN" w:bidi="ar-SA"/>
        </w:rPr>
      </w:pPr>
    </w:p>
    <w:p w14:paraId="002EA66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三、标书要求</w:t>
      </w:r>
    </w:p>
    <w:p w14:paraId="1190B9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1、封面：需注明标的名称、投标文件、单位、时间；</w:t>
      </w:r>
    </w:p>
    <w:p w14:paraId="3AE7D2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2、“三证合一”或“五证合一”营业执照；</w:t>
      </w:r>
    </w:p>
    <w:p w14:paraId="68C94A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3、投标人身份证复印件；</w:t>
      </w:r>
    </w:p>
    <w:p w14:paraId="7A3E69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4、如投标人不是法定代表人，须持法定代表人亲笔签名的授权委托书,并提供法定代表人身份证明和法定代表人身份证复印件，同时要求法定代表人在身份证复印件上注明用途及签全名。</w:t>
      </w:r>
    </w:p>
    <w:p w14:paraId="3CBF51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5、履行本项目所必需的资质证明；</w:t>
      </w:r>
    </w:p>
    <w:p w14:paraId="081DCE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6、针对此项目的技术、服务方案；</w:t>
      </w:r>
    </w:p>
    <w:p w14:paraId="39B230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7、投标人认为需提供的其他和评审有关的资料；</w:t>
      </w:r>
    </w:p>
    <w:p w14:paraId="19A383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8、投标文件的每一页都必须加盖投标单位的公章；</w:t>
      </w:r>
    </w:p>
    <w:p w14:paraId="5A92BC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9、投标文件参数响应表中必须标注响应项佐证材料所对应页面。</w:t>
      </w:r>
    </w:p>
    <w:p w14:paraId="737229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14:paraId="08BAD364">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p>
    <w:p w14:paraId="30A737BB">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四、合同</w:t>
      </w:r>
    </w:p>
    <w:p w14:paraId="0BEDE949">
      <w:pPr>
        <w:keepNext w:val="0"/>
        <w:keepLines w:val="0"/>
        <w:pageBreakBefore w:val="0"/>
        <w:widowControl w:val="0"/>
        <w:kinsoku/>
        <w:wordWrap/>
        <w:overflowPunct/>
        <w:topLinePunct w:val="0"/>
        <w:autoSpaceDE/>
        <w:autoSpaceDN/>
        <w:bidi w:val="0"/>
        <w:adjustRightInd/>
        <w:snapToGrid/>
        <w:spacing w:line="380" w:lineRule="exact"/>
        <w:textAlignment w:val="auto"/>
        <w:rPr>
          <w:highlight w:val="none"/>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r>
        <w:rPr>
          <w:rFonts w:hint="eastAsia" w:ascii="仿宋_GB2312" w:eastAsia="仿宋_GB2312" w:cs="仿宋_GB2312"/>
          <w:bCs/>
          <w:kern w:val="0"/>
          <w:sz w:val="28"/>
          <w:szCs w:val="28"/>
          <w:highlight w:val="none"/>
        </w:rPr>
        <w:t xml:space="preserve">  </w:t>
      </w:r>
    </w:p>
    <w:p w14:paraId="472659C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cs="仿宋_GB2312"/>
          <w:bCs/>
          <w:color w:val="auto"/>
          <w:kern w:val="0"/>
          <w:sz w:val="28"/>
          <w:szCs w:val="28"/>
          <w:lang w:val="en-US" w:eastAsia="zh-CN" w:bidi="ar-SA"/>
        </w:rPr>
        <w:t xml:space="preserve">   </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val="0"/>
          <w:bCs w:val="0"/>
          <w:color w:val="auto"/>
          <w:sz w:val="24"/>
          <w:szCs w:val="24"/>
          <w:highlight w:val="none"/>
          <w:lang w:val="en-US" w:eastAsia="zh-CN"/>
        </w:rPr>
        <w:t xml:space="preserve">        合同编号：</w:t>
      </w:r>
    </w:p>
    <w:p w14:paraId="7524D93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val="0"/>
          <w:bCs w:val="0"/>
          <w:color w:val="auto"/>
          <w:sz w:val="24"/>
          <w:szCs w:val="24"/>
          <w:highlight w:val="none"/>
          <w:lang w:val="en-US" w:eastAsia="zh-CN"/>
        </w:rPr>
      </w:pPr>
      <w:r>
        <w:rPr>
          <w:rFonts w:hint="eastAsia" w:ascii="黑体" w:hAnsi="黑体" w:eastAsia="黑体" w:cs="黑体"/>
          <w:b w:val="0"/>
          <w:bCs w:val="0"/>
          <w:color w:val="auto"/>
          <w:sz w:val="44"/>
          <w:szCs w:val="44"/>
          <w:highlight w:val="none"/>
          <w:lang w:val="en-US" w:eastAsia="zh-CN"/>
        </w:rPr>
        <w:t>娄底市中心医院2026-2028年度网络安全等级保护测评服务合同</w:t>
      </w:r>
    </w:p>
    <w:p w14:paraId="58BAD34C">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b/>
          <w:bCs/>
          <w:color w:val="auto"/>
          <w:sz w:val="24"/>
          <w:szCs w:val="24"/>
          <w:highlight w:val="none"/>
          <w:lang w:val="en-US" w:eastAsia="zh-CN"/>
        </w:rPr>
      </w:pPr>
    </w:p>
    <w:p w14:paraId="0527EC5D">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甲方：</w:t>
      </w:r>
      <w:r>
        <w:rPr>
          <w:rFonts w:hint="eastAsia" w:ascii="宋体" w:hAnsi="宋体" w:eastAsia="宋体" w:cs="宋体"/>
          <w:color w:val="auto"/>
          <w:sz w:val="24"/>
          <w:szCs w:val="24"/>
          <w:highlight w:val="none"/>
          <w:lang w:val="en-US" w:eastAsia="zh-CN"/>
        </w:rPr>
        <w:t>娄底市中心医院</w:t>
      </w:r>
    </w:p>
    <w:p w14:paraId="546CCDF5">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法定代表人：杨吉军</w:t>
      </w:r>
    </w:p>
    <w:p w14:paraId="77CA7029">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统一社会信用代码：12431300447162073W</w:t>
      </w:r>
    </w:p>
    <w:p w14:paraId="2A6305A2">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地址：湖南省娄底市娄星区长青中街51号</w:t>
      </w:r>
    </w:p>
    <w:p w14:paraId="300AD292">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联系人：杨勇</w:t>
      </w:r>
    </w:p>
    <w:p w14:paraId="60F3BBD9">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联系电话：13873852666</w:t>
      </w:r>
    </w:p>
    <w:p w14:paraId="33B597A5">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b/>
          <w:bCs/>
          <w:color w:val="auto"/>
          <w:sz w:val="24"/>
          <w:szCs w:val="24"/>
          <w:highlight w:val="none"/>
          <w:lang w:val="en-US" w:eastAsia="zh-CN"/>
        </w:rPr>
      </w:pPr>
    </w:p>
    <w:p w14:paraId="796073CF">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乙方：</w:t>
      </w:r>
    </w:p>
    <w:p w14:paraId="418082D6">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法定代表人：</w:t>
      </w:r>
    </w:p>
    <w:p w14:paraId="793E6B3F">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统一社会信用代码：</w:t>
      </w:r>
    </w:p>
    <w:p w14:paraId="2218DF4E">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w:t>
      </w:r>
    </w:p>
    <w:p w14:paraId="570DC1DD">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p>
    <w:p w14:paraId="6E918B70">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联系电话：</w:t>
      </w:r>
    </w:p>
    <w:p w14:paraId="34A32451">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color w:val="auto"/>
          <w:sz w:val="24"/>
          <w:szCs w:val="24"/>
          <w:highlight w:val="none"/>
          <w:lang w:val="en-US" w:eastAsia="zh-CN"/>
        </w:rPr>
      </w:pPr>
    </w:p>
    <w:p w14:paraId="1D34F33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甲方通过</w:t>
      </w:r>
      <w:r>
        <w:rPr>
          <w:rFonts w:hint="eastAsia" w:ascii="宋体" w:hAnsi="宋体" w:eastAsia="宋体" w:cs="宋体"/>
          <w:color w:val="auto"/>
          <w:sz w:val="24"/>
          <w:szCs w:val="24"/>
          <w:highlight w:val="none"/>
          <w:u w:val="single"/>
          <w:lang w:val="en-US" w:eastAsia="zh-CN"/>
        </w:rPr>
        <w:t>医院公开挂网</w:t>
      </w:r>
      <w:r>
        <w:rPr>
          <w:rFonts w:hint="eastAsia" w:ascii="宋体" w:hAnsi="宋体" w:eastAsia="宋体" w:cs="宋体"/>
          <w:color w:val="auto"/>
          <w:sz w:val="24"/>
          <w:szCs w:val="24"/>
          <w:highlight w:val="none"/>
          <w:u w:val="none"/>
          <w:lang w:val="en-US" w:eastAsia="zh-CN"/>
        </w:rPr>
        <w:t>方式</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u w:val="single"/>
          <w:lang w:val="en-US" w:eastAsia="zh-CN"/>
        </w:rPr>
        <w:t xml:space="preserve"> 娄底市中心医院2026-2028年度网络安全等级保护测评服务</w:t>
      </w:r>
      <w:r>
        <w:rPr>
          <w:rFonts w:hint="eastAsia" w:ascii="宋体" w:hAnsi="宋体" w:eastAsia="宋体" w:cs="宋体"/>
          <w:color w:val="auto"/>
          <w:sz w:val="24"/>
          <w:szCs w:val="24"/>
          <w:highlight w:val="none"/>
          <w:lang w:val="en-US" w:eastAsia="zh-CN"/>
        </w:rPr>
        <w:t>，乙方为中标/中选乙方。根据《中华人民共和国民法典》《中华人民共和国政府采购法》 等相关法律规定，甲乙双方在采购项目确定的基础上，就采购</w:t>
      </w:r>
      <w:r>
        <w:rPr>
          <w:rFonts w:hint="eastAsia" w:ascii="宋体" w:hAnsi="宋体" w:eastAsia="宋体" w:cs="宋体"/>
          <w:color w:val="auto"/>
          <w:sz w:val="24"/>
          <w:szCs w:val="24"/>
          <w:highlight w:val="none"/>
          <w:u w:val="single"/>
          <w:lang w:val="en-US" w:eastAsia="zh-CN"/>
        </w:rPr>
        <w:t xml:space="preserve"> 娄底市中心医院2026-2028年度网络安全等级保护测评服务</w:t>
      </w:r>
      <w:r>
        <w:rPr>
          <w:rFonts w:hint="eastAsia" w:ascii="宋体" w:hAnsi="宋体" w:eastAsia="宋体" w:cs="宋体"/>
          <w:color w:val="auto"/>
          <w:sz w:val="24"/>
          <w:szCs w:val="24"/>
          <w:highlight w:val="none"/>
          <w:u w:val="none"/>
          <w:lang w:val="en-US" w:eastAsia="zh-CN"/>
        </w:rPr>
        <w:t>相关</w:t>
      </w:r>
      <w:r>
        <w:rPr>
          <w:rFonts w:hint="eastAsia" w:ascii="宋体" w:hAnsi="宋体" w:eastAsia="宋体" w:cs="宋体"/>
          <w:color w:val="auto"/>
          <w:sz w:val="24"/>
          <w:szCs w:val="24"/>
          <w:highlight w:val="none"/>
          <w:lang w:val="en-US" w:eastAsia="zh-CN"/>
        </w:rPr>
        <w:t>事宜平等、自愿、公平、诚信协商，达成一致，特订立本合同，以资共同遵守。</w:t>
      </w:r>
    </w:p>
    <w:p w14:paraId="4D787819">
      <w:pPr>
        <w:keepNext w:val="0"/>
        <w:keepLines w:val="0"/>
        <w:pageBreakBefore w:val="0"/>
        <w:widowControl w:val="0"/>
        <w:numPr>
          <w:ilvl w:val="0"/>
          <w:numId w:val="0"/>
        </w:numPr>
        <w:tabs>
          <w:tab w:val="left" w:pos="426"/>
          <w:tab w:val="left" w:pos="709"/>
        </w:tabs>
        <w:kinsoku/>
        <w:wordWrap/>
        <w:overflowPunct/>
        <w:topLinePunct w:val="0"/>
        <w:autoSpaceDE/>
        <w:autoSpaceDN/>
        <w:bidi w:val="0"/>
        <w:adjustRightInd/>
        <w:snapToGrid/>
        <w:spacing w:beforeAutospacing="0" w:afterAutospacing="0" w:line="480" w:lineRule="exact"/>
        <w:ind w:left="0" w:leftChars="0" w:firstLine="482" w:firstLineChars="200"/>
        <w:jc w:val="both"/>
        <w:textAlignment w:val="auto"/>
        <w:outlineLvl w:val="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highlight w:val="none"/>
          <w:lang w:val="en-US" w:eastAsia="zh-CN" w:bidi="ar-SA"/>
        </w:rPr>
        <w:t xml:space="preserve">第一条  </w:t>
      </w:r>
      <w:r>
        <w:rPr>
          <w:rFonts w:hint="eastAsia" w:ascii="宋体" w:hAnsi="宋体" w:eastAsia="宋体"/>
          <w:b/>
          <w:bCs w:val="0"/>
          <w:color w:val="auto"/>
          <w:sz w:val="24"/>
          <w:lang w:val="en-US" w:eastAsia="zh-CN"/>
        </w:rPr>
        <w:t>采购</w:t>
      </w:r>
      <w:r>
        <w:rPr>
          <w:rFonts w:hint="eastAsia" w:ascii="宋体" w:hAnsi="宋体"/>
          <w:b/>
          <w:bCs w:val="0"/>
          <w:color w:val="auto"/>
          <w:sz w:val="24"/>
        </w:rPr>
        <w:t>服务内容</w:t>
      </w:r>
    </w:p>
    <w:p w14:paraId="219E4B7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 根据相关文件及标准要求，协助甲方信息系统完成定级备案、信息系统备案材料更新、信息系统注销、信息系统安全等级保护测评及验收服务，</w:t>
      </w:r>
      <w:r>
        <w:rPr>
          <w:rFonts w:hint="eastAsia" w:ascii="宋体" w:hAnsi="宋体"/>
          <w:color w:val="auto"/>
          <w:sz w:val="24"/>
        </w:rPr>
        <w:t>梳理被测系统的资产状况，明确被测系统的安全建设现状，找出存在的安全风险，提出安全整改建议，并以此为基础，进一步制定安全建设整改方案，完善保护措施。通过测评，提高医院安全意识，增强网络的安全保障能力，保证重要信息系统的正常运转，使被测系统满足我国关于等级保护相应级别的具体要求</w:t>
      </w:r>
      <w:r>
        <w:rPr>
          <w:rFonts w:hint="eastAsia" w:ascii="宋体" w:hAnsi="宋体" w:eastAsia="宋体" w:cs="宋体"/>
          <w:color w:val="auto"/>
          <w:sz w:val="24"/>
          <w:szCs w:val="24"/>
          <w:highlight w:val="none"/>
          <w:lang w:val="en-US" w:eastAsia="zh-CN"/>
        </w:rPr>
        <w:t>。</w:t>
      </w:r>
    </w:p>
    <w:p w14:paraId="0DD3C67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1.2 </w:t>
      </w:r>
      <w:r>
        <w:rPr>
          <w:rFonts w:hint="eastAsia" w:ascii="宋体" w:hAnsi="宋体"/>
          <w:color w:val="auto"/>
          <w:sz w:val="24"/>
        </w:rPr>
        <w:t>根据《信息安全等级保护管理办法》第十四条“信息系统建设完成后，运营、使用单位或者其主管部门应当选择符合本办法规定条件的测评机构，依据《信息系统安全等级保护测评要求》等技术标准，定期对信息系统安全等级状况开展等级测评</w:t>
      </w:r>
      <w:r>
        <w:rPr>
          <w:rFonts w:hint="default" w:ascii="宋体" w:hAnsi="宋体" w:eastAsia="宋体" w:cs="宋体"/>
          <w:color w:val="auto"/>
          <w:sz w:val="24"/>
          <w:szCs w:val="24"/>
          <w:highlight w:val="none"/>
          <w:lang w:val="en-US" w:eastAsia="zh-CN"/>
        </w:rPr>
        <w:t>。</w:t>
      </w:r>
    </w:p>
    <w:p w14:paraId="278E132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 测评范围及级别</w:t>
      </w:r>
    </w:p>
    <w:p w14:paraId="72F9767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color w:val="auto"/>
          <w:sz w:val="24"/>
          <w:szCs w:val="24"/>
        </w:rPr>
      </w:pPr>
      <w:r>
        <w:rPr>
          <w:rFonts w:ascii="宋体" w:hAnsi="宋体" w:eastAsia="宋体" w:cs="宋体"/>
          <w:color w:val="auto"/>
          <w:sz w:val="24"/>
          <w:szCs w:val="24"/>
        </w:rPr>
        <w:t>本项目三年</w:t>
      </w:r>
      <w:r>
        <w:rPr>
          <w:rFonts w:hint="eastAsia" w:ascii="宋体" w:hAnsi="宋体" w:eastAsia="宋体" w:cs="宋体"/>
          <w:color w:val="auto"/>
          <w:sz w:val="24"/>
          <w:szCs w:val="24"/>
          <w:lang w:val="en-US" w:eastAsia="zh-CN"/>
        </w:rPr>
        <w:t>合同</w:t>
      </w:r>
      <w:r>
        <w:rPr>
          <w:rFonts w:ascii="宋体" w:hAnsi="宋体" w:eastAsia="宋体" w:cs="宋体"/>
          <w:color w:val="auto"/>
          <w:sz w:val="24"/>
          <w:szCs w:val="24"/>
        </w:rPr>
        <w:t>期内测评覆盖范围包含但不限于下述信息系统</w:t>
      </w:r>
      <w:r>
        <w:rPr>
          <w:rFonts w:hint="eastAsia" w:ascii="宋体" w:hAnsi="宋体" w:eastAsia="宋体" w:cs="宋体"/>
          <w:color w:val="auto"/>
          <w:sz w:val="24"/>
          <w:szCs w:val="24"/>
          <w:lang w:eastAsia="zh-CN"/>
        </w:rPr>
        <w:t>，</w:t>
      </w:r>
      <w:r>
        <w:rPr>
          <w:rFonts w:ascii="宋体" w:hAnsi="宋体" w:eastAsia="宋体" w:cs="宋体"/>
          <w:color w:val="auto"/>
          <w:sz w:val="24"/>
          <w:szCs w:val="24"/>
        </w:rPr>
        <w:t>每</w:t>
      </w:r>
      <w:r>
        <w:rPr>
          <w:rFonts w:hint="eastAsia" w:ascii="宋体" w:hAnsi="宋体" w:eastAsia="宋体" w:cs="宋体"/>
          <w:color w:val="0000FF"/>
          <w:sz w:val="24"/>
          <w:szCs w:val="24"/>
          <w:lang w:val="en-US" w:eastAsia="zh-CN"/>
        </w:rPr>
        <w:t>合同</w:t>
      </w:r>
      <w:r>
        <w:rPr>
          <w:rFonts w:ascii="宋体" w:hAnsi="宋体" w:eastAsia="宋体" w:cs="宋体"/>
          <w:color w:val="auto"/>
          <w:sz w:val="24"/>
          <w:szCs w:val="24"/>
        </w:rPr>
        <w:t>年度实际开展等级保护测评的具体系统范围，以甲乙双方当年确认的年度实施计划约定的信息系统清单为准：</w:t>
      </w:r>
    </w:p>
    <w:p w14:paraId="551ED16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cs="宋体"/>
          <w:color w:val="auto"/>
          <w:sz w:val="24"/>
          <w:szCs w:val="24"/>
          <w:lang w:eastAsia="zh-CN"/>
        </w:rPr>
      </w:pPr>
      <w:r>
        <w:rPr>
          <w:rFonts w:hint="eastAsia" w:ascii="宋体" w:hAnsi="宋体"/>
          <w:color w:val="auto"/>
          <w:sz w:val="24"/>
        </w:rPr>
        <w:t>HIS信息系统</w:t>
      </w:r>
      <w:r>
        <w:rPr>
          <w:rFonts w:ascii="宋体" w:hAnsi="宋体" w:eastAsia="宋体" w:cs="宋体"/>
          <w:color w:val="auto"/>
          <w:sz w:val="24"/>
          <w:szCs w:val="24"/>
        </w:rPr>
        <w:t>（202</w:t>
      </w:r>
      <w:r>
        <w:rPr>
          <w:rFonts w:hint="eastAsia" w:ascii="宋体" w:hAnsi="宋体" w:eastAsia="宋体" w:cs="宋体"/>
          <w:color w:val="auto"/>
          <w:sz w:val="24"/>
          <w:szCs w:val="24"/>
          <w:lang w:val="en-US" w:eastAsia="zh-CN"/>
        </w:rPr>
        <w:t>6、2027、2028</w:t>
      </w:r>
      <w:r>
        <w:rPr>
          <w:rFonts w:ascii="宋体" w:hAnsi="宋体" w:eastAsia="宋体" w:cs="宋体"/>
          <w:color w:val="auto"/>
          <w:sz w:val="24"/>
          <w:szCs w:val="24"/>
        </w:rPr>
        <w:t>年度）</w:t>
      </w:r>
      <w:r>
        <w:rPr>
          <w:rFonts w:hint="eastAsia" w:ascii="宋体" w:hAnsi="宋体"/>
          <w:color w:val="auto"/>
          <w:sz w:val="24"/>
          <w:lang w:eastAsia="zh-CN"/>
        </w:rPr>
        <w:t>、</w:t>
      </w:r>
      <w:r>
        <w:rPr>
          <w:rFonts w:hint="eastAsia" w:ascii="宋体" w:hAnsi="宋体"/>
          <w:color w:val="auto"/>
          <w:sz w:val="24"/>
        </w:rPr>
        <w:t>LIS信息系统</w:t>
      </w:r>
      <w:r>
        <w:rPr>
          <w:rFonts w:ascii="宋体" w:hAnsi="宋体" w:eastAsia="宋体" w:cs="宋体"/>
          <w:color w:val="auto"/>
          <w:sz w:val="24"/>
          <w:szCs w:val="24"/>
        </w:rPr>
        <w:t>（202</w:t>
      </w:r>
      <w:r>
        <w:rPr>
          <w:rFonts w:hint="eastAsia" w:ascii="宋体" w:hAnsi="宋体" w:eastAsia="宋体" w:cs="宋体"/>
          <w:color w:val="auto"/>
          <w:sz w:val="24"/>
          <w:szCs w:val="24"/>
          <w:lang w:val="en-US" w:eastAsia="zh-CN"/>
        </w:rPr>
        <w:t>6、2027、2028</w:t>
      </w:r>
      <w:r>
        <w:rPr>
          <w:rFonts w:ascii="宋体" w:hAnsi="宋体" w:eastAsia="宋体" w:cs="宋体"/>
          <w:color w:val="auto"/>
          <w:sz w:val="24"/>
          <w:szCs w:val="24"/>
        </w:rPr>
        <w:t>年度）</w:t>
      </w:r>
      <w:r>
        <w:rPr>
          <w:rFonts w:hint="eastAsia" w:ascii="宋体" w:hAnsi="宋体"/>
          <w:color w:val="auto"/>
          <w:sz w:val="24"/>
          <w:lang w:eastAsia="zh-CN"/>
        </w:rPr>
        <w:t>、</w:t>
      </w:r>
      <w:r>
        <w:rPr>
          <w:rFonts w:hint="eastAsia" w:ascii="宋体" w:hAnsi="宋体"/>
          <w:color w:val="auto"/>
          <w:sz w:val="24"/>
        </w:rPr>
        <w:t>EMR信息系统</w:t>
      </w:r>
      <w:r>
        <w:rPr>
          <w:rFonts w:ascii="宋体" w:hAnsi="宋体" w:eastAsia="宋体" w:cs="宋体"/>
          <w:color w:val="auto"/>
          <w:sz w:val="24"/>
          <w:szCs w:val="24"/>
        </w:rPr>
        <w:t>（202</w:t>
      </w:r>
      <w:r>
        <w:rPr>
          <w:rFonts w:hint="eastAsia" w:ascii="宋体" w:hAnsi="宋体" w:eastAsia="宋体" w:cs="宋体"/>
          <w:color w:val="auto"/>
          <w:sz w:val="24"/>
          <w:szCs w:val="24"/>
          <w:lang w:val="en-US" w:eastAsia="zh-CN"/>
        </w:rPr>
        <w:t>6、2027、2028</w:t>
      </w:r>
      <w:r>
        <w:rPr>
          <w:rFonts w:ascii="宋体" w:hAnsi="宋体" w:eastAsia="宋体" w:cs="宋体"/>
          <w:color w:val="auto"/>
          <w:sz w:val="24"/>
          <w:szCs w:val="24"/>
        </w:rPr>
        <w:t>年度）</w:t>
      </w:r>
      <w:r>
        <w:rPr>
          <w:rFonts w:hint="eastAsia" w:ascii="宋体" w:hAnsi="宋体"/>
          <w:color w:val="auto"/>
          <w:sz w:val="24"/>
          <w:lang w:eastAsia="zh-CN"/>
        </w:rPr>
        <w:t>、</w:t>
      </w:r>
      <w:r>
        <w:rPr>
          <w:rFonts w:hint="eastAsia" w:ascii="宋体" w:hAnsi="宋体"/>
          <w:color w:val="auto"/>
          <w:sz w:val="24"/>
        </w:rPr>
        <w:t>PACS信息系统</w:t>
      </w:r>
      <w:r>
        <w:rPr>
          <w:rFonts w:ascii="宋体" w:hAnsi="宋体" w:eastAsia="宋体" w:cs="宋体"/>
          <w:color w:val="auto"/>
          <w:sz w:val="24"/>
          <w:szCs w:val="24"/>
        </w:rPr>
        <w:t>（202</w:t>
      </w:r>
      <w:r>
        <w:rPr>
          <w:rFonts w:hint="eastAsia" w:ascii="宋体" w:hAnsi="宋体" w:eastAsia="宋体" w:cs="宋体"/>
          <w:color w:val="auto"/>
          <w:sz w:val="24"/>
          <w:szCs w:val="24"/>
          <w:lang w:val="en-US" w:eastAsia="zh-CN"/>
        </w:rPr>
        <w:t>6、2027、2028</w:t>
      </w:r>
      <w:r>
        <w:rPr>
          <w:rFonts w:ascii="宋体" w:hAnsi="宋体" w:eastAsia="宋体" w:cs="宋体"/>
          <w:color w:val="auto"/>
          <w:sz w:val="24"/>
          <w:szCs w:val="24"/>
        </w:rPr>
        <w:t>年度）</w:t>
      </w:r>
      <w:r>
        <w:rPr>
          <w:rFonts w:hint="eastAsia" w:ascii="宋体" w:hAnsi="宋体" w:cs="宋体"/>
          <w:color w:val="auto"/>
          <w:sz w:val="24"/>
          <w:szCs w:val="24"/>
          <w:lang w:eastAsia="zh-CN"/>
        </w:rPr>
        <w:t>、</w:t>
      </w:r>
      <w:r>
        <w:rPr>
          <w:rFonts w:hint="eastAsia" w:ascii="宋体" w:hAnsi="宋体"/>
          <w:color w:val="auto"/>
          <w:sz w:val="24"/>
          <w:lang w:val="en-US" w:eastAsia="zh-CN"/>
        </w:rPr>
        <w:t>集成平台</w:t>
      </w:r>
      <w:r>
        <w:rPr>
          <w:rFonts w:ascii="宋体" w:hAnsi="宋体" w:eastAsia="宋体" w:cs="宋体"/>
          <w:color w:val="auto"/>
          <w:sz w:val="24"/>
          <w:szCs w:val="24"/>
        </w:rPr>
        <w:t>（202</w:t>
      </w:r>
      <w:r>
        <w:rPr>
          <w:rFonts w:hint="eastAsia" w:ascii="宋体" w:hAnsi="宋体" w:eastAsia="宋体" w:cs="宋体"/>
          <w:color w:val="auto"/>
          <w:sz w:val="24"/>
          <w:szCs w:val="24"/>
          <w:lang w:val="en-US" w:eastAsia="zh-CN"/>
        </w:rPr>
        <w:t>6、2027、2028</w:t>
      </w:r>
      <w:r>
        <w:rPr>
          <w:rFonts w:ascii="宋体" w:hAnsi="宋体" w:eastAsia="宋体" w:cs="宋体"/>
          <w:color w:val="auto"/>
          <w:sz w:val="24"/>
          <w:szCs w:val="24"/>
        </w:rPr>
        <w:t>年度）</w:t>
      </w:r>
      <w:r>
        <w:rPr>
          <w:rFonts w:hint="eastAsia" w:ascii="宋体" w:hAnsi="宋体"/>
          <w:color w:val="auto"/>
          <w:sz w:val="24"/>
          <w:lang w:eastAsia="zh-CN"/>
        </w:rPr>
        <w:t>、</w:t>
      </w:r>
      <w:r>
        <w:rPr>
          <w:rFonts w:hint="eastAsia" w:ascii="宋体" w:hAnsi="宋体"/>
          <w:color w:val="auto"/>
          <w:sz w:val="24"/>
          <w:lang w:val="en-US" w:eastAsia="zh-CN"/>
        </w:rPr>
        <w:t>官方网站</w:t>
      </w:r>
      <w:r>
        <w:rPr>
          <w:rFonts w:ascii="宋体" w:hAnsi="宋体" w:eastAsia="宋体" w:cs="宋体"/>
          <w:color w:val="auto"/>
          <w:sz w:val="24"/>
          <w:szCs w:val="24"/>
        </w:rPr>
        <w:t>（202</w:t>
      </w:r>
      <w:r>
        <w:rPr>
          <w:rFonts w:hint="eastAsia" w:ascii="宋体" w:hAnsi="宋体" w:eastAsia="宋体" w:cs="宋体"/>
          <w:color w:val="auto"/>
          <w:sz w:val="24"/>
          <w:szCs w:val="24"/>
          <w:lang w:val="en-US" w:eastAsia="zh-CN"/>
        </w:rPr>
        <w:t>6</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2028</w:t>
      </w:r>
      <w:r>
        <w:rPr>
          <w:rFonts w:ascii="宋体" w:hAnsi="宋体" w:eastAsia="宋体" w:cs="宋体"/>
          <w:color w:val="auto"/>
          <w:sz w:val="24"/>
          <w:szCs w:val="24"/>
        </w:rPr>
        <w:t>年度）</w:t>
      </w:r>
      <w:r>
        <w:rPr>
          <w:rFonts w:hint="eastAsia" w:ascii="宋体" w:hAnsi="宋体" w:cs="宋体"/>
          <w:color w:val="auto"/>
          <w:sz w:val="24"/>
          <w:szCs w:val="24"/>
          <w:lang w:eastAsia="zh-CN"/>
        </w:rPr>
        <w:t>。</w:t>
      </w:r>
    </w:p>
    <w:p w14:paraId="511A7A1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color w:val="auto"/>
          <w:sz w:val="24"/>
          <w:szCs w:val="24"/>
          <w:lang w:val="en-US" w:eastAsia="zh-CN"/>
        </w:rPr>
      </w:pPr>
      <w:r>
        <w:rPr>
          <w:rFonts w:ascii="宋体" w:hAnsi="宋体" w:eastAsia="宋体" w:cs="宋体"/>
          <w:color w:val="auto"/>
          <w:sz w:val="24"/>
          <w:szCs w:val="24"/>
        </w:rPr>
        <w:t>甲方有权根据等保工作实际需求调整测评计划，包括但不限于新增或减少测评系统、调整测评年度、变更系统定级级别，相关费用按中标对应级别单价据实核算</w:t>
      </w:r>
      <w:r>
        <w:rPr>
          <w:rFonts w:hint="eastAsia" w:ascii="宋体" w:hAnsi="宋体" w:cs="宋体"/>
          <w:color w:val="auto"/>
          <w:sz w:val="24"/>
          <w:szCs w:val="24"/>
          <w:lang w:eastAsia="zh-CN"/>
        </w:rPr>
        <w:t>。</w:t>
      </w:r>
    </w:p>
    <w:p w14:paraId="4AC5BD9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级别：HIS、EMR、LIS、PACS、</w:t>
      </w:r>
      <w:r>
        <w:rPr>
          <w:rFonts w:hint="eastAsia" w:ascii="宋体" w:hAnsi="宋体"/>
          <w:color w:val="auto"/>
          <w:sz w:val="22"/>
          <w:szCs w:val="22"/>
          <w:lang w:val="en-US" w:eastAsia="zh-CN"/>
        </w:rPr>
        <w:t>集成平台为</w:t>
      </w:r>
      <w:r>
        <w:rPr>
          <w:rFonts w:hint="eastAsia" w:ascii="宋体" w:hAnsi="宋体" w:eastAsia="宋体" w:cs="宋体"/>
          <w:color w:val="auto"/>
          <w:sz w:val="24"/>
          <w:szCs w:val="24"/>
          <w:highlight w:val="none"/>
          <w:lang w:val="en-US" w:eastAsia="zh-CN"/>
        </w:rPr>
        <w:t>三级，</w:t>
      </w:r>
      <w:r>
        <w:rPr>
          <w:rFonts w:hint="eastAsia" w:ascii="宋体" w:hAnsi="宋体"/>
          <w:color w:val="auto"/>
          <w:sz w:val="22"/>
          <w:szCs w:val="22"/>
          <w:lang w:val="en-US" w:eastAsia="zh-CN"/>
        </w:rPr>
        <w:t>官方网站为二级</w:t>
      </w:r>
      <w:r>
        <w:rPr>
          <w:rFonts w:hint="eastAsia" w:ascii="宋体" w:hAnsi="宋体" w:eastAsia="宋体" w:cs="宋体"/>
          <w:color w:val="auto"/>
          <w:sz w:val="24"/>
          <w:szCs w:val="24"/>
          <w:highlight w:val="none"/>
          <w:lang w:val="en-US" w:eastAsia="zh-CN"/>
        </w:rPr>
        <w:t>。</w:t>
      </w:r>
    </w:p>
    <w:p w14:paraId="576C9AB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信息系统安全等级保护测评包含被测系统的安全物理环境、安全通信网络、安全区域边界、安全计算环境、安全管理中心、安全管理制度、安全管理机构、安全管理人员、安全建设管理、安全运维管理</w:t>
      </w:r>
      <w:r>
        <w:rPr>
          <w:rFonts w:hint="eastAsia" w:ascii="宋体" w:hAnsi="宋体" w:eastAsia="宋体" w:cs="宋体"/>
          <w:color w:val="0000FF"/>
          <w:sz w:val="24"/>
          <w:szCs w:val="24"/>
          <w:highlight w:val="none"/>
          <w:lang w:val="en-US" w:eastAsia="zh-CN"/>
        </w:rPr>
        <w:t>等</w:t>
      </w:r>
      <w:r>
        <w:rPr>
          <w:rFonts w:hint="eastAsia" w:ascii="宋体" w:hAnsi="宋体" w:eastAsia="宋体" w:cs="宋体"/>
          <w:color w:val="auto"/>
          <w:sz w:val="24"/>
          <w:szCs w:val="24"/>
          <w:highlight w:val="none"/>
          <w:lang w:val="en-US" w:eastAsia="zh-CN"/>
        </w:rPr>
        <w:t>各层面。</w:t>
      </w:r>
    </w:p>
    <w:p w14:paraId="46905FB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1.4 </w:t>
      </w:r>
      <w:r>
        <w:rPr>
          <w:rFonts w:hint="eastAsia" w:ascii="宋体" w:hAnsi="宋体" w:eastAsia="宋体"/>
          <w:color w:val="auto"/>
          <w:sz w:val="24"/>
          <w:lang w:val="en-US" w:eastAsia="zh-CN"/>
        </w:rPr>
        <w:t>乙方</w:t>
      </w:r>
      <w:r>
        <w:rPr>
          <w:rFonts w:hint="eastAsia" w:ascii="宋体" w:hAnsi="宋体"/>
          <w:color w:val="auto"/>
          <w:sz w:val="24"/>
        </w:rPr>
        <w:t>应依据国家相关政策标准开展工作，依据标准包括但不限于如下国家政策标准：</w:t>
      </w:r>
    </w:p>
    <w:p w14:paraId="1913D89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color w:val="auto"/>
          <w:sz w:val="24"/>
        </w:rPr>
      </w:pPr>
      <w:r>
        <w:rPr>
          <w:rFonts w:hint="eastAsia" w:ascii="宋体" w:hAnsi="宋体"/>
          <w:color w:val="auto"/>
          <w:sz w:val="24"/>
        </w:rPr>
        <w:t>●《中华人民共和国网络安全法》</w:t>
      </w:r>
    </w:p>
    <w:p w14:paraId="78954E8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color w:val="auto"/>
          <w:sz w:val="24"/>
        </w:rPr>
      </w:pPr>
      <w:r>
        <w:rPr>
          <w:rFonts w:hint="eastAsia" w:ascii="宋体" w:hAnsi="宋体"/>
          <w:color w:val="auto"/>
          <w:sz w:val="24"/>
        </w:rPr>
        <w:t>●《网络安全等级保护条例》(征求意见稿)</w:t>
      </w:r>
    </w:p>
    <w:p w14:paraId="66A7B47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color w:val="auto"/>
          <w:sz w:val="24"/>
        </w:rPr>
      </w:pPr>
      <w:r>
        <w:rPr>
          <w:rFonts w:hint="eastAsia" w:ascii="宋体" w:hAnsi="宋体"/>
          <w:color w:val="auto"/>
          <w:sz w:val="24"/>
        </w:rPr>
        <w:t>●《计算机信息系统安全保护等级划分准则》（GB 17859-1999）；</w:t>
      </w:r>
    </w:p>
    <w:p w14:paraId="49B47E6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color w:val="auto"/>
          <w:sz w:val="24"/>
        </w:rPr>
      </w:pPr>
      <w:r>
        <w:rPr>
          <w:rFonts w:hint="eastAsia" w:ascii="宋体" w:hAnsi="宋体"/>
          <w:color w:val="auto"/>
          <w:sz w:val="24"/>
        </w:rPr>
        <w:t>●《信息安全等级保护管理办法》（公通字〔2007〕43号）；</w:t>
      </w:r>
    </w:p>
    <w:p w14:paraId="4A44EF5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color w:val="auto"/>
          <w:sz w:val="24"/>
        </w:rPr>
      </w:pPr>
      <w:r>
        <w:rPr>
          <w:rFonts w:hint="eastAsia" w:ascii="宋体" w:hAnsi="宋体"/>
          <w:color w:val="auto"/>
          <w:sz w:val="24"/>
        </w:rPr>
        <w:t>●《信息安全技术网络安全等级保护实施指南》（</w:t>
      </w:r>
      <w:r>
        <w:rPr>
          <w:rFonts w:hint="eastAsia" w:ascii="宋体" w:hAnsi="宋体"/>
          <w:color w:val="auto"/>
          <w:sz w:val="24"/>
        </w:rPr>
        <w:fldChar w:fldCharType="begin"/>
      </w:r>
      <w:r>
        <w:rPr>
          <w:rFonts w:hint="eastAsia" w:ascii="宋体" w:hAnsi="宋体"/>
          <w:color w:val="auto"/>
          <w:sz w:val="24"/>
        </w:rPr>
        <w:instrText xml:space="preserve"> HYPERLINK "http://www.csres.com/detail/332685.html" \t "http://www.csres.com/_blank"</w:instrText>
      </w:r>
      <w:r>
        <w:rPr>
          <w:rFonts w:hint="eastAsia" w:ascii="宋体" w:hAnsi="宋体"/>
          <w:color w:val="auto"/>
          <w:sz w:val="24"/>
        </w:rPr>
        <w:fldChar w:fldCharType="separate"/>
      </w:r>
      <w:r>
        <w:rPr>
          <w:rFonts w:hint="eastAsia" w:ascii="宋体" w:hAnsi="宋体"/>
          <w:color w:val="auto"/>
          <w:sz w:val="24"/>
        </w:rPr>
        <w:t>GB/T 25058-2019</w:t>
      </w:r>
      <w:r>
        <w:rPr>
          <w:rFonts w:hint="eastAsia" w:ascii="宋体" w:hAnsi="宋体"/>
          <w:color w:val="auto"/>
          <w:sz w:val="24"/>
        </w:rPr>
        <w:fldChar w:fldCharType="end"/>
      </w:r>
      <w:r>
        <w:rPr>
          <w:rFonts w:hint="eastAsia" w:ascii="宋体" w:hAnsi="宋体"/>
          <w:color w:val="auto"/>
          <w:sz w:val="24"/>
        </w:rPr>
        <w:t>）；</w:t>
      </w:r>
    </w:p>
    <w:p w14:paraId="416FC5A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color w:val="auto"/>
          <w:sz w:val="24"/>
        </w:rPr>
      </w:pPr>
      <w:r>
        <w:rPr>
          <w:rFonts w:hint="eastAsia" w:ascii="宋体" w:hAnsi="宋体"/>
          <w:color w:val="auto"/>
          <w:sz w:val="24"/>
        </w:rPr>
        <w:t>●《信息安全技术网络安全等级保护定级指南》（GBT 22240-2020）；</w:t>
      </w:r>
    </w:p>
    <w:p w14:paraId="295D396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color w:val="auto"/>
          <w:sz w:val="24"/>
        </w:rPr>
      </w:pPr>
      <w:r>
        <w:rPr>
          <w:rFonts w:hint="eastAsia" w:ascii="宋体" w:hAnsi="宋体"/>
          <w:color w:val="auto"/>
          <w:sz w:val="24"/>
        </w:rPr>
        <w:t>●《信息安全技术网络安全等级保护基本要求》（GBT 22239-2019）；</w:t>
      </w:r>
    </w:p>
    <w:p w14:paraId="23BD501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color w:val="auto"/>
          <w:sz w:val="24"/>
        </w:rPr>
      </w:pPr>
      <w:r>
        <w:rPr>
          <w:rFonts w:hint="eastAsia" w:ascii="宋体" w:hAnsi="宋体"/>
          <w:color w:val="auto"/>
          <w:sz w:val="24"/>
        </w:rPr>
        <w:t>●《信息安全技术网络安全等级保护测评要求》（GBT 28448-2019）；</w:t>
      </w:r>
    </w:p>
    <w:p w14:paraId="6F2ECDE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color w:val="auto"/>
          <w:sz w:val="24"/>
        </w:rPr>
      </w:pPr>
      <w:r>
        <w:rPr>
          <w:rFonts w:hint="eastAsia" w:ascii="宋体" w:hAnsi="宋体"/>
          <w:color w:val="auto"/>
          <w:sz w:val="24"/>
        </w:rPr>
        <w:t>●《信息安全技术信息安全风险评估方法》（GB/T 20984-2022）；</w:t>
      </w:r>
    </w:p>
    <w:p w14:paraId="748CE5E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测评结果应当符合上述相关标准和要求。</w:t>
      </w:r>
    </w:p>
    <w:p w14:paraId="1C16449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 等保测评内容及相关具体要求见附件一。</w:t>
      </w:r>
    </w:p>
    <w:p w14:paraId="4A5A10B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2" w:firstLineChars="200"/>
        <w:jc w:val="both"/>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highlight w:val="none"/>
          <w:lang w:val="en-US" w:eastAsia="zh-CN" w:bidi="ar-SA"/>
        </w:rPr>
        <w:t xml:space="preserve">第二条  </w:t>
      </w:r>
      <w:r>
        <w:rPr>
          <w:rFonts w:hint="eastAsia" w:ascii="宋体" w:hAnsi="宋体" w:eastAsia="宋体" w:cs="宋体"/>
          <w:b/>
          <w:bCs/>
          <w:color w:val="FF0000"/>
          <w:kern w:val="2"/>
          <w:sz w:val="24"/>
          <w:szCs w:val="24"/>
          <w:highlight w:val="none"/>
          <w:lang w:val="en-US" w:eastAsia="zh-CN" w:bidi="ar-SA"/>
        </w:rPr>
        <w:t>合同期限及</w:t>
      </w:r>
      <w:r>
        <w:rPr>
          <w:rFonts w:hint="eastAsia" w:ascii="宋体" w:hAnsi="宋体" w:eastAsia="宋体" w:cs="宋体"/>
          <w:b/>
          <w:bCs/>
          <w:color w:val="auto"/>
          <w:sz w:val="24"/>
          <w:szCs w:val="24"/>
          <w:highlight w:val="none"/>
          <w:lang w:val="en-US" w:eastAsia="zh-CN"/>
        </w:rPr>
        <w:t>服务期限</w:t>
      </w:r>
    </w:p>
    <w:p w14:paraId="5B16657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FF0000"/>
          <w:sz w:val="24"/>
          <w:szCs w:val="24"/>
          <w:lang w:val="en-US" w:eastAsia="zh-CN"/>
        </w:rPr>
        <w:t>2.1合同期限为</w:t>
      </w:r>
      <w:r>
        <w:rPr>
          <w:rFonts w:hint="eastAsia" w:ascii="宋体" w:hAnsi="宋体" w:eastAsia="宋体" w:cs="宋体"/>
          <w:color w:val="FF0000"/>
          <w:sz w:val="24"/>
          <w:szCs w:val="24"/>
        </w:rPr>
        <w:t>三年</w:t>
      </w:r>
      <w:r>
        <w:rPr>
          <w:rFonts w:hint="eastAsia" w:ascii="宋体" w:hAnsi="宋体" w:eastAsia="宋体" w:cs="宋体"/>
          <w:color w:val="FF0000"/>
          <w:sz w:val="24"/>
          <w:szCs w:val="24"/>
          <w:lang w:eastAsia="zh-CN"/>
        </w:rPr>
        <w:t>，</w:t>
      </w:r>
      <w:r>
        <w:rPr>
          <w:rFonts w:hint="eastAsia" w:ascii="宋体" w:hAnsi="宋体" w:eastAsia="宋体" w:cs="宋体"/>
          <w:color w:val="auto"/>
          <w:sz w:val="24"/>
          <w:szCs w:val="24"/>
        </w:rPr>
        <w:t>自</w:t>
      </w:r>
      <w:r>
        <w:rPr>
          <w:rFonts w:hint="eastAsia" w:ascii="宋体" w:hAnsi="宋体" w:eastAsia="宋体" w:cs="宋体"/>
          <w:color w:val="FF0000"/>
          <w:sz w:val="24"/>
          <w:szCs w:val="24"/>
          <w:lang w:val="en-US" w:eastAsia="zh-CN"/>
        </w:rPr>
        <w:t>本</w:t>
      </w:r>
      <w:r>
        <w:rPr>
          <w:rFonts w:hint="eastAsia" w:ascii="宋体" w:hAnsi="宋体" w:eastAsia="宋体" w:cs="宋体"/>
          <w:color w:val="auto"/>
          <w:sz w:val="24"/>
          <w:szCs w:val="24"/>
        </w:rPr>
        <w:t>合同签订之日起</w:t>
      </w:r>
      <w:r>
        <w:rPr>
          <w:rFonts w:hint="eastAsia" w:ascii="宋体" w:hAnsi="宋体" w:eastAsia="宋体" w:cs="宋体"/>
          <w:color w:val="auto"/>
          <w:sz w:val="24"/>
          <w:szCs w:val="24"/>
          <w:lang w:val="en-US" w:eastAsia="zh-CN"/>
        </w:rPr>
        <w:t>开始</w:t>
      </w:r>
      <w:r>
        <w:rPr>
          <w:rFonts w:hint="eastAsia" w:ascii="宋体" w:hAnsi="宋体" w:eastAsia="宋体" w:cs="宋体"/>
          <w:color w:val="auto"/>
          <w:sz w:val="24"/>
          <w:szCs w:val="24"/>
        </w:rPr>
        <w:t>计算</w:t>
      </w:r>
      <w:r>
        <w:rPr>
          <w:rFonts w:hint="eastAsia" w:ascii="宋体" w:hAnsi="宋体" w:eastAsia="宋体" w:cs="宋体"/>
          <w:color w:val="auto"/>
          <w:sz w:val="24"/>
          <w:szCs w:val="24"/>
          <w:lang w:eastAsia="zh-CN"/>
        </w:rPr>
        <w:t>，</w:t>
      </w:r>
      <w:r>
        <w:rPr>
          <w:rFonts w:hint="eastAsia" w:ascii="宋体" w:hAnsi="宋体" w:eastAsia="宋体" w:cs="宋体"/>
          <w:color w:val="0000FF"/>
          <w:sz w:val="24"/>
          <w:szCs w:val="24"/>
          <w:lang w:val="en-US" w:eastAsia="zh-CN"/>
        </w:rPr>
        <w:t>或自本合同签订后甲方向乙方支付的服务费金额累计达到750000.00元时止，以先到者为准。</w:t>
      </w:r>
    </w:p>
    <w:p w14:paraId="5AD2206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宋体" w:hAnsi="宋体" w:eastAsia="宋体" w:cs="宋体"/>
          <w:color w:val="auto"/>
          <w:sz w:val="24"/>
          <w:szCs w:val="24"/>
          <w:highlight w:val="green"/>
          <w:lang w:eastAsia="zh-CN"/>
        </w:rPr>
      </w:pPr>
      <w:r>
        <w:rPr>
          <w:rFonts w:hint="eastAsia" w:ascii="宋体" w:hAnsi="宋体" w:eastAsia="宋体" w:cs="宋体"/>
          <w:color w:val="FF0000"/>
          <w:sz w:val="24"/>
          <w:szCs w:val="24"/>
          <w:lang w:val="en-US" w:eastAsia="zh-CN"/>
        </w:rPr>
        <w:t>2.2</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FF0000"/>
          <w:sz w:val="24"/>
          <w:szCs w:val="24"/>
          <w:lang w:val="en-US" w:eastAsia="zh-CN"/>
        </w:rPr>
        <w:t>服务期限：</w:t>
      </w:r>
      <w:r>
        <w:rPr>
          <w:rFonts w:ascii="宋体" w:hAnsi="宋体" w:eastAsia="宋体" w:cs="宋体"/>
          <w:color w:val="FF0000"/>
          <w:sz w:val="24"/>
          <w:szCs w:val="24"/>
        </w:rPr>
        <w:t>乙方应在</w:t>
      </w:r>
      <w:r>
        <w:rPr>
          <w:rFonts w:hint="eastAsia" w:ascii="宋体" w:hAnsi="宋体" w:eastAsia="宋体" w:cs="宋体"/>
          <w:color w:val="FF0000"/>
          <w:sz w:val="24"/>
          <w:szCs w:val="24"/>
          <w:lang w:val="en-US" w:eastAsia="zh-CN"/>
        </w:rPr>
        <w:t>每次收到</w:t>
      </w:r>
      <w:r>
        <w:rPr>
          <w:rFonts w:ascii="宋体" w:hAnsi="宋体" w:eastAsia="宋体" w:cs="宋体"/>
          <w:color w:val="FF0000"/>
          <w:sz w:val="24"/>
          <w:szCs w:val="24"/>
        </w:rPr>
        <w:t>甲方</w:t>
      </w:r>
      <w:r>
        <w:rPr>
          <w:rFonts w:hint="eastAsia" w:ascii="宋体" w:hAnsi="宋体" w:eastAsia="宋体" w:cs="宋体"/>
          <w:color w:val="FF0000"/>
          <w:sz w:val="24"/>
          <w:szCs w:val="24"/>
          <w:lang w:val="en-US" w:eastAsia="zh-CN"/>
        </w:rPr>
        <w:t>测评</w:t>
      </w:r>
      <w:r>
        <w:rPr>
          <w:rFonts w:ascii="宋体" w:hAnsi="宋体" w:eastAsia="宋体" w:cs="宋体"/>
          <w:color w:val="FF0000"/>
          <w:sz w:val="24"/>
          <w:szCs w:val="24"/>
        </w:rPr>
        <w:t>服务通知</w:t>
      </w:r>
      <w:r>
        <w:rPr>
          <w:rFonts w:hint="eastAsia" w:ascii="宋体" w:hAnsi="宋体" w:eastAsia="宋体" w:cs="宋体"/>
          <w:color w:val="FF0000"/>
          <w:sz w:val="24"/>
          <w:szCs w:val="24"/>
          <w:lang w:val="en-US" w:eastAsia="zh-CN"/>
        </w:rPr>
        <w:t>之日起</w:t>
      </w:r>
      <w:r>
        <w:rPr>
          <w:rFonts w:ascii="宋体" w:hAnsi="宋体" w:eastAsia="宋体" w:cs="宋体"/>
          <w:color w:val="FF0000"/>
          <w:sz w:val="24"/>
          <w:szCs w:val="24"/>
        </w:rPr>
        <w:t>7日内进场开展工作</w:t>
      </w:r>
      <w:r>
        <w:rPr>
          <w:rFonts w:ascii="宋体" w:hAnsi="宋体" w:eastAsia="宋体" w:cs="宋体"/>
          <w:color w:val="auto"/>
          <w:sz w:val="24"/>
          <w:szCs w:val="24"/>
        </w:rPr>
        <w:t>，并在60个日历日内完成当年度全部测评服务、提交正式成果并通过甲方验收</w:t>
      </w:r>
      <w:r>
        <w:rPr>
          <w:rFonts w:hint="eastAsia" w:ascii="宋体" w:hAnsi="宋体" w:eastAsia="宋体" w:cs="宋体"/>
          <w:color w:val="auto"/>
          <w:sz w:val="24"/>
          <w:szCs w:val="24"/>
          <w:lang w:eastAsia="zh-CN"/>
        </w:rPr>
        <w:t>。</w:t>
      </w:r>
    </w:p>
    <w:p w14:paraId="4EF16C8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2" w:firstLineChars="200"/>
        <w:jc w:val="both"/>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第三条 验收</w:t>
      </w:r>
    </w:p>
    <w:p w14:paraId="6A89B84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lang w:val="en-US" w:eastAsia="zh-CN"/>
        </w:rPr>
        <w:t>3.1 乙方每合同年度完成本合同约定服务内容后应及时通知甲方验收，甲方自接到乙方</w:t>
      </w:r>
      <w:r>
        <w:rPr>
          <w:rFonts w:hint="eastAsia" w:ascii="宋体" w:hAnsi="宋体" w:eastAsia="宋体" w:cs="宋体"/>
          <w:color w:val="FF0000"/>
          <w:sz w:val="24"/>
          <w:szCs w:val="24"/>
          <w:highlight w:val="none"/>
          <w:lang w:val="en-US" w:eastAsia="zh-CN"/>
        </w:rPr>
        <w:t>书面验收</w:t>
      </w:r>
      <w:r>
        <w:rPr>
          <w:rFonts w:hint="eastAsia" w:ascii="宋体" w:hAnsi="宋体" w:eastAsia="宋体" w:cs="宋体"/>
          <w:color w:val="auto"/>
          <w:sz w:val="24"/>
          <w:szCs w:val="24"/>
          <w:highlight w:val="none"/>
          <w:lang w:val="en-US" w:eastAsia="zh-CN"/>
        </w:rPr>
        <w:t>通知之日起</w:t>
      </w:r>
      <w:r>
        <w:rPr>
          <w:rFonts w:hint="eastAsia" w:ascii="宋体" w:hAnsi="宋体" w:eastAsia="宋体" w:cs="宋体"/>
          <w:color w:val="auto"/>
          <w:sz w:val="24"/>
          <w:szCs w:val="24"/>
          <w:highlight w:val="none"/>
          <w:u w:val="single"/>
          <w:lang w:val="en-US" w:eastAsia="zh-CN"/>
        </w:rPr>
        <w:t xml:space="preserve"> 7 </w:t>
      </w:r>
      <w:r>
        <w:rPr>
          <w:rFonts w:hint="eastAsia" w:ascii="宋体" w:hAnsi="宋体" w:eastAsia="宋体" w:cs="宋体"/>
          <w:color w:val="auto"/>
          <w:sz w:val="24"/>
          <w:szCs w:val="24"/>
          <w:highlight w:val="none"/>
          <w:u w:val="none"/>
          <w:lang w:val="en-US" w:eastAsia="zh-CN"/>
        </w:rPr>
        <w:t>日内组织验收，经甲方验收合格后向乙方出具验收合格报告；如经甲方验收不合格，乙方应无条件在</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lang w:val="en-US" w:eastAsia="zh-CN"/>
        </w:rPr>
        <w:t>日内无条件返工到位并通过甲方验收，返工产生的费用和造成的损失均由乙方自行承担。</w:t>
      </w:r>
    </w:p>
    <w:p w14:paraId="3CD58DC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 验收条件：乙方每合同年度应完成本合同约定的所有服务内容，协助甲方完成信息系统定级备案，向甲方提交《信息系统安全等级保护测评报告》、整改建议及安全评估报告。</w:t>
      </w:r>
      <w:r>
        <w:rPr>
          <w:rFonts w:hint="eastAsia" w:ascii="宋体" w:hAnsi="宋体" w:eastAsia="宋体" w:cs="宋体"/>
          <w:color w:val="0000FF"/>
          <w:sz w:val="24"/>
          <w:szCs w:val="24"/>
          <w:highlight w:val="none"/>
          <w:lang w:val="en-US" w:eastAsia="zh-CN"/>
        </w:rPr>
        <w:t>报告需完整描述被测系统当年度的信息安全现状，找出存在的安全隐患，明确系统安全防护措施与国家标准要求之间的差距，对存在的漏洞进行风险分析，最后提出针对性整改建议。乙方提交的成果文件需满足公安网监部门等级保护备案及复测的相关要求。</w:t>
      </w:r>
    </w:p>
    <w:p w14:paraId="4EE1776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highlight w:val="none"/>
          <w:lang w:val="en-US" w:eastAsia="zh-CN"/>
        </w:rPr>
        <w:t xml:space="preserve">3.3 </w:t>
      </w:r>
      <w:r>
        <w:rPr>
          <w:rFonts w:hint="eastAsia" w:ascii="宋体" w:hAnsi="宋体" w:eastAsia="宋体" w:cs="宋体"/>
          <w:color w:val="auto"/>
          <w:sz w:val="24"/>
          <w:szCs w:val="24"/>
        </w:rPr>
        <w:t>若乙方提交的当年度测评成果未通过甲方验收，或出具的测评报告不满足公安网监部门等级保护备案及复测要求的，甲方有权不予支付当年度服务费用，有权单方解除本合同</w:t>
      </w:r>
      <w:r>
        <w:rPr>
          <w:rFonts w:hint="eastAsia" w:ascii="宋体" w:hAnsi="宋体" w:eastAsia="宋体" w:cs="宋体"/>
          <w:color w:val="0000FF"/>
          <w:sz w:val="24"/>
          <w:szCs w:val="24"/>
          <w:lang w:val="en-US" w:eastAsia="zh-CN"/>
        </w:rPr>
        <w:t>并要求乙方按本合同约定承担违约责任</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且</w:t>
      </w:r>
      <w:r>
        <w:rPr>
          <w:rFonts w:hint="eastAsia" w:ascii="宋体" w:hAnsi="宋体" w:eastAsia="宋体" w:cs="宋体"/>
          <w:color w:val="auto"/>
          <w:sz w:val="24"/>
          <w:szCs w:val="24"/>
        </w:rPr>
        <w:t>无需向乙方承担任何违约责任、赔偿责任或补偿责任，由此产生的全部损失及法律责任由乙方自行承担。</w:t>
      </w:r>
    </w:p>
    <w:p w14:paraId="2F65496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2" w:firstLineChars="200"/>
        <w:jc w:val="both"/>
        <w:textAlignment w:val="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第四条  </w:t>
      </w:r>
      <w:r>
        <w:rPr>
          <w:rFonts w:hint="default" w:ascii="宋体" w:hAnsi="宋体" w:eastAsia="宋体" w:cs="宋体"/>
          <w:b/>
          <w:bCs/>
          <w:color w:val="auto"/>
          <w:kern w:val="2"/>
          <w:sz w:val="24"/>
          <w:szCs w:val="24"/>
          <w:highlight w:val="none"/>
          <w:lang w:val="en-US" w:eastAsia="zh-CN" w:bidi="ar-SA"/>
        </w:rPr>
        <w:t>双方职责</w:t>
      </w:r>
    </w:p>
    <w:p w14:paraId="390EB23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default" w:ascii="宋体" w:hAnsi="宋体" w:eastAsia="宋体" w:cs="宋体"/>
          <w:color w:val="auto"/>
          <w:sz w:val="24"/>
          <w:szCs w:val="24"/>
          <w:highlight w:val="none"/>
          <w:lang w:val="en-US" w:eastAsia="zh-CN"/>
        </w:rPr>
        <w:t>.1 甲方职责</w:t>
      </w:r>
    </w:p>
    <w:p w14:paraId="00E091A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default" w:ascii="宋体" w:hAnsi="宋体" w:eastAsia="宋体" w:cs="宋体"/>
          <w:color w:val="auto"/>
          <w:sz w:val="24"/>
          <w:szCs w:val="24"/>
          <w:highlight w:val="none"/>
          <w:lang w:val="en-US" w:eastAsia="zh-CN"/>
        </w:rPr>
        <w:t>.1.1 甲方应指定专人</w:t>
      </w:r>
      <w:r>
        <w:rPr>
          <w:rFonts w:hint="default"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杨勇</w:t>
      </w:r>
      <w:r>
        <w:rPr>
          <w:rFonts w:hint="default" w:ascii="宋体" w:hAnsi="宋体" w:eastAsia="宋体" w:cs="宋体"/>
          <w:color w:val="auto"/>
          <w:sz w:val="24"/>
          <w:szCs w:val="24"/>
          <w:highlight w:val="none"/>
          <w:u w:val="single"/>
          <w:lang w:val="en-US" w:eastAsia="zh-CN"/>
        </w:rPr>
        <w:t xml:space="preserve"> </w:t>
      </w:r>
      <w:r>
        <w:rPr>
          <w:rFonts w:hint="default" w:ascii="宋体" w:hAnsi="宋体" w:eastAsia="宋体" w:cs="宋体"/>
          <w:color w:val="auto"/>
          <w:sz w:val="24"/>
          <w:szCs w:val="24"/>
          <w:highlight w:val="none"/>
          <w:lang w:val="en-US" w:eastAsia="zh-CN"/>
        </w:rPr>
        <w:t>电话号码：</w:t>
      </w:r>
      <w:r>
        <w:rPr>
          <w:rFonts w:hint="default" w:ascii="宋体" w:hAnsi="宋体" w:eastAsia="宋体" w:cs="宋体"/>
          <w:color w:val="auto"/>
          <w:sz w:val="24"/>
          <w:szCs w:val="24"/>
          <w:highlight w:val="none"/>
          <w:u w:val="single"/>
          <w:lang w:val="en-US" w:eastAsia="zh-CN"/>
        </w:rPr>
        <w:t xml:space="preserve">  13873852666  </w:t>
      </w:r>
      <w:r>
        <w:rPr>
          <w:rFonts w:hint="default"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负责本项目。</w:t>
      </w:r>
    </w:p>
    <w:p w14:paraId="04BA2B3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default" w:ascii="宋体" w:hAnsi="宋体" w:eastAsia="宋体" w:cs="宋体"/>
          <w:color w:val="auto"/>
          <w:sz w:val="24"/>
          <w:szCs w:val="24"/>
          <w:highlight w:val="none"/>
          <w:lang w:val="en-US" w:eastAsia="zh-CN"/>
        </w:rPr>
        <w:t>.1.2 甲方有权对乙方的工作进行监督检查，并要求其修正不符合要求的服务。</w:t>
      </w:r>
    </w:p>
    <w:p w14:paraId="349C9AA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default" w:ascii="宋体" w:hAnsi="宋体" w:eastAsia="宋体" w:cs="宋体"/>
          <w:color w:val="auto"/>
          <w:sz w:val="24"/>
          <w:szCs w:val="24"/>
          <w:highlight w:val="none"/>
          <w:lang w:val="en-US" w:eastAsia="zh-CN"/>
        </w:rPr>
        <w:t>.1.3 甲方向乙方提供必要工作环境，以确保乙方能够按甲方的要求顺利</w:t>
      </w:r>
      <w:r>
        <w:rPr>
          <w:rFonts w:hint="eastAsia" w:ascii="宋体" w:hAnsi="宋体" w:eastAsia="宋体" w:cs="宋体"/>
          <w:color w:val="auto"/>
          <w:sz w:val="24"/>
          <w:szCs w:val="24"/>
          <w:highlight w:val="none"/>
          <w:lang w:val="en-US" w:eastAsia="zh-CN"/>
        </w:rPr>
        <w:t>完成工作</w:t>
      </w:r>
      <w:r>
        <w:rPr>
          <w:rFonts w:hint="default" w:ascii="宋体" w:hAnsi="宋体" w:eastAsia="宋体" w:cs="宋体"/>
          <w:color w:val="auto"/>
          <w:sz w:val="24"/>
          <w:szCs w:val="24"/>
          <w:highlight w:val="none"/>
          <w:lang w:val="en-US" w:eastAsia="zh-CN"/>
        </w:rPr>
        <w:t>。</w:t>
      </w:r>
    </w:p>
    <w:p w14:paraId="0D2126F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4.1.4每</w:t>
      </w:r>
      <w:r>
        <w:rPr>
          <w:rFonts w:hint="eastAsia" w:ascii="宋体" w:hAnsi="宋体" w:eastAsia="宋体" w:cs="宋体"/>
          <w:color w:val="0000FF"/>
          <w:sz w:val="24"/>
          <w:szCs w:val="24"/>
          <w:highlight w:val="none"/>
          <w:lang w:val="en-US" w:eastAsia="zh-CN"/>
        </w:rPr>
        <w:t>合同</w:t>
      </w:r>
      <w:r>
        <w:rPr>
          <w:rFonts w:hint="eastAsia" w:ascii="宋体" w:hAnsi="宋体" w:eastAsia="宋体" w:cs="宋体"/>
          <w:color w:val="auto"/>
          <w:sz w:val="24"/>
          <w:szCs w:val="24"/>
          <w:highlight w:val="none"/>
          <w:lang w:val="en-US" w:eastAsia="zh-CN"/>
        </w:rPr>
        <w:t>年度结算前，甲方有权对乙方当期资质有效性进行核验，乙方须配合提供有效期内的全部资质证明文件；经核验资质不符合要求的，甲方有权提前终止</w:t>
      </w:r>
      <w:r>
        <w:rPr>
          <w:rFonts w:hint="eastAsia" w:ascii="宋体" w:hAnsi="宋体" w:eastAsia="宋体" w:cs="宋体"/>
          <w:color w:val="0000FF"/>
          <w:sz w:val="24"/>
          <w:szCs w:val="24"/>
          <w:highlight w:val="none"/>
          <w:lang w:val="en-US" w:eastAsia="zh-CN"/>
        </w:rPr>
        <w:t>本合同并要求乙方按本合同约定承担违约责任，甲方不承担任何违约责任</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0000FF"/>
          <w:sz w:val="24"/>
          <w:szCs w:val="24"/>
          <w:highlight w:val="none"/>
          <w:lang w:val="en-US" w:eastAsia="zh-CN"/>
        </w:rPr>
        <w:t>且</w:t>
      </w:r>
      <w:r>
        <w:rPr>
          <w:rFonts w:hint="eastAsia" w:ascii="宋体" w:hAnsi="宋体" w:eastAsia="宋体" w:cs="宋体"/>
          <w:color w:val="auto"/>
          <w:sz w:val="24"/>
          <w:szCs w:val="24"/>
          <w:highlight w:val="none"/>
          <w:lang w:val="en-US" w:eastAsia="zh-CN"/>
        </w:rPr>
        <w:t>不再</w:t>
      </w:r>
      <w:r>
        <w:rPr>
          <w:rFonts w:hint="eastAsia" w:ascii="宋体" w:hAnsi="宋体" w:eastAsia="宋体" w:cs="宋体"/>
          <w:color w:val="0000FF"/>
          <w:sz w:val="24"/>
          <w:szCs w:val="24"/>
          <w:highlight w:val="none"/>
          <w:lang w:val="en-US" w:eastAsia="zh-CN"/>
        </w:rPr>
        <w:t>向乙方</w:t>
      </w:r>
      <w:r>
        <w:rPr>
          <w:rFonts w:hint="eastAsia" w:ascii="宋体" w:hAnsi="宋体" w:eastAsia="宋体" w:cs="宋体"/>
          <w:color w:val="auto"/>
          <w:sz w:val="24"/>
          <w:szCs w:val="24"/>
          <w:highlight w:val="none"/>
          <w:lang w:val="en-US" w:eastAsia="zh-CN"/>
        </w:rPr>
        <w:t>支付后续年度费用，由此产生的全部责任和经济损失由乙方承担。</w:t>
      </w:r>
    </w:p>
    <w:p w14:paraId="1D2B8CA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default" w:ascii="宋体" w:hAnsi="宋体" w:eastAsia="宋体" w:cs="宋体"/>
          <w:color w:val="auto"/>
          <w:sz w:val="24"/>
          <w:szCs w:val="24"/>
          <w:highlight w:val="none"/>
          <w:lang w:val="en-US" w:eastAsia="zh-CN"/>
        </w:rPr>
        <w:t>.2 乙方职责</w:t>
      </w:r>
    </w:p>
    <w:p w14:paraId="12A6AB4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pacing w:val="-11"/>
          <w:sz w:val="24"/>
          <w:szCs w:val="24"/>
          <w:highlight w:val="none"/>
          <w:lang w:val="en-US" w:eastAsia="zh-CN"/>
        </w:rPr>
        <w:t>4</w:t>
      </w:r>
      <w:r>
        <w:rPr>
          <w:rFonts w:hint="default" w:ascii="宋体" w:hAnsi="宋体" w:eastAsia="宋体" w:cs="宋体"/>
          <w:color w:val="auto"/>
          <w:spacing w:val="-11"/>
          <w:sz w:val="24"/>
          <w:szCs w:val="24"/>
          <w:highlight w:val="none"/>
          <w:lang w:val="en-US" w:eastAsia="zh-CN"/>
        </w:rPr>
        <w:t>.2.1 乙方按照本合同规定的服务内容进行</w:t>
      </w:r>
      <w:r>
        <w:rPr>
          <w:rFonts w:hint="eastAsia" w:ascii="宋体" w:hAnsi="宋体" w:eastAsia="宋体" w:cs="宋体"/>
          <w:color w:val="auto"/>
          <w:spacing w:val="-11"/>
          <w:sz w:val="24"/>
          <w:szCs w:val="24"/>
          <w:highlight w:val="none"/>
          <w:lang w:val="en-US" w:eastAsia="zh-CN"/>
        </w:rPr>
        <w:t>全面测评</w:t>
      </w:r>
      <w:r>
        <w:rPr>
          <w:rFonts w:hint="default" w:ascii="宋体" w:hAnsi="宋体" w:eastAsia="宋体" w:cs="宋体"/>
          <w:color w:val="auto"/>
          <w:spacing w:val="-11"/>
          <w:sz w:val="24"/>
          <w:szCs w:val="24"/>
          <w:highlight w:val="none"/>
          <w:lang w:val="en-US" w:eastAsia="zh-CN"/>
        </w:rPr>
        <w:t>工作</w:t>
      </w:r>
      <w:r>
        <w:rPr>
          <w:rFonts w:hint="eastAsia" w:ascii="宋体" w:hAnsi="宋体" w:eastAsia="宋体" w:cs="宋体"/>
          <w:color w:val="auto"/>
          <w:spacing w:val="-11"/>
          <w:sz w:val="24"/>
          <w:szCs w:val="24"/>
          <w:highlight w:val="none"/>
          <w:lang w:val="en-US" w:eastAsia="zh-CN"/>
        </w:rPr>
        <w:t>，指定备案负责人：</w:t>
      </w:r>
      <w:r>
        <w:rPr>
          <w:rFonts w:hint="eastAsia" w:ascii="宋体" w:hAnsi="宋体" w:eastAsia="宋体" w:cs="宋体"/>
          <w:color w:val="auto"/>
          <w:spacing w:val="-11"/>
          <w:sz w:val="24"/>
          <w:szCs w:val="24"/>
          <w:highlight w:val="none"/>
          <w:u w:val="single"/>
          <w:lang w:val="en-US" w:eastAsia="zh-CN"/>
        </w:rPr>
        <w:t xml:space="preserve">     </w:t>
      </w:r>
      <w:r>
        <w:rPr>
          <w:rFonts w:hint="eastAsia" w:ascii="宋体" w:hAnsi="宋体" w:eastAsia="宋体" w:cs="宋体"/>
          <w:color w:val="auto"/>
          <w:spacing w:val="-11"/>
          <w:sz w:val="24"/>
          <w:szCs w:val="24"/>
          <w:highlight w:val="none"/>
          <w:lang w:val="en-US" w:eastAsia="zh-CN"/>
        </w:rPr>
        <w:t>电话号码：</w:t>
      </w:r>
      <w:r>
        <w:rPr>
          <w:rFonts w:hint="eastAsia" w:ascii="宋体" w:hAnsi="宋体" w:eastAsia="宋体" w:cs="宋体"/>
          <w:color w:val="auto"/>
          <w:spacing w:val="-11"/>
          <w:sz w:val="24"/>
          <w:szCs w:val="24"/>
          <w:highlight w:val="none"/>
          <w:u w:val="single"/>
          <w:lang w:val="en-US" w:eastAsia="zh-CN"/>
        </w:rPr>
        <w:t xml:space="preserve">        </w:t>
      </w:r>
      <w:r>
        <w:rPr>
          <w:rFonts w:hint="eastAsia" w:ascii="宋体" w:hAnsi="宋体" w:eastAsia="宋体" w:cs="宋体"/>
          <w:color w:val="auto"/>
          <w:spacing w:val="-11"/>
          <w:sz w:val="24"/>
          <w:szCs w:val="24"/>
          <w:highlight w:val="none"/>
          <w:lang w:val="en-US" w:eastAsia="zh-CN"/>
        </w:rPr>
        <w:t>，负责协助甲方完成定级备案等所有服务内容</w:t>
      </w:r>
      <w:r>
        <w:rPr>
          <w:rFonts w:hint="default" w:ascii="宋体" w:hAnsi="宋体" w:eastAsia="宋体" w:cs="宋体"/>
          <w:color w:val="auto"/>
          <w:spacing w:val="-11"/>
          <w:sz w:val="24"/>
          <w:szCs w:val="24"/>
          <w:highlight w:val="none"/>
          <w:lang w:val="en-US" w:eastAsia="zh-CN"/>
        </w:rPr>
        <w:t>。</w:t>
      </w:r>
    </w:p>
    <w:p w14:paraId="4AD39BC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default" w:ascii="宋体" w:hAnsi="宋体" w:eastAsia="宋体" w:cs="宋体"/>
          <w:color w:val="auto"/>
          <w:sz w:val="24"/>
          <w:szCs w:val="24"/>
          <w:highlight w:val="none"/>
          <w:lang w:val="en-US" w:eastAsia="zh-CN"/>
        </w:rPr>
        <w:t>.2.2 乙方严格约束技术人员，建立严格的内部管理规定，防止违规操作的发生。</w:t>
      </w:r>
    </w:p>
    <w:p w14:paraId="1AD929A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default" w:ascii="宋体" w:hAnsi="宋体" w:eastAsia="宋体" w:cs="宋体"/>
          <w:color w:val="auto"/>
          <w:sz w:val="24"/>
          <w:szCs w:val="24"/>
          <w:highlight w:val="none"/>
          <w:lang w:val="en-US" w:eastAsia="zh-CN"/>
        </w:rPr>
        <w:t>.2.3 测评后应</w:t>
      </w:r>
      <w:r>
        <w:rPr>
          <w:rFonts w:hint="eastAsia" w:ascii="宋体" w:hAnsi="宋体" w:eastAsia="宋体" w:cs="宋体"/>
          <w:color w:val="auto"/>
          <w:sz w:val="24"/>
          <w:szCs w:val="24"/>
          <w:highlight w:val="none"/>
          <w:lang w:val="en-US" w:eastAsia="zh-CN"/>
        </w:rPr>
        <w:t>向甲方</w:t>
      </w:r>
      <w:r>
        <w:rPr>
          <w:rFonts w:hint="default" w:ascii="宋体" w:hAnsi="宋体" w:eastAsia="宋体" w:cs="宋体"/>
          <w:color w:val="auto"/>
          <w:sz w:val="24"/>
          <w:szCs w:val="24"/>
          <w:highlight w:val="none"/>
          <w:lang w:val="en-US" w:eastAsia="zh-CN"/>
        </w:rPr>
        <w:t>提交《信息系统安全等级保护测评报告》</w:t>
      </w:r>
      <w:r>
        <w:rPr>
          <w:rFonts w:hint="eastAsia" w:ascii="宋体" w:hAnsi="宋体" w:eastAsia="宋体" w:cs="宋体"/>
          <w:color w:val="auto"/>
          <w:sz w:val="24"/>
          <w:szCs w:val="24"/>
          <w:highlight w:val="none"/>
          <w:lang w:val="en-US" w:eastAsia="zh-CN"/>
        </w:rPr>
        <w:t>、整改建议及安全评估报告</w:t>
      </w:r>
      <w:r>
        <w:rPr>
          <w:rFonts w:hint="default" w:ascii="宋体" w:hAnsi="宋体" w:eastAsia="宋体" w:cs="宋体"/>
          <w:color w:val="auto"/>
          <w:sz w:val="24"/>
          <w:szCs w:val="24"/>
          <w:highlight w:val="none"/>
          <w:lang w:val="en-US" w:eastAsia="zh-CN"/>
        </w:rPr>
        <w:t>。描述被测评系统的信息安全现状，找出存在的安全隐患，描述系统安全防护措施与国家标准要求之间的差距，对存在的漏洞进行风险分析，最后提出整改建议。</w:t>
      </w:r>
    </w:p>
    <w:p w14:paraId="310E8FD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default" w:ascii="宋体" w:hAnsi="宋体" w:eastAsia="宋体" w:cs="宋体"/>
          <w:color w:val="auto"/>
          <w:sz w:val="24"/>
          <w:szCs w:val="24"/>
          <w:highlight w:val="none"/>
          <w:lang w:val="en-US" w:eastAsia="zh-CN"/>
        </w:rPr>
        <w:t xml:space="preserve">.2.4 </w:t>
      </w:r>
      <w:r>
        <w:rPr>
          <w:rFonts w:hint="eastAsia" w:ascii="宋体" w:hAnsi="宋体" w:eastAsia="宋体" w:cs="宋体"/>
          <w:color w:val="auto"/>
          <w:sz w:val="24"/>
          <w:szCs w:val="24"/>
          <w:highlight w:val="none"/>
          <w:lang w:val="en-US" w:eastAsia="zh-CN"/>
        </w:rPr>
        <w:t>服务工作要求：</w:t>
      </w:r>
      <w:r>
        <w:rPr>
          <w:rFonts w:hint="default" w:ascii="宋体" w:hAnsi="宋体" w:eastAsia="宋体" w:cs="宋体"/>
          <w:color w:val="auto"/>
          <w:sz w:val="24"/>
          <w:szCs w:val="24"/>
          <w:highlight w:val="none"/>
          <w:lang w:val="en-US" w:eastAsia="zh-CN"/>
        </w:rPr>
        <w:t>服务方案的实施应依据国家等级保护的相关标准进行。</w:t>
      </w:r>
      <w:r>
        <w:rPr>
          <w:rFonts w:hint="eastAsia" w:ascii="宋体" w:hAnsi="宋体" w:eastAsia="宋体" w:cs="宋体"/>
          <w:color w:val="auto"/>
          <w:sz w:val="24"/>
          <w:szCs w:val="24"/>
          <w:highlight w:val="none"/>
          <w:lang w:val="en-US" w:eastAsia="zh-CN"/>
        </w:rPr>
        <w:t>保证</w:t>
      </w:r>
      <w:r>
        <w:rPr>
          <w:rFonts w:hint="default" w:ascii="宋体" w:hAnsi="宋体" w:eastAsia="宋体" w:cs="宋体"/>
          <w:color w:val="auto"/>
          <w:sz w:val="24"/>
          <w:szCs w:val="24"/>
          <w:highlight w:val="none"/>
          <w:lang w:val="en-US" w:eastAsia="zh-CN"/>
        </w:rPr>
        <w:t>服务工作过程中的文档规范，便于项目的跟踪和控制。服务工作的进度要严格根据进度表的安排。服务的范围和内容应当整体全面，包括国家等级保护相关要求涉及的各个层面。服务工作对系统和网络的影响必须在可控范围内，不能对现有信息系统的正常运行、业务的正常开展产生任何影</w:t>
      </w:r>
      <w:r>
        <w:rPr>
          <w:rFonts w:hint="eastAsia" w:ascii="宋体" w:hAnsi="宋体" w:eastAsia="宋体" w:cs="宋体"/>
          <w:color w:val="auto"/>
          <w:sz w:val="24"/>
          <w:szCs w:val="24"/>
          <w:highlight w:val="none"/>
          <w:lang w:val="en-US" w:eastAsia="zh-CN"/>
        </w:rPr>
        <w:t>响</w:t>
      </w:r>
      <w:r>
        <w:rPr>
          <w:rFonts w:hint="default" w:ascii="宋体" w:hAnsi="宋体" w:eastAsia="宋体" w:cs="宋体"/>
          <w:color w:val="auto"/>
          <w:sz w:val="24"/>
          <w:szCs w:val="24"/>
          <w:highlight w:val="none"/>
          <w:lang w:val="en-US" w:eastAsia="zh-CN"/>
        </w:rPr>
        <w:t>。</w:t>
      </w:r>
    </w:p>
    <w:p w14:paraId="069448A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4.2.5 乙方确保在服务中不存在任何安全隐患，不设置任何恶意内容，不得植入任何病毒、非法脚本或进行其他损害网络安全的行为；</w:t>
      </w:r>
      <w:r>
        <w:rPr>
          <w:rFonts w:hint="eastAsia" w:ascii="宋体" w:hAnsi="宋体" w:eastAsia="宋体" w:cs="宋体"/>
          <w:color w:val="FF0000"/>
          <w:sz w:val="24"/>
          <w:szCs w:val="24"/>
          <w:highlight w:val="none"/>
          <w:lang w:val="en-US" w:eastAsia="zh-CN"/>
        </w:rPr>
        <w:t>如乙方违反前述约定，</w:t>
      </w:r>
      <w:r>
        <w:rPr>
          <w:rFonts w:hint="eastAsia" w:ascii="宋体" w:hAnsi="宋体" w:eastAsia="宋体" w:cs="宋体"/>
          <w:color w:val="auto"/>
          <w:sz w:val="24"/>
          <w:szCs w:val="24"/>
          <w:highlight w:val="none"/>
          <w:lang w:val="en-US" w:eastAsia="zh-CN"/>
        </w:rPr>
        <w:t>须对因此给甲方或第三方造成的损失承担所有法律责任和经济赔偿责任。如乙方在现场服务过程中要自带电脑或其他移动存储设备，须在甲方现场做防病毒处理，甲方对此过程进行监督确认。</w:t>
      </w:r>
    </w:p>
    <w:p w14:paraId="4E353FE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default"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6</w:t>
      </w:r>
      <w:r>
        <w:rPr>
          <w:rFonts w:hint="default" w:ascii="宋体" w:hAnsi="宋体" w:eastAsia="宋体" w:cs="宋体"/>
          <w:color w:val="auto"/>
          <w:sz w:val="24"/>
          <w:szCs w:val="24"/>
          <w:highlight w:val="none"/>
          <w:lang w:val="en-US" w:eastAsia="zh-CN"/>
        </w:rPr>
        <w:t xml:space="preserve"> 乙方将采取必要措施保障所处理的个人信息的安全，并协助甲方履行法定义务。乙方应协助甲方定期做好数据备份，并在合同终止时协助甲方做好所有数据的备份并交付甲方，乙方将向甲方返还或删除处理乙方占有的与本合同相关的一切个人信息及其副本，以及包含上述个人信息的资料及其副本。乙方违反本合同或适用的数据保护法相关规定的，或造成甲方个人信息丢失、泄露、损坏或销毁的，应当承担相应的法律责任；对甲方或第三人造成损失的，应当赔偿甲方或第三人所遭受的</w:t>
      </w:r>
      <w:r>
        <w:rPr>
          <w:rFonts w:hint="eastAsia" w:ascii="宋体" w:hAnsi="宋体" w:eastAsia="宋体" w:cs="宋体"/>
          <w:color w:val="auto"/>
          <w:sz w:val="24"/>
          <w:szCs w:val="24"/>
          <w:highlight w:val="none"/>
          <w:lang w:val="en-US" w:eastAsia="zh-CN"/>
        </w:rPr>
        <w:t>全部经济</w:t>
      </w:r>
      <w:r>
        <w:rPr>
          <w:rFonts w:hint="default" w:ascii="宋体" w:hAnsi="宋体" w:eastAsia="宋体" w:cs="宋体"/>
          <w:color w:val="auto"/>
          <w:sz w:val="24"/>
          <w:szCs w:val="24"/>
          <w:highlight w:val="none"/>
          <w:lang w:val="en-US" w:eastAsia="zh-CN"/>
        </w:rPr>
        <w:t>损失。</w:t>
      </w:r>
    </w:p>
    <w:p w14:paraId="7898FB3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default"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7</w:t>
      </w:r>
      <w:r>
        <w:rPr>
          <w:rFonts w:hint="default" w:ascii="宋体" w:hAnsi="宋体" w:eastAsia="宋体" w:cs="宋体"/>
          <w:color w:val="auto"/>
          <w:sz w:val="24"/>
          <w:szCs w:val="24"/>
          <w:highlight w:val="none"/>
          <w:lang w:val="en-US" w:eastAsia="zh-CN"/>
        </w:rPr>
        <w:t xml:space="preserve"> 乙方确保履行本合同不会引发任何知识产权纠纷，否则由乙方承担全部法律责任和经济赔偿</w:t>
      </w:r>
      <w:r>
        <w:rPr>
          <w:rFonts w:hint="eastAsia" w:ascii="宋体" w:hAnsi="宋体" w:eastAsia="宋体" w:cs="宋体"/>
          <w:color w:val="auto"/>
          <w:sz w:val="24"/>
          <w:szCs w:val="24"/>
          <w:highlight w:val="none"/>
          <w:lang w:val="en-US" w:eastAsia="zh-CN"/>
        </w:rPr>
        <w:t>责任</w:t>
      </w:r>
      <w:r>
        <w:rPr>
          <w:rFonts w:hint="default" w:ascii="宋体" w:hAnsi="宋体" w:eastAsia="宋体" w:cs="宋体"/>
          <w:color w:val="auto"/>
          <w:sz w:val="24"/>
          <w:szCs w:val="24"/>
          <w:highlight w:val="none"/>
          <w:lang w:val="en-US" w:eastAsia="zh-CN"/>
        </w:rPr>
        <w:t>。</w:t>
      </w:r>
    </w:p>
    <w:p w14:paraId="5A38B1F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第五条 </w:t>
      </w:r>
      <w:r>
        <w:rPr>
          <w:rFonts w:hint="eastAsia" w:ascii="宋体" w:hAnsi="宋体"/>
          <w:b/>
          <w:color w:val="auto"/>
          <w:sz w:val="24"/>
          <w:lang w:val="en-US" w:eastAsia="zh-CN"/>
        </w:rPr>
        <w:t>服务</w:t>
      </w:r>
      <w:r>
        <w:rPr>
          <w:rFonts w:ascii="宋体" w:hAnsi="宋体"/>
          <w:b/>
          <w:color w:val="auto"/>
          <w:sz w:val="24"/>
        </w:rPr>
        <w:t>费用</w:t>
      </w:r>
      <w:r>
        <w:rPr>
          <w:rFonts w:hint="eastAsia" w:ascii="宋体" w:hAnsi="宋体"/>
          <w:b/>
          <w:color w:val="auto"/>
          <w:sz w:val="24"/>
          <w:lang w:val="en-US" w:eastAsia="zh-CN"/>
        </w:rPr>
        <w:t>标准和</w:t>
      </w:r>
      <w:r>
        <w:rPr>
          <w:rFonts w:hint="eastAsia" w:ascii="宋体" w:hAnsi="宋体" w:eastAsia="宋体" w:cs="宋体"/>
          <w:b/>
          <w:bCs/>
          <w:color w:val="auto"/>
          <w:sz w:val="24"/>
          <w:szCs w:val="24"/>
          <w:highlight w:val="none"/>
          <w:lang w:val="en-US" w:eastAsia="zh-CN"/>
        </w:rPr>
        <w:t>付款时间、方式</w:t>
      </w:r>
    </w:p>
    <w:p w14:paraId="0DF0DD3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color w:val="FF0000"/>
          <w:sz w:val="24"/>
          <w:szCs w:val="24"/>
          <w:lang w:val="en-US" w:eastAsia="zh-CN"/>
        </w:rPr>
      </w:pPr>
      <w:r>
        <w:rPr>
          <w:rFonts w:hint="eastAsia" w:ascii="宋体" w:hAnsi="宋体" w:eastAsia="宋体" w:cs="宋体"/>
          <w:color w:val="FF0000"/>
          <w:sz w:val="24"/>
          <w:szCs w:val="24"/>
          <w:lang w:val="en-US" w:eastAsia="zh-CN"/>
        </w:rPr>
        <w:t>5.1</w:t>
      </w:r>
      <w:r>
        <w:rPr>
          <w:rFonts w:hint="eastAsia" w:ascii="宋体" w:hAnsi="宋体" w:eastAsia="宋体" w:cs="宋体"/>
          <w:color w:val="FF0000"/>
          <w:sz w:val="24"/>
          <w:szCs w:val="24"/>
        </w:rPr>
        <w:t>本项目</w:t>
      </w:r>
      <w:r>
        <w:rPr>
          <w:rFonts w:hint="eastAsia" w:ascii="宋体" w:hAnsi="宋体" w:eastAsia="宋体" w:cs="宋体"/>
          <w:color w:val="FF0000"/>
          <w:sz w:val="24"/>
          <w:szCs w:val="24"/>
          <w:lang w:val="en-US" w:eastAsia="zh-CN"/>
        </w:rPr>
        <w:t>单项系统</w:t>
      </w:r>
      <w:r>
        <w:rPr>
          <w:rFonts w:hint="eastAsia" w:ascii="宋体" w:hAnsi="宋体" w:eastAsia="宋体" w:cs="宋体"/>
          <w:color w:val="FF0000"/>
          <w:sz w:val="24"/>
          <w:szCs w:val="24"/>
        </w:rPr>
        <w:t>服务费用采用</w:t>
      </w:r>
      <w:r>
        <w:rPr>
          <w:rFonts w:hint="eastAsia" w:ascii="宋体" w:hAnsi="宋体" w:eastAsia="宋体" w:cs="宋体"/>
          <w:color w:val="FF0000"/>
          <w:sz w:val="24"/>
          <w:szCs w:val="24"/>
          <w:lang w:val="en-US" w:eastAsia="zh-CN"/>
        </w:rPr>
        <w:t>单价</w:t>
      </w:r>
      <w:r>
        <w:rPr>
          <w:rFonts w:hint="eastAsia" w:ascii="宋体" w:hAnsi="宋体" w:eastAsia="宋体" w:cs="宋体"/>
          <w:color w:val="FF0000"/>
          <w:sz w:val="24"/>
          <w:szCs w:val="24"/>
        </w:rPr>
        <w:t>包干</w:t>
      </w:r>
      <w:r>
        <w:rPr>
          <w:rFonts w:hint="eastAsia" w:ascii="宋体" w:hAnsi="宋体" w:eastAsia="宋体" w:cs="宋体"/>
          <w:color w:val="FF0000"/>
          <w:sz w:val="24"/>
          <w:szCs w:val="24"/>
          <w:lang w:val="en-US" w:eastAsia="zh-CN"/>
        </w:rPr>
        <w:t>方式</w:t>
      </w:r>
      <w:r>
        <w:rPr>
          <w:rFonts w:hint="eastAsia" w:ascii="宋体" w:hAnsi="宋体" w:eastAsia="宋体" w:cs="宋体"/>
          <w:color w:val="FF0000"/>
          <w:sz w:val="24"/>
          <w:szCs w:val="24"/>
          <w:lang w:eastAsia="zh-CN"/>
        </w:rPr>
        <w:t>，</w:t>
      </w:r>
      <w:r>
        <w:rPr>
          <w:rFonts w:hint="eastAsia" w:ascii="宋体" w:hAnsi="宋体"/>
          <w:color w:val="FF0000"/>
          <w:sz w:val="24"/>
        </w:rPr>
        <w:t>三级信息系统等级保护测评服务</w:t>
      </w:r>
      <w:r>
        <w:rPr>
          <w:rFonts w:hint="eastAsia" w:ascii="宋体" w:hAnsi="宋体"/>
          <w:color w:val="FF0000"/>
          <w:sz w:val="24"/>
          <w:lang w:val="en-US" w:eastAsia="zh-CN"/>
        </w:rPr>
        <w:t>费单价为</w:t>
      </w:r>
      <w:r>
        <w:rPr>
          <w:rFonts w:hint="eastAsia" w:ascii="宋体" w:hAnsi="宋体"/>
          <w:color w:val="FF0000"/>
          <w:sz w:val="24"/>
          <w:u w:val="single"/>
          <w:lang w:val="en-US" w:eastAsia="zh-CN"/>
        </w:rPr>
        <w:t xml:space="preserve">      </w:t>
      </w:r>
      <w:r>
        <w:rPr>
          <w:rFonts w:hint="eastAsia" w:ascii="宋体" w:hAnsi="宋体"/>
          <w:color w:val="FF0000"/>
          <w:sz w:val="24"/>
        </w:rPr>
        <w:t>元</w:t>
      </w:r>
      <w:r>
        <w:rPr>
          <w:rFonts w:hint="eastAsia" w:ascii="宋体" w:hAnsi="宋体"/>
          <w:color w:val="FF0000"/>
          <w:sz w:val="24"/>
          <w:lang w:val="en-US" w:eastAsia="zh-CN"/>
        </w:rPr>
        <w:t>/次/</w:t>
      </w:r>
      <w:r>
        <w:rPr>
          <w:rFonts w:hint="eastAsia" w:ascii="宋体" w:hAnsi="宋体"/>
          <w:color w:val="FF0000"/>
          <w:sz w:val="24"/>
        </w:rPr>
        <w:t>系统</w:t>
      </w:r>
      <w:r>
        <w:rPr>
          <w:rFonts w:hint="eastAsia" w:ascii="宋体" w:hAnsi="宋体"/>
          <w:color w:val="FF0000"/>
          <w:sz w:val="24"/>
          <w:lang w:eastAsia="zh-CN"/>
        </w:rPr>
        <w:t>，</w:t>
      </w:r>
      <w:r>
        <w:rPr>
          <w:rFonts w:hint="eastAsia" w:ascii="宋体" w:hAnsi="宋体"/>
          <w:color w:val="FF0000"/>
          <w:sz w:val="24"/>
        </w:rPr>
        <w:t>二级信息系统等级保护测评服务</w:t>
      </w:r>
      <w:r>
        <w:rPr>
          <w:rFonts w:hint="eastAsia" w:ascii="宋体" w:hAnsi="宋体"/>
          <w:color w:val="FF0000"/>
          <w:sz w:val="24"/>
          <w:lang w:val="en-US" w:eastAsia="zh-CN"/>
        </w:rPr>
        <w:t>费单价为</w:t>
      </w:r>
      <w:bookmarkStart w:id="42" w:name="_GoBack"/>
      <w:bookmarkEnd w:id="42"/>
      <w:r>
        <w:rPr>
          <w:rFonts w:hint="eastAsia" w:ascii="宋体" w:hAnsi="宋体"/>
          <w:color w:val="FF0000"/>
          <w:sz w:val="24"/>
          <w:u w:val="single"/>
          <w:lang w:val="en-US" w:eastAsia="zh-CN"/>
        </w:rPr>
        <w:t xml:space="preserve">      </w:t>
      </w:r>
      <w:r>
        <w:rPr>
          <w:rFonts w:hint="eastAsia" w:ascii="宋体" w:hAnsi="宋体"/>
          <w:color w:val="FF0000"/>
          <w:sz w:val="24"/>
        </w:rPr>
        <w:t>元</w:t>
      </w:r>
      <w:r>
        <w:rPr>
          <w:rFonts w:hint="eastAsia" w:ascii="宋体" w:hAnsi="宋体"/>
          <w:color w:val="FF0000"/>
          <w:sz w:val="24"/>
          <w:lang w:val="en-US" w:eastAsia="zh-CN"/>
        </w:rPr>
        <w:t>/次/</w:t>
      </w:r>
      <w:r>
        <w:rPr>
          <w:rFonts w:hint="eastAsia" w:ascii="宋体" w:hAnsi="宋体"/>
          <w:color w:val="FF0000"/>
          <w:sz w:val="24"/>
        </w:rPr>
        <w:t>系统</w:t>
      </w:r>
      <w:r>
        <w:rPr>
          <w:rFonts w:hint="eastAsia" w:ascii="宋体" w:hAnsi="宋体"/>
          <w:color w:val="FF0000"/>
          <w:sz w:val="24"/>
          <w:lang w:eastAsia="zh-CN"/>
        </w:rPr>
        <w:t>，</w:t>
      </w:r>
      <w:r>
        <w:rPr>
          <w:rFonts w:hint="eastAsia" w:ascii="宋体" w:hAnsi="宋体"/>
          <w:color w:val="FF0000"/>
          <w:sz w:val="24"/>
          <w:lang w:val="en-US" w:eastAsia="zh-CN"/>
        </w:rPr>
        <w:t>本合同服务费用总限额为</w:t>
      </w:r>
      <w:r>
        <w:rPr>
          <w:rFonts w:hint="eastAsia" w:ascii="宋体" w:hAnsi="宋体"/>
          <w:color w:val="FF0000"/>
          <w:sz w:val="24"/>
          <w:u w:val="single"/>
          <w:lang w:val="en-US" w:eastAsia="zh-CN"/>
        </w:rPr>
        <w:t>75</w:t>
      </w:r>
      <w:r>
        <w:rPr>
          <w:rFonts w:hint="eastAsia" w:ascii="宋体" w:hAnsi="宋体"/>
          <w:color w:val="FF0000"/>
          <w:sz w:val="24"/>
          <w:u w:val="none"/>
          <w:lang w:val="en-US" w:eastAsia="zh-CN"/>
        </w:rPr>
        <w:t>万元整</w:t>
      </w:r>
      <w:r>
        <w:rPr>
          <w:rFonts w:hint="eastAsia" w:ascii="宋体" w:hAnsi="宋体" w:eastAsia="宋体"/>
          <w:color w:val="FF0000"/>
          <w:sz w:val="24"/>
          <w:lang w:val="en-US" w:eastAsia="zh-CN"/>
        </w:rPr>
        <w:t>；前述</w:t>
      </w:r>
      <w:r>
        <w:rPr>
          <w:rFonts w:hint="eastAsia" w:ascii="宋体" w:hAnsi="宋体" w:eastAsia="宋体" w:cs="宋体"/>
          <w:color w:val="FF0000"/>
          <w:sz w:val="24"/>
          <w:szCs w:val="24"/>
          <w:lang w:val="en-US" w:eastAsia="zh-CN"/>
        </w:rPr>
        <w:t>服务费单价标准包括测评服务费、报告费、现场服务费、人工费、加班费、交通费、住宿费、税费等一切费用，甲方不再就本合同约定服务内容向乙方支付其他任何费用。</w:t>
      </w:r>
    </w:p>
    <w:p w14:paraId="21009CE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color w:val="auto"/>
          <w:sz w:val="24"/>
          <w:lang w:val="en-US" w:eastAsia="zh-CN"/>
        </w:rPr>
        <w:t>5.2 本合同期限内，</w:t>
      </w:r>
      <w:r>
        <w:rPr>
          <w:rFonts w:hint="eastAsia" w:ascii="宋体" w:hAnsi="宋体"/>
          <w:color w:val="0000FF"/>
          <w:sz w:val="24"/>
          <w:lang w:val="en-US" w:eastAsia="zh-CN"/>
        </w:rPr>
        <w:t>单项三级信息系统等级保护测评服务每合同年度开展一次测评；单项二级信息系统等级保护测评服务每两年开展一次测评，合同期内最多完成两次测评。</w:t>
      </w:r>
      <w:r>
        <w:rPr>
          <w:rFonts w:hint="eastAsia" w:ascii="宋体" w:hAnsi="宋体"/>
          <w:color w:val="auto"/>
          <w:sz w:val="24"/>
          <w:lang w:eastAsia="zh-CN"/>
        </w:rPr>
        <w:t>测评系统总量不少于15个三级系统、2个二级系统，最终结算</w:t>
      </w:r>
      <w:r>
        <w:rPr>
          <w:rFonts w:hint="eastAsia" w:ascii="宋体" w:hAnsi="宋体"/>
          <w:color w:val="auto"/>
          <w:sz w:val="24"/>
          <w:lang w:val="en-US" w:eastAsia="zh-CN"/>
        </w:rPr>
        <w:t>金额</w:t>
      </w:r>
      <w:r>
        <w:rPr>
          <w:rFonts w:hint="eastAsia" w:ascii="宋体" w:hAnsi="宋体"/>
          <w:color w:val="auto"/>
          <w:sz w:val="24"/>
          <w:lang w:eastAsia="zh-CN"/>
        </w:rPr>
        <w:t>按每</w:t>
      </w:r>
      <w:r>
        <w:rPr>
          <w:rFonts w:hint="eastAsia" w:ascii="宋体" w:hAnsi="宋体"/>
          <w:color w:val="auto"/>
          <w:sz w:val="24"/>
          <w:lang w:val="en-US" w:eastAsia="zh-CN"/>
        </w:rPr>
        <w:t>合同</w:t>
      </w:r>
      <w:r>
        <w:rPr>
          <w:rFonts w:hint="eastAsia" w:ascii="宋体" w:hAnsi="宋体"/>
          <w:color w:val="auto"/>
          <w:sz w:val="24"/>
          <w:lang w:eastAsia="zh-CN"/>
        </w:rPr>
        <w:t>年度实际实施</w:t>
      </w:r>
      <w:r>
        <w:rPr>
          <w:rFonts w:hint="eastAsia" w:ascii="宋体" w:hAnsi="宋体"/>
          <w:color w:val="0000FF"/>
          <w:sz w:val="24"/>
          <w:lang w:val="en-US" w:eastAsia="zh-CN"/>
        </w:rPr>
        <w:t>测评服务</w:t>
      </w:r>
      <w:r>
        <w:rPr>
          <w:rFonts w:hint="eastAsia" w:ascii="宋体" w:hAnsi="宋体"/>
          <w:color w:val="auto"/>
          <w:sz w:val="24"/>
          <w:lang w:eastAsia="zh-CN"/>
        </w:rPr>
        <w:t>的系统数量、对应级别</w:t>
      </w:r>
      <w:r>
        <w:rPr>
          <w:rFonts w:hint="eastAsia" w:ascii="宋体" w:hAnsi="宋体"/>
          <w:color w:val="auto"/>
          <w:sz w:val="24"/>
          <w:lang w:val="en-US" w:eastAsia="zh-CN"/>
        </w:rPr>
        <w:t>按本合同约定服务费标准</w:t>
      </w:r>
      <w:r>
        <w:rPr>
          <w:rFonts w:hint="eastAsia" w:ascii="宋体" w:hAnsi="宋体"/>
          <w:color w:val="auto"/>
          <w:sz w:val="24"/>
          <w:lang w:eastAsia="zh-CN"/>
        </w:rPr>
        <w:t>据实核算</w:t>
      </w:r>
      <w:r>
        <w:rPr>
          <w:rFonts w:hint="eastAsia" w:ascii="宋体" w:hAnsi="宋体" w:eastAsia="宋体" w:cs="宋体"/>
          <w:color w:val="auto"/>
          <w:sz w:val="24"/>
          <w:szCs w:val="24"/>
          <w:highlight w:val="none"/>
          <w:lang w:val="en-US" w:eastAsia="zh-CN"/>
        </w:rPr>
        <w:t>。</w:t>
      </w:r>
    </w:p>
    <w:p w14:paraId="799ED23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both"/>
        <w:textAlignment w:val="auto"/>
        <w:rPr>
          <w:rFonts w:hint="default" w:ascii="宋体" w:hAnsi="宋体" w:eastAsia="宋体" w:cs="宋体"/>
          <w:color w:val="FF0000"/>
          <w:spacing w:val="-11"/>
          <w:sz w:val="24"/>
          <w:szCs w:val="24"/>
          <w:highlight w:val="none"/>
          <w:lang w:val="en-US" w:eastAsia="zh-CN"/>
        </w:rPr>
      </w:pPr>
      <w:r>
        <w:rPr>
          <w:rFonts w:hint="eastAsia" w:ascii="宋体" w:hAnsi="宋体" w:eastAsia="宋体" w:cs="宋体"/>
          <w:color w:val="auto"/>
          <w:spacing w:val="-11"/>
          <w:sz w:val="24"/>
          <w:szCs w:val="24"/>
          <w:highlight w:val="none"/>
          <w:lang w:val="en-US" w:eastAsia="zh-CN"/>
        </w:rPr>
        <w:t>5.3 乙方</w:t>
      </w:r>
      <w:r>
        <w:rPr>
          <w:rFonts w:hint="eastAsia" w:ascii="宋体" w:hAnsi="宋体" w:eastAsia="宋体" w:cs="宋体"/>
          <w:color w:val="FF0000"/>
          <w:spacing w:val="-11"/>
          <w:sz w:val="24"/>
          <w:szCs w:val="24"/>
          <w:highlight w:val="none"/>
          <w:lang w:val="en-US" w:eastAsia="zh-CN"/>
        </w:rPr>
        <w:t>应在每合同年度的</w:t>
      </w:r>
      <w:r>
        <w:rPr>
          <w:rFonts w:hint="eastAsia" w:ascii="宋体" w:hAnsi="宋体" w:eastAsia="宋体" w:cs="宋体"/>
          <w:color w:val="auto"/>
          <w:spacing w:val="-11"/>
          <w:sz w:val="24"/>
          <w:szCs w:val="24"/>
          <w:highlight w:val="none"/>
          <w:lang w:val="en-US" w:eastAsia="zh-CN"/>
        </w:rPr>
        <w:t>测评服务全部完成且</w:t>
      </w:r>
      <w:r>
        <w:rPr>
          <w:rFonts w:hint="eastAsia" w:ascii="宋体" w:hAnsi="宋体" w:eastAsia="宋体" w:cs="宋体"/>
          <w:color w:val="FF0000"/>
          <w:spacing w:val="-11"/>
          <w:sz w:val="24"/>
          <w:szCs w:val="24"/>
          <w:highlight w:val="none"/>
          <w:lang w:val="en-US" w:eastAsia="zh-CN"/>
        </w:rPr>
        <w:t>经</w:t>
      </w:r>
      <w:r>
        <w:rPr>
          <w:rFonts w:hint="eastAsia" w:ascii="宋体" w:hAnsi="宋体" w:eastAsia="宋体" w:cs="宋体"/>
          <w:color w:val="auto"/>
          <w:spacing w:val="-11"/>
          <w:sz w:val="24"/>
          <w:szCs w:val="24"/>
          <w:highlight w:val="none"/>
          <w:lang w:val="en-US" w:eastAsia="zh-CN"/>
        </w:rPr>
        <w:t>甲方验收合格之日起30天内，</w:t>
      </w:r>
      <w:r>
        <w:rPr>
          <w:rFonts w:hint="eastAsia" w:ascii="宋体" w:hAnsi="宋体" w:eastAsia="宋体" w:cs="宋体"/>
          <w:color w:val="FF0000"/>
          <w:spacing w:val="-11"/>
          <w:sz w:val="24"/>
          <w:szCs w:val="24"/>
          <w:highlight w:val="none"/>
          <w:lang w:val="en-US" w:eastAsia="zh-CN"/>
        </w:rPr>
        <w:t>与甲方完成该合同年度服务费结算。甲方应在每合同年度服务费结算完成之日起</w:t>
      </w:r>
      <w:r>
        <w:rPr>
          <w:rFonts w:hint="eastAsia" w:ascii="宋体" w:hAnsi="宋体" w:cs="宋体"/>
          <w:color w:val="FF0000"/>
          <w:spacing w:val="-11"/>
          <w:sz w:val="24"/>
          <w:szCs w:val="24"/>
          <w:highlight w:val="none"/>
          <w:u w:val="single"/>
          <w:lang w:val="en-US" w:eastAsia="zh-CN"/>
        </w:rPr>
        <w:t>90</w:t>
      </w:r>
      <w:r>
        <w:rPr>
          <w:rFonts w:hint="eastAsia" w:ascii="宋体" w:hAnsi="宋体" w:eastAsia="宋体" w:cs="宋体"/>
          <w:color w:val="FF0000"/>
          <w:spacing w:val="-11"/>
          <w:sz w:val="24"/>
          <w:szCs w:val="24"/>
          <w:highlight w:val="none"/>
          <w:lang w:val="en-US" w:eastAsia="zh-CN"/>
        </w:rPr>
        <w:t>日内将该合同年度的结算服务费支付给乙方。</w:t>
      </w:r>
    </w:p>
    <w:p w14:paraId="4BAED00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olor w:val="auto"/>
          <w:sz w:val="28"/>
          <w:szCs w:val="28"/>
          <w:highlight w:val="none"/>
          <w:u w:val="none"/>
          <w:lang w:val="en-US" w:eastAsia="zh-CN"/>
        </w:rPr>
      </w:pPr>
      <w:r>
        <w:rPr>
          <w:rFonts w:hint="eastAsia" w:ascii="宋体" w:hAnsi="宋体" w:eastAsia="宋体" w:cs="宋体"/>
          <w:color w:val="auto"/>
          <w:sz w:val="24"/>
          <w:szCs w:val="24"/>
          <w:highlight w:val="none"/>
          <w:lang w:val="en-US" w:eastAsia="zh-CN"/>
        </w:rPr>
        <w:t>5.4 甲方通过银行转账方式向乙方指定银行账户支付款项，乙方指定收款银行账户的开户名：</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lang w:val="en-US" w:eastAsia="zh-CN"/>
        </w:rPr>
        <w:t>开户银行：</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lang w:val="en-US" w:eastAsia="zh-CN"/>
        </w:rPr>
        <w:t>账号：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r>
        <w:rPr>
          <w:rFonts w:hint="eastAsia" w:ascii="宋体" w:hAnsi="宋体"/>
          <w:color w:val="auto"/>
          <w:sz w:val="28"/>
          <w:szCs w:val="28"/>
          <w:highlight w:val="none"/>
          <w:u w:val="none"/>
          <w:lang w:val="en-US" w:eastAsia="zh-CN"/>
        </w:rPr>
        <w:t xml:space="preserve">  </w:t>
      </w:r>
    </w:p>
    <w:p w14:paraId="180DDFB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5.5 乙方应在甲方</w:t>
      </w:r>
      <w:r>
        <w:rPr>
          <w:rFonts w:hint="eastAsia" w:ascii="宋体" w:hAnsi="宋体" w:eastAsia="宋体" w:cs="宋体"/>
          <w:color w:val="FF0000"/>
          <w:sz w:val="24"/>
          <w:szCs w:val="24"/>
          <w:highlight w:val="none"/>
          <w:lang w:val="en-US" w:eastAsia="zh-CN"/>
        </w:rPr>
        <w:t>每次</w:t>
      </w:r>
      <w:r>
        <w:rPr>
          <w:rFonts w:hint="eastAsia" w:ascii="宋体" w:hAnsi="宋体" w:eastAsia="宋体" w:cs="宋体"/>
          <w:color w:val="auto"/>
          <w:sz w:val="24"/>
          <w:szCs w:val="24"/>
          <w:highlight w:val="none"/>
          <w:lang w:val="en-US" w:eastAsia="zh-CN"/>
        </w:rPr>
        <w:t>付款前</w:t>
      </w:r>
      <w:r>
        <w:rPr>
          <w:rFonts w:hint="eastAsia" w:ascii="宋体" w:hAnsi="宋体" w:cs="宋体"/>
          <w:color w:val="FF0000"/>
          <w:sz w:val="24"/>
          <w:szCs w:val="24"/>
          <w:highlight w:val="none"/>
          <w:u w:val="single"/>
          <w:lang w:val="en-US" w:eastAsia="zh-CN"/>
        </w:rPr>
        <w:t>30</w:t>
      </w:r>
      <w:r>
        <w:rPr>
          <w:rFonts w:hint="eastAsia" w:ascii="宋体" w:hAnsi="宋体" w:eastAsia="宋体" w:cs="宋体"/>
          <w:color w:val="FF0000"/>
          <w:sz w:val="24"/>
          <w:szCs w:val="24"/>
          <w:highlight w:val="none"/>
          <w:lang w:val="en-US" w:eastAsia="zh-CN"/>
        </w:rPr>
        <w:t>日</w:t>
      </w:r>
      <w:r>
        <w:rPr>
          <w:rFonts w:hint="eastAsia" w:ascii="宋体" w:hAnsi="宋体" w:eastAsia="宋体" w:cs="宋体"/>
          <w:color w:val="auto"/>
          <w:sz w:val="24"/>
          <w:szCs w:val="24"/>
          <w:highlight w:val="none"/>
          <w:lang w:val="en-US" w:eastAsia="zh-CN"/>
        </w:rPr>
        <w:t>，向甲方提供以乙方自己名义开具的</w:t>
      </w:r>
      <w:r>
        <w:rPr>
          <w:rFonts w:hint="eastAsia" w:ascii="宋体" w:hAnsi="宋体" w:eastAsia="宋体" w:cs="宋体"/>
          <w:color w:val="FF0000"/>
          <w:sz w:val="24"/>
          <w:szCs w:val="24"/>
          <w:highlight w:val="none"/>
          <w:lang w:val="en-US" w:eastAsia="zh-CN"/>
        </w:rPr>
        <w:t>价税合计金额</w:t>
      </w:r>
      <w:r>
        <w:rPr>
          <w:rFonts w:hint="eastAsia" w:ascii="宋体" w:hAnsi="宋体" w:eastAsia="宋体" w:cs="宋体"/>
          <w:color w:val="auto"/>
          <w:sz w:val="24"/>
          <w:szCs w:val="24"/>
          <w:highlight w:val="none"/>
          <w:lang w:val="en-US" w:eastAsia="zh-CN"/>
        </w:rPr>
        <w:t>与本次应付价款等额的增值税普通发票；如乙方未及时提供发票，甲方有权拒绝付款且不视为逾期付款，由此产生的不利后果均由乙方自行承担。</w:t>
      </w:r>
    </w:p>
    <w:p w14:paraId="70130B7A">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第六条 保密条款</w:t>
      </w:r>
    </w:p>
    <w:p w14:paraId="483603F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w:t>
      </w:r>
      <w:r>
        <w:rPr>
          <w:rFonts w:hint="default" w:ascii="宋体" w:hAnsi="宋体" w:eastAsia="宋体" w:cs="宋体"/>
          <w:b w:val="0"/>
          <w:bCs w:val="0"/>
          <w:color w:val="auto"/>
          <w:sz w:val="24"/>
          <w:highlight w:val="none"/>
          <w:lang w:val="en-US" w:eastAsia="zh-CN"/>
        </w:rPr>
        <w:t>.1 本合同履行中涉及的以下信息均属保密信息：</w:t>
      </w:r>
    </w:p>
    <w:p w14:paraId="6778D5F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w:t>
      </w:r>
      <w:r>
        <w:rPr>
          <w:rFonts w:hint="default" w:ascii="宋体" w:hAnsi="宋体" w:eastAsia="宋体" w:cs="宋体"/>
          <w:b w:val="0"/>
          <w:bCs w:val="0"/>
          <w:color w:val="auto"/>
          <w:sz w:val="24"/>
          <w:highlight w:val="none"/>
          <w:lang w:val="en-US" w:eastAsia="zh-CN"/>
        </w:rPr>
        <w:t>.1.1 双方就合同订立、履行、变更等产生的研究、商讨、交流等信息。</w:t>
      </w:r>
    </w:p>
    <w:p w14:paraId="2400F10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w:t>
      </w:r>
      <w:r>
        <w:rPr>
          <w:rFonts w:hint="default" w:ascii="宋体" w:hAnsi="宋体" w:eastAsia="宋体" w:cs="宋体"/>
          <w:b w:val="0"/>
          <w:bCs w:val="0"/>
          <w:color w:val="auto"/>
          <w:sz w:val="24"/>
          <w:highlight w:val="none"/>
          <w:lang w:val="en-US" w:eastAsia="zh-CN"/>
        </w:rPr>
        <w:t>.1.2 甲方相关信息：</w:t>
      </w:r>
    </w:p>
    <w:p w14:paraId="2989B75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w:t>
      </w:r>
      <w:r>
        <w:rPr>
          <w:rFonts w:hint="default" w:ascii="宋体" w:hAnsi="宋体" w:eastAsia="宋体" w:cs="宋体"/>
          <w:b w:val="0"/>
          <w:bCs w:val="0"/>
          <w:color w:val="auto"/>
          <w:sz w:val="24"/>
          <w:highlight w:val="none"/>
          <w:lang w:val="en-US" w:eastAsia="zh-CN"/>
        </w:rPr>
        <w:t>.1.2.1 技术信息，包括涉及甲方信息化建设中的技术信息，包括软件技术、数据、管理文件等。</w:t>
      </w:r>
    </w:p>
    <w:p w14:paraId="0508266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w:t>
      </w:r>
      <w:r>
        <w:rPr>
          <w:rFonts w:hint="default" w:ascii="宋体" w:hAnsi="宋体" w:eastAsia="宋体" w:cs="宋体"/>
          <w:b w:val="0"/>
          <w:bCs w:val="0"/>
          <w:color w:val="auto"/>
          <w:sz w:val="24"/>
          <w:highlight w:val="none"/>
          <w:lang w:val="en-US" w:eastAsia="zh-CN"/>
        </w:rPr>
        <w:t>.1.2.2 人事信息，包括涉及甲方的人事档案、薪酬及考核等人力资源管理信息。</w:t>
      </w:r>
    </w:p>
    <w:p w14:paraId="2ACD9B9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w:t>
      </w:r>
      <w:r>
        <w:rPr>
          <w:rFonts w:hint="default" w:ascii="宋体" w:hAnsi="宋体" w:eastAsia="宋体" w:cs="宋体"/>
          <w:b w:val="0"/>
          <w:bCs w:val="0"/>
          <w:color w:val="auto"/>
          <w:sz w:val="24"/>
          <w:highlight w:val="none"/>
          <w:lang w:val="en-US" w:eastAsia="zh-CN"/>
        </w:rPr>
        <w:t>.1.2.3 医院运行信息，包括涉及甲方业务运行的各种信息，医院经营方向、经营决策、定价政策以及内部掌握的合同、协议、项目方案等。</w:t>
      </w:r>
    </w:p>
    <w:p w14:paraId="0CBAD2C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w:t>
      </w:r>
      <w:r>
        <w:rPr>
          <w:rFonts w:hint="default" w:ascii="宋体" w:hAnsi="宋体" w:eastAsia="宋体" w:cs="宋体"/>
          <w:b w:val="0"/>
          <w:bCs w:val="0"/>
          <w:color w:val="auto"/>
          <w:sz w:val="24"/>
          <w:highlight w:val="none"/>
          <w:lang w:val="en-US" w:eastAsia="zh-CN"/>
        </w:rPr>
        <w:t>.1.2.4 财务信息，包括涉及甲方的各项财务报表、成本及预算报告、员工工资等。</w:t>
      </w:r>
    </w:p>
    <w:p w14:paraId="2D4634E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w:t>
      </w:r>
      <w:r>
        <w:rPr>
          <w:rFonts w:hint="default" w:ascii="宋体" w:hAnsi="宋体" w:eastAsia="宋体" w:cs="宋体"/>
          <w:b w:val="0"/>
          <w:bCs w:val="0"/>
          <w:color w:val="auto"/>
          <w:sz w:val="24"/>
          <w:highlight w:val="none"/>
          <w:lang w:val="en-US" w:eastAsia="zh-CN"/>
        </w:rPr>
        <w:t>.1.2.5 患者信息，包括涉及甲方门诊、住院患者的相关诊疗信息，如患者基本信息、诊疗计划、病历信息、费用信息、处方等。</w:t>
      </w:r>
    </w:p>
    <w:p w14:paraId="3107FA8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w:t>
      </w:r>
      <w:r>
        <w:rPr>
          <w:rFonts w:hint="default" w:ascii="宋体" w:hAnsi="宋体" w:eastAsia="宋体" w:cs="宋体"/>
          <w:b w:val="0"/>
          <w:bCs w:val="0"/>
          <w:color w:val="auto"/>
          <w:sz w:val="24"/>
          <w:highlight w:val="none"/>
          <w:lang w:val="en-US" w:eastAsia="zh-CN"/>
        </w:rPr>
        <w:t>.1.3 应当予以保密的其他商业秘密、个人隐私等信息。</w:t>
      </w:r>
    </w:p>
    <w:p w14:paraId="12A2719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w:t>
      </w:r>
      <w:r>
        <w:rPr>
          <w:rFonts w:hint="default" w:ascii="宋体" w:hAnsi="宋体" w:eastAsia="宋体" w:cs="宋体"/>
          <w:b w:val="0"/>
          <w:bCs w:val="0"/>
          <w:color w:val="auto"/>
          <w:sz w:val="24"/>
          <w:highlight w:val="none"/>
          <w:lang w:val="en-US" w:eastAsia="zh-CN"/>
        </w:rPr>
        <w:t>.2 任意一方未经对方书面同意，不得将保密信息用于任何非本合同之目的用途，不得将保密信息透露给任何第三方，不得允许（出借、赠予、出租、转让等处理保密信息的行为皆属于“允许”）或协助未经授权的第三方使用保密信息。</w:t>
      </w:r>
    </w:p>
    <w:p w14:paraId="347BE76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w:t>
      </w:r>
      <w:r>
        <w:rPr>
          <w:rFonts w:hint="default" w:ascii="宋体" w:hAnsi="宋体" w:eastAsia="宋体" w:cs="宋体"/>
          <w:b w:val="0"/>
          <w:bCs w:val="0"/>
          <w:color w:val="auto"/>
          <w:sz w:val="24"/>
          <w:highlight w:val="none"/>
          <w:lang w:val="en-US" w:eastAsia="zh-CN"/>
        </w:rPr>
        <w:t>.3 乙方向甲方提供从甲方获取的保密信息的保密密级及知悉保密信息的范围，在乙方上述人员知悉该保密信息前，应向其提示保密信息的保密性和应承担的义务，并保证上述人员以书面形式同意接受保密条款的约束，确保上述人员承担保密责任的程度不低于本合同规定的程度。</w:t>
      </w:r>
    </w:p>
    <w:p w14:paraId="14CBECD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w:t>
      </w:r>
      <w:r>
        <w:rPr>
          <w:rFonts w:hint="default" w:ascii="宋体" w:hAnsi="宋体" w:eastAsia="宋体" w:cs="宋体"/>
          <w:b w:val="0"/>
          <w:bCs w:val="0"/>
          <w:color w:val="auto"/>
          <w:sz w:val="24"/>
          <w:highlight w:val="none"/>
          <w:lang w:val="en-US" w:eastAsia="zh-CN"/>
        </w:rPr>
        <w:t>.4 如果乙方被要求向政府部门、法院或其他有权部门提供保密信息，乙方在可能的情况下，应立即向甲方予以通报。</w:t>
      </w:r>
    </w:p>
    <w:p w14:paraId="05E1E8D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w:t>
      </w:r>
      <w:r>
        <w:rPr>
          <w:rFonts w:hint="default" w:ascii="宋体" w:hAnsi="宋体" w:eastAsia="宋体" w:cs="宋体"/>
          <w:b w:val="0"/>
          <w:bCs w:val="0"/>
          <w:color w:val="auto"/>
          <w:sz w:val="24"/>
          <w:highlight w:val="none"/>
          <w:lang w:val="en-US" w:eastAsia="zh-CN"/>
        </w:rPr>
        <w:t>.5 本合同约定的保密信息为永久绝对保密，保密条款在本合同终止后仍然有效。</w:t>
      </w:r>
    </w:p>
    <w:p w14:paraId="7F256D9E">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 xml:space="preserve">第七条 </w:t>
      </w:r>
      <w:r>
        <w:rPr>
          <w:rFonts w:hint="default" w:ascii="宋体" w:hAnsi="宋体" w:eastAsia="宋体" w:cs="宋体"/>
          <w:b/>
          <w:bCs/>
          <w:color w:val="auto"/>
          <w:sz w:val="24"/>
          <w:highlight w:val="none"/>
          <w:lang w:val="en-US" w:eastAsia="zh-CN"/>
        </w:rPr>
        <w:t>风险承担</w:t>
      </w:r>
    </w:p>
    <w:p w14:paraId="2E46955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default" w:ascii="宋体" w:hAnsi="宋体" w:eastAsia="宋体" w:cs="宋体"/>
          <w:b w:val="0"/>
          <w:bCs w:val="0"/>
          <w:color w:val="auto"/>
          <w:sz w:val="24"/>
          <w:highlight w:val="none"/>
          <w:lang w:val="en-US" w:eastAsia="zh-CN"/>
        </w:rPr>
        <w:t>7.1 乙方在履行本合同过程中发生事故，给甲方、乙方或第三方人身、财产造成的所有损失，均由乙方负责处理和承担全部法律责任、经济赔偿。</w:t>
      </w:r>
    </w:p>
    <w:p w14:paraId="42E279D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default" w:ascii="宋体" w:hAnsi="宋体" w:eastAsia="宋体" w:cs="宋体"/>
          <w:b w:val="0"/>
          <w:bCs w:val="0"/>
          <w:color w:val="auto"/>
          <w:sz w:val="24"/>
          <w:highlight w:val="none"/>
          <w:lang w:val="en-US" w:eastAsia="zh-CN"/>
        </w:rPr>
        <w:t>7.2 如甲方因乙方服务等原因涉及纠纷、诉讼或被处以行政处罚，由乙方承担甲方因纠纷、诉讼、罚款等造成的全部经济损失。</w:t>
      </w:r>
    </w:p>
    <w:p w14:paraId="53D221A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第八条 廉洁条款</w:t>
      </w:r>
    </w:p>
    <w:p w14:paraId="7A74C4B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r>
        <w:rPr>
          <w:rFonts w:hint="default" w:ascii="宋体" w:hAnsi="宋体" w:eastAsia="宋体" w:cs="宋体"/>
          <w:color w:val="auto"/>
          <w:sz w:val="24"/>
          <w:szCs w:val="24"/>
          <w:highlight w:val="none"/>
          <w:lang w:val="en-US" w:eastAsia="zh-CN"/>
        </w:rPr>
        <w:t>.1 乙方应严格遵守国家相关法律法规，涉及合同的有关业务活动必须坚持公开、公平、公正、诚信原则，不得为获取不正当利益，损害国家、集体和甲方利益。</w:t>
      </w:r>
    </w:p>
    <w:p w14:paraId="352CA08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szCs w:val="24"/>
          <w:highlight w:val="none"/>
          <w:lang w:val="en-US" w:eastAsia="zh-CN"/>
        </w:rPr>
        <w:t>8</w:t>
      </w:r>
      <w:r>
        <w:rPr>
          <w:rFonts w:hint="default" w:ascii="宋体" w:hAnsi="宋体" w:eastAsia="宋体" w:cs="宋体"/>
          <w:b/>
          <w:bCs/>
          <w:color w:val="auto"/>
          <w:sz w:val="24"/>
          <w:szCs w:val="24"/>
          <w:highlight w:val="none"/>
          <w:lang w:val="en-US" w:eastAsia="zh-CN"/>
        </w:rPr>
        <w:t xml:space="preserve">.2 </w:t>
      </w:r>
      <w:r>
        <w:rPr>
          <w:rFonts w:hint="default" w:ascii="宋体" w:hAnsi="宋体" w:eastAsia="宋体" w:cs="宋体"/>
          <w:b/>
          <w:bCs/>
          <w:color w:val="auto"/>
          <w:sz w:val="24"/>
          <w:szCs w:val="24"/>
          <w:highlight w:val="none"/>
          <w:u w:val="single"/>
          <w:lang w:val="en-US" w:eastAsia="zh-CN"/>
        </w:rPr>
        <w:t>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14:paraId="44A50C46">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 xml:space="preserve">第九条 </w:t>
      </w:r>
      <w:r>
        <w:rPr>
          <w:rFonts w:hint="default" w:ascii="宋体" w:hAnsi="宋体" w:eastAsia="宋体" w:cs="宋体"/>
          <w:b/>
          <w:bCs/>
          <w:color w:val="auto"/>
          <w:sz w:val="24"/>
          <w:highlight w:val="none"/>
          <w:lang w:val="en-US" w:eastAsia="zh-CN"/>
        </w:rPr>
        <w:t>通知</w:t>
      </w:r>
      <w:r>
        <w:rPr>
          <w:rFonts w:hint="eastAsia" w:ascii="宋体" w:hAnsi="宋体" w:eastAsia="宋体" w:cs="宋体"/>
          <w:b/>
          <w:bCs/>
          <w:color w:val="auto"/>
          <w:sz w:val="24"/>
          <w:highlight w:val="none"/>
          <w:lang w:val="en-US" w:eastAsia="zh-CN"/>
        </w:rPr>
        <w:t>与送达</w:t>
      </w:r>
    </w:p>
    <w:p w14:paraId="0133FEA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9.1 甲乙双方同意，与本合同有关的任何文书，应以书面方式按照本合同约定发送，书面方式包括手机短信、微信、书面函件、电子邮件等形式。</w:t>
      </w:r>
    </w:p>
    <w:p w14:paraId="6A61A76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9.2 双方确认的文书（包括未来可能发生的诉讼或仲裁活动中法院或仲裁机构的送达法律文书）送达地址：</w:t>
      </w:r>
    </w:p>
    <w:p w14:paraId="0C6E419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 xml:space="preserve">9.2.1 </w:t>
      </w:r>
      <w:r>
        <w:rPr>
          <w:rFonts w:hint="default" w:ascii="宋体" w:hAnsi="宋体" w:eastAsia="宋体" w:cs="宋体"/>
          <w:b w:val="0"/>
          <w:bCs w:val="0"/>
          <w:color w:val="auto"/>
          <w:sz w:val="24"/>
          <w:highlight w:val="none"/>
          <w:lang w:val="en-US" w:eastAsia="zh-CN"/>
        </w:rPr>
        <w:t>甲方的联系地址：</w:t>
      </w:r>
      <w:r>
        <w:rPr>
          <w:rFonts w:hint="default" w:ascii="宋体" w:hAnsi="宋体" w:eastAsia="宋体" w:cs="宋体"/>
          <w:b w:val="0"/>
          <w:bCs w:val="0"/>
          <w:color w:val="auto"/>
          <w:sz w:val="24"/>
          <w:highlight w:val="none"/>
          <w:u w:val="single"/>
          <w:lang w:val="en-US" w:eastAsia="zh-CN"/>
        </w:rPr>
        <w:t xml:space="preserve"> 湖南省娄底市娄星区长青街51号 </w:t>
      </w:r>
      <w:r>
        <w:rPr>
          <w:rFonts w:hint="default" w:ascii="宋体" w:hAnsi="宋体" w:eastAsia="宋体" w:cs="宋体"/>
          <w:b w:val="0"/>
          <w:bCs w:val="0"/>
          <w:color w:val="auto"/>
          <w:sz w:val="24"/>
          <w:highlight w:val="none"/>
          <w:lang w:val="en-US" w:eastAsia="zh-CN"/>
        </w:rPr>
        <w:t>，联系人：</w:t>
      </w:r>
      <w:r>
        <w:rPr>
          <w:rFonts w:hint="eastAsia" w:ascii="宋体" w:hAnsi="宋体" w:eastAsia="宋体" w:cs="宋体"/>
          <w:b w:val="0"/>
          <w:bCs w:val="0"/>
          <w:color w:val="auto"/>
          <w:sz w:val="24"/>
          <w:highlight w:val="none"/>
          <w:u w:val="single"/>
          <w:lang w:val="en-US" w:eastAsia="zh-CN"/>
        </w:rPr>
        <w:t xml:space="preserve"> 董昉  </w:t>
      </w:r>
      <w:r>
        <w:rPr>
          <w:rFonts w:hint="default" w:ascii="宋体" w:hAnsi="宋体" w:eastAsia="宋体" w:cs="宋体"/>
          <w:b w:val="0"/>
          <w:bCs w:val="0"/>
          <w:color w:val="auto"/>
          <w:sz w:val="24"/>
          <w:highlight w:val="none"/>
          <w:lang w:val="en-US" w:eastAsia="zh-CN"/>
        </w:rPr>
        <w:t>，联系电话：</w:t>
      </w:r>
      <w:r>
        <w:rPr>
          <w:rFonts w:hint="eastAsia" w:ascii="宋体" w:hAnsi="宋体" w:eastAsia="宋体" w:cs="宋体"/>
          <w:b w:val="0"/>
          <w:bCs w:val="0"/>
          <w:color w:val="auto"/>
          <w:sz w:val="24"/>
          <w:highlight w:val="none"/>
          <w:u w:val="single"/>
          <w:lang w:val="en-US" w:eastAsia="zh-CN"/>
        </w:rPr>
        <w:t xml:space="preserve"> 15973879275 </w:t>
      </w:r>
      <w:r>
        <w:rPr>
          <w:rFonts w:hint="default" w:ascii="宋体" w:hAnsi="宋体" w:eastAsia="宋体" w:cs="宋体"/>
          <w:b w:val="0"/>
          <w:bCs w:val="0"/>
          <w:color w:val="auto"/>
          <w:sz w:val="24"/>
          <w:highlight w:val="none"/>
          <w:lang w:val="en-US" w:eastAsia="zh-CN"/>
        </w:rPr>
        <w:t>，邮箱地址</w:t>
      </w:r>
      <w:r>
        <w:rPr>
          <w:rFonts w:hint="eastAsia" w:ascii="宋体" w:hAnsi="宋体" w:eastAsia="宋体" w:cs="宋体"/>
          <w:b w:val="0"/>
          <w:bCs w:val="0"/>
          <w:color w:val="auto"/>
          <w:sz w:val="24"/>
          <w:highlight w:val="none"/>
          <w:lang w:val="en-US" w:eastAsia="zh-CN"/>
        </w:rPr>
        <w:t>：</w:t>
      </w:r>
      <w:r>
        <w:rPr>
          <w:rFonts w:hint="eastAsia" w:ascii="宋体" w:hAnsi="宋体" w:eastAsia="宋体" w:cs="宋体"/>
          <w:b w:val="0"/>
          <w:bCs w:val="0"/>
          <w:color w:val="auto"/>
          <w:sz w:val="24"/>
          <w:highlight w:val="none"/>
          <w:u w:val="single"/>
          <w:lang w:val="en-US" w:eastAsia="zh-CN"/>
        </w:rPr>
        <w:t xml:space="preserve"> 22028581@qq.com </w:t>
      </w:r>
      <w:r>
        <w:rPr>
          <w:rFonts w:hint="eastAsia" w:ascii="宋体" w:hAnsi="宋体" w:eastAsia="宋体" w:cs="宋体"/>
          <w:b w:val="0"/>
          <w:bCs w:val="0"/>
          <w:color w:val="auto"/>
          <w:sz w:val="24"/>
          <w:highlight w:val="none"/>
          <w:lang w:val="en-US" w:eastAsia="zh-CN"/>
        </w:rPr>
        <w:t>，</w:t>
      </w:r>
      <w:r>
        <w:rPr>
          <w:rFonts w:hint="default" w:ascii="宋体" w:hAnsi="宋体" w:eastAsia="宋体" w:cs="宋体"/>
          <w:b w:val="0"/>
          <w:bCs w:val="0"/>
          <w:color w:val="auto"/>
          <w:sz w:val="24"/>
          <w:highlight w:val="none"/>
          <w:lang w:val="en-US" w:eastAsia="zh-CN"/>
        </w:rPr>
        <w:t>或微信号</w:t>
      </w:r>
      <w:r>
        <w:rPr>
          <w:rFonts w:hint="eastAsia" w:ascii="宋体" w:hAnsi="宋体" w:eastAsia="宋体" w:cs="宋体"/>
          <w:b w:val="0"/>
          <w:bCs w:val="0"/>
          <w:color w:val="auto"/>
          <w:sz w:val="24"/>
          <w:highlight w:val="none"/>
          <w:lang w:val="en-US" w:eastAsia="zh-CN"/>
        </w:rPr>
        <w:t>：</w:t>
      </w:r>
      <w:r>
        <w:rPr>
          <w:rFonts w:hint="eastAsia" w:ascii="宋体" w:hAnsi="宋体" w:eastAsia="宋体" w:cs="宋体"/>
          <w:b w:val="0"/>
          <w:bCs w:val="0"/>
          <w:color w:val="auto"/>
          <w:sz w:val="24"/>
          <w:highlight w:val="none"/>
          <w:u w:val="single"/>
          <w:lang w:val="en-US" w:eastAsia="zh-CN"/>
        </w:rPr>
        <w:t xml:space="preserve">  df22028581</w:t>
      </w:r>
      <w:r>
        <w:rPr>
          <w:rFonts w:hint="default"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w:t>
      </w:r>
    </w:p>
    <w:p w14:paraId="0D88AD6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 xml:space="preserve">9.2.2 </w:t>
      </w:r>
      <w:r>
        <w:rPr>
          <w:rFonts w:hint="default" w:ascii="宋体" w:hAnsi="宋体" w:eastAsia="宋体" w:cs="宋体"/>
          <w:b w:val="0"/>
          <w:bCs w:val="0"/>
          <w:color w:val="auto"/>
          <w:sz w:val="24"/>
          <w:highlight w:val="none"/>
          <w:lang w:val="en-US" w:eastAsia="zh-CN"/>
        </w:rPr>
        <w:t>乙方的联系地址：</w:t>
      </w:r>
      <w:r>
        <w:rPr>
          <w:rFonts w:hint="default"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 xml:space="preserve"> ，联系人：</w:t>
      </w:r>
      <w:r>
        <w:rPr>
          <w:rFonts w:hint="eastAsia"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 联系电话：</w:t>
      </w:r>
      <w:r>
        <w:rPr>
          <w:rFonts w:hint="eastAsia"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，邮箱地址</w:t>
      </w:r>
      <w:r>
        <w:rPr>
          <w:rFonts w:hint="eastAsia" w:ascii="宋体" w:hAnsi="宋体" w:eastAsia="宋体" w:cs="宋体"/>
          <w:b w:val="0"/>
          <w:bCs w:val="0"/>
          <w:color w:val="auto"/>
          <w:sz w:val="24"/>
          <w:highlight w:val="none"/>
          <w:lang w:val="en-US" w:eastAsia="zh-CN"/>
        </w:rPr>
        <w:t>：</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b w:val="0"/>
          <w:bCs w:val="0"/>
          <w:color w:val="auto"/>
          <w:sz w:val="24"/>
          <w:highlight w:val="none"/>
          <w:lang w:val="en-US" w:eastAsia="zh-CN"/>
        </w:rPr>
        <w:t>，</w:t>
      </w:r>
      <w:r>
        <w:rPr>
          <w:rFonts w:hint="default" w:ascii="宋体" w:hAnsi="宋体" w:eastAsia="宋体" w:cs="宋体"/>
          <w:b w:val="0"/>
          <w:bCs w:val="0"/>
          <w:color w:val="auto"/>
          <w:sz w:val="24"/>
          <w:highlight w:val="none"/>
          <w:lang w:val="en-US" w:eastAsia="zh-CN"/>
        </w:rPr>
        <w:t>或微信号</w:t>
      </w:r>
      <w:r>
        <w:rPr>
          <w:rFonts w:hint="eastAsia" w:ascii="宋体" w:hAnsi="宋体" w:eastAsia="宋体" w:cs="宋体"/>
          <w:b w:val="0"/>
          <w:bCs w:val="0"/>
          <w:color w:val="auto"/>
          <w:sz w:val="24"/>
          <w:highlight w:val="none"/>
          <w:lang w:val="en-US" w:eastAsia="zh-CN"/>
        </w:rPr>
        <w:t>：</w:t>
      </w:r>
      <w:r>
        <w:rPr>
          <w:rFonts w:hint="eastAsia"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w:t>
      </w:r>
    </w:p>
    <w:p w14:paraId="5851360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9.3 上述通知应被视为在下列时间送达：以快递或专人发送的，在收件人签收之日或拒收之日；以挂号邮件发出的，在发出之日起7个工作日；以电子邮件发出的，在电子邮件进入收件方电子邮箱服务器之日。</w:t>
      </w:r>
    </w:p>
    <w:p w14:paraId="464E105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9.4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p>
    <w:p w14:paraId="23F22044">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eastAsia="zh-CN"/>
        </w:rPr>
        <w:t>第</w:t>
      </w:r>
      <w:r>
        <w:rPr>
          <w:rFonts w:hint="eastAsia" w:ascii="宋体" w:hAnsi="宋体" w:eastAsia="宋体" w:cs="宋体"/>
          <w:b/>
          <w:bCs/>
          <w:color w:val="auto"/>
          <w:sz w:val="24"/>
          <w:highlight w:val="none"/>
          <w:lang w:val="en-US" w:eastAsia="zh-CN"/>
        </w:rPr>
        <w:t>十</w:t>
      </w:r>
      <w:r>
        <w:rPr>
          <w:rFonts w:hint="eastAsia" w:ascii="宋体" w:hAnsi="宋体" w:eastAsia="宋体" w:cs="宋体"/>
          <w:b/>
          <w:bCs/>
          <w:color w:val="auto"/>
          <w:sz w:val="24"/>
          <w:highlight w:val="none"/>
          <w:lang w:eastAsia="zh-CN"/>
        </w:rPr>
        <w:t>条</w:t>
      </w:r>
      <w:r>
        <w:rPr>
          <w:rFonts w:hint="eastAsia" w:ascii="宋体" w:hAnsi="宋体" w:eastAsia="宋体" w:cs="宋体"/>
          <w:b/>
          <w:bCs/>
          <w:color w:val="auto"/>
          <w:sz w:val="24"/>
          <w:highlight w:val="none"/>
          <w:lang w:val="en-US" w:eastAsia="zh-CN"/>
        </w:rPr>
        <w:t xml:space="preserve"> 合同的变更、解除</w:t>
      </w:r>
    </w:p>
    <w:p w14:paraId="6C580C2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 xml:space="preserve">10.1 </w:t>
      </w:r>
      <w:r>
        <w:rPr>
          <w:rFonts w:hint="eastAsia" w:ascii="宋体" w:hAnsi="宋体" w:eastAsia="宋体" w:cs="宋体"/>
          <w:color w:val="auto"/>
          <w:sz w:val="24"/>
          <w:highlight w:val="none"/>
          <w:lang w:val="en-US" w:eastAsia="zh-CN"/>
        </w:rPr>
        <w:t>本合同经双方协商一致后可以变更，双方应另行签订补充协议。</w:t>
      </w:r>
    </w:p>
    <w:p w14:paraId="51DE227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 xml:space="preserve">10.2 </w:t>
      </w:r>
      <w:r>
        <w:rPr>
          <w:rFonts w:hint="eastAsia" w:ascii="宋体" w:hAnsi="宋体" w:eastAsia="宋体" w:cs="宋体"/>
          <w:color w:val="auto"/>
          <w:sz w:val="24"/>
          <w:highlight w:val="none"/>
        </w:rPr>
        <w:t>乙方出现以下违约情形之一的，甲方有权拒绝支付任何价款并解除合同：</w:t>
      </w:r>
    </w:p>
    <w:p w14:paraId="648B3D4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10.2.1 乙方逾期7日仍未完成服务并通过验收的；</w:t>
      </w:r>
    </w:p>
    <w:p w14:paraId="2EF364E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 xml:space="preserve">10.2.2 乙方服务首次未通过验收，返工后仍不能通过验收的；                                                                                                                                                                                                                                                                                                                                                                                                                                                                                                                                                                                                                                                                                                                                                                                                                                                                                                                                                                                                                                                                                                                                                                                                                                                                                                                                                                                                                                                                                                                                                                                                                                                                                                                                                                                                                                                                                                                                                                                                                                                                                                                                                                                                                                                                                                                                                                                                                                                                                                                                                       </w:t>
      </w:r>
    </w:p>
    <w:p w14:paraId="6B71833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FF"/>
          <w:sz w:val="24"/>
          <w:highlight w:val="none"/>
          <w:lang w:val="en-US" w:eastAsia="zh-CN"/>
        </w:rPr>
      </w:pPr>
      <w:r>
        <w:rPr>
          <w:rFonts w:hint="eastAsia" w:ascii="宋体" w:hAnsi="宋体" w:eastAsia="宋体" w:cs="宋体"/>
          <w:b w:val="0"/>
          <w:bCs w:val="0"/>
          <w:color w:val="0000FF"/>
          <w:sz w:val="24"/>
          <w:highlight w:val="none"/>
          <w:lang w:val="en-US" w:eastAsia="zh-CN"/>
        </w:rPr>
        <w:t>10.2.3 乙方出具的测评报告不满足公安网监部门等级保护备案及复测要求的；</w:t>
      </w:r>
    </w:p>
    <w:p w14:paraId="21DCD0E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FF"/>
          <w:sz w:val="24"/>
          <w:highlight w:val="none"/>
          <w:lang w:val="en-US" w:eastAsia="zh-CN"/>
        </w:rPr>
      </w:pPr>
      <w:r>
        <w:rPr>
          <w:rFonts w:hint="eastAsia" w:ascii="宋体" w:hAnsi="宋体" w:eastAsia="宋体" w:cs="宋体"/>
          <w:b w:val="0"/>
          <w:bCs w:val="0"/>
          <w:color w:val="0000FF"/>
          <w:sz w:val="24"/>
          <w:highlight w:val="none"/>
          <w:lang w:val="en-US" w:eastAsia="zh-CN"/>
        </w:rPr>
        <w:t>10.2.4 合同期内，乙方</w:t>
      </w:r>
      <w:r>
        <w:rPr>
          <w:rFonts w:hint="default" w:ascii="宋体" w:hAnsi="宋体" w:eastAsia="宋体" w:cs="宋体"/>
          <w:b w:val="0"/>
          <w:bCs w:val="0"/>
          <w:color w:val="0000FF"/>
          <w:sz w:val="24"/>
          <w:highlight w:val="none"/>
          <w:lang w:val="en-US" w:eastAsia="zh-CN"/>
        </w:rPr>
        <w:t>出现资质过期、降级、被主管部门暂停或撤销从业资格</w:t>
      </w:r>
      <w:r>
        <w:rPr>
          <w:rFonts w:hint="eastAsia" w:ascii="宋体" w:hAnsi="宋体" w:eastAsia="宋体" w:cs="宋体"/>
          <w:b w:val="0"/>
          <w:bCs w:val="0"/>
          <w:color w:val="0000FF"/>
          <w:sz w:val="24"/>
          <w:highlight w:val="none"/>
          <w:lang w:val="en-US" w:eastAsia="zh-CN"/>
        </w:rPr>
        <w:t>情况的；</w:t>
      </w:r>
    </w:p>
    <w:p w14:paraId="17E3E94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10.2.5 乙方将本合同权利义务全部或部分转让给第三方的；</w:t>
      </w:r>
    </w:p>
    <w:p w14:paraId="2762D91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10.2.6 乙方违反保密条款或侵犯第三人的著作权及其他合法权利，给甲方造成损失或不良影响的；</w:t>
      </w:r>
    </w:p>
    <w:p w14:paraId="4AA2E7C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10.2.7 其他根本违约的情形。</w:t>
      </w:r>
    </w:p>
    <w:p w14:paraId="0ED41FD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z w:val="24"/>
          <w:highlight w:val="none"/>
        </w:rPr>
      </w:pPr>
      <w:r>
        <w:rPr>
          <w:rFonts w:hint="eastAsia" w:ascii="宋体" w:hAnsi="宋体" w:eastAsia="宋体" w:cs="宋体"/>
          <w:b/>
          <w:bCs/>
          <w:color w:val="auto"/>
          <w:sz w:val="24"/>
          <w:highlight w:val="none"/>
        </w:rPr>
        <w:t>第</w:t>
      </w:r>
      <w:r>
        <w:rPr>
          <w:rFonts w:hint="eastAsia" w:ascii="宋体" w:hAnsi="宋体" w:eastAsia="宋体" w:cs="宋体"/>
          <w:b/>
          <w:bCs/>
          <w:color w:val="auto"/>
          <w:sz w:val="24"/>
          <w:highlight w:val="none"/>
          <w:lang w:val="en-US" w:eastAsia="zh-CN"/>
        </w:rPr>
        <w:t>十一</w:t>
      </w:r>
      <w:r>
        <w:rPr>
          <w:rFonts w:hint="eastAsia" w:ascii="宋体" w:hAnsi="宋体" w:eastAsia="宋体" w:cs="宋体"/>
          <w:b/>
          <w:bCs/>
          <w:color w:val="auto"/>
          <w:sz w:val="24"/>
          <w:highlight w:val="none"/>
        </w:rPr>
        <w:t>条 违约责任</w:t>
      </w:r>
    </w:p>
    <w:p w14:paraId="548B73F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11.1 乙方未在本合同约定期限内完成全部测评服务且经甲方验收合格的，每逾期一日，应向甲方支付违约金</w:t>
      </w:r>
      <w:r>
        <w:rPr>
          <w:rFonts w:hint="eastAsia" w:ascii="宋体" w:hAnsi="宋体" w:eastAsia="宋体" w:cs="宋体"/>
          <w:b w:val="0"/>
          <w:bCs w:val="0"/>
          <w:color w:val="0000FF"/>
          <w:sz w:val="24"/>
          <w:highlight w:val="none"/>
          <w:u w:val="single"/>
          <w:lang w:val="en-US" w:eastAsia="zh-CN"/>
        </w:rPr>
        <w:t xml:space="preserve"> 2000.00 </w:t>
      </w:r>
      <w:r>
        <w:rPr>
          <w:rFonts w:hint="eastAsia" w:ascii="宋体" w:hAnsi="宋体" w:eastAsia="宋体" w:cs="宋体"/>
          <w:b w:val="0"/>
          <w:bCs w:val="0"/>
          <w:color w:val="0000FF"/>
          <w:sz w:val="24"/>
          <w:highlight w:val="none"/>
          <w:u w:val="none"/>
          <w:lang w:val="en-US" w:eastAsia="zh-CN"/>
        </w:rPr>
        <w:t>元</w:t>
      </w:r>
      <w:r>
        <w:rPr>
          <w:rFonts w:hint="eastAsia" w:ascii="宋体" w:hAnsi="宋体" w:eastAsia="宋体" w:cs="宋体"/>
          <w:b w:val="0"/>
          <w:bCs w:val="0"/>
          <w:color w:val="auto"/>
          <w:sz w:val="24"/>
          <w:highlight w:val="none"/>
          <w:lang w:val="en-US" w:eastAsia="zh-CN"/>
        </w:rPr>
        <w:t>。</w:t>
      </w:r>
    </w:p>
    <w:p w14:paraId="1BFEA41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11.2 如乙方单方面解除合同，或甲方因10.2情形解除合同，乙方除赔偿甲方由此造成的全部经济损失外，</w:t>
      </w:r>
      <w:r>
        <w:rPr>
          <w:rFonts w:hint="eastAsia" w:ascii="宋体" w:hAnsi="宋体" w:eastAsia="宋体" w:cs="宋体"/>
          <w:b w:val="0"/>
          <w:bCs w:val="0"/>
          <w:color w:val="FF0000"/>
          <w:sz w:val="24"/>
          <w:highlight w:val="none"/>
          <w:lang w:val="en-US" w:eastAsia="zh-CN"/>
        </w:rPr>
        <w:t>还须向甲方支付违约金</w:t>
      </w:r>
      <w:r>
        <w:rPr>
          <w:rFonts w:hint="eastAsia" w:ascii="宋体" w:hAnsi="宋体" w:eastAsia="宋体" w:cs="宋体"/>
          <w:b w:val="0"/>
          <w:bCs w:val="0"/>
          <w:color w:val="0000FF"/>
          <w:sz w:val="24"/>
          <w:highlight w:val="none"/>
          <w:u w:val="single"/>
          <w:lang w:val="en-US" w:eastAsia="zh-CN"/>
        </w:rPr>
        <w:t xml:space="preserve"> 110000.00 </w:t>
      </w:r>
      <w:r>
        <w:rPr>
          <w:rFonts w:hint="eastAsia" w:ascii="宋体" w:hAnsi="宋体" w:eastAsia="宋体" w:cs="宋体"/>
          <w:b w:val="0"/>
          <w:bCs w:val="0"/>
          <w:color w:val="FF0000"/>
          <w:sz w:val="24"/>
          <w:highlight w:val="none"/>
          <w:lang w:val="en-US" w:eastAsia="zh-CN"/>
        </w:rPr>
        <w:t>元</w:t>
      </w:r>
      <w:r>
        <w:rPr>
          <w:rFonts w:hint="eastAsia" w:ascii="宋体" w:hAnsi="宋体" w:eastAsia="宋体" w:cs="宋体"/>
          <w:b w:val="0"/>
          <w:bCs w:val="0"/>
          <w:color w:val="auto"/>
          <w:sz w:val="24"/>
          <w:highlight w:val="none"/>
          <w:lang w:val="en-US" w:eastAsia="zh-CN"/>
        </w:rPr>
        <w:t>。</w:t>
      </w:r>
    </w:p>
    <w:p w14:paraId="438DA006">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bCs/>
          <w:color w:val="auto"/>
          <w:sz w:val="24"/>
          <w:highlight w:val="none"/>
          <w:lang w:val="en-US" w:eastAsia="zh-CN"/>
        </w:rPr>
        <w:t>11.3 无论甲方在任意时候（不限于本合同履行期间）发现存在违反本合同廉洁条款的行为，乙方均须向甲方一次性支付惩罚性违约金</w:t>
      </w:r>
      <w:r>
        <w:rPr>
          <w:rFonts w:hint="eastAsia" w:ascii="宋体" w:hAnsi="宋体" w:eastAsia="宋体" w:cs="宋体"/>
          <w:b/>
          <w:bCs/>
          <w:color w:val="auto"/>
          <w:sz w:val="24"/>
          <w:highlight w:val="none"/>
          <w:u w:val="single"/>
          <w:lang w:val="en-US" w:eastAsia="zh-CN"/>
        </w:rPr>
        <w:t xml:space="preserve"> 75000.00 </w:t>
      </w:r>
      <w:r>
        <w:rPr>
          <w:rFonts w:hint="eastAsia" w:ascii="宋体" w:hAnsi="宋体" w:eastAsia="宋体" w:cs="宋体"/>
          <w:b/>
          <w:bCs/>
          <w:color w:val="auto"/>
          <w:sz w:val="24"/>
          <w:highlight w:val="none"/>
          <w:lang w:val="en-US" w:eastAsia="zh-CN"/>
        </w:rPr>
        <w:t>元。如乙方除需承担违反廉洁条款的违约责任外，同时存在其他违约行为，乙方仍须就其他违约行为承担相应违约责任。</w:t>
      </w:r>
    </w:p>
    <w:p w14:paraId="1179B2ED">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bCs/>
          <w:color w:val="auto"/>
          <w:sz w:val="24"/>
          <w:highlight w:val="none"/>
          <w:u w:val="single"/>
          <w:lang w:val="en-US" w:eastAsia="zh-CN"/>
        </w:rPr>
        <w:t>11.4 依据本合同约定乙方应支付给甲方的违约金，甲方有权在应支付给乙方的任意价款中直接予以扣除，如扣除部分不足，乙方应在接到甲方通知后3日内补足。</w:t>
      </w:r>
    </w:p>
    <w:p w14:paraId="3A2D05E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11.5 如因乙方提供本合同约定服务存在任何权利瑕疵，导致第三方向甲方主张权利，甲方由此产生的赔偿款、补偿款、律师费、诉讼费、差旅费等全部经济损失均由乙方承担。</w:t>
      </w:r>
    </w:p>
    <w:p w14:paraId="596B5EE4">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z w:val="24"/>
          <w:highlight w:val="none"/>
        </w:rPr>
      </w:pPr>
      <w:r>
        <w:rPr>
          <w:rFonts w:hint="eastAsia" w:ascii="宋体" w:hAnsi="宋体" w:eastAsia="宋体" w:cs="宋体"/>
          <w:b/>
          <w:bCs/>
          <w:color w:val="auto"/>
          <w:sz w:val="24"/>
          <w:highlight w:val="none"/>
        </w:rPr>
        <w:t>第</w:t>
      </w:r>
      <w:r>
        <w:rPr>
          <w:rFonts w:hint="eastAsia" w:ascii="宋体" w:hAnsi="宋体" w:cs="宋体"/>
          <w:b/>
          <w:bCs/>
          <w:color w:val="auto"/>
          <w:sz w:val="24"/>
          <w:highlight w:val="none"/>
          <w:lang w:val="en-US" w:eastAsia="zh-CN"/>
        </w:rPr>
        <w:t>十二</w:t>
      </w:r>
      <w:r>
        <w:rPr>
          <w:rFonts w:hint="eastAsia" w:ascii="宋体" w:hAnsi="宋体" w:eastAsia="宋体" w:cs="宋体"/>
          <w:b/>
          <w:bCs/>
          <w:color w:val="auto"/>
          <w:sz w:val="24"/>
          <w:highlight w:val="none"/>
        </w:rPr>
        <w:t>条 争议解决</w:t>
      </w:r>
    </w:p>
    <w:p w14:paraId="7B69D19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12.1 本合同适用中华人民共和国法律，并按其解释。</w:t>
      </w:r>
    </w:p>
    <w:p w14:paraId="439720E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 xml:space="preserve">12.2 </w:t>
      </w:r>
      <w:r>
        <w:rPr>
          <w:rFonts w:hint="eastAsia" w:ascii="宋体" w:hAnsi="宋体" w:eastAsia="宋体" w:cs="宋体"/>
          <w:color w:val="auto"/>
          <w:sz w:val="24"/>
          <w:highlight w:val="none"/>
        </w:rPr>
        <w:t>如双方在履行本合同过程中发生争议，双方应先协商解决，协商解决不成的，任一方均可向甲方所在地有管辖权的人民法院提起诉讼解决。</w:t>
      </w:r>
    </w:p>
    <w:p w14:paraId="05C19863">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z w:val="24"/>
          <w:highlight w:val="none"/>
        </w:rPr>
      </w:pPr>
      <w:r>
        <w:rPr>
          <w:rFonts w:hint="eastAsia" w:ascii="宋体" w:hAnsi="宋体" w:eastAsia="宋体" w:cs="宋体"/>
          <w:b/>
          <w:bCs/>
          <w:color w:val="auto"/>
          <w:sz w:val="24"/>
          <w:highlight w:val="none"/>
        </w:rPr>
        <w:t>第十</w:t>
      </w:r>
      <w:r>
        <w:rPr>
          <w:rFonts w:hint="eastAsia" w:ascii="宋体" w:hAnsi="宋体" w:eastAsia="宋体" w:cs="宋体"/>
          <w:b/>
          <w:bCs/>
          <w:color w:val="auto"/>
          <w:sz w:val="24"/>
          <w:highlight w:val="none"/>
          <w:lang w:val="en-US" w:eastAsia="zh-CN"/>
        </w:rPr>
        <w:t>三</w:t>
      </w:r>
      <w:r>
        <w:rPr>
          <w:rFonts w:hint="eastAsia" w:ascii="宋体" w:hAnsi="宋体" w:eastAsia="宋体" w:cs="宋体"/>
          <w:b/>
          <w:bCs/>
          <w:color w:val="auto"/>
          <w:sz w:val="24"/>
          <w:highlight w:val="none"/>
        </w:rPr>
        <w:t>条 附则</w:t>
      </w:r>
    </w:p>
    <w:p w14:paraId="49AE42A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 xml:space="preserve"> 乙方营业执照、</w:t>
      </w:r>
      <w:r>
        <w:rPr>
          <w:rFonts w:hint="eastAsia" w:ascii="宋体" w:hAnsi="宋体" w:eastAsia="宋体" w:cs="宋体"/>
          <w:color w:val="auto"/>
          <w:sz w:val="24"/>
          <w:highlight w:val="none"/>
          <w:lang w:val="en-US" w:eastAsia="zh-CN"/>
        </w:rPr>
        <w:t>法定代表人身份证明书、</w:t>
      </w:r>
      <w:r>
        <w:rPr>
          <w:rFonts w:hint="eastAsia" w:ascii="宋体" w:hAnsi="宋体" w:eastAsia="宋体" w:cs="宋体"/>
          <w:color w:val="auto"/>
          <w:sz w:val="24"/>
          <w:highlight w:val="none"/>
        </w:rPr>
        <w:t>授权委托文书、委托代理人身份证复印件等相关资质证明、乙方委派结算人员的授权委托书、受托人的身份证复印件、</w:t>
      </w:r>
      <w:r>
        <w:rPr>
          <w:rFonts w:hint="eastAsia" w:ascii="宋体" w:hAnsi="宋体" w:eastAsia="宋体" w:cs="宋体"/>
          <w:color w:val="auto"/>
          <w:sz w:val="24"/>
          <w:highlight w:val="none"/>
          <w:lang w:val="en-US" w:eastAsia="zh-CN"/>
        </w:rPr>
        <w:t>验收报告</w:t>
      </w:r>
      <w:r>
        <w:rPr>
          <w:rFonts w:hint="eastAsia" w:ascii="宋体" w:hAnsi="宋体" w:eastAsia="宋体" w:cs="宋体"/>
          <w:color w:val="auto"/>
          <w:sz w:val="24"/>
          <w:highlight w:val="none"/>
        </w:rPr>
        <w:t>单等作为本合同的附件。</w:t>
      </w:r>
    </w:p>
    <w:p w14:paraId="5B7826B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 xml:space="preserve">13.2 </w:t>
      </w:r>
      <w:r>
        <w:rPr>
          <w:rFonts w:hint="eastAsia" w:ascii="宋体" w:hAnsi="宋体" w:eastAsia="宋体" w:cs="宋体"/>
          <w:color w:val="auto"/>
          <w:sz w:val="24"/>
          <w:highlight w:val="none"/>
        </w:rPr>
        <w:t>本合同组成文件和优先解释顺序：</w:t>
      </w:r>
      <w:r>
        <w:rPr>
          <w:rFonts w:hint="eastAsia" w:ascii="宋体" w:hAnsi="宋体" w:eastAsia="宋体" w:cs="宋体"/>
          <w:color w:val="auto"/>
          <w:sz w:val="24"/>
          <w:highlight w:val="none"/>
          <w:lang w:eastAsia="zh-CN"/>
        </w:rPr>
        <w:t>乙方在履行本合同中作出的书面承诺；</w:t>
      </w:r>
      <w:r>
        <w:rPr>
          <w:rFonts w:hint="eastAsia" w:ascii="宋体" w:hAnsi="宋体" w:eastAsia="宋体" w:cs="宋体"/>
          <w:color w:val="auto"/>
          <w:sz w:val="24"/>
          <w:highlight w:val="none"/>
        </w:rPr>
        <w:t>本合同补充协议；本合同及附件；</w:t>
      </w:r>
      <w:r>
        <w:rPr>
          <w:rFonts w:hint="eastAsia" w:ascii="宋体" w:hAnsi="宋体" w:eastAsia="宋体" w:cs="宋体"/>
          <w:color w:val="auto"/>
          <w:sz w:val="24"/>
          <w:highlight w:val="none"/>
          <w:lang w:eastAsia="zh-CN"/>
        </w:rPr>
        <w:t>中标通知书</w:t>
      </w:r>
      <w:r>
        <w:rPr>
          <w:rFonts w:hint="eastAsia" w:ascii="宋体" w:hAnsi="宋体" w:eastAsia="宋体" w:cs="宋体"/>
          <w:color w:val="auto"/>
          <w:sz w:val="24"/>
          <w:highlight w:val="none"/>
          <w:lang w:val="en-US" w:eastAsia="zh-CN"/>
        </w:rPr>
        <w:t>/成交通知书/</w:t>
      </w:r>
      <w:r>
        <w:rPr>
          <w:rFonts w:hint="eastAsia" w:ascii="宋体" w:hAnsi="宋体" w:eastAsia="宋体" w:cs="宋体"/>
          <w:color w:val="auto"/>
          <w:sz w:val="24"/>
          <w:highlight w:val="none"/>
        </w:rPr>
        <w:t>议价结果公示</w:t>
      </w:r>
      <w:r>
        <w:rPr>
          <w:rFonts w:hint="eastAsia" w:ascii="宋体" w:hAnsi="宋体" w:eastAsia="宋体" w:cs="宋体"/>
          <w:color w:val="auto"/>
          <w:sz w:val="24"/>
          <w:highlight w:val="none"/>
          <w:lang w:val="en-US" w:eastAsia="zh-CN"/>
        </w:rPr>
        <w:t>/成交公告</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响应文件；</w:t>
      </w:r>
      <w:r>
        <w:rPr>
          <w:rFonts w:hint="eastAsia" w:ascii="宋体" w:hAnsi="宋体" w:eastAsia="宋体" w:cs="宋体"/>
          <w:color w:val="auto"/>
          <w:sz w:val="24"/>
          <w:highlight w:val="none"/>
          <w:lang w:eastAsia="zh-CN"/>
        </w:rPr>
        <w:t>招标文件</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采购文件</w:t>
      </w:r>
      <w:r>
        <w:rPr>
          <w:rFonts w:hint="eastAsia" w:ascii="宋体" w:hAnsi="宋体" w:eastAsia="宋体" w:cs="宋体"/>
          <w:color w:val="auto"/>
          <w:sz w:val="24"/>
          <w:highlight w:val="none"/>
          <w:lang w:val="en-US" w:eastAsia="zh-CN"/>
        </w:rPr>
        <w:t>/采购需求</w:t>
      </w:r>
      <w:r>
        <w:rPr>
          <w:rFonts w:hint="eastAsia" w:ascii="宋体" w:hAnsi="宋体" w:eastAsia="宋体" w:cs="宋体"/>
          <w:color w:val="auto"/>
          <w:sz w:val="24"/>
          <w:highlight w:val="none"/>
        </w:rPr>
        <w:t>；其他与本合同有关的资料。</w:t>
      </w:r>
    </w:p>
    <w:p w14:paraId="20A728E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 xml:space="preserve"> 本合同一式伍份，甲方执肆份、乙方执壹份，自双方签字并盖章</w:t>
      </w:r>
      <w:r>
        <w:rPr>
          <w:rFonts w:hint="eastAsia" w:ascii="宋体" w:hAnsi="宋体" w:eastAsia="宋体" w:cs="宋体"/>
          <w:color w:val="auto"/>
          <w:sz w:val="24"/>
          <w:highlight w:val="none"/>
          <w:lang w:eastAsia="zh-CN"/>
        </w:rPr>
        <w:t>后</w:t>
      </w:r>
      <w:r>
        <w:rPr>
          <w:rFonts w:hint="eastAsia" w:ascii="宋体" w:hAnsi="宋体" w:eastAsia="宋体" w:cs="宋体"/>
          <w:color w:val="auto"/>
          <w:sz w:val="24"/>
          <w:highlight w:val="none"/>
        </w:rPr>
        <w:t>生效。</w:t>
      </w:r>
    </w:p>
    <w:p w14:paraId="71C52CAB">
      <w:pPr>
        <w:keepNext w:val="0"/>
        <w:keepLines w:val="0"/>
        <w:pageBreakBefore w:val="0"/>
        <w:widowControl w:val="0"/>
        <w:kinsoku/>
        <w:wordWrap/>
        <w:overflowPunct/>
        <w:topLinePunct w:val="0"/>
        <w:autoSpaceDE/>
        <w:autoSpaceDN/>
        <w:bidi w:val="0"/>
        <w:adjustRightInd/>
        <w:snapToGrid/>
        <w:spacing w:line="520" w:lineRule="exact"/>
        <w:textAlignment w:val="auto"/>
        <w:rPr>
          <w:rFonts w:ascii="宋体" w:hAnsi="宋体" w:eastAsia="宋体" w:cs="宋体"/>
          <w:color w:val="auto"/>
          <w:sz w:val="24"/>
          <w:highlight w:val="none"/>
        </w:rPr>
      </w:pPr>
    </w:p>
    <w:p w14:paraId="2608C5C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ascii="宋体" w:hAnsi="宋体" w:eastAsia="宋体" w:cs="宋体"/>
          <w:color w:val="auto"/>
          <w:sz w:val="24"/>
          <w:highlight w:val="none"/>
        </w:rPr>
      </w:pPr>
      <w:r>
        <w:rPr>
          <w:rFonts w:ascii="宋体" w:hAnsi="宋体" w:eastAsia="宋体" w:cs="宋体"/>
          <w:color w:val="auto"/>
          <w:sz w:val="24"/>
          <w:highlight w:val="none"/>
        </w:rPr>
        <w:t>甲方（盖章）：</w:t>
      </w:r>
      <w:r>
        <w:rPr>
          <w:rFonts w:hint="eastAsia" w:ascii="宋体" w:hAnsi="宋体" w:eastAsia="宋体" w:cs="宋体"/>
          <w:color w:val="auto"/>
          <w:sz w:val="24"/>
          <w:highlight w:val="none"/>
        </w:rPr>
        <w:t>娄底市中心医院</w:t>
      </w:r>
      <w:r>
        <w:rPr>
          <w:rFonts w:ascii="宋体" w:hAnsi="宋体" w:eastAsia="宋体" w:cs="宋体"/>
          <w:color w:val="auto"/>
          <w:sz w:val="24"/>
          <w:highlight w:val="none"/>
        </w:rPr>
        <w:t xml:space="preserve">      </w:t>
      </w:r>
      <w:r>
        <w:rPr>
          <w:rFonts w:hint="eastAsia" w:ascii="宋体" w:hAnsi="宋体" w:eastAsia="宋体" w:cs="宋体"/>
          <w:color w:val="auto"/>
          <w:sz w:val="24"/>
          <w:highlight w:val="none"/>
        </w:rPr>
        <w:t xml:space="preserve">  </w:t>
      </w:r>
      <w:r>
        <w:rPr>
          <w:rFonts w:ascii="宋体" w:hAnsi="宋体" w:eastAsia="宋体" w:cs="宋体"/>
          <w:color w:val="auto"/>
          <w:sz w:val="24"/>
          <w:highlight w:val="none"/>
        </w:rPr>
        <w:t>乙方（盖章）</w:t>
      </w:r>
      <w:r>
        <w:rPr>
          <w:rFonts w:hint="eastAsia" w:ascii="宋体" w:hAnsi="宋体" w:eastAsia="宋体" w:cs="宋体"/>
          <w:color w:val="auto"/>
          <w:sz w:val="24"/>
          <w:highlight w:val="none"/>
        </w:rPr>
        <w:t>：</w:t>
      </w:r>
    </w:p>
    <w:p w14:paraId="10DEC52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ascii="宋体" w:hAnsi="宋体" w:eastAsia="宋体" w:cs="宋体"/>
          <w:color w:val="auto"/>
          <w:sz w:val="24"/>
          <w:highlight w:val="none"/>
        </w:rPr>
      </w:pPr>
    </w:p>
    <w:p w14:paraId="4D7B23A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highlight w:val="none"/>
        </w:rPr>
      </w:pPr>
      <w:r>
        <w:rPr>
          <w:rFonts w:ascii="宋体" w:hAnsi="宋体" w:eastAsia="宋体" w:cs="宋体"/>
          <w:color w:val="auto"/>
          <w:sz w:val="24"/>
          <w:highlight w:val="none"/>
        </w:rPr>
        <w:t xml:space="preserve">法定代表人（签字）：        </w:t>
      </w:r>
      <w:r>
        <w:rPr>
          <w:rFonts w:hint="eastAsia" w:ascii="宋体" w:hAnsi="宋体" w:eastAsia="宋体" w:cs="宋体"/>
          <w:color w:val="auto"/>
          <w:sz w:val="24"/>
          <w:highlight w:val="none"/>
        </w:rPr>
        <w:t xml:space="preserve">        </w:t>
      </w:r>
      <w:r>
        <w:rPr>
          <w:rFonts w:ascii="宋体" w:hAnsi="宋体" w:eastAsia="宋体" w:cs="宋体"/>
          <w:color w:val="auto"/>
          <w:sz w:val="24"/>
          <w:highlight w:val="none"/>
        </w:rPr>
        <w:t xml:space="preserve">法定代表人（签字）：  </w:t>
      </w:r>
    </w:p>
    <w:p w14:paraId="7E17BB4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highlight w:val="none"/>
        </w:rPr>
      </w:pPr>
    </w:p>
    <w:p w14:paraId="0A0A824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或</w:t>
      </w:r>
      <w:r>
        <w:rPr>
          <w:rFonts w:ascii="宋体" w:hAnsi="宋体" w:eastAsia="宋体" w:cs="宋体"/>
          <w:color w:val="auto"/>
          <w:sz w:val="24"/>
          <w:highlight w:val="none"/>
        </w:rPr>
        <w:t xml:space="preserve">委托代理人（签字）：        </w:t>
      </w:r>
      <w:r>
        <w:rPr>
          <w:rFonts w:hint="eastAsia" w:ascii="宋体" w:hAnsi="宋体" w:eastAsia="宋体" w:cs="宋体"/>
          <w:color w:val="auto"/>
          <w:sz w:val="24"/>
          <w:highlight w:val="none"/>
        </w:rPr>
        <w:t xml:space="preserve">      或</w:t>
      </w:r>
      <w:r>
        <w:rPr>
          <w:rFonts w:ascii="宋体" w:hAnsi="宋体" w:eastAsia="宋体" w:cs="宋体"/>
          <w:color w:val="auto"/>
          <w:sz w:val="24"/>
          <w:highlight w:val="none"/>
        </w:rPr>
        <w:t>委托代理人（签字）：</w:t>
      </w:r>
    </w:p>
    <w:p w14:paraId="2D177C6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ascii="宋体" w:hAnsi="宋体" w:eastAsia="宋体" w:cs="宋体"/>
          <w:color w:val="auto"/>
          <w:sz w:val="24"/>
          <w:highlight w:val="none"/>
        </w:rPr>
      </w:pPr>
    </w:p>
    <w:p w14:paraId="2F21D42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ascii="宋体" w:hAnsi="宋体" w:eastAsia="宋体" w:cs="宋体"/>
          <w:color w:val="auto"/>
          <w:sz w:val="24"/>
          <w:highlight w:val="none"/>
        </w:rPr>
      </w:pPr>
      <w:r>
        <w:rPr>
          <w:rFonts w:ascii="宋体" w:hAnsi="宋体" w:eastAsia="宋体" w:cs="宋体"/>
          <w:color w:val="auto"/>
          <w:sz w:val="24"/>
          <w:highlight w:val="none"/>
        </w:rPr>
        <w:t>合同签订地</w:t>
      </w:r>
      <w:r>
        <w:rPr>
          <w:rFonts w:hint="eastAsia" w:ascii="宋体" w:hAnsi="宋体" w:eastAsia="宋体" w:cs="宋体"/>
          <w:color w:val="auto"/>
          <w:sz w:val="24"/>
          <w:highlight w:val="none"/>
        </w:rPr>
        <w:t>履行地</w:t>
      </w:r>
      <w:r>
        <w:rPr>
          <w:rFonts w:ascii="宋体" w:hAnsi="宋体" w:eastAsia="宋体" w:cs="宋体"/>
          <w:color w:val="auto"/>
          <w:sz w:val="24"/>
          <w:highlight w:val="none"/>
        </w:rPr>
        <w:t xml:space="preserve">：娄底市娄星区 </w:t>
      </w: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w:t>
      </w:r>
      <w:r>
        <w:rPr>
          <w:rFonts w:ascii="宋体" w:hAnsi="宋体" w:eastAsia="宋体" w:cs="宋体"/>
          <w:color w:val="auto"/>
          <w:sz w:val="24"/>
          <w:highlight w:val="none"/>
        </w:rPr>
        <w:t>签订时间：</w:t>
      </w:r>
      <w:r>
        <w:rPr>
          <w:rFonts w:hint="eastAsia" w:ascii="宋体" w:hAnsi="宋体" w:eastAsia="宋体" w:cs="宋体"/>
          <w:color w:val="auto"/>
          <w:sz w:val="24"/>
          <w:highlight w:val="none"/>
        </w:rPr>
        <w:t xml:space="preserve">      </w:t>
      </w:r>
      <w:r>
        <w:rPr>
          <w:rFonts w:ascii="宋体" w:hAnsi="宋体" w:eastAsia="宋体" w:cs="宋体"/>
          <w:color w:val="auto"/>
          <w:sz w:val="24"/>
          <w:highlight w:val="none"/>
        </w:rPr>
        <w:t>年</w:t>
      </w:r>
      <w:r>
        <w:rPr>
          <w:rFonts w:hint="eastAsia" w:ascii="宋体" w:hAnsi="宋体" w:eastAsia="宋体" w:cs="宋体"/>
          <w:color w:val="auto"/>
          <w:sz w:val="24"/>
          <w:highlight w:val="none"/>
        </w:rPr>
        <w:t xml:space="preserve">     </w:t>
      </w:r>
      <w:r>
        <w:rPr>
          <w:rFonts w:ascii="宋体" w:hAnsi="宋体" w:eastAsia="宋体" w:cs="宋体"/>
          <w:color w:val="auto"/>
          <w:sz w:val="24"/>
          <w:highlight w:val="none"/>
        </w:rPr>
        <w:t>月</w:t>
      </w:r>
      <w:r>
        <w:rPr>
          <w:rFonts w:hint="eastAsia" w:ascii="宋体" w:hAnsi="宋体" w:eastAsia="宋体" w:cs="宋体"/>
          <w:color w:val="auto"/>
          <w:sz w:val="24"/>
          <w:highlight w:val="none"/>
        </w:rPr>
        <w:t xml:space="preserve">     </w:t>
      </w:r>
      <w:r>
        <w:rPr>
          <w:rFonts w:ascii="宋体" w:hAnsi="宋体" w:eastAsia="宋体" w:cs="宋体"/>
          <w:color w:val="auto"/>
          <w:sz w:val="24"/>
          <w:highlight w:val="none"/>
        </w:rPr>
        <w:t>日</w:t>
      </w:r>
    </w:p>
    <w:p w14:paraId="3CE917FC">
      <w:pPr>
        <w:rPr>
          <w:rFonts w:ascii="宋体" w:hAnsi="宋体" w:eastAsia="宋体" w:cs="宋体"/>
          <w:color w:val="auto"/>
          <w:sz w:val="24"/>
          <w:highlight w:val="none"/>
        </w:rPr>
      </w:pPr>
      <w:r>
        <w:rPr>
          <w:rFonts w:ascii="宋体" w:hAnsi="宋体" w:eastAsia="宋体" w:cs="宋体"/>
          <w:color w:val="auto"/>
          <w:sz w:val="24"/>
          <w:highlight w:val="none"/>
        </w:rPr>
        <w:br w:type="page"/>
      </w:r>
    </w:p>
    <w:p w14:paraId="4693BBB8">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附件一</w:t>
      </w:r>
    </w:p>
    <w:p w14:paraId="6AAE0B14">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center"/>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等保测评内容及相关具体要求</w:t>
      </w:r>
    </w:p>
    <w:p w14:paraId="6D4B53BF">
      <w:pPr>
        <w:adjustRightInd w:val="0"/>
        <w:snapToGrid w:val="0"/>
        <w:spacing w:line="400" w:lineRule="exact"/>
        <w:ind w:firstLine="482" w:firstLineChars="200"/>
        <w:rPr>
          <w:rFonts w:ascii="宋体" w:hAnsi="宋体"/>
          <w:b/>
          <w:bCs/>
          <w:color w:val="auto"/>
          <w:sz w:val="24"/>
        </w:rPr>
      </w:pPr>
      <w:r>
        <w:rPr>
          <w:rFonts w:hint="eastAsia" w:ascii="宋体" w:hAnsi="宋体"/>
          <w:b/>
          <w:bCs/>
          <w:color w:val="auto"/>
          <w:sz w:val="24"/>
          <w:lang w:val="en-US" w:eastAsia="zh-CN"/>
        </w:rPr>
        <w:t>1</w:t>
      </w:r>
      <w:r>
        <w:rPr>
          <w:rFonts w:hint="eastAsia" w:ascii="宋体" w:hAnsi="宋体"/>
          <w:b/>
          <w:bCs/>
          <w:color w:val="auto"/>
          <w:sz w:val="24"/>
        </w:rPr>
        <w:t>.测评内容</w:t>
      </w:r>
    </w:p>
    <w:p w14:paraId="5B61755F">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依据《信息安全技术网络安全等级保护基本要求》（</w:t>
      </w:r>
      <w:r>
        <w:rPr>
          <w:rFonts w:ascii="宋体" w:hAnsi="宋体"/>
          <w:color w:val="auto"/>
          <w:sz w:val="24"/>
        </w:rPr>
        <w:t>GB/T 22239-2019</w:t>
      </w:r>
      <w:r>
        <w:rPr>
          <w:rFonts w:hint="eastAsia" w:ascii="宋体" w:hAnsi="宋体"/>
          <w:color w:val="auto"/>
          <w:sz w:val="24"/>
        </w:rPr>
        <w:t>）三级要求，对信息系统进行等级测评，找出以上系统与国家标准要求之间的差距，对存在的风险进行评估，并出具《信息安全等级测评报告》《差距分析方案》</w:t>
      </w:r>
      <w:r>
        <w:rPr>
          <w:rFonts w:hint="eastAsia" w:ascii="宋体" w:hAnsi="宋体"/>
          <w:color w:val="auto"/>
          <w:sz w:val="24"/>
          <w:lang w:val="en-US" w:eastAsia="zh-CN"/>
        </w:rPr>
        <w:t>和《安全评估报告》</w:t>
      </w:r>
      <w:r>
        <w:rPr>
          <w:rFonts w:hint="eastAsia" w:ascii="宋体" w:hAnsi="宋体"/>
          <w:color w:val="auto"/>
          <w:sz w:val="24"/>
        </w:rPr>
        <w:t>。测评内容需包含：</w:t>
      </w:r>
    </w:p>
    <w:p w14:paraId="4F6753CE">
      <w:pPr>
        <w:adjustRightInd w:val="0"/>
        <w:snapToGrid w:val="0"/>
        <w:spacing w:line="400" w:lineRule="exact"/>
        <w:ind w:firstLine="482" w:firstLineChars="200"/>
        <w:rPr>
          <w:rFonts w:ascii="宋体" w:hAnsi="宋体"/>
          <w:b/>
          <w:bCs/>
          <w:color w:val="auto"/>
          <w:sz w:val="24"/>
        </w:rPr>
      </w:pPr>
      <w:r>
        <w:rPr>
          <w:rFonts w:hint="eastAsia" w:ascii="宋体" w:hAnsi="宋体"/>
          <w:b/>
          <w:bCs/>
          <w:color w:val="auto"/>
          <w:sz w:val="24"/>
        </w:rPr>
        <w:t>（1）</w:t>
      </w:r>
      <w:r>
        <w:rPr>
          <w:rFonts w:ascii="宋体" w:hAnsi="宋体"/>
          <w:b/>
          <w:bCs/>
          <w:color w:val="auto"/>
          <w:sz w:val="24"/>
        </w:rPr>
        <w:t>安全</w:t>
      </w:r>
      <w:r>
        <w:rPr>
          <w:rFonts w:hint="eastAsia" w:ascii="宋体" w:hAnsi="宋体"/>
          <w:b/>
          <w:bCs/>
          <w:color w:val="auto"/>
          <w:sz w:val="24"/>
        </w:rPr>
        <w:t>物理环境</w:t>
      </w:r>
    </w:p>
    <w:p w14:paraId="2BAA88E8">
      <w:pPr>
        <w:adjustRightInd w:val="0"/>
        <w:snapToGrid w:val="0"/>
        <w:spacing w:line="400" w:lineRule="exact"/>
        <w:ind w:firstLine="480" w:firstLineChars="200"/>
        <w:rPr>
          <w:rFonts w:ascii="宋体" w:hAnsi="宋体"/>
          <w:color w:val="auto"/>
          <w:sz w:val="24"/>
        </w:rPr>
      </w:pPr>
      <w:r>
        <w:rPr>
          <w:rFonts w:ascii="宋体" w:hAnsi="宋体"/>
          <w:color w:val="auto"/>
          <w:sz w:val="24"/>
        </w:rPr>
        <w:t>安全物理</w:t>
      </w:r>
      <w:r>
        <w:rPr>
          <w:rFonts w:hint="eastAsia" w:ascii="宋体" w:hAnsi="宋体"/>
          <w:color w:val="auto"/>
          <w:sz w:val="24"/>
        </w:rPr>
        <w:t>环境</w:t>
      </w:r>
      <w:r>
        <w:rPr>
          <w:rFonts w:ascii="宋体" w:hAnsi="宋体"/>
          <w:color w:val="auto"/>
          <w:sz w:val="24"/>
        </w:rPr>
        <w:t>测评</w:t>
      </w:r>
      <w:r>
        <w:rPr>
          <w:rFonts w:hint="eastAsia" w:ascii="宋体" w:hAnsi="宋体"/>
          <w:color w:val="auto"/>
          <w:sz w:val="24"/>
        </w:rPr>
        <w:t>：</w:t>
      </w:r>
      <w:r>
        <w:rPr>
          <w:rFonts w:ascii="宋体" w:hAnsi="宋体"/>
          <w:color w:val="auto"/>
          <w:sz w:val="24"/>
        </w:rPr>
        <w:t>通过访谈和检查的方式评测信息系统的物理安全保障情况。主要涉及对象为机房。</w:t>
      </w:r>
    </w:p>
    <w:p w14:paraId="5F7A4EDD">
      <w:pPr>
        <w:adjustRightInd w:val="0"/>
        <w:snapToGrid w:val="0"/>
        <w:spacing w:line="400" w:lineRule="exact"/>
        <w:ind w:firstLine="480" w:firstLineChars="200"/>
        <w:rPr>
          <w:rFonts w:ascii="宋体" w:hAnsi="宋体"/>
          <w:color w:val="auto"/>
          <w:sz w:val="24"/>
        </w:rPr>
      </w:pPr>
      <w:r>
        <w:rPr>
          <w:rFonts w:ascii="宋体" w:hAnsi="宋体"/>
          <w:color w:val="auto"/>
          <w:sz w:val="24"/>
        </w:rPr>
        <w:t>在内容上，物理安全层面测评实施过程涉及10个安全子类，具体如下表：</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6"/>
        <w:gridCol w:w="1085"/>
        <w:gridCol w:w="8411"/>
      </w:tblGrid>
      <w:tr w14:paraId="5330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008E108">
            <w:pPr>
              <w:jc w:val="center"/>
              <w:rPr>
                <w:rFonts w:hint="eastAsia"/>
                <w:b/>
                <w:bCs/>
                <w:color w:val="auto"/>
              </w:rPr>
            </w:pPr>
            <w:r>
              <w:rPr>
                <w:rFonts w:hint="eastAsia"/>
                <w:b/>
                <w:bCs/>
                <w:color w:val="auto"/>
              </w:rPr>
              <w:t>序号</w:t>
            </w:r>
          </w:p>
        </w:tc>
        <w:tc>
          <w:tcPr>
            <w:tcW w:w="727"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872F305">
            <w:pPr>
              <w:jc w:val="center"/>
              <w:rPr>
                <w:rFonts w:hint="eastAsia"/>
                <w:b/>
                <w:bCs/>
                <w:color w:val="auto"/>
              </w:rPr>
            </w:pPr>
            <w:r>
              <w:rPr>
                <w:rFonts w:hint="eastAsia"/>
                <w:b/>
                <w:bCs/>
                <w:color w:val="auto"/>
              </w:rPr>
              <w:t>安全子类</w:t>
            </w:r>
          </w:p>
        </w:tc>
        <w:tc>
          <w:tcPr>
            <w:tcW w:w="384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F3B4A02">
            <w:pPr>
              <w:jc w:val="center"/>
              <w:rPr>
                <w:rFonts w:hint="eastAsia"/>
                <w:b/>
                <w:bCs/>
                <w:color w:val="auto"/>
              </w:rPr>
            </w:pPr>
            <w:r>
              <w:rPr>
                <w:rFonts w:hint="eastAsia"/>
                <w:b/>
                <w:bCs/>
                <w:color w:val="auto"/>
              </w:rPr>
              <w:t>测评指标描述</w:t>
            </w:r>
          </w:p>
        </w:tc>
      </w:tr>
      <w:tr w14:paraId="2E52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284FD7C7">
            <w:pPr>
              <w:jc w:val="center"/>
              <w:rPr>
                <w:color w:val="auto"/>
              </w:rPr>
            </w:pPr>
            <w:r>
              <w:rPr>
                <w:rFonts w:hint="eastAsia"/>
                <w:color w:val="auto"/>
              </w:rPr>
              <w:t>1</w:t>
            </w:r>
          </w:p>
        </w:tc>
        <w:tc>
          <w:tcPr>
            <w:tcW w:w="727" w:type="pct"/>
            <w:tcBorders>
              <w:top w:val="single" w:color="auto" w:sz="4" w:space="0"/>
              <w:left w:val="single" w:color="auto" w:sz="4" w:space="0"/>
              <w:bottom w:val="single" w:color="auto" w:sz="4" w:space="0"/>
              <w:right w:val="single" w:color="auto" w:sz="4" w:space="0"/>
            </w:tcBorders>
            <w:noWrap/>
            <w:vAlign w:val="center"/>
          </w:tcPr>
          <w:p w14:paraId="242657A4">
            <w:pPr>
              <w:widowControl/>
              <w:jc w:val="center"/>
              <w:rPr>
                <w:color w:val="auto"/>
                <w:szCs w:val="21"/>
              </w:rPr>
            </w:pPr>
            <w:r>
              <w:rPr>
                <w:color w:val="auto"/>
                <w:szCs w:val="21"/>
              </w:rPr>
              <w:t>物理位置的选择</w:t>
            </w:r>
          </w:p>
        </w:tc>
        <w:tc>
          <w:tcPr>
            <w:tcW w:w="3840" w:type="pct"/>
            <w:tcBorders>
              <w:top w:val="single" w:color="auto" w:sz="4" w:space="0"/>
              <w:left w:val="single" w:color="auto" w:sz="4" w:space="0"/>
              <w:bottom w:val="single" w:color="auto" w:sz="4" w:space="0"/>
              <w:right w:val="single" w:color="auto" w:sz="4" w:space="0"/>
            </w:tcBorders>
            <w:noWrap/>
            <w:vAlign w:val="center"/>
          </w:tcPr>
          <w:p w14:paraId="0EA813AC">
            <w:pPr>
              <w:widowControl/>
              <w:rPr>
                <w:color w:val="auto"/>
                <w:szCs w:val="21"/>
              </w:rPr>
            </w:pPr>
            <w:r>
              <w:rPr>
                <w:color w:val="auto"/>
                <w:szCs w:val="21"/>
              </w:rPr>
              <w:t>通过访谈物理安全负责人，检查机房，测评机房物理场所在位置上是否具有防震、防风和防雨等多方面的安全防范能力。</w:t>
            </w:r>
          </w:p>
        </w:tc>
      </w:tr>
      <w:tr w14:paraId="4871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71E9C3D8">
            <w:pPr>
              <w:jc w:val="center"/>
              <w:rPr>
                <w:color w:val="auto"/>
              </w:rPr>
            </w:pPr>
            <w:r>
              <w:rPr>
                <w:rFonts w:hint="eastAsia"/>
                <w:color w:val="auto"/>
              </w:rPr>
              <w:t>2</w:t>
            </w:r>
          </w:p>
        </w:tc>
        <w:tc>
          <w:tcPr>
            <w:tcW w:w="727" w:type="pct"/>
            <w:tcBorders>
              <w:top w:val="single" w:color="auto" w:sz="4" w:space="0"/>
              <w:left w:val="single" w:color="auto" w:sz="4" w:space="0"/>
              <w:bottom w:val="single" w:color="auto" w:sz="4" w:space="0"/>
              <w:right w:val="single" w:color="auto" w:sz="4" w:space="0"/>
            </w:tcBorders>
            <w:noWrap/>
            <w:vAlign w:val="center"/>
          </w:tcPr>
          <w:p w14:paraId="11B3AD19">
            <w:pPr>
              <w:widowControl/>
              <w:jc w:val="center"/>
              <w:rPr>
                <w:color w:val="auto"/>
                <w:szCs w:val="21"/>
              </w:rPr>
            </w:pPr>
            <w:r>
              <w:rPr>
                <w:color w:val="auto"/>
                <w:szCs w:val="21"/>
              </w:rPr>
              <w:t>物理访问控制</w:t>
            </w:r>
          </w:p>
        </w:tc>
        <w:tc>
          <w:tcPr>
            <w:tcW w:w="3840" w:type="pct"/>
            <w:tcBorders>
              <w:top w:val="single" w:color="auto" w:sz="4" w:space="0"/>
              <w:left w:val="single" w:color="auto" w:sz="4" w:space="0"/>
              <w:bottom w:val="single" w:color="auto" w:sz="4" w:space="0"/>
              <w:right w:val="single" w:color="auto" w:sz="4" w:space="0"/>
            </w:tcBorders>
            <w:noWrap/>
            <w:vAlign w:val="center"/>
          </w:tcPr>
          <w:p w14:paraId="6AF2011E">
            <w:pPr>
              <w:widowControl/>
              <w:rPr>
                <w:color w:val="auto"/>
                <w:szCs w:val="21"/>
              </w:rPr>
            </w:pPr>
            <w:r>
              <w:rPr>
                <w:color w:val="auto"/>
                <w:szCs w:val="21"/>
              </w:rPr>
              <w:t>通过访谈物理安全负责人，检查机房出入口等过程，测评信息系统在物理访问控制方面的安全防范能力。</w:t>
            </w:r>
          </w:p>
        </w:tc>
      </w:tr>
      <w:tr w14:paraId="6B3C5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0A9235CB">
            <w:pPr>
              <w:jc w:val="center"/>
              <w:rPr>
                <w:color w:val="auto"/>
              </w:rPr>
            </w:pPr>
            <w:r>
              <w:rPr>
                <w:rFonts w:hint="eastAsia"/>
                <w:color w:val="auto"/>
              </w:rPr>
              <w:t>3</w:t>
            </w:r>
          </w:p>
        </w:tc>
        <w:tc>
          <w:tcPr>
            <w:tcW w:w="727" w:type="pct"/>
            <w:tcBorders>
              <w:top w:val="single" w:color="auto" w:sz="4" w:space="0"/>
              <w:left w:val="single" w:color="auto" w:sz="4" w:space="0"/>
              <w:bottom w:val="single" w:color="auto" w:sz="4" w:space="0"/>
              <w:right w:val="single" w:color="auto" w:sz="4" w:space="0"/>
            </w:tcBorders>
            <w:noWrap/>
            <w:vAlign w:val="center"/>
          </w:tcPr>
          <w:p w14:paraId="7C7290B8">
            <w:pPr>
              <w:widowControl/>
              <w:jc w:val="center"/>
              <w:rPr>
                <w:color w:val="auto"/>
                <w:szCs w:val="21"/>
              </w:rPr>
            </w:pPr>
            <w:r>
              <w:rPr>
                <w:color w:val="auto"/>
                <w:szCs w:val="21"/>
              </w:rPr>
              <w:t>防盗窃和防破坏</w:t>
            </w:r>
          </w:p>
        </w:tc>
        <w:tc>
          <w:tcPr>
            <w:tcW w:w="3840" w:type="pct"/>
            <w:tcBorders>
              <w:top w:val="single" w:color="auto" w:sz="4" w:space="0"/>
              <w:left w:val="single" w:color="auto" w:sz="4" w:space="0"/>
              <w:bottom w:val="single" w:color="auto" w:sz="4" w:space="0"/>
              <w:right w:val="single" w:color="auto" w:sz="4" w:space="0"/>
            </w:tcBorders>
            <w:noWrap/>
            <w:vAlign w:val="center"/>
          </w:tcPr>
          <w:p w14:paraId="7ACBC6D1">
            <w:pPr>
              <w:widowControl/>
              <w:rPr>
                <w:color w:val="auto"/>
                <w:szCs w:val="21"/>
              </w:rPr>
            </w:pPr>
            <w:r>
              <w:rPr>
                <w:color w:val="auto"/>
                <w:szCs w:val="21"/>
              </w:rPr>
              <w:t>通过访谈物理安全负责人，检查机房内的主要设备、介质和防盗报警设施等过程，测评信息系统是否采取必要的措施预防设备、介质等丢失和被破坏。</w:t>
            </w:r>
          </w:p>
        </w:tc>
      </w:tr>
      <w:tr w14:paraId="0A41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21B70C98">
            <w:pPr>
              <w:jc w:val="center"/>
              <w:rPr>
                <w:color w:val="auto"/>
              </w:rPr>
            </w:pPr>
            <w:r>
              <w:rPr>
                <w:rFonts w:hint="eastAsia"/>
                <w:color w:val="auto"/>
              </w:rPr>
              <w:t>4</w:t>
            </w:r>
          </w:p>
        </w:tc>
        <w:tc>
          <w:tcPr>
            <w:tcW w:w="727" w:type="pct"/>
            <w:tcBorders>
              <w:top w:val="single" w:color="auto" w:sz="4" w:space="0"/>
              <w:left w:val="single" w:color="auto" w:sz="4" w:space="0"/>
              <w:bottom w:val="single" w:color="auto" w:sz="4" w:space="0"/>
              <w:right w:val="single" w:color="auto" w:sz="4" w:space="0"/>
            </w:tcBorders>
            <w:noWrap/>
            <w:vAlign w:val="center"/>
          </w:tcPr>
          <w:p w14:paraId="57793EAF">
            <w:pPr>
              <w:widowControl/>
              <w:jc w:val="center"/>
              <w:rPr>
                <w:color w:val="auto"/>
                <w:szCs w:val="21"/>
              </w:rPr>
            </w:pPr>
            <w:r>
              <w:rPr>
                <w:color w:val="auto"/>
                <w:szCs w:val="21"/>
              </w:rPr>
              <w:t>防雷击</w:t>
            </w:r>
          </w:p>
        </w:tc>
        <w:tc>
          <w:tcPr>
            <w:tcW w:w="3840" w:type="pct"/>
            <w:tcBorders>
              <w:top w:val="single" w:color="auto" w:sz="4" w:space="0"/>
              <w:left w:val="single" w:color="auto" w:sz="4" w:space="0"/>
              <w:bottom w:val="single" w:color="auto" w:sz="4" w:space="0"/>
              <w:right w:val="single" w:color="auto" w:sz="4" w:space="0"/>
            </w:tcBorders>
            <w:noWrap/>
            <w:vAlign w:val="center"/>
          </w:tcPr>
          <w:p w14:paraId="6BD6E388">
            <w:pPr>
              <w:widowControl/>
              <w:rPr>
                <w:color w:val="auto"/>
                <w:szCs w:val="21"/>
              </w:rPr>
            </w:pPr>
            <w:r>
              <w:rPr>
                <w:color w:val="auto"/>
                <w:szCs w:val="21"/>
              </w:rPr>
              <w:t>通过访谈物理安全负责人，检查机房设计/验收文档，测评信息系统是否采取相应的措施预防雷击。</w:t>
            </w:r>
          </w:p>
        </w:tc>
      </w:tr>
      <w:tr w14:paraId="0916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5DA81E2C">
            <w:pPr>
              <w:jc w:val="center"/>
              <w:rPr>
                <w:color w:val="auto"/>
              </w:rPr>
            </w:pPr>
            <w:r>
              <w:rPr>
                <w:rFonts w:hint="eastAsia"/>
                <w:color w:val="auto"/>
              </w:rPr>
              <w:t>5</w:t>
            </w:r>
          </w:p>
        </w:tc>
        <w:tc>
          <w:tcPr>
            <w:tcW w:w="727" w:type="pct"/>
            <w:tcBorders>
              <w:top w:val="single" w:color="auto" w:sz="4" w:space="0"/>
              <w:left w:val="single" w:color="auto" w:sz="4" w:space="0"/>
              <w:bottom w:val="single" w:color="auto" w:sz="4" w:space="0"/>
              <w:right w:val="single" w:color="auto" w:sz="4" w:space="0"/>
            </w:tcBorders>
            <w:noWrap/>
            <w:vAlign w:val="center"/>
          </w:tcPr>
          <w:p w14:paraId="32738DC6">
            <w:pPr>
              <w:widowControl/>
              <w:jc w:val="center"/>
              <w:rPr>
                <w:color w:val="auto"/>
                <w:szCs w:val="21"/>
              </w:rPr>
            </w:pPr>
            <w:r>
              <w:rPr>
                <w:color w:val="auto"/>
                <w:szCs w:val="21"/>
              </w:rPr>
              <w:t>防火</w:t>
            </w:r>
          </w:p>
        </w:tc>
        <w:tc>
          <w:tcPr>
            <w:tcW w:w="3840" w:type="pct"/>
            <w:tcBorders>
              <w:top w:val="single" w:color="auto" w:sz="4" w:space="0"/>
              <w:left w:val="single" w:color="auto" w:sz="4" w:space="0"/>
              <w:bottom w:val="single" w:color="auto" w:sz="4" w:space="0"/>
              <w:right w:val="single" w:color="auto" w:sz="4" w:space="0"/>
            </w:tcBorders>
            <w:noWrap/>
            <w:vAlign w:val="center"/>
          </w:tcPr>
          <w:p w14:paraId="1513F67E">
            <w:pPr>
              <w:widowControl/>
              <w:rPr>
                <w:color w:val="auto"/>
                <w:szCs w:val="21"/>
              </w:rPr>
            </w:pPr>
            <w:r>
              <w:rPr>
                <w:color w:val="auto"/>
                <w:szCs w:val="21"/>
              </w:rPr>
              <w:t>通过访谈物理安全负责人，检查机房防火方面的安全管理制度，检查机房防火设备等过程，测评信息系统是否采取必要的措施防止火灾的发生。</w:t>
            </w:r>
          </w:p>
        </w:tc>
      </w:tr>
      <w:tr w14:paraId="50E1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256EB74B">
            <w:pPr>
              <w:jc w:val="center"/>
              <w:rPr>
                <w:color w:val="auto"/>
              </w:rPr>
            </w:pPr>
            <w:r>
              <w:rPr>
                <w:rFonts w:hint="eastAsia"/>
                <w:color w:val="auto"/>
              </w:rPr>
              <w:t>6</w:t>
            </w:r>
          </w:p>
        </w:tc>
        <w:tc>
          <w:tcPr>
            <w:tcW w:w="727" w:type="pct"/>
            <w:tcBorders>
              <w:top w:val="single" w:color="auto" w:sz="4" w:space="0"/>
              <w:left w:val="single" w:color="auto" w:sz="4" w:space="0"/>
              <w:bottom w:val="single" w:color="auto" w:sz="4" w:space="0"/>
              <w:right w:val="single" w:color="auto" w:sz="4" w:space="0"/>
            </w:tcBorders>
            <w:noWrap/>
            <w:vAlign w:val="center"/>
          </w:tcPr>
          <w:p w14:paraId="51D5096B">
            <w:pPr>
              <w:widowControl/>
              <w:jc w:val="center"/>
              <w:rPr>
                <w:color w:val="auto"/>
                <w:szCs w:val="21"/>
              </w:rPr>
            </w:pPr>
            <w:r>
              <w:rPr>
                <w:color w:val="auto"/>
                <w:szCs w:val="21"/>
              </w:rPr>
              <w:t>防水和防潮</w:t>
            </w:r>
          </w:p>
        </w:tc>
        <w:tc>
          <w:tcPr>
            <w:tcW w:w="3840" w:type="pct"/>
            <w:tcBorders>
              <w:top w:val="single" w:color="auto" w:sz="4" w:space="0"/>
              <w:left w:val="single" w:color="auto" w:sz="4" w:space="0"/>
              <w:bottom w:val="single" w:color="auto" w:sz="4" w:space="0"/>
              <w:right w:val="single" w:color="auto" w:sz="4" w:space="0"/>
            </w:tcBorders>
            <w:noWrap/>
            <w:vAlign w:val="center"/>
          </w:tcPr>
          <w:p w14:paraId="11A7469A">
            <w:pPr>
              <w:widowControl/>
              <w:rPr>
                <w:color w:val="auto"/>
                <w:szCs w:val="21"/>
              </w:rPr>
            </w:pPr>
            <w:r>
              <w:rPr>
                <w:color w:val="auto"/>
                <w:szCs w:val="21"/>
              </w:rPr>
              <w:t>通过访谈物理安全负责人，检查机房及其除潮设备等过程，测评信息系统是否采取必要措施来防止水灾和机房潮湿。</w:t>
            </w:r>
          </w:p>
        </w:tc>
      </w:tr>
      <w:tr w14:paraId="323C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44FB0DD6">
            <w:pPr>
              <w:jc w:val="center"/>
              <w:rPr>
                <w:color w:val="auto"/>
              </w:rPr>
            </w:pPr>
            <w:r>
              <w:rPr>
                <w:rFonts w:hint="eastAsia"/>
                <w:color w:val="auto"/>
              </w:rPr>
              <w:t>7</w:t>
            </w:r>
          </w:p>
        </w:tc>
        <w:tc>
          <w:tcPr>
            <w:tcW w:w="727" w:type="pct"/>
            <w:tcBorders>
              <w:top w:val="single" w:color="auto" w:sz="4" w:space="0"/>
              <w:left w:val="single" w:color="auto" w:sz="4" w:space="0"/>
              <w:bottom w:val="single" w:color="auto" w:sz="4" w:space="0"/>
              <w:right w:val="single" w:color="auto" w:sz="4" w:space="0"/>
            </w:tcBorders>
            <w:noWrap/>
            <w:vAlign w:val="center"/>
          </w:tcPr>
          <w:p w14:paraId="606B30C1">
            <w:pPr>
              <w:widowControl/>
              <w:jc w:val="center"/>
              <w:rPr>
                <w:color w:val="auto"/>
                <w:szCs w:val="21"/>
              </w:rPr>
            </w:pPr>
            <w:r>
              <w:rPr>
                <w:color w:val="auto"/>
                <w:szCs w:val="21"/>
              </w:rPr>
              <w:t>防静电</w:t>
            </w:r>
          </w:p>
        </w:tc>
        <w:tc>
          <w:tcPr>
            <w:tcW w:w="3840" w:type="pct"/>
            <w:tcBorders>
              <w:top w:val="single" w:color="auto" w:sz="4" w:space="0"/>
              <w:left w:val="single" w:color="auto" w:sz="4" w:space="0"/>
              <w:bottom w:val="single" w:color="auto" w:sz="4" w:space="0"/>
              <w:right w:val="single" w:color="auto" w:sz="4" w:space="0"/>
            </w:tcBorders>
            <w:noWrap/>
            <w:vAlign w:val="center"/>
          </w:tcPr>
          <w:p w14:paraId="42561FC7">
            <w:pPr>
              <w:widowControl/>
              <w:rPr>
                <w:color w:val="auto"/>
                <w:szCs w:val="21"/>
              </w:rPr>
            </w:pPr>
            <w:r>
              <w:rPr>
                <w:color w:val="auto"/>
                <w:szCs w:val="21"/>
              </w:rPr>
              <w:t>通过访谈物理安全负责人，检查机房等过程，测评信息系统是否采取必要措施防止静电的产生。</w:t>
            </w:r>
          </w:p>
        </w:tc>
      </w:tr>
      <w:tr w14:paraId="5522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63E075AF">
            <w:pPr>
              <w:jc w:val="center"/>
              <w:rPr>
                <w:color w:val="auto"/>
              </w:rPr>
            </w:pPr>
            <w:r>
              <w:rPr>
                <w:rFonts w:hint="eastAsia"/>
                <w:color w:val="auto"/>
              </w:rPr>
              <w:t>8</w:t>
            </w:r>
          </w:p>
        </w:tc>
        <w:tc>
          <w:tcPr>
            <w:tcW w:w="727" w:type="pct"/>
            <w:tcBorders>
              <w:top w:val="single" w:color="auto" w:sz="4" w:space="0"/>
              <w:left w:val="single" w:color="auto" w:sz="4" w:space="0"/>
              <w:bottom w:val="single" w:color="auto" w:sz="4" w:space="0"/>
              <w:right w:val="single" w:color="auto" w:sz="4" w:space="0"/>
            </w:tcBorders>
            <w:noWrap/>
            <w:vAlign w:val="center"/>
          </w:tcPr>
          <w:p w14:paraId="02F628B2">
            <w:pPr>
              <w:widowControl/>
              <w:jc w:val="center"/>
              <w:rPr>
                <w:color w:val="auto"/>
                <w:szCs w:val="21"/>
              </w:rPr>
            </w:pPr>
            <w:r>
              <w:rPr>
                <w:color w:val="auto"/>
                <w:szCs w:val="21"/>
              </w:rPr>
              <w:t>温湿度控制</w:t>
            </w:r>
          </w:p>
        </w:tc>
        <w:tc>
          <w:tcPr>
            <w:tcW w:w="3840" w:type="pct"/>
            <w:tcBorders>
              <w:top w:val="single" w:color="auto" w:sz="4" w:space="0"/>
              <w:left w:val="single" w:color="auto" w:sz="4" w:space="0"/>
              <w:bottom w:val="single" w:color="auto" w:sz="4" w:space="0"/>
              <w:right w:val="single" w:color="auto" w:sz="4" w:space="0"/>
            </w:tcBorders>
            <w:noWrap/>
            <w:vAlign w:val="center"/>
          </w:tcPr>
          <w:p w14:paraId="31409CD4">
            <w:pPr>
              <w:widowControl/>
              <w:rPr>
                <w:color w:val="auto"/>
                <w:szCs w:val="21"/>
              </w:rPr>
            </w:pPr>
            <w:r>
              <w:rPr>
                <w:color w:val="auto"/>
                <w:szCs w:val="21"/>
              </w:rPr>
              <w:t>通过访谈物理安全负责人，检查机房的温湿度自动调节系统，测评信息系统是否采取必要措施对机房内的温湿度进行控制。</w:t>
            </w:r>
          </w:p>
        </w:tc>
      </w:tr>
      <w:tr w14:paraId="04DD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04050C3F">
            <w:pPr>
              <w:jc w:val="center"/>
              <w:rPr>
                <w:color w:val="auto"/>
              </w:rPr>
            </w:pPr>
            <w:r>
              <w:rPr>
                <w:rFonts w:hint="eastAsia"/>
                <w:color w:val="auto"/>
              </w:rPr>
              <w:t>9</w:t>
            </w:r>
          </w:p>
        </w:tc>
        <w:tc>
          <w:tcPr>
            <w:tcW w:w="727" w:type="pct"/>
            <w:tcBorders>
              <w:top w:val="single" w:color="auto" w:sz="4" w:space="0"/>
              <w:left w:val="single" w:color="auto" w:sz="4" w:space="0"/>
              <w:bottom w:val="single" w:color="auto" w:sz="4" w:space="0"/>
              <w:right w:val="single" w:color="auto" w:sz="4" w:space="0"/>
            </w:tcBorders>
            <w:noWrap/>
            <w:vAlign w:val="center"/>
          </w:tcPr>
          <w:p w14:paraId="6326953B">
            <w:pPr>
              <w:widowControl/>
              <w:jc w:val="center"/>
              <w:rPr>
                <w:color w:val="auto"/>
                <w:szCs w:val="21"/>
              </w:rPr>
            </w:pPr>
            <w:r>
              <w:rPr>
                <w:color w:val="auto"/>
                <w:szCs w:val="21"/>
              </w:rPr>
              <w:t>电力供应</w:t>
            </w:r>
          </w:p>
        </w:tc>
        <w:tc>
          <w:tcPr>
            <w:tcW w:w="3840" w:type="pct"/>
            <w:tcBorders>
              <w:top w:val="single" w:color="auto" w:sz="4" w:space="0"/>
              <w:left w:val="single" w:color="auto" w:sz="4" w:space="0"/>
              <w:bottom w:val="single" w:color="auto" w:sz="4" w:space="0"/>
              <w:right w:val="single" w:color="auto" w:sz="4" w:space="0"/>
            </w:tcBorders>
            <w:noWrap/>
            <w:vAlign w:val="center"/>
          </w:tcPr>
          <w:p w14:paraId="6620EC5F">
            <w:pPr>
              <w:widowControl/>
              <w:rPr>
                <w:color w:val="auto"/>
                <w:szCs w:val="21"/>
              </w:rPr>
            </w:pPr>
            <w:r>
              <w:rPr>
                <w:color w:val="auto"/>
                <w:szCs w:val="21"/>
              </w:rPr>
              <w:t>通过访谈物理安全负责人，检查机房供电线路、设备等过程，测评是否具备为信息系统提供一定电力供应的能力。</w:t>
            </w:r>
          </w:p>
        </w:tc>
      </w:tr>
      <w:tr w14:paraId="5D35F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32" w:type="pct"/>
            <w:tcBorders>
              <w:top w:val="single" w:color="auto" w:sz="4" w:space="0"/>
              <w:left w:val="single" w:color="auto" w:sz="4" w:space="0"/>
              <w:bottom w:val="single" w:color="auto" w:sz="4" w:space="0"/>
              <w:right w:val="single" w:color="auto" w:sz="4" w:space="0"/>
            </w:tcBorders>
            <w:noWrap/>
            <w:vAlign w:val="center"/>
          </w:tcPr>
          <w:p w14:paraId="69CCF5A2">
            <w:pPr>
              <w:jc w:val="center"/>
              <w:rPr>
                <w:color w:val="auto"/>
              </w:rPr>
            </w:pPr>
            <w:r>
              <w:rPr>
                <w:rFonts w:hint="eastAsia"/>
                <w:color w:val="auto"/>
              </w:rPr>
              <w:t>1</w:t>
            </w:r>
            <w:r>
              <w:rPr>
                <w:color w:val="auto"/>
              </w:rPr>
              <w:t>0</w:t>
            </w:r>
          </w:p>
        </w:tc>
        <w:tc>
          <w:tcPr>
            <w:tcW w:w="727" w:type="pct"/>
            <w:tcBorders>
              <w:top w:val="single" w:color="auto" w:sz="4" w:space="0"/>
              <w:left w:val="single" w:color="auto" w:sz="4" w:space="0"/>
              <w:bottom w:val="single" w:color="auto" w:sz="4" w:space="0"/>
              <w:right w:val="single" w:color="auto" w:sz="4" w:space="0"/>
            </w:tcBorders>
            <w:noWrap/>
            <w:vAlign w:val="center"/>
          </w:tcPr>
          <w:p w14:paraId="20016E36">
            <w:pPr>
              <w:widowControl/>
              <w:jc w:val="center"/>
              <w:rPr>
                <w:color w:val="auto"/>
                <w:szCs w:val="21"/>
              </w:rPr>
            </w:pPr>
            <w:r>
              <w:rPr>
                <w:color w:val="auto"/>
                <w:szCs w:val="21"/>
              </w:rPr>
              <w:t>电磁防护</w:t>
            </w:r>
          </w:p>
        </w:tc>
        <w:tc>
          <w:tcPr>
            <w:tcW w:w="3840" w:type="pct"/>
            <w:tcBorders>
              <w:top w:val="single" w:color="auto" w:sz="4" w:space="0"/>
              <w:left w:val="single" w:color="auto" w:sz="4" w:space="0"/>
              <w:bottom w:val="single" w:color="auto" w:sz="4" w:space="0"/>
              <w:right w:val="single" w:color="auto" w:sz="4" w:space="0"/>
            </w:tcBorders>
            <w:noWrap/>
            <w:vAlign w:val="center"/>
          </w:tcPr>
          <w:p w14:paraId="6B65F18C">
            <w:pPr>
              <w:widowControl/>
              <w:rPr>
                <w:color w:val="auto"/>
                <w:szCs w:val="21"/>
              </w:rPr>
            </w:pPr>
            <w:r>
              <w:rPr>
                <w:color w:val="auto"/>
                <w:szCs w:val="21"/>
              </w:rPr>
              <w:t>通过访谈物理安全负责人，检查主要设备等过程，测评信息系统是否具备一定的电磁防护能力。</w:t>
            </w:r>
          </w:p>
        </w:tc>
      </w:tr>
    </w:tbl>
    <w:p w14:paraId="75567D9F">
      <w:pPr>
        <w:adjustRightInd w:val="0"/>
        <w:snapToGrid w:val="0"/>
        <w:spacing w:line="400" w:lineRule="exact"/>
        <w:ind w:firstLine="482" w:firstLineChars="200"/>
        <w:rPr>
          <w:rFonts w:ascii="宋体" w:hAnsi="宋体"/>
          <w:b/>
          <w:bCs/>
          <w:color w:val="auto"/>
          <w:sz w:val="24"/>
        </w:rPr>
      </w:pPr>
      <w:r>
        <w:rPr>
          <w:rFonts w:hint="eastAsia" w:ascii="宋体" w:hAnsi="宋体"/>
          <w:b/>
          <w:bCs/>
          <w:color w:val="auto"/>
          <w:sz w:val="24"/>
        </w:rPr>
        <w:t>（2）</w:t>
      </w:r>
      <w:r>
        <w:rPr>
          <w:rFonts w:ascii="宋体" w:hAnsi="宋体"/>
          <w:b/>
          <w:bCs/>
          <w:color w:val="auto"/>
          <w:sz w:val="24"/>
        </w:rPr>
        <w:t>安全</w:t>
      </w:r>
      <w:r>
        <w:rPr>
          <w:rFonts w:hint="eastAsia" w:ascii="宋体" w:hAnsi="宋体"/>
          <w:b/>
          <w:bCs/>
          <w:color w:val="auto"/>
          <w:sz w:val="24"/>
        </w:rPr>
        <w:t>通信</w:t>
      </w:r>
      <w:r>
        <w:rPr>
          <w:rFonts w:ascii="宋体" w:hAnsi="宋体"/>
          <w:b/>
          <w:bCs/>
          <w:color w:val="auto"/>
          <w:sz w:val="24"/>
        </w:rPr>
        <w:t>网络</w:t>
      </w:r>
    </w:p>
    <w:p w14:paraId="691E060D">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安全通信网络</w:t>
      </w:r>
      <w:r>
        <w:rPr>
          <w:rFonts w:ascii="宋体" w:hAnsi="宋体"/>
          <w:color w:val="auto"/>
          <w:sz w:val="24"/>
        </w:rPr>
        <w:t>测评</w:t>
      </w:r>
      <w:r>
        <w:rPr>
          <w:rFonts w:hint="eastAsia" w:ascii="宋体" w:hAnsi="宋体"/>
          <w:color w:val="auto"/>
          <w:sz w:val="24"/>
        </w:rPr>
        <w:t>：</w:t>
      </w:r>
      <w:r>
        <w:rPr>
          <w:rFonts w:ascii="宋体" w:hAnsi="宋体"/>
          <w:color w:val="auto"/>
          <w:sz w:val="24"/>
        </w:rPr>
        <w:t>通过访谈、检查和测试的方式评测信息系统的网络安全保障情况。主要涉及对象机房的网络设备、网络安全设备以及网络拓扑结构等三大类对象。在内容上，</w:t>
      </w:r>
      <w:r>
        <w:rPr>
          <w:rFonts w:hint="eastAsia" w:ascii="宋体" w:hAnsi="宋体"/>
          <w:color w:val="auto"/>
          <w:sz w:val="24"/>
        </w:rPr>
        <w:t>通信网络安全</w:t>
      </w:r>
      <w:r>
        <w:rPr>
          <w:rFonts w:ascii="宋体" w:hAnsi="宋体"/>
          <w:color w:val="auto"/>
          <w:sz w:val="24"/>
        </w:rPr>
        <w:t>层面测评过程涉及</w:t>
      </w:r>
      <w:r>
        <w:rPr>
          <w:rFonts w:hint="eastAsia" w:ascii="宋体" w:hAnsi="宋体"/>
          <w:color w:val="auto"/>
          <w:sz w:val="24"/>
        </w:rPr>
        <w:t>3</w:t>
      </w:r>
      <w:r>
        <w:rPr>
          <w:rFonts w:ascii="宋体" w:hAnsi="宋体"/>
          <w:color w:val="auto"/>
          <w:sz w:val="24"/>
        </w:rPr>
        <w:t>个工作单元。</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325"/>
        <w:gridCol w:w="7848"/>
      </w:tblGrid>
      <w:tr w14:paraId="63BC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AC4CC46">
            <w:pPr>
              <w:jc w:val="center"/>
              <w:rPr>
                <w:rFonts w:hint="eastAsia"/>
                <w:b/>
                <w:bCs/>
                <w:color w:val="auto"/>
              </w:rPr>
            </w:pPr>
            <w:r>
              <w:rPr>
                <w:rFonts w:hint="eastAsia"/>
                <w:b/>
                <w:bCs/>
                <w:color w:val="auto"/>
              </w:rPr>
              <w:t>序号</w:t>
            </w:r>
          </w:p>
        </w:tc>
        <w:tc>
          <w:tcPr>
            <w:tcW w:w="665"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929EE89">
            <w:pPr>
              <w:jc w:val="center"/>
              <w:rPr>
                <w:rFonts w:hint="eastAsia"/>
                <w:b/>
                <w:bCs/>
                <w:color w:val="auto"/>
              </w:rPr>
            </w:pPr>
            <w:r>
              <w:rPr>
                <w:rFonts w:hint="eastAsia"/>
                <w:b/>
                <w:bCs/>
                <w:color w:val="auto"/>
              </w:rPr>
              <w:t>安全子类</w:t>
            </w:r>
          </w:p>
        </w:tc>
        <w:tc>
          <w:tcPr>
            <w:tcW w:w="393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BEA435C">
            <w:pPr>
              <w:jc w:val="center"/>
              <w:rPr>
                <w:rFonts w:hint="eastAsia"/>
                <w:b/>
                <w:bCs/>
                <w:color w:val="auto"/>
              </w:rPr>
            </w:pPr>
            <w:r>
              <w:rPr>
                <w:rFonts w:hint="eastAsia"/>
                <w:b/>
                <w:bCs/>
                <w:color w:val="auto"/>
              </w:rPr>
              <w:t>测评指标描述</w:t>
            </w:r>
          </w:p>
        </w:tc>
      </w:tr>
      <w:tr w14:paraId="14AB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30BB99DE">
            <w:pPr>
              <w:jc w:val="center"/>
              <w:rPr>
                <w:color w:val="auto"/>
              </w:rPr>
            </w:pPr>
            <w:r>
              <w:rPr>
                <w:rFonts w:hint="eastAsia"/>
                <w:color w:val="auto"/>
              </w:rPr>
              <w:t>1</w:t>
            </w:r>
          </w:p>
        </w:tc>
        <w:tc>
          <w:tcPr>
            <w:tcW w:w="665" w:type="pct"/>
            <w:tcBorders>
              <w:top w:val="single" w:color="auto" w:sz="4" w:space="0"/>
              <w:left w:val="single" w:color="auto" w:sz="4" w:space="0"/>
              <w:bottom w:val="single" w:color="auto" w:sz="4" w:space="0"/>
              <w:right w:val="single" w:color="auto" w:sz="4" w:space="0"/>
            </w:tcBorders>
            <w:noWrap/>
            <w:vAlign w:val="center"/>
          </w:tcPr>
          <w:p w14:paraId="1ADC0303">
            <w:pPr>
              <w:widowControl/>
              <w:jc w:val="center"/>
              <w:rPr>
                <w:color w:val="auto"/>
                <w:szCs w:val="21"/>
              </w:rPr>
            </w:pPr>
            <w:r>
              <w:rPr>
                <w:rFonts w:hint="eastAsia"/>
                <w:color w:val="auto"/>
                <w:szCs w:val="21"/>
              </w:rPr>
              <w:t>网络架构</w:t>
            </w:r>
          </w:p>
        </w:tc>
        <w:tc>
          <w:tcPr>
            <w:tcW w:w="3939" w:type="pct"/>
            <w:tcBorders>
              <w:top w:val="single" w:color="auto" w:sz="4" w:space="0"/>
              <w:left w:val="single" w:color="auto" w:sz="4" w:space="0"/>
              <w:bottom w:val="single" w:color="auto" w:sz="4" w:space="0"/>
              <w:right w:val="single" w:color="auto" w:sz="4" w:space="0"/>
            </w:tcBorders>
            <w:noWrap/>
            <w:vAlign w:val="center"/>
          </w:tcPr>
          <w:p w14:paraId="1693D4C3">
            <w:pPr>
              <w:widowControl/>
              <w:rPr>
                <w:color w:val="auto"/>
                <w:szCs w:val="21"/>
              </w:rPr>
            </w:pPr>
            <w:r>
              <w:rPr>
                <w:color w:val="auto"/>
                <w:szCs w:val="21"/>
              </w:rPr>
              <w:t>通过访谈网络管理员，检查网络拓扑情况、核查核心交换机、路由器，测评分析网络架构与网段划分、隔离等情况的合理性和有效性。</w:t>
            </w:r>
          </w:p>
        </w:tc>
      </w:tr>
      <w:tr w14:paraId="06D16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74CE4098">
            <w:pPr>
              <w:jc w:val="center"/>
              <w:rPr>
                <w:color w:val="auto"/>
              </w:rPr>
            </w:pPr>
            <w:r>
              <w:rPr>
                <w:rFonts w:hint="eastAsia"/>
                <w:color w:val="auto"/>
              </w:rPr>
              <w:t>2</w:t>
            </w:r>
          </w:p>
        </w:tc>
        <w:tc>
          <w:tcPr>
            <w:tcW w:w="665" w:type="pct"/>
            <w:tcBorders>
              <w:top w:val="single" w:color="auto" w:sz="4" w:space="0"/>
              <w:left w:val="single" w:color="auto" w:sz="4" w:space="0"/>
              <w:bottom w:val="single" w:color="auto" w:sz="4" w:space="0"/>
              <w:right w:val="single" w:color="auto" w:sz="4" w:space="0"/>
            </w:tcBorders>
            <w:noWrap/>
            <w:vAlign w:val="center"/>
          </w:tcPr>
          <w:p w14:paraId="01DBF892">
            <w:pPr>
              <w:widowControl/>
              <w:jc w:val="center"/>
              <w:rPr>
                <w:color w:val="auto"/>
                <w:szCs w:val="21"/>
              </w:rPr>
            </w:pPr>
            <w:r>
              <w:rPr>
                <w:rFonts w:hint="eastAsia"/>
                <w:color w:val="auto"/>
                <w:szCs w:val="21"/>
              </w:rPr>
              <w:t>通信传输</w:t>
            </w:r>
          </w:p>
        </w:tc>
        <w:tc>
          <w:tcPr>
            <w:tcW w:w="3939" w:type="pct"/>
            <w:tcBorders>
              <w:top w:val="single" w:color="auto" w:sz="4" w:space="0"/>
              <w:left w:val="single" w:color="auto" w:sz="4" w:space="0"/>
              <w:bottom w:val="single" w:color="auto" w:sz="4" w:space="0"/>
              <w:right w:val="single" w:color="auto" w:sz="4" w:space="0"/>
            </w:tcBorders>
            <w:noWrap/>
            <w:vAlign w:val="center"/>
          </w:tcPr>
          <w:p w14:paraId="38515763">
            <w:pPr>
              <w:widowControl/>
              <w:rPr>
                <w:color w:val="auto"/>
                <w:szCs w:val="21"/>
              </w:rPr>
            </w:pPr>
            <w:r>
              <w:rPr>
                <w:color w:val="auto"/>
                <w:szCs w:val="21"/>
              </w:rPr>
              <w:t>通过访谈</w:t>
            </w:r>
            <w:r>
              <w:rPr>
                <w:rFonts w:hint="eastAsia"/>
                <w:color w:val="auto"/>
                <w:szCs w:val="21"/>
              </w:rPr>
              <w:t>网络管理员</w:t>
            </w:r>
            <w:r>
              <w:rPr>
                <w:color w:val="auto"/>
                <w:szCs w:val="21"/>
              </w:rPr>
              <w:t>，检查</w:t>
            </w:r>
            <w:r>
              <w:rPr>
                <w:rFonts w:hint="eastAsia"/>
                <w:color w:val="auto"/>
                <w:szCs w:val="21"/>
              </w:rPr>
              <w:t>各硬件设备传输过程中是否采用加密技术</w:t>
            </w:r>
            <w:r>
              <w:rPr>
                <w:color w:val="auto"/>
                <w:szCs w:val="21"/>
              </w:rPr>
              <w:t>。</w:t>
            </w:r>
          </w:p>
        </w:tc>
      </w:tr>
      <w:tr w14:paraId="4530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5383EA26">
            <w:pPr>
              <w:jc w:val="center"/>
              <w:rPr>
                <w:color w:val="auto"/>
              </w:rPr>
            </w:pPr>
            <w:r>
              <w:rPr>
                <w:rFonts w:hint="eastAsia"/>
                <w:color w:val="auto"/>
              </w:rPr>
              <w:t>3</w:t>
            </w:r>
          </w:p>
        </w:tc>
        <w:tc>
          <w:tcPr>
            <w:tcW w:w="665" w:type="pct"/>
            <w:tcBorders>
              <w:top w:val="single" w:color="auto" w:sz="4" w:space="0"/>
              <w:left w:val="single" w:color="auto" w:sz="4" w:space="0"/>
              <w:bottom w:val="single" w:color="auto" w:sz="4" w:space="0"/>
              <w:right w:val="single" w:color="auto" w:sz="4" w:space="0"/>
            </w:tcBorders>
            <w:noWrap/>
            <w:vAlign w:val="center"/>
          </w:tcPr>
          <w:p w14:paraId="0A859494">
            <w:pPr>
              <w:widowControl/>
              <w:jc w:val="center"/>
              <w:rPr>
                <w:color w:val="auto"/>
                <w:szCs w:val="21"/>
              </w:rPr>
            </w:pPr>
            <w:r>
              <w:rPr>
                <w:rFonts w:hint="eastAsia"/>
                <w:color w:val="auto"/>
                <w:szCs w:val="21"/>
              </w:rPr>
              <w:t>可信验证</w:t>
            </w:r>
          </w:p>
        </w:tc>
        <w:tc>
          <w:tcPr>
            <w:tcW w:w="3939" w:type="pct"/>
            <w:tcBorders>
              <w:top w:val="single" w:color="auto" w:sz="4" w:space="0"/>
              <w:left w:val="single" w:color="auto" w:sz="4" w:space="0"/>
              <w:bottom w:val="single" w:color="auto" w:sz="4" w:space="0"/>
              <w:right w:val="single" w:color="auto" w:sz="4" w:space="0"/>
            </w:tcBorders>
            <w:noWrap/>
            <w:vAlign w:val="center"/>
          </w:tcPr>
          <w:p w14:paraId="6F3F78C2">
            <w:pPr>
              <w:widowControl/>
              <w:rPr>
                <w:color w:val="auto"/>
                <w:szCs w:val="21"/>
              </w:rPr>
            </w:pPr>
            <w:r>
              <w:rPr>
                <w:rFonts w:hint="eastAsia"/>
                <w:color w:val="auto"/>
                <w:szCs w:val="21"/>
              </w:rPr>
              <w:t>通过访谈网络管理员，检查各硬件设备传输过程中是否采用可信验证技术。</w:t>
            </w:r>
          </w:p>
        </w:tc>
      </w:tr>
    </w:tbl>
    <w:p w14:paraId="24506DE1">
      <w:pPr>
        <w:adjustRightInd w:val="0"/>
        <w:snapToGrid w:val="0"/>
        <w:spacing w:line="400" w:lineRule="exact"/>
        <w:ind w:firstLine="482" w:firstLineChars="200"/>
        <w:rPr>
          <w:rFonts w:ascii="宋体" w:hAnsi="宋体"/>
          <w:b/>
          <w:bCs/>
          <w:color w:val="auto"/>
          <w:sz w:val="24"/>
        </w:rPr>
      </w:pPr>
      <w:r>
        <w:rPr>
          <w:rFonts w:hint="eastAsia" w:ascii="宋体" w:hAnsi="宋体"/>
          <w:b/>
          <w:bCs/>
          <w:color w:val="auto"/>
          <w:sz w:val="24"/>
        </w:rPr>
        <w:t>（3）安全区域边界</w:t>
      </w:r>
    </w:p>
    <w:p w14:paraId="59D855A2">
      <w:pPr>
        <w:adjustRightInd w:val="0"/>
        <w:snapToGrid w:val="0"/>
        <w:spacing w:line="400" w:lineRule="exact"/>
        <w:ind w:firstLine="480" w:firstLineChars="200"/>
        <w:rPr>
          <w:rFonts w:ascii="宋体" w:hAnsi="宋体"/>
          <w:color w:val="auto"/>
          <w:sz w:val="24"/>
        </w:rPr>
      </w:pPr>
      <w:r>
        <w:rPr>
          <w:rFonts w:ascii="宋体" w:hAnsi="宋体"/>
          <w:color w:val="auto"/>
          <w:sz w:val="24"/>
        </w:rPr>
        <w:t>安全</w:t>
      </w:r>
      <w:r>
        <w:rPr>
          <w:rFonts w:hint="eastAsia" w:ascii="宋体" w:hAnsi="宋体"/>
          <w:color w:val="auto"/>
          <w:sz w:val="24"/>
        </w:rPr>
        <w:t>区域边界</w:t>
      </w:r>
      <w:r>
        <w:rPr>
          <w:rFonts w:ascii="宋体" w:hAnsi="宋体"/>
          <w:color w:val="auto"/>
          <w:sz w:val="24"/>
        </w:rPr>
        <w:t>测评</w:t>
      </w:r>
      <w:r>
        <w:rPr>
          <w:rFonts w:hint="eastAsia" w:ascii="宋体" w:hAnsi="宋体"/>
          <w:color w:val="auto"/>
          <w:sz w:val="24"/>
        </w:rPr>
        <w:t>：</w:t>
      </w:r>
      <w:r>
        <w:rPr>
          <w:rFonts w:ascii="宋体" w:hAnsi="宋体"/>
          <w:color w:val="auto"/>
          <w:sz w:val="24"/>
        </w:rPr>
        <w:t>通过访谈、检查和测试的方式评测信息系统的</w:t>
      </w:r>
      <w:r>
        <w:rPr>
          <w:rFonts w:hint="eastAsia" w:ascii="宋体" w:hAnsi="宋体"/>
          <w:color w:val="auto"/>
          <w:sz w:val="24"/>
        </w:rPr>
        <w:t>边界防护，</w:t>
      </w:r>
      <w:r>
        <w:rPr>
          <w:rFonts w:ascii="宋体" w:hAnsi="宋体"/>
          <w:color w:val="auto"/>
          <w:sz w:val="24"/>
        </w:rPr>
        <w:t>在内容上，</w:t>
      </w:r>
      <w:r>
        <w:rPr>
          <w:rFonts w:hint="eastAsia" w:ascii="宋体" w:hAnsi="宋体"/>
          <w:color w:val="auto"/>
          <w:sz w:val="24"/>
        </w:rPr>
        <w:t>安全区域边界</w:t>
      </w:r>
      <w:r>
        <w:rPr>
          <w:rFonts w:ascii="宋体" w:hAnsi="宋体"/>
          <w:color w:val="auto"/>
          <w:sz w:val="24"/>
        </w:rPr>
        <w:t>测评实施过程涉及</w:t>
      </w:r>
      <w:r>
        <w:rPr>
          <w:rFonts w:hint="eastAsia" w:ascii="宋体" w:hAnsi="宋体"/>
          <w:color w:val="auto"/>
          <w:sz w:val="24"/>
        </w:rPr>
        <w:t>6</w:t>
      </w:r>
      <w:r>
        <w:rPr>
          <w:rFonts w:ascii="宋体" w:hAnsi="宋体"/>
          <w:color w:val="auto"/>
          <w:sz w:val="24"/>
        </w:rPr>
        <w:t>个安全子类。</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2687"/>
        <w:gridCol w:w="6320"/>
      </w:tblGrid>
      <w:tr w14:paraId="3EF7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849009F">
            <w:pPr>
              <w:jc w:val="center"/>
              <w:rPr>
                <w:b/>
                <w:color w:val="auto"/>
                <w:kern w:val="0"/>
                <w:szCs w:val="21"/>
              </w:rPr>
            </w:pPr>
            <w:r>
              <w:rPr>
                <w:b/>
                <w:color w:val="auto"/>
                <w:kern w:val="0"/>
                <w:szCs w:val="21"/>
              </w:rPr>
              <w:t>序号</w:t>
            </w:r>
          </w:p>
        </w:tc>
        <w:tc>
          <w:tcPr>
            <w:tcW w:w="134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5112593">
            <w:pPr>
              <w:jc w:val="center"/>
              <w:rPr>
                <w:b/>
                <w:color w:val="auto"/>
                <w:kern w:val="0"/>
                <w:szCs w:val="21"/>
              </w:rPr>
            </w:pPr>
            <w:r>
              <w:rPr>
                <w:b/>
                <w:color w:val="auto"/>
                <w:kern w:val="0"/>
                <w:szCs w:val="21"/>
              </w:rPr>
              <w:t>安全子类</w:t>
            </w:r>
          </w:p>
        </w:tc>
        <w:tc>
          <w:tcPr>
            <w:tcW w:w="317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375742D">
            <w:pPr>
              <w:jc w:val="center"/>
              <w:rPr>
                <w:b/>
                <w:color w:val="auto"/>
                <w:kern w:val="0"/>
                <w:szCs w:val="21"/>
              </w:rPr>
            </w:pPr>
            <w:r>
              <w:rPr>
                <w:b/>
                <w:color w:val="auto"/>
                <w:kern w:val="0"/>
                <w:szCs w:val="21"/>
              </w:rPr>
              <w:t>测评指标描述</w:t>
            </w:r>
          </w:p>
        </w:tc>
      </w:tr>
      <w:tr w14:paraId="61D0E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79" w:type="pct"/>
            <w:tcBorders>
              <w:top w:val="single" w:color="auto" w:sz="4" w:space="0"/>
              <w:left w:val="single" w:color="auto" w:sz="4" w:space="0"/>
              <w:bottom w:val="single" w:color="auto" w:sz="4" w:space="0"/>
              <w:right w:val="single" w:color="auto" w:sz="4" w:space="0"/>
            </w:tcBorders>
            <w:noWrap/>
            <w:vAlign w:val="center"/>
          </w:tcPr>
          <w:p w14:paraId="6BEB48C8">
            <w:pPr>
              <w:jc w:val="center"/>
              <w:rPr>
                <w:color w:val="auto"/>
              </w:rPr>
            </w:pPr>
            <w:r>
              <w:rPr>
                <w:rFonts w:hint="eastAsia"/>
                <w:color w:val="auto"/>
              </w:rPr>
              <w:t>1</w:t>
            </w:r>
          </w:p>
        </w:tc>
        <w:tc>
          <w:tcPr>
            <w:tcW w:w="1349" w:type="pct"/>
            <w:tcBorders>
              <w:top w:val="single" w:color="auto" w:sz="4" w:space="0"/>
              <w:left w:val="single" w:color="auto" w:sz="4" w:space="0"/>
              <w:bottom w:val="single" w:color="auto" w:sz="4" w:space="0"/>
              <w:right w:val="single" w:color="auto" w:sz="4" w:space="0"/>
            </w:tcBorders>
            <w:noWrap/>
            <w:vAlign w:val="center"/>
          </w:tcPr>
          <w:p w14:paraId="73699E1C">
            <w:pPr>
              <w:widowControl/>
              <w:jc w:val="center"/>
              <w:rPr>
                <w:color w:val="auto"/>
                <w:szCs w:val="21"/>
              </w:rPr>
            </w:pPr>
            <w:r>
              <w:rPr>
                <w:rFonts w:hint="eastAsia"/>
                <w:color w:val="auto"/>
                <w:szCs w:val="21"/>
              </w:rPr>
              <w:t>边界防护</w:t>
            </w:r>
          </w:p>
        </w:tc>
        <w:tc>
          <w:tcPr>
            <w:tcW w:w="3171" w:type="pct"/>
            <w:tcBorders>
              <w:top w:val="single" w:color="auto" w:sz="4" w:space="0"/>
              <w:left w:val="single" w:color="auto" w:sz="4" w:space="0"/>
              <w:bottom w:val="single" w:color="auto" w:sz="4" w:space="0"/>
              <w:right w:val="single" w:color="auto" w:sz="4" w:space="0"/>
            </w:tcBorders>
            <w:noWrap/>
            <w:vAlign w:val="center"/>
          </w:tcPr>
          <w:p w14:paraId="041E7E0A">
            <w:pPr>
              <w:widowControl/>
              <w:rPr>
                <w:color w:val="auto"/>
                <w:szCs w:val="21"/>
              </w:rPr>
            </w:pPr>
            <w:r>
              <w:rPr>
                <w:rFonts w:hint="eastAsia"/>
                <w:color w:val="auto"/>
                <w:szCs w:val="21"/>
              </w:rPr>
              <w:t>通过访谈网络管理员，查看边界设备防护措施。</w:t>
            </w:r>
          </w:p>
        </w:tc>
      </w:tr>
      <w:tr w14:paraId="2AF3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79" w:type="pct"/>
            <w:tcBorders>
              <w:top w:val="single" w:color="auto" w:sz="4" w:space="0"/>
              <w:left w:val="single" w:color="auto" w:sz="4" w:space="0"/>
              <w:bottom w:val="single" w:color="auto" w:sz="4" w:space="0"/>
              <w:right w:val="single" w:color="auto" w:sz="4" w:space="0"/>
            </w:tcBorders>
            <w:noWrap/>
            <w:vAlign w:val="center"/>
          </w:tcPr>
          <w:p w14:paraId="399060DC">
            <w:pPr>
              <w:jc w:val="center"/>
              <w:rPr>
                <w:color w:val="auto"/>
              </w:rPr>
            </w:pPr>
            <w:r>
              <w:rPr>
                <w:rFonts w:hint="eastAsia"/>
                <w:color w:val="auto"/>
              </w:rPr>
              <w:t>2</w:t>
            </w:r>
          </w:p>
        </w:tc>
        <w:tc>
          <w:tcPr>
            <w:tcW w:w="1349" w:type="pct"/>
            <w:tcBorders>
              <w:top w:val="single" w:color="auto" w:sz="4" w:space="0"/>
              <w:left w:val="single" w:color="auto" w:sz="4" w:space="0"/>
              <w:bottom w:val="single" w:color="auto" w:sz="4" w:space="0"/>
              <w:right w:val="single" w:color="auto" w:sz="4" w:space="0"/>
            </w:tcBorders>
            <w:noWrap/>
            <w:vAlign w:val="center"/>
          </w:tcPr>
          <w:p w14:paraId="5F447871">
            <w:pPr>
              <w:widowControl/>
              <w:jc w:val="center"/>
              <w:rPr>
                <w:color w:val="auto"/>
                <w:szCs w:val="21"/>
              </w:rPr>
            </w:pPr>
            <w:r>
              <w:rPr>
                <w:color w:val="auto"/>
                <w:szCs w:val="21"/>
              </w:rPr>
              <w:t>访问控制</w:t>
            </w:r>
          </w:p>
        </w:tc>
        <w:tc>
          <w:tcPr>
            <w:tcW w:w="3171" w:type="pct"/>
            <w:tcBorders>
              <w:top w:val="single" w:color="auto" w:sz="4" w:space="0"/>
              <w:left w:val="single" w:color="auto" w:sz="4" w:space="0"/>
              <w:bottom w:val="single" w:color="auto" w:sz="4" w:space="0"/>
              <w:right w:val="single" w:color="auto" w:sz="4" w:space="0"/>
            </w:tcBorders>
            <w:noWrap/>
            <w:vAlign w:val="center"/>
          </w:tcPr>
          <w:p w14:paraId="108AA7F7">
            <w:pPr>
              <w:widowControl/>
              <w:rPr>
                <w:color w:val="auto"/>
                <w:szCs w:val="21"/>
              </w:rPr>
            </w:pPr>
            <w:r>
              <w:rPr>
                <w:rFonts w:hint="eastAsia"/>
                <w:color w:val="auto"/>
                <w:szCs w:val="21"/>
              </w:rPr>
              <w:t>通过访谈网络管理员，查看边界设备的访问控制策略。</w:t>
            </w:r>
          </w:p>
        </w:tc>
      </w:tr>
      <w:tr w14:paraId="54D6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79" w:type="pct"/>
            <w:tcBorders>
              <w:top w:val="single" w:color="auto" w:sz="4" w:space="0"/>
              <w:left w:val="single" w:color="auto" w:sz="4" w:space="0"/>
              <w:bottom w:val="single" w:color="auto" w:sz="4" w:space="0"/>
              <w:right w:val="single" w:color="auto" w:sz="4" w:space="0"/>
            </w:tcBorders>
            <w:noWrap/>
            <w:vAlign w:val="center"/>
          </w:tcPr>
          <w:p w14:paraId="00F8ED1D">
            <w:pPr>
              <w:jc w:val="center"/>
              <w:rPr>
                <w:color w:val="auto"/>
              </w:rPr>
            </w:pPr>
            <w:r>
              <w:rPr>
                <w:rFonts w:hint="eastAsia"/>
                <w:color w:val="auto"/>
              </w:rPr>
              <w:t>3</w:t>
            </w:r>
          </w:p>
        </w:tc>
        <w:tc>
          <w:tcPr>
            <w:tcW w:w="1349" w:type="pct"/>
            <w:tcBorders>
              <w:top w:val="single" w:color="auto" w:sz="4" w:space="0"/>
              <w:left w:val="single" w:color="auto" w:sz="4" w:space="0"/>
              <w:bottom w:val="single" w:color="auto" w:sz="4" w:space="0"/>
              <w:right w:val="single" w:color="auto" w:sz="4" w:space="0"/>
            </w:tcBorders>
            <w:noWrap/>
            <w:vAlign w:val="center"/>
          </w:tcPr>
          <w:p w14:paraId="6543B7CD">
            <w:pPr>
              <w:widowControl/>
              <w:jc w:val="center"/>
              <w:rPr>
                <w:color w:val="auto"/>
                <w:szCs w:val="21"/>
              </w:rPr>
            </w:pPr>
            <w:r>
              <w:rPr>
                <w:color w:val="auto"/>
                <w:szCs w:val="21"/>
              </w:rPr>
              <w:t>入侵防范</w:t>
            </w:r>
          </w:p>
        </w:tc>
        <w:tc>
          <w:tcPr>
            <w:tcW w:w="3171" w:type="pct"/>
            <w:tcBorders>
              <w:top w:val="single" w:color="auto" w:sz="4" w:space="0"/>
              <w:left w:val="single" w:color="auto" w:sz="4" w:space="0"/>
              <w:bottom w:val="single" w:color="auto" w:sz="4" w:space="0"/>
              <w:right w:val="single" w:color="auto" w:sz="4" w:space="0"/>
            </w:tcBorders>
            <w:noWrap/>
            <w:vAlign w:val="center"/>
          </w:tcPr>
          <w:p w14:paraId="44125473">
            <w:pPr>
              <w:widowControl/>
              <w:rPr>
                <w:color w:val="auto"/>
                <w:szCs w:val="21"/>
              </w:rPr>
            </w:pPr>
            <w:r>
              <w:rPr>
                <w:rFonts w:hint="eastAsia"/>
                <w:color w:val="auto"/>
                <w:szCs w:val="21"/>
              </w:rPr>
              <w:t>通过访谈网络管理员，查看各个关键网络节点的防入侵措施。</w:t>
            </w:r>
          </w:p>
        </w:tc>
      </w:tr>
      <w:tr w14:paraId="00E1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79" w:type="pct"/>
            <w:tcBorders>
              <w:top w:val="single" w:color="auto" w:sz="4" w:space="0"/>
              <w:left w:val="single" w:color="auto" w:sz="4" w:space="0"/>
              <w:bottom w:val="single" w:color="auto" w:sz="4" w:space="0"/>
              <w:right w:val="single" w:color="auto" w:sz="4" w:space="0"/>
            </w:tcBorders>
            <w:noWrap/>
            <w:vAlign w:val="center"/>
          </w:tcPr>
          <w:p w14:paraId="51754F7B">
            <w:pPr>
              <w:jc w:val="center"/>
              <w:rPr>
                <w:color w:val="auto"/>
              </w:rPr>
            </w:pPr>
            <w:r>
              <w:rPr>
                <w:rFonts w:hint="eastAsia"/>
                <w:color w:val="auto"/>
              </w:rPr>
              <w:t>4</w:t>
            </w:r>
          </w:p>
        </w:tc>
        <w:tc>
          <w:tcPr>
            <w:tcW w:w="1349" w:type="pct"/>
            <w:tcBorders>
              <w:top w:val="single" w:color="auto" w:sz="4" w:space="0"/>
              <w:left w:val="single" w:color="auto" w:sz="4" w:space="0"/>
              <w:bottom w:val="single" w:color="auto" w:sz="4" w:space="0"/>
              <w:right w:val="single" w:color="auto" w:sz="4" w:space="0"/>
            </w:tcBorders>
            <w:noWrap/>
            <w:vAlign w:val="center"/>
          </w:tcPr>
          <w:p w14:paraId="43A5C179">
            <w:pPr>
              <w:widowControl/>
              <w:jc w:val="center"/>
              <w:rPr>
                <w:color w:val="auto"/>
                <w:szCs w:val="21"/>
              </w:rPr>
            </w:pPr>
            <w:r>
              <w:rPr>
                <w:color w:val="auto"/>
                <w:szCs w:val="21"/>
              </w:rPr>
              <w:t>恶意代码防范</w:t>
            </w:r>
            <w:r>
              <w:rPr>
                <w:rFonts w:hint="eastAsia"/>
                <w:color w:val="auto"/>
                <w:szCs w:val="21"/>
              </w:rPr>
              <w:t>和垃圾邮件防范</w:t>
            </w:r>
          </w:p>
        </w:tc>
        <w:tc>
          <w:tcPr>
            <w:tcW w:w="3171" w:type="pct"/>
            <w:tcBorders>
              <w:top w:val="single" w:color="auto" w:sz="4" w:space="0"/>
              <w:left w:val="single" w:color="auto" w:sz="4" w:space="0"/>
              <w:bottom w:val="single" w:color="auto" w:sz="4" w:space="0"/>
              <w:right w:val="single" w:color="auto" w:sz="4" w:space="0"/>
            </w:tcBorders>
            <w:noWrap/>
            <w:vAlign w:val="center"/>
          </w:tcPr>
          <w:p w14:paraId="707E2909">
            <w:pPr>
              <w:widowControl/>
              <w:rPr>
                <w:color w:val="auto"/>
                <w:szCs w:val="21"/>
              </w:rPr>
            </w:pPr>
            <w:r>
              <w:rPr>
                <w:rFonts w:hint="eastAsia"/>
                <w:color w:val="auto"/>
                <w:szCs w:val="21"/>
              </w:rPr>
              <w:t>通过访谈网络管理员，查看各个关键网络节点恶意代码防范措施。</w:t>
            </w:r>
          </w:p>
        </w:tc>
      </w:tr>
      <w:tr w14:paraId="0423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79" w:type="pct"/>
            <w:tcBorders>
              <w:top w:val="single" w:color="auto" w:sz="4" w:space="0"/>
              <w:left w:val="single" w:color="auto" w:sz="4" w:space="0"/>
              <w:bottom w:val="single" w:color="auto" w:sz="4" w:space="0"/>
              <w:right w:val="single" w:color="auto" w:sz="4" w:space="0"/>
            </w:tcBorders>
            <w:noWrap/>
            <w:vAlign w:val="center"/>
          </w:tcPr>
          <w:p w14:paraId="69BBCD8E">
            <w:pPr>
              <w:jc w:val="center"/>
              <w:rPr>
                <w:color w:val="auto"/>
              </w:rPr>
            </w:pPr>
            <w:r>
              <w:rPr>
                <w:rFonts w:hint="eastAsia"/>
                <w:color w:val="auto"/>
              </w:rPr>
              <w:t>5</w:t>
            </w:r>
          </w:p>
        </w:tc>
        <w:tc>
          <w:tcPr>
            <w:tcW w:w="1349" w:type="pct"/>
            <w:tcBorders>
              <w:top w:val="single" w:color="auto" w:sz="4" w:space="0"/>
              <w:left w:val="single" w:color="auto" w:sz="4" w:space="0"/>
              <w:bottom w:val="single" w:color="auto" w:sz="4" w:space="0"/>
              <w:right w:val="single" w:color="auto" w:sz="4" w:space="0"/>
            </w:tcBorders>
            <w:noWrap/>
            <w:vAlign w:val="center"/>
          </w:tcPr>
          <w:p w14:paraId="2F0F1C63">
            <w:pPr>
              <w:widowControl/>
              <w:jc w:val="center"/>
              <w:rPr>
                <w:color w:val="auto"/>
                <w:szCs w:val="21"/>
              </w:rPr>
            </w:pPr>
            <w:r>
              <w:rPr>
                <w:rFonts w:hint="eastAsia"/>
                <w:color w:val="auto"/>
                <w:szCs w:val="21"/>
              </w:rPr>
              <w:t>安全审计</w:t>
            </w:r>
          </w:p>
        </w:tc>
        <w:tc>
          <w:tcPr>
            <w:tcW w:w="3171" w:type="pct"/>
            <w:tcBorders>
              <w:top w:val="single" w:color="auto" w:sz="4" w:space="0"/>
              <w:left w:val="single" w:color="auto" w:sz="4" w:space="0"/>
              <w:bottom w:val="single" w:color="auto" w:sz="4" w:space="0"/>
              <w:right w:val="single" w:color="auto" w:sz="4" w:space="0"/>
            </w:tcBorders>
            <w:noWrap/>
            <w:vAlign w:val="center"/>
          </w:tcPr>
          <w:p w14:paraId="03D9BB3F">
            <w:pPr>
              <w:widowControl/>
              <w:rPr>
                <w:color w:val="auto"/>
                <w:szCs w:val="21"/>
              </w:rPr>
            </w:pPr>
            <w:r>
              <w:rPr>
                <w:rFonts w:hint="eastAsia"/>
                <w:color w:val="auto"/>
                <w:szCs w:val="21"/>
              </w:rPr>
              <w:t>通过访谈网络管理员，查看边界设备的日志审计策略和记录。</w:t>
            </w:r>
          </w:p>
        </w:tc>
      </w:tr>
      <w:tr w14:paraId="0F02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79" w:type="pct"/>
            <w:tcBorders>
              <w:top w:val="single" w:color="auto" w:sz="4" w:space="0"/>
              <w:left w:val="single" w:color="auto" w:sz="4" w:space="0"/>
              <w:bottom w:val="single" w:color="auto" w:sz="4" w:space="0"/>
              <w:right w:val="single" w:color="auto" w:sz="4" w:space="0"/>
            </w:tcBorders>
            <w:noWrap/>
            <w:vAlign w:val="center"/>
          </w:tcPr>
          <w:p w14:paraId="2B477F25">
            <w:pPr>
              <w:jc w:val="center"/>
              <w:rPr>
                <w:color w:val="auto"/>
              </w:rPr>
            </w:pPr>
            <w:r>
              <w:rPr>
                <w:color w:val="auto"/>
              </w:rPr>
              <w:t>6</w:t>
            </w:r>
          </w:p>
        </w:tc>
        <w:tc>
          <w:tcPr>
            <w:tcW w:w="1349" w:type="pct"/>
            <w:tcBorders>
              <w:top w:val="single" w:color="auto" w:sz="4" w:space="0"/>
              <w:left w:val="single" w:color="auto" w:sz="4" w:space="0"/>
              <w:bottom w:val="single" w:color="auto" w:sz="4" w:space="0"/>
              <w:right w:val="single" w:color="auto" w:sz="4" w:space="0"/>
            </w:tcBorders>
            <w:noWrap/>
            <w:vAlign w:val="center"/>
          </w:tcPr>
          <w:p w14:paraId="55310EA8">
            <w:pPr>
              <w:widowControl/>
              <w:jc w:val="center"/>
              <w:rPr>
                <w:color w:val="auto"/>
                <w:szCs w:val="21"/>
              </w:rPr>
            </w:pPr>
            <w:r>
              <w:rPr>
                <w:rFonts w:hint="eastAsia"/>
                <w:color w:val="auto"/>
                <w:szCs w:val="21"/>
              </w:rPr>
              <w:t>可信验证</w:t>
            </w:r>
          </w:p>
        </w:tc>
        <w:tc>
          <w:tcPr>
            <w:tcW w:w="3171" w:type="pct"/>
            <w:tcBorders>
              <w:top w:val="single" w:color="auto" w:sz="4" w:space="0"/>
              <w:left w:val="single" w:color="auto" w:sz="4" w:space="0"/>
              <w:bottom w:val="single" w:color="auto" w:sz="4" w:space="0"/>
              <w:right w:val="single" w:color="auto" w:sz="4" w:space="0"/>
            </w:tcBorders>
            <w:noWrap/>
            <w:vAlign w:val="center"/>
          </w:tcPr>
          <w:p w14:paraId="71616E55">
            <w:pPr>
              <w:widowControl/>
              <w:rPr>
                <w:color w:val="auto"/>
                <w:szCs w:val="21"/>
              </w:rPr>
            </w:pPr>
            <w:r>
              <w:rPr>
                <w:rFonts w:hint="eastAsia"/>
                <w:color w:val="auto"/>
                <w:szCs w:val="21"/>
              </w:rPr>
              <w:t>通过访谈网络管理员，查看边界设备是否采用可信验证技术。</w:t>
            </w:r>
          </w:p>
        </w:tc>
      </w:tr>
    </w:tbl>
    <w:p w14:paraId="227FCE67">
      <w:pPr>
        <w:adjustRightInd w:val="0"/>
        <w:snapToGrid w:val="0"/>
        <w:spacing w:line="400" w:lineRule="exact"/>
        <w:ind w:firstLine="482" w:firstLineChars="200"/>
        <w:rPr>
          <w:rFonts w:ascii="宋体" w:hAnsi="宋体"/>
          <w:b/>
          <w:bCs/>
          <w:color w:val="auto"/>
          <w:sz w:val="24"/>
        </w:rPr>
      </w:pPr>
      <w:r>
        <w:rPr>
          <w:rFonts w:hint="eastAsia" w:ascii="宋体" w:hAnsi="宋体"/>
          <w:b/>
          <w:bCs/>
          <w:color w:val="auto"/>
          <w:sz w:val="24"/>
        </w:rPr>
        <w:t>（4）安全计算环境</w:t>
      </w:r>
    </w:p>
    <w:p w14:paraId="6038978B">
      <w:pPr>
        <w:adjustRightInd w:val="0"/>
        <w:snapToGrid w:val="0"/>
        <w:spacing w:line="400" w:lineRule="exact"/>
        <w:ind w:firstLine="480" w:firstLineChars="200"/>
        <w:rPr>
          <w:rFonts w:ascii="宋体" w:hAnsi="宋体"/>
          <w:color w:val="auto"/>
          <w:sz w:val="24"/>
        </w:rPr>
      </w:pPr>
      <w:r>
        <w:rPr>
          <w:rFonts w:ascii="宋体" w:hAnsi="宋体"/>
          <w:color w:val="auto"/>
          <w:sz w:val="24"/>
        </w:rPr>
        <w:t>安全</w:t>
      </w:r>
      <w:r>
        <w:rPr>
          <w:rFonts w:hint="eastAsia" w:ascii="宋体" w:hAnsi="宋体"/>
          <w:color w:val="auto"/>
          <w:sz w:val="24"/>
        </w:rPr>
        <w:t>计算环境</w:t>
      </w:r>
      <w:r>
        <w:rPr>
          <w:rFonts w:ascii="宋体" w:hAnsi="宋体"/>
          <w:color w:val="auto"/>
          <w:sz w:val="24"/>
        </w:rPr>
        <w:t>测评</w:t>
      </w:r>
      <w:r>
        <w:rPr>
          <w:rFonts w:hint="eastAsia" w:ascii="宋体" w:hAnsi="宋体"/>
          <w:color w:val="auto"/>
          <w:sz w:val="24"/>
        </w:rPr>
        <w:t>：</w:t>
      </w:r>
      <w:r>
        <w:rPr>
          <w:rFonts w:ascii="宋体" w:hAnsi="宋体"/>
          <w:color w:val="auto"/>
          <w:sz w:val="24"/>
        </w:rPr>
        <w:t>通过访谈、检查和测试的方式评测信息系统的应用安全保障情况。在内容上，</w:t>
      </w:r>
      <w:r>
        <w:rPr>
          <w:rFonts w:hint="eastAsia" w:ascii="宋体" w:hAnsi="宋体"/>
          <w:color w:val="auto"/>
          <w:sz w:val="24"/>
        </w:rPr>
        <w:t>安全计算环境</w:t>
      </w:r>
      <w:r>
        <w:rPr>
          <w:rFonts w:ascii="宋体" w:hAnsi="宋体"/>
          <w:color w:val="auto"/>
          <w:sz w:val="24"/>
        </w:rPr>
        <w:t>测评实施过程涉及</w:t>
      </w:r>
      <w:r>
        <w:rPr>
          <w:rFonts w:hint="eastAsia" w:ascii="宋体" w:hAnsi="宋体"/>
          <w:color w:val="auto"/>
          <w:sz w:val="24"/>
        </w:rPr>
        <w:t>11</w:t>
      </w:r>
      <w:r>
        <w:rPr>
          <w:rFonts w:ascii="宋体" w:hAnsi="宋体"/>
          <w:color w:val="auto"/>
          <w:sz w:val="24"/>
        </w:rPr>
        <w:t>个工作单元，具体如下表：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325"/>
        <w:gridCol w:w="7848"/>
      </w:tblGrid>
      <w:tr w14:paraId="1381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7A62F6E">
            <w:pPr>
              <w:jc w:val="center"/>
              <w:rPr>
                <w:b/>
                <w:color w:val="auto"/>
                <w:kern w:val="0"/>
                <w:szCs w:val="21"/>
              </w:rPr>
            </w:pPr>
            <w:r>
              <w:rPr>
                <w:b/>
                <w:color w:val="auto"/>
                <w:kern w:val="0"/>
                <w:szCs w:val="21"/>
              </w:rPr>
              <w:t>序号</w:t>
            </w:r>
          </w:p>
        </w:tc>
        <w:tc>
          <w:tcPr>
            <w:tcW w:w="665"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C20AA41">
            <w:pPr>
              <w:jc w:val="center"/>
              <w:rPr>
                <w:b/>
                <w:color w:val="auto"/>
                <w:kern w:val="0"/>
                <w:szCs w:val="21"/>
              </w:rPr>
            </w:pPr>
            <w:r>
              <w:rPr>
                <w:b/>
                <w:color w:val="auto"/>
                <w:kern w:val="0"/>
                <w:szCs w:val="21"/>
              </w:rPr>
              <w:t>安全子类</w:t>
            </w:r>
          </w:p>
        </w:tc>
        <w:tc>
          <w:tcPr>
            <w:tcW w:w="393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2DE7318">
            <w:pPr>
              <w:jc w:val="center"/>
              <w:rPr>
                <w:b/>
                <w:color w:val="auto"/>
                <w:kern w:val="0"/>
                <w:szCs w:val="21"/>
              </w:rPr>
            </w:pPr>
            <w:r>
              <w:rPr>
                <w:b/>
                <w:color w:val="auto"/>
                <w:kern w:val="0"/>
                <w:szCs w:val="21"/>
              </w:rPr>
              <w:t>测评指标描述</w:t>
            </w:r>
          </w:p>
        </w:tc>
      </w:tr>
      <w:tr w14:paraId="7585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04428838">
            <w:pPr>
              <w:jc w:val="center"/>
              <w:rPr>
                <w:color w:val="auto"/>
              </w:rPr>
            </w:pPr>
            <w:r>
              <w:rPr>
                <w:rFonts w:hint="eastAsia"/>
                <w:color w:val="auto"/>
              </w:rPr>
              <w:t>1</w:t>
            </w:r>
          </w:p>
        </w:tc>
        <w:tc>
          <w:tcPr>
            <w:tcW w:w="665" w:type="pct"/>
            <w:tcBorders>
              <w:top w:val="single" w:color="auto" w:sz="4" w:space="0"/>
              <w:left w:val="single" w:color="auto" w:sz="4" w:space="0"/>
              <w:bottom w:val="single" w:color="auto" w:sz="4" w:space="0"/>
              <w:right w:val="single" w:color="auto" w:sz="4" w:space="0"/>
            </w:tcBorders>
            <w:noWrap/>
            <w:vAlign w:val="center"/>
          </w:tcPr>
          <w:p w14:paraId="6DD9F365">
            <w:pPr>
              <w:widowControl/>
              <w:jc w:val="center"/>
              <w:rPr>
                <w:color w:val="auto"/>
                <w:szCs w:val="21"/>
              </w:rPr>
            </w:pPr>
            <w:r>
              <w:rPr>
                <w:color w:val="auto"/>
                <w:szCs w:val="21"/>
              </w:rPr>
              <w:t>身份鉴别</w:t>
            </w:r>
          </w:p>
        </w:tc>
        <w:tc>
          <w:tcPr>
            <w:tcW w:w="3939" w:type="pct"/>
            <w:tcBorders>
              <w:top w:val="single" w:color="auto" w:sz="4" w:space="0"/>
              <w:left w:val="single" w:color="auto" w:sz="4" w:space="0"/>
              <w:bottom w:val="single" w:color="auto" w:sz="4" w:space="0"/>
              <w:right w:val="single" w:color="auto" w:sz="4" w:space="0"/>
            </w:tcBorders>
            <w:noWrap/>
            <w:vAlign w:val="center"/>
          </w:tcPr>
          <w:p w14:paraId="747CFFF5">
            <w:pPr>
              <w:widowControl/>
              <w:rPr>
                <w:color w:val="auto"/>
                <w:szCs w:val="21"/>
              </w:rPr>
            </w:pPr>
            <w:r>
              <w:rPr>
                <w:color w:val="auto"/>
                <w:szCs w:val="21"/>
              </w:rPr>
              <w:t>检查</w:t>
            </w:r>
            <w:r>
              <w:rPr>
                <w:rFonts w:hint="eastAsia"/>
                <w:color w:val="auto"/>
                <w:szCs w:val="21"/>
              </w:rPr>
              <w:t>信息系统网络设备、安全设备、服务器、数据库和应用系统</w:t>
            </w:r>
            <w:r>
              <w:rPr>
                <w:color w:val="auto"/>
                <w:szCs w:val="21"/>
              </w:rPr>
              <w:t>的身份标识与鉴别功能设置和使用配置情况；</w:t>
            </w:r>
          </w:p>
          <w:p w14:paraId="6101C5B9">
            <w:pPr>
              <w:widowControl/>
              <w:rPr>
                <w:color w:val="auto"/>
                <w:szCs w:val="21"/>
              </w:rPr>
            </w:pPr>
            <w:r>
              <w:rPr>
                <w:color w:val="auto"/>
                <w:szCs w:val="21"/>
              </w:rPr>
              <w:t>检查应用系统对用户登录各种情况的处理，如登录失败处理、登录连接超时等。</w:t>
            </w:r>
          </w:p>
        </w:tc>
      </w:tr>
      <w:tr w14:paraId="0A3FE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3092C73F">
            <w:pPr>
              <w:jc w:val="center"/>
              <w:rPr>
                <w:color w:val="auto"/>
              </w:rPr>
            </w:pPr>
            <w:r>
              <w:rPr>
                <w:rFonts w:hint="eastAsia"/>
                <w:color w:val="auto"/>
              </w:rPr>
              <w:t>2</w:t>
            </w:r>
          </w:p>
        </w:tc>
        <w:tc>
          <w:tcPr>
            <w:tcW w:w="665" w:type="pct"/>
            <w:tcBorders>
              <w:top w:val="single" w:color="auto" w:sz="4" w:space="0"/>
              <w:left w:val="single" w:color="auto" w:sz="4" w:space="0"/>
              <w:bottom w:val="single" w:color="auto" w:sz="4" w:space="0"/>
              <w:right w:val="single" w:color="auto" w:sz="4" w:space="0"/>
            </w:tcBorders>
            <w:noWrap/>
            <w:vAlign w:val="center"/>
          </w:tcPr>
          <w:p w14:paraId="7ACE6D25">
            <w:pPr>
              <w:widowControl/>
              <w:jc w:val="center"/>
              <w:rPr>
                <w:color w:val="auto"/>
                <w:szCs w:val="21"/>
              </w:rPr>
            </w:pPr>
            <w:r>
              <w:rPr>
                <w:color w:val="auto"/>
                <w:szCs w:val="21"/>
              </w:rPr>
              <w:t>访问控制</w:t>
            </w:r>
          </w:p>
        </w:tc>
        <w:tc>
          <w:tcPr>
            <w:tcW w:w="3939" w:type="pct"/>
            <w:tcBorders>
              <w:top w:val="single" w:color="auto" w:sz="4" w:space="0"/>
              <w:left w:val="single" w:color="auto" w:sz="4" w:space="0"/>
              <w:bottom w:val="single" w:color="auto" w:sz="4" w:space="0"/>
              <w:right w:val="single" w:color="auto" w:sz="4" w:space="0"/>
            </w:tcBorders>
            <w:noWrap/>
            <w:vAlign w:val="center"/>
          </w:tcPr>
          <w:p w14:paraId="6E1BA560">
            <w:pPr>
              <w:widowControl/>
              <w:rPr>
                <w:color w:val="auto"/>
                <w:szCs w:val="21"/>
              </w:rPr>
            </w:pPr>
            <w:r>
              <w:rPr>
                <w:color w:val="auto"/>
                <w:szCs w:val="21"/>
              </w:rPr>
              <w:t>检查</w:t>
            </w:r>
            <w:r>
              <w:rPr>
                <w:rFonts w:hint="eastAsia"/>
                <w:color w:val="auto"/>
                <w:szCs w:val="21"/>
              </w:rPr>
              <w:t>网络设备、安全设备、服务器、数据库和应用系统</w:t>
            </w:r>
            <w:r>
              <w:rPr>
                <w:color w:val="auto"/>
                <w:szCs w:val="21"/>
              </w:rPr>
              <w:t>的访问控制功能设置情况，如访问控制的策略、访问控制粒度、权限设置情况等。</w:t>
            </w:r>
          </w:p>
        </w:tc>
      </w:tr>
      <w:tr w14:paraId="1B406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6EDEB64B">
            <w:pPr>
              <w:jc w:val="center"/>
              <w:rPr>
                <w:color w:val="auto"/>
              </w:rPr>
            </w:pPr>
            <w:r>
              <w:rPr>
                <w:rFonts w:hint="eastAsia"/>
                <w:color w:val="auto"/>
              </w:rPr>
              <w:t>3</w:t>
            </w:r>
          </w:p>
        </w:tc>
        <w:tc>
          <w:tcPr>
            <w:tcW w:w="665" w:type="pct"/>
            <w:tcBorders>
              <w:top w:val="single" w:color="auto" w:sz="4" w:space="0"/>
              <w:left w:val="single" w:color="auto" w:sz="4" w:space="0"/>
              <w:bottom w:val="single" w:color="auto" w:sz="4" w:space="0"/>
              <w:right w:val="single" w:color="auto" w:sz="4" w:space="0"/>
            </w:tcBorders>
            <w:noWrap/>
            <w:vAlign w:val="center"/>
          </w:tcPr>
          <w:p w14:paraId="0E69AE51">
            <w:pPr>
              <w:widowControl/>
              <w:jc w:val="center"/>
              <w:rPr>
                <w:color w:val="auto"/>
                <w:szCs w:val="21"/>
              </w:rPr>
            </w:pPr>
            <w:r>
              <w:rPr>
                <w:color w:val="auto"/>
                <w:szCs w:val="21"/>
              </w:rPr>
              <w:t>安全审计</w:t>
            </w:r>
          </w:p>
        </w:tc>
        <w:tc>
          <w:tcPr>
            <w:tcW w:w="3939" w:type="pct"/>
            <w:tcBorders>
              <w:top w:val="single" w:color="auto" w:sz="4" w:space="0"/>
              <w:left w:val="single" w:color="auto" w:sz="4" w:space="0"/>
              <w:bottom w:val="single" w:color="auto" w:sz="4" w:space="0"/>
              <w:right w:val="single" w:color="auto" w:sz="4" w:space="0"/>
            </w:tcBorders>
            <w:noWrap/>
            <w:vAlign w:val="center"/>
          </w:tcPr>
          <w:p w14:paraId="4827104C">
            <w:pPr>
              <w:widowControl/>
              <w:rPr>
                <w:color w:val="auto"/>
                <w:szCs w:val="21"/>
              </w:rPr>
            </w:pPr>
            <w:r>
              <w:rPr>
                <w:color w:val="auto"/>
                <w:szCs w:val="21"/>
              </w:rPr>
              <w:t>检查</w:t>
            </w:r>
            <w:r>
              <w:rPr>
                <w:rFonts w:hint="eastAsia"/>
                <w:color w:val="auto"/>
                <w:szCs w:val="21"/>
              </w:rPr>
              <w:t>网络设备、安全设备、服务器、数据库和应用系统</w:t>
            </w:r>
            <w:r>
              <w:rPr>
                <w:color w:val="auto"/>
                <w:szCs w:val="21"/>
              </w:rPr>
              <w:t>的安全审计配置情况，如覆盖范围、记录的项目和内容等；</w:t>
            </w:r>
          </w:p>
          <w:p w14:paraId="1EF8AA47">
            <w:pPr>
              <w:widowControl/>
              <w:rPr>
                <w:color w:val="auto"/>
                <w:szCs w:val="21"/>
              </w:rPr>
            </w:pPr>
            <w:r>
              <w:rPr>
                <w:color w:val="auto"/>
                <w:szCs w:val="21"/>
              </w:rPr>
              <w:t>检查应用系统安全审计进程和记录的保护情况。</w:t>
            </w:r>
          </w:p>
        </w:tc>
      </w:tr>
      <w:tr w14:paraId="2E49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7E6F8B53">
            <w:pPr>
              <w:jc w:val="center"/>
              <w:rPr>
                <w:color w:val="auto"/>
              </w:rPr>
            </w:pPr>
            <w:r>
              <w:rPr>
                <w:rFonts w:hint="eastAsia"/>
                <w:color w:val="auto"/>
              </w:rPr>
              <w:t>4</w:t>
            </w:r>
          </w:p>
        </w:tc>
        <w:tc>
          <w:tcPr>
            <w:tcW w:w="665" w:type="pct"/>
            <w:tcBorders>
              <w:top w:val="single" w:color="auto" w:sz="4" w:space="0"/>
              <w:left w:val="single" w:color="auto" w:sz="4" w:space="0"/>
              <w:bottom w:val="single" w:color="auto" w:sz="4" w:space="0"/>
              <w:right w:val="single" w:color="auto" w:sz="4" w:space="0"/>
            </w:tcBorders>
            <w:noWrap/>
            <w:vAlign w:val="center"/>
          </w:tcPr>
          <w:p w14:paraId="40DEC86B">
            <w:pPr>
              <w:widowControl/>
              <w:jc w:val="center"/>
              <w:rPr>
                <w:color w:val="auto"/>
                <w:szCs w:val="21"/>
              </w:rPr>
            </w:pPr>
            <w:r>
              <w:rPr>
                <w:rFonts w:hint="eastAsia"/>
                <w:color w:val="auto"/>
                <w:szCs w:val="21"/>
              </w:rPr>
              <w:t>可信验证</w:t>
            </w:r>
          </w:p>
        </w:tc>
        <w:tc>
          <w:tcPr>
            <w:tcW w:w="3939" w:type="pct"/>
            <w:tcBorders>
              <w:top w:val="single" w:color="auto" w:sz="4" w:space="0"/>
              <w:left w:val="single" w:color="auto" w:sz="4" w:space="0"/>
              <w:bottom w:val="single" w:color="auto" w:sz="4" w:space="0"/>
              <w:right w:val="single" w:color="auto" w:sz="4" w:space="0"/>
            </w:tcBorders>
            <w:noWrap/>
            <w:vAlign w:val="center"/>
          </w:tcPr>
          <w:p w14:paraId="2C380881">
            <w:pPr>
              <w:widowControl/>
              <w:rPr>
                <w:color w:val="auto"/>
                <w:szCs w:val="21"/>
              </w:rPr>
            </w:pPr>
            <w:r>
              <w:rPr>
                <w:rFonts w:hint="eastAsia"/>
                <w:color w:val="auto"/>
                <w:szCs w:val="21"/>
              </w:rPr>
              <w:t>检查计算设备的系统引导程序、系统程序、重要配置参数和应用系统程序等是否可以进行可信验证，并检测可信验证受到破坏时进行报警。</w:t>
            </w:r>
          </w:p>
        </w:tc>
      </w:tr>
      <w:tr w14:paraId="2FFE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31B1CD6C">
            <w:pPr>
              <w:jc w:val="center"/>
              <w:rPr>
                <w:color w:val="auto"/>
              </w:rPr>
            </w:pPr>
            <w:r>
              <w:rPr>
                <w:rFonts w:hint="eastAsia"/>
                <w:color w:val="auto"/>
              </w:rPr>
              <w:t>5</w:t>
            </w:r>
          </w:p>
        </w:tc>
        <w:tc>
          <w:tcPr>
            <w:tcW w:w="665" w:type="pct"/>
            <w:tcBorders>
              <w:top w:val="single" w:color="auto" w:sz="4" w:space="0"/>
              <w:left w:val="single" w:color="auto" w:sz="4" w:space="0"/>
              <w:bottom w:val="single" w:color="auto" w:sz="4" w:space="0"/>
              <w:right w:val="single" w:color="auto" w:sz="4" w:space="0"/>
            </w:tcBorders>
            <w:noWrap/>
            <w:vAlign w:val="center"/>
          </w:tcPr>
          <w:p w14:paraId="29B1FD2F">
            <w:pPr>
              <w:widowControl/>
              <w:jc w:val="center"/>
              <w:rPr>
                <w:color w:val="auto"/>
                <w:szCs w:val="21"/>
              </w:rPr>
            </w:pPr>
            <w:r>
              <w:rPr>
                <w:rFonts w:hint="eastAsia"/>
                <w:color w:val="auto"/>
                <w:szCs w:val="21"/>
              </w:rPr>
              <w:t>入侵防范</w:t>
            </w:r>
          </w:p>
        </w:tc>
        <w:tc>
          <w:tcPr>
            <w:tcW w:w="3939" w:type="pct"/>
            <w:tcBorders>
              <w:top w:val="single" w:color="auto" w:sz="4" w:space="0"/>
              <w:left w:val="single" w:color="auto" w:sz="4" w:space="0"/>
              <w:bottom w:val="single" w:color="auto" w:sz="4" w:space="0"/>
              <w:right w:val="single" w:color="auto" w:sz="4" w:space="0"/>
            </w:tcBorders>
            <w:noWrap/>
            <w:vAlign w:val="center"/>
          </w:tcPr>
          <w:p w14:paraId="34CFCBF7">
            <w:pPr>
              <w:widowControl/>
              <w:rPr>
                <w:color w:val="auto"/>
                <w:szCs w:val="21"/>
              </w:rPr>
            </w:pPr>
            <w:r>
              <w:rPr>
                <w:color w:val="auto"/>
                <w:szCs w:val="21"/>
              </w:rPr>
              <w:t>检查</w:t>
            </w:r>
            <w:r>
              <w:rPr>
                <w:rFonts w:hint="eastAsia"/>
                <w:color w:val="auto"/>
                <w:szCs w:val="21"/>
              </w:rPr>
              <w:t>网络设备、安全设备、服务器、数据库和应用系统入侵防范，如</w:t>
            </w:r>
            <w:r>
              <w:rPr>
                <w:color w:val="auto"/>
                <w:szCs w:val="21"/>
              </w:rPr>
              <w:t>关闭不需要的端口和服务、最小化安装、部署入侵防范产品等</w:t>
            </w:r>
            <w:r>
              <w:rPr>
                <w:rFonts w:hint="eastAsia"/>
                <w:color w:val="auto"/>
                <w:szCs w:val="21"/>
              </w:rPr>
              <w:t>。</w:t>
            </w:r>
          </w:p>
        </w:tc>
      </w:tr>
      <w:tr w14:paraId="79F28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5730588C">
            <w:pPr>
              <w:jc w:val="center"/>
              <w:rPr>
                <w:color w:val="auto"/>
              </w:rPr>
            </w:pPr>
            <w:r>
              <w:rPr>
                <w:rFonts w:hint="eastAsia"/>
                <w:color w:val="auto"/>
              </w:rPr>
              <w:t>6</w:t>
            </w:r>
          </w:p>
        </w:tc>
        <w:tc>
          <w:tcPr>
            <w:tcW w:w="665" w:type="pct"/>
            <w:tcBorders>
              <w:top w:val="single" w:color="auto" w:sz="4" w:space="0"/>
              <w:left w:val="single" w:color="auto" w:sz="4" w:space="0"/>
              <w:bottom w:val="single" w:color="auto" w:sz="4" w:space="0"/>
              <w:right w:val="single" w:color="auto" w:sz="4" w:space="0"/>
            </w:tcBorders>
            <w:noWrap/>
            <w:vAlign w:val="center"/>
          </w:tcPr>
          <w:p w14:paraId="7E132189">
            <w:pPr>
              <w:widowControl/>
              <w:jc w:val="center"/>
              <w:rPr>
                <w:color w:val="auto"/>
                <w:szCs w:val="21"/>
              </w:rPr>
            </w:pPr>
            <w:r>
              <w:rPr>
                <w:rFonts w:hint="eastAsia"/>
                <w:color w:val="auto"/>
                <w:szCs w:val="21"/>
              </w:rPr>
              <w:t>恶意代码防范</w:t>
            </w:r>
          </w:p>
        </w:tc>
        <w:tc>
          <w:tcPr>
            <w:tcW w:w="3939" w:type="pct"/>
            <w:tcBorders>
              <w:top w:val="single" w:color="auto" w:sz="4" w:space="0"/>
              <w:left w:val="single" w:color="auto" w:sz="4" w:space="0"/>
              <w:bottom w:val="single" w:color="auto" w:sz="4" w:space="0"/>
              <w:right w:val="single" w:color="auto" w:sz="4" w:space="0"/>
            </w:tcBorders>
            <w:noWrap/>
            <w:vAlign w:val="center"/>
          </w:tcPr>
          <w:p w14:paraId="01638028">
            <w:pPr>
              <w:widowControl/>
              <w:rPr>
                <w:color w:val="auto"/>
                <w:szCs w:val="21"/>
              </w:rPr>
            </w:pPr>
            <w:r>
              <w:rPr>
                <w:color w:val="auto"/>
                <w:szCs w:val="21"/>
              </w:rPr>
              <w:t>检查</w:t>
            </w:r>
            <w:r>
              <w:rPr>
                <w:rFonts w:hint="eastAsia"/>
                <w:color w:val="auto"/>
                <w:szCs w:val="21"/>
              </w:rPr>
              <w:t>网络设备、安全设备、服务器、数据库和应用系统恶意代码防范措施。</w:t>
            </w:r>
          </w:p>
        </w:tc>
      </w:tr>
      <w:tr w14:paraId="7F11B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2B7B6241">
            <w:pPr>
              <w:jc w:val="center"/>
              <w:rPr>
                <w:color w:val="auto"/>
              </w:rPr>
            </w:pPr>
            <w:r>
              <w:rPr>
                <w:rFonts w:hint="eastAsia"/>
                <w:color w:val="auto"/>
              </w:rPr>
              <w:t>7</w:t>
            </w:r>
          </w:p>
        </w:tc>
        <w:tc>
          <w:tcPr>
            <w:tcW w:w="665" w:type="pct"/>
            <w:tcBorders>
              <w:top w:val="single" w:color="auto" w:sz="4" w:space="0"/>
              <w:left w:val="single" w:color="auto" w:sz="4" w:space="0"/>
              <w:bottom w:val="single" w:color="auto" w:sz="4" w:space="0"/>
              <w:right w:val="single" w:color="auto" w:sz="4" w:space="0"/>
            </w:tcBorders>
            <w:noWrap/>
            <w:vAlign w:val="center"/>
          </w:tcPr>
          <w:p w14:paraId="4C50FB00">
            <w:pPr>
              <w:widowControl/>
              <w:jc w:val="center"/>
              <w:rPr>
                <w:color w:val="auto"/>
                <w:szCs w:val="21"/>
              </w:rPr>
            </w:pPr>
            <w:r>
              <w:rPr>
                <w:rFonts w:hint="eastAsia"/>
                <w:color w:val="auto"/>
                <w:szCs w:val="21"/>
              </w:rPr>
              <w:t>数据</w:t>
            </w:r>
            <w:r>
              <w:rPr>
                <w:color w:val="auto"/>
                <w:szCs w:val="21"/>
              </w:rPr>
              <w:t>完整性</w:t>
            </w:r>
          </w:p>
        </w:tc>
        <w:tc>
          <w:tcPr>
            <w:tcW w:w="3939" w:type="pct"/>
            <w:tcBorders>
              <w:top w:val="single" w:color="auto" w:sz="4" w:space="0"/>
              <w:left w:val="single" w:color="auto" w:sz="4" w:space="0"/>
              <w:bottom w:val="single" w:color="auto" w:sz="4" w:space="0"/>
              <w:right w:val="single" w:color="auto" w:sz="4" w:space="0"/>
            </w:tcBorders>
            <w:noWrap/>
            <w:vAlign w:val="center"/>
          </w:tcPr>
          <w:p w14:paraId="32355B82">
            <w:pPr>
              <w:widowControl/>
              <w:rPr>
                <w:color w:val="auto"/>
                <w:szCs w:val="21"/>
              </w:rPr>
            </w:pPr>
            <w:r>
              <w:rPr>
                <w:color w:val="auto"/>
                <w:szCs w:val="21"/>
              </w:rPr>
              <w:t>检查</w:t>
            </w:r>
            <w:r>
              <w:rPr>
                <w:rFonts w:hint="eastAsia"/>
                <w:color w:val="auto"/>
                <w:szCs w:val="21"/>
              </w:rPr>
              <w:t>网络设备、安全设备、服务器、数据库和应用系统</w:t>
            </w:r>
            <w:r>
              <w:rPr>
                <w:color w:val="auto"/>
                <w:szCs w:val="21"/>
              </w:rPr>
              <w:t>的通信完整性保护情况。</w:t>
            </w:r>
          </w:p>
        </w:tc>
      </w:tr>
      <w:tr w14:paraId="57F22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3330E8CD">
            <w:pPr>
              <w:jc w:val="center"/>
              <w:rPr>
                <w:color w:val="auto"/>
              </w:rPr>
            </w:pPr>
            <w:r>
              <w:rPr>
                <w:rFonts w:hint="eastAsia"/>
                <w:color w:val="auto"/>
              </w:rPr>
              <w:t>8</w:t>
            </w:r>
          </w:p>
        </w:tc>
        <w:tc>
          <w:tcPr>
            <w:tcW w:w="665" w:type="pct"/>
            <w:tcBorders>
              <w:top w:val="single" w:color="auto" w:sz="4" w:space="0"/>
              <w:left w:val="single" w:color="auto" w:sz="4" w:space="0"/>
              <w:bottom w:val="single" w:color="auto" w:sz="4" w:space="0"/>
              <w:right w:val="single" w:color="auto" w:sz="4" w:space="0"/>
            </w:tcBorders>
            <w:noWrap/>
            <w:vAlign w:val="center"/>
          </w:tcPr>
          <w:p w14:paraId="71C33F0C">
            <w:pPr>
              <w:widowControl/>
              <w:jc w:val="center"/>
              <w:rPr>
                <w:color w:val="auto"/>
                <w:szCs w:val="21"/>
              </w:rPr>
            </w:pPr>
            <w:r>
              <w:rPr>
                <w:rFonts w:hint="eastAsia"/>
                <w:color w:val="auto"/>
                <w:szCs w:val="21"/>
              </w:rPr>
              <w:t>数据</w:t>
            </w:r>
            <w:r>
              <w:rPr>
                <w:color w:val="auto"/>
                <w:szCs w:val="21"/>
              </w:rPr>
              <w:t>保密性</w:t>
            </w:r>
          </w:p>
        </w:tc>
        <w:tc>
          <w:tcPr>
            <w:tcW w:w="3939" w:type="pct"/>
            <w:tcBorders>
              <w:top w:val="single" w:color="auto" w:sz="4" w:space="0"/>
              <w:left w:val="single" w:color="auto" w:sz="4" w:space="0"/>
              <w:bottom w:val="single" w:color="auto" w:sz="4" w:space="0"/>
              <w:right w:val="single" w:color="auto" w:sz="4" w:space="0"/>
            </w:tcBorders>
            <w:noWrap/>
            <w:vAlign w:val="center"/>
          </w:tcPr>
          <w:p w14:paraId="77FB08BD">
            <w:pPr>
              <w:widowControl/>
              <w:rPr>
                <w:color w:val="auto"/>
                <w:szCs w:val="21"/>
              </w:rPr>
            </w:pPr>
            <w:r>
              <w:rPr>
                <w:color w:val="auto"/>
                <w:szCs w:val="21"/>
              </w:rPr>
              <w:t>检查</w:t>
            </w:r>
            <w:r>
              <w:rPr>
                <w:rFonts w:hint="eastAsia"/>
                <w:color w:val="auto"/>
                <w:szCs w:val="21"/>
              </w:rPr>
              <w:t>网络设备、安全设备、服务器、数据库和应用系统</w:t>
            </w:r>
            <w:r>
              <w:rPr>
                <w:color w:val="auto"/>
                <w:szCs w:val="21"/>
              </w:rPr>
              <w:t>的通信保密性保护情况。</w:t>
            </w:r>
          </w:p>
        </w:tc>
      </w:tr>
      <w:tr w14:paraId="3F23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3E934A60">
            <w:pPr>
              <w:jc w:val="center"/>
              <w:rPr>
                <w:color w:val="auto"/>
              </w:rPr>
            </w:pPr>
            <w:r>
              <w:rPr>
                <w:rFonts w:hint="eastAsia"/>
                <w:color w:val="auto"/>
              </w:rPr>
              <w:t>9</w:t>
            </w:r>
          </w:p>
        </w:tc>
        <w:tc>
          <w:tcPr>
            <w:tcW w:w="665" w:type="pct"/>
            <w:tcBorders>
              <w:top w:val="single" w:color="auto" w:sz="4" w:space="0"/>
              <w:left w:val="single" w:color="auto" w:sz="4" w:space="0"/>
              <w:bottom w:val="single" w:color="auto" w:sz="4" w:space="0"/>
              <w:right w:val="single" w:color="auto" w:sz="4" w:space="0"/>
            </w:tcBorders>
            <w:noWrap/>
            <w:vAlign w:val="center"/>
          </w:tcPr>
          <w:p w14:paraId="0142021E">
            <w:pPr>
              <w:widowControl/>
              <w:jc w:val="center"/>
              <w:rPr>
                <w:color w:val="auto"/>
                <w:szCs w:val="21"/>
              </w:rPr>
            </w:pPr>
            <w:r>
              <w:rPr>
                <w:rFonts w:hint="eastAsia"/>
                <w:color w:val="auto"/>
                <w:szCs w:val="21"/>
              </w:rPr>
              <w:t>数据备份和恢复</w:t>
            </w:r>
          </w:p>
        </w:tc>
        <w:tc>
          <w:tcPr>
            <w:tcW w:w="3939" w:type="pct"/>
            <w:tcBorders>
              <w:top w:val="single" w:color="auto" w:sz="4" w:space="0"/>
              <w:left w:val="single" w:color="auto" w:sz="4" w:space="0"/>
              <w:bottom w:val="single" w:color="auto" w:sz="4" w:space="0"/>
              <w:right w:val="single" w:color="auto" w:sz="4" w:space="0"/>
            </w:tcBorders>
            <w:noWrap/>
            <w:vAlign w:val="center"/>
          </w:tcPr>
          <w:p w14:paraId="6EA55058">
            <w:pPr>
              <w:widowControl/>
              <w:rPr>
                <w:color w:val="auto"/>
                <w:szCs w:val="21"/>
              </w:rPr>
            </w:pPr>
            <w:r>
              <w:rPr>
                <w:color w:val="auto"/>
                <w:szCs w:val="21"/>
              </w:rPr>
              <w:t>检查</w:t>
            </w:r>
            <w:r>
              <w:rPr>
                <w:rFonts w:hint="eastAsia"/>
                <w:color w:val="auto"/>
                <w:szCs w:val="21"/>
              </w:rPr>
              <w:t>网络设备、安全设备、服务器、数据库和应用系统的关键信息备份情况</w:t>
            </w:r>
            <w:r>
              <w:rPr>
                <w:color w:val="auto"/>
                <w:szCs w:val="21"/>
              </w:rPr>
              <w:t>。</w:t>
            </w:r>
          </w:p>
        </w:tc>
      </w:tr>
      <w:tr w14:paraId="2092B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23B61F1D">
            <w:pPr>
              <w:jc w:val="center"/>
              <w:rPr>
                <w:color w:val="auto"/>
              </w:rPr>
            </w:pPr>
            <w:r>
              <w:rPr>
                <w:color w:val="auto"/>
              </w:rPr>
              <w:t>10</w:t>
            </w:r>
          </w:p>
        </w:tc>
        <w:tc>
          <w:tcPr>
            <w:tcW w:w="665" w:type="pct"/>
            <w:tcBorders>
              <w:top w:val="single" w:color="auto" w:sz="4" w:space="0"/>
              <w:left w:val="single" w:color="auto" w:sz="4" w:space="0"/>
              <w:bottom w:val="single" w:color="auto" w:sz="4" w:space="0"/>
              <w:right w:val="single" w:color="auto" w:sz="4" w:space="0"/>
            </w:tcBorders>
            <w:noWrap/>
            <w:vAlign w:val="center"/>
          </w:tcPr>
          <w:p w14:paraId="5176977B">
            <w:pPr>
              <w:widowControl/>
              <w:jc w:val="center"/>
              <w:rPr>
                <w:color w:val="auto"/>
                <w:szCs w:val="21"/>
              </w:rPr>
            </w:pPr>
            <w:r>
              <w:rPr>
                <w:rFonts w:hint="eastAsia"/>
                <w:color w:val="auto"/>
                <w:szCs w:val="21"/>
              </w:rPr>
              <w:t>剩余信息保护</w:t>
            </w:r>
          </w:p>
        </w:tc>
        <w:tc>
          <w:tcPr>
            <w:tcW w:w="3939" w:type="pct"/>
            <w:tcBorders>
              <w:top w:val="single" w:color="auto" w:sz="4" w:space="0"/>
              <w:left w:val="single" w:color="auto" w:sz="4" w:space="0"/>
              <w:bottom w:val="single" w:color="auto" w:sz="4" w:space="0"/>
              <w:right w:val="single" w:color="auto" w:sz="4" w:space="0"/>
            </w:tcBorders>
            <w:noWrap/>
            <w:vAlign w:val="center"/>
          </w:tcPr>
          <w:p w14:paraId="2916D0BF">
            <w:pPr>
              <w:widowControl/>
              <w:rPr>
                <w:color w:val="auto"/>
                <w:szCs w:val="21"/>
              </w:rPr>
            </w:pPr>
            <w:r>
              <w:rPr>
                <w:color w:val="auto"/>
                <w:szCs w:val="21"/>
              </w:rPr>
              <w:t>检查</w:t>
            </w:r>
            <w:r>
              <w:rPr>
                <w:rFonts w:hint="eastAsia"/>
                <w:color w:val="auto"/>
                <w:szCs w:val="21"/>
              </w:rPr>
              <w:t>网络设备、安全设备、服务器、数据库和应用系统</w:t>
            </w:r>
            <w:r>
              <w:rPr>
                <w:color w:val="auto"/>
                <w:szCs w:val="21"/>
              </w:rPr>
              <w:t>。</w:t>
            </w:r>
          </w:p>
        </w:tc>
      </w:tr>
      <w:tr w14:paraId="2BE87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21FCCCC8">
            <w:pPr>
              <w:jc w:val="center"/>
              <w:rPr>
                <w:color w:val="auto"/>
              </w:rPr>
            </w:pPr>
            <w:r>
              <w:rPr>
                <w:color w:val="auto"/>
              </w:rPr>
              <w:t>11</w:t>
            </w:r>
          </w:p>
        </w:tc>
        <w:tc>
          <w:tcPr>
            <w:tcW w:w="665" w:type="pct"/>
            <w:tcBorders>
              <w:top w:val="single" w:color="auto" w:sz="4" w:space="0"/>
              <w:left w:val="single" w:color="auto" w:sz="4" w:space="0"/>
              <w:bottom w:val="single" w:color="auto" w:sz="4" w:space="0"/>
              <w:right w:val="single" w:color="auto" w:sz="4" w:space="0"/>
            </w:tcBorders>
            <w:noWrap/>
            <w:vAlign w:val="center"/>
          </w:tcPr>
          <w:p w14:paraId="36ADAF52">
            <w:pPr>
              <w:widowControl/>
              <w:jc w:val="center"/>
              <w:rPr>
                <w:color w:val="auto"/>
                <w:szCs w:val="21"/>
              </w:rPr>
            </w:pPr>
            <w:r>
              <w:rPr>
                <w:rFonts w:hint="eastAsia"/>
                <w:color w:val="auto"/>
                <w:szCs w:val="21"/>
              </w:rPr>
              <w:t>个人信息保护</w:t>
            </w:r>
          </w:p>
        </w:tc>
        <w:tc>
          <w:tcPr>
            <w:tcW w:w="3939" w:type="pct"/>
            <w:tcBorders>
              <w:top w:val="single" w:color="auto" w:sz="4" w:space="0"/>
              <w:left w:val="single" w:color="auto" w:sz="4" w:space="0"/>
              <w:bottom w:val="single" w:color="auto" w:sz="4" w:space="0"/>
              <w:right w:val="single" w:color="auto" w:sz="4" w:space="0"/>
            </w:tcBorders>
            <w:noWrap/>
            <w:vAlign w:val="center"/>
          </w:tcPr>
          <w:p w14:paraId="6CC140CB">
            <w:pPr>
              <w:widowControl/>
              <w:rPr>
                <w:color w:val="auto"/>
                <w:szCs w:val="21"/>
              </w:rPr>
            </w:pPr>
            <w:r>
              <w:rPr>
                <w:rFonts w:hint="eastAsia"/>
                <w:color w:val="auto"/>
                <w:szCs w:val="21"/>
              </w:rPr>
              <w:t>检查系统收集个人信息和使用个人信息的情况。</w:t>
            </w:r>
          </w:p>
        </w:tc>
      </w:tr>
    </w:tbl>
    <w:p w14:paraId="54AF62F2">
      <w:pPr>
        <w:adjustRightInd w:val="0"/>
        <w:snapToGrid w:val="0"/>
        <w:spacing w:line="400" w:lineRule="exact"/>
        <w:ind w:firstLine="482" w:firstLineChars="200"/>
        <w:rPr>
          <w:rFonts w:ascii="宋体" w:hAnsi="宋体"/>
          <w:b/>
          <w:bCs/>
          <w:color w:val="auto"/>
          <w:sz w:val="24"/>
        </w:rPr>
      </w:pPr>
      <w:r>
        <w:rPr>
          <w:rFonts w:hint="eastAsia" w:ascii="宋体" w:hAnsi="宋体"/>
          <w:b/>
          <w:bCs/>
          <w:color w:val="auto"/>
          <w:sz w:val="24"/>
        </w:rPr>
        <w:t>（5）安全管理中心</w:t>
      </w:r>
    </w:p>
    <w:p w14:paraId="2552673D">
      <w:pPr>
        <w:adjustRightInd w:val="0"/>
        <w:snapToGrid w:val="0"/>
        <w:spacing w:line="400" w:lineRule="exact"/>
        <w:ind w:firstLine="480" w:firstLineChars="200"/>
        <w:rPr>
          <w:rFonts w:ascii="宋体" w:hAnsi="宋体"/>
          <w:color w:val="auto"/>
          <w:sz w:val="24"/>
        </w:rPr>
      </w:pPr>
      <w:r>
        <w:rPr>
          <w:rFonts w:ascii="宋体" w:hAnsi="宋体"/>
          <w:color w:val="auto"/>
          <w:sz w:val="24"/>
        </w:rPr>
        <w:t>在内容上，</w:t>
      </w:r>
      <w:r>
        <w:rPr>
          <w:rFonts w:hint="eastAsia" w:ascii="宋体" w:hAnsi="宋体"/>
          <w:color w:val="auto"/>
          <w:sz w:val="24"/>
        </w:rPr>
        <w:t>安全管理中心</w:t>
      </w:r>
      <w:r>
        <w:rPr>
          <w:rFonts w:ascii="宋体" w:hAnsi="宋体"/>
          <w:color w:val="auto"/>
          <w:sz w:val="24"/>
        </w:rPr>
        <w:t>层面测评实施过程涉及4个工作单元，具体如下表：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491"/>
        <w:gridCol w:w="7682"/>
      </w:tblGrid>
      <w:tr w14:paraId="7AA81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050BC88">
            <w:pPr>
              <w:jc w:val="center"/>
              <w:rPr>
                <w:b/>
                <w:color w:val="auto"/>
                <w:kern w:val="0"/>
                <w:szCs w:val="21"/>
              </w:rPr>
            </w:pPr>
            <w:r>
              <w:rPr>
                <w:b/>
                <w:color w:val="auto"/>
                <w:kern w:val="0"/>
                <w:szCs w:val="21"/>
              </w:rPr>
              <w:t>序号</w:t>
            </w:r>
          </w:p>
        </w:tc>
        <w:tc>
          <w:tcPr>
            <w:tcW w:w="748"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0182160">
            <w:pPr>
              <w:jc w:val="center"/>
              <w:rPr>
                <w:b/>
                <w:color w:val="auto"/>
                <w:kern w:val="0"/>
                <w:szCs w:val="21"/>
              </w:rPr>
            </w:pPr>
            <w:r>
              <w:rPr>
                <w:b/>
                <w:color w:val="auto"/>
                <w:kern w:val="0"/>
                <w:szCs w:val="21"/>
              </w:rPr>
              <w:t>安全子类</w:t>
            </w:r>
          </w:p>
        </w:tc>
        <w:tc>
          <w:tcPr>
            <w:tcW w:w="385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BA995A0">
            <w:pPr>
              <w:jc w:val="center"/>
              <w:rPr>
                <w:b/>
                <w:color w:val="auto"/>
                <w:kern w:val="0"/>
                <w:szCs w:val="21"/>
              </w:rPr>
            </w:pPr>
            <w:r>
              <w:rPr>
                <w:b/>
                <w:color w:val="auto"/>
                <w:kern w:val="0"/>
                <w:szCs w:val="21"/>
              </w:rPr>
              <w:t>测评指标描述</w:t>
            </w:r>
          </w:p>
        </w:tc>
      </w:tr>
      <w:tr w14:paraId="5231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1590BBE6">
            <w:pPr>
              <w:widowControl/>
              <w:jc w:val="center"/>
              <w:rPr>
                <w:color w:val="auto"/>
                <w:szCs w:val="21"/>
              </w:rPr>
            </w:pPr>
            <w:r>
              <w:rPr>
                <w:color w:val="auto"/>
                <w:szCs w:val="21"/>
              </w:rPr>
              <w:t>1</w:t>
            </w:r>
          </w:p>
        </w:tc>
        <w:tc>
          <w:tcPr>
            <w:tcW w:w="748" w:type="pct"/>
            <w:tcBorders>
              <w:top w:val="single" w:color="auto" w:sz="4" w:space="0"/>
              <w:left w:val="single" w:color="auto" w:sz="4" w:space="0"/>
              <w:bottom w:val="single" w:color="auto" w:sz="4" w:space="0"/>
              <w:right w:val="single" w:color="auto" w:sz="4" w:space="0"/>
            </w:tcBorders>
            <w:noWrap/>
            <w:vAlign w:val="center"/>
          </w:tcPr>
          <w:p w14:paraId="690B8F5D">
            <w:pPr>
              <w:widowControl/>
              <w:jc w:val="center"/>
              <w:rPr>
                <w:color w:val="auto"/>
                <w:szCs w:val="21"/>
              </w:rPr>
            </w:pPr>
            <w:r>
              <w:rPr>
                <w:rFonts w:hint="eastAsia"/>
                <w:color w:val="auto"/>
                <w:szCs w:val="21"/>
              </w:rPr>
              <w:t>系统管理</w:t>
            </w:r>
          </w:p>
        </w:tc>
        <w:tc>
          <w:tcPr>
            <w:tcW w:w="3856" w:type="pct"/>
            <w:tcBorders>
              <w:top w:val="single" w:color="auto" w:sz="4" w:space="0"/>
              <w:left w:val="single" w:color="auto" w:sz="4" w:space="0"/>
              <w:bottom w:val="single" w:color="auto" w:sz="4" w:space="0"/>
              <w:right w:val="single" w:color="auto" w:sz="4" w:space="0"/>
            </w:tcBorders>
            <w:noWrap/>
            <w:vAlign w:val="center"/>
          </w:tcPr>
          <w:p w14:paraId="5A2C13AB">
            <w:pPr>
              <w:widowControl/>
              <w:rPr>
                <w:color w:val="auto"/>
                <w:szCs w:val="21"/>
              </w:rPr>
            </w:pPr>
            <w:r>
              <w:rPr>
                <w:rFonts w:hint="eastAsia"/>
                <w:color w:val="auto"/>
                <w:szCs w:val="21"/>
              </w:rPr>
              <w:t>通过访谈系统管理员，对系统的资源和运行配置进行配置、控制和管理是否全由系统管理员进行操作。</w:t>
            </w:r>
          </w:p>
        </w:tc>
      </w:tr>
      <w:tr w14:paraId="104FC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7EB9F5FD">
            <w:pPr>
              <w:widowControl/>
              <w:jc w:val="center"/>
              <w:rPr>
                <w:color w:val="auto"/>
                <w:szCs w:val="21"/>
              </w:rPr>
            </w:pPr>
            <w:r>
              <w:rPr>
                <w:color w:val="auto"/>
                <w:szCs w:val="21"/>
              </w:rPr>
              <w:t>2</w:t>
            </w:r>
          </w:p>
        </w:tc>
        <w:tc>
          <w:tcPr>
            <w:tcW w:w="748" w:type="pct"/>
            <w:tcBorders>
              <w:top w:val="single" w:color="auto" w:sz="4" w:space="0"/>
              <w:left w:val="single" w:color="auto" w:sz="4" w:space="0"/>
              <w:bottom w:val="single" w:color="auto" w:sz="4" w:space="0"/>
              <w:right w:val="single" w:color="auto" w:sz="4" w:space="0"/>
            </w:tcBorders>
            <w:noWrap/>
            <w:vAlign w:val="center"/>
          </w:tcPr>
          <w:p w14:paraId="0E80174D">
            <w:pPr>
              <w:widowControl/>
              <w:jc w:val="center"/>
              <w:rPr>
                <w:color w:val="auto"/>
                <w:szCs w:val="21"/>
              </w:rPr>
            </w:pPr>
            <w:r>
              <w:rPr>
                <w:rFonts w:hint="eastAsia"/>
                <w:color w:val="auto"/>
                <w:szCs w:val="21"/>
              </w:rPr>
              <w:t>审计管理</w:t>
            </w:r>
          </w:p>
        </w:tc>
        <w:tc>
          <w:tcPr>
            <w:tcW w:w="3856" w:type="pct"/>
            <w:tcBorders>
              <w:top w:val="single" w:color="auto" w:sz="4" w:space="0"/>
              <w:left w:val="single" w:color="auto" w:sz="4" w:space="0"/>
              <w:bottom w:val="single" w:color="auto" w:sz="4" w:space="0"/>
              <w:right w:val="single" w:color="auto" w:sz="4" w:space="0"/>
            </w:tcBorders>
            <w:noWrap/>
            <w:vAlign w:val="center"/>
          </w:tcPr>
          <w:p w14:paraId="7E2F61D3">
            <w:pPr>
              <w:widowControl/>
              <w:rPr>
                <w:color w:val="auto"/>
                <w:szCs w:val="21"/>
              </w:rPr>
            </w:pPr>
            <w:r>
              <w:rPr>
                <w:rFonts w:hint="eastAsia"/>
                <w:color w:val="auto"/>
                <w:szCs w:val="21"/>
              </w:rPr>
              <w:t>通过访谈安全审计员，是否对审计记录进行分析，并根据分析结果进行处理，包括根据安全审计策略对审计记录进行存储、管理和查询等。</w:t>
            </w:r>
          </w:p>
        </w:tc>
      </w:tr>
      <w:tr w14:paraId="613A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3A61FB35">
            <w:pPr>
              <w:widowControl/>
              <w:jc w:val="center"/>
              <w:rPr>
                <w:color w:val="auto"/>
                <w:szCs w:val="21"/>
              </w:rPr>
            </w:pPr>
            <w:r>
              <w:rPr>
                <w:color w:val="auto"/>
                <w:szCs w:val="21"/>
              </w:rPr>
              <w:t>3</w:t>
            </w:r>
          </w:p>
        </w:tc>
        <w:tc>
          <w:tcPr>
            <w:tcW w:w="748" w:type="pct"/>
            <w:tcBorders>
              <w:top w:val="single" w:color="auto" w:sz="4" w:space="0"/>
              <w:left w:val="single" w:color="auto" w:sz="4" w:space="0"/>
              <w:bottom w:val="single" w:color="auto" w:sz="4" w:space="0"/>
              <w:right w:val="single" w:color="auto" w:sz="4" w:space="0"/>
            </w:tcBorders>
            <w:noWrap/>
            <w:vAlign w:val="center"/>
          </w:tcPr>
          <w:p w14:paraId="77016F47">
            <w:pPr>
              <w:widowControl/>
              <w:jc w:val="center"/>
              <w:rPr>
                <w:color w:val="auto"/>
                <w:szCs w:val="21"/>
              </w:rPr>
            </w:pPr>
            <w:r>
              <w:rPr>
                <w:rFonts w:hint="eastAsia"/>
                <w:color w:val="auto"/>
                <w:szCs w:val="21"/>
              </w:rPr>
              <w:t>安全管理</w:t>
            </w:r>
          </w:p>
        </w:tc>
        <w:tc>
          <w:tcPr>
            <w:tcW w:w="3856" w:type="pct"/>
            <w:tcBorders>
              <w:top w:val="single" w:color="auto" w:sz="4" w:space="0"/>
              <w:left w:val="single" w:color="auto" w:sz="4" w:space="0"/>
              <w:bottom w:val="single" w:color="auto" w:sz="4" w:space="0"/>
              <w:right w:val="single" w:color="auto" w:sz="4" w:space="0"/>
            </w:tcBorders>
            <w:noWrap/>
            <w:vAlign w:val="center"/>
          </w:tcPr>
          <w:p w14:paraId="10EF173B">
            <w:pPr>
              <w:widowControl/>
              <w:rPr>
                <w:color w:val="auto"/>
                <w:szCs w:val="21"/>
              </w:rPr>
            </w:pPr>
            <w:r>
              <w:rPr>
                <w:rFonts w:hint="eastAsia"/>
                <w:color w:val="auto"/>
                <w:szCs w:val="21"/>
              </w:rPr>
              <w:t>通过访问安全员，对系统的安全策略进行配置，包括安全参数的设置、主体、客体进行统一安全标记，对主体进行授权，配置可信验证策略是否全由安全员进行操作。</w:t>
            </w:r>
          </w:p>
        </w:tc>
      </w:tr>
      <w:tr w14:paraId="50B44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45E86E8C">
            <w:pPr>
              <w:widowControl/>
              <w:jc w:val="center"/>
              <w:rPr>
                <w:color w:val="auto"/>
                <w:szCs w:val="21"/>
              </w:rPr>
            </w:pPr>
            <w:r>
              <w:rPr>
                <w:rFonts w:hint="eastAsia"/>
                <w:color w:val="auto"/>
                <w:szCs w:val="21"/>
              </w:rPr>
              <w:t>4</w:t>
            </w:r>
          </w:p>
        </w:tc>
        <w:tc>
          <w:tcPr>
            <w:tcW w:w="748" w:type="pct"/>
            <w:tcBorders>
              <w:top w:val="single" w:color="auto" w:sz="4" w:space="0"/>
              <w:left w:val="single" w:color="auto" w:sz="4" w:space="0"/>
              <w:bottom w:val="single" w:color="auto" w:sz="4" w:space="0"/>
              <w:right w:val="single" w:color="auto" w:sz="4" w:space="0"/>
            </w:tcBorders>
            <w:noWrap/>
            <w:vAlign w:val="center"/>
          </w:tcPr>
          <w:p w14:paraId="3BC9CC92">
            <w:pPr>
              <w:widowControl/>
              <w:jc w:val="center"/>
              <w:rPr>
                <w:color w:val="auto"/>
                <w:szCs w:val="21"/>
              </w:rPr>
            </w:pPr>
            <w:r>
              <w:rPr>
                <w:rFonts w:hint="eastAsia"/>
                <w:color w:val="auto"/>
                <w:szCs w:val="21"/>
              </w:rPr>
              <w:t>集中管控</w:t>
            </w:r>
          </w:p>
        </w:tc>
        <w:tc>
          <w:tcPr>
            <w:tcW w:w="3856" w:type="pct"/>
            <w:tcBorders>
              <w:top w:val="single" w:color="auto" w:sz="4" w:space="0"/>
              <w:left w:val="single" w:color="auto" w:sz="4" w:space="0"/>
              <w:bottom w:val="single" w:color="auto" w:sz="4" w:space="0"/>
              <w:right w:val="single" w:color="auto" w:sz="4" w:space="0"/>
            </w:tcBorders>
            <w:noWrap/>
            <w:vAlign w:val="center"/>
          </w:tcPr>
          <w:p w14:paraId="65A05B56">
            <w:pPr>
              <w:widowControl/>
              <w:rPr>
                <w:color w:val="auto"/>
                <w:szCs w:val="21"/>
              </w:rPr>
            </w:pPr>
            <w:r>
              <w:rPr>
                <w:color w:val="auto"/>
                <w:szCs w:val="21"/>
              </w:rPr>
              <w:t>通过访谈安全员</w:t>
            </w:r>
            <w:r>
              <w:rPr>
                <w:rFonts w:hint="eastAsia"/>
                <w:color w:val="auto"/>
                <w:szCs w:val="21"/>
              </w:rPr>
              <w:t>，</w:t>
            </w:r>
            <w:r>
              <w:rPr>
                <w:rFonts w:hint="eastAsia" w:ascii="宋体" w:hAnsi="宋体"/>
                <w:color w:val="auto"/>
                <w:szCs w:val="21"/>
              </w:rPr>
              <w:t>对分布在网络中的安全设备或安全组件进行管控，对网络链路、安全设备、网络设备和服务器等的运行状况进行集中监测、对分散在各个设备上的审计数据进行收集汇总和集中分析，对安全策略、恶意代码、补丁升级等安全相关事项进行集中管理，对网络中发生的各类安全事件进行识别、报警和分析的情况。</w:t>
            </w:r>
          </w:p>
        </w:tc>
      </w:tr>
    </w:tbl>
    <w:p w14:paraId="7A057041">
      <w:pPr>
        <w:tabs>
          <w:tab w:val="left" w:pos="5805"/>
        </w:tabs>
        <w:adjustRightInd w:val="0"/>
        <w:snapToGrid w:val="0"/>
        <w:spacing w:line="400" w:lineRule="exact"/>
        <w:ind w:firstLine="482" w:firstLineChars="200"/>
        <w:rPr>
          <w:rFonts w:ascii="宋体" w:hAnsi="宋体"/>
          <w:b/>
          <w:bCs/>
          <w:color w:val="auto"/>
          <w:sz w:val="24"/>
        </w:rPr>
      </w:pPr>
      <w:r>
        <w:rPr>
          <w:rFonts w:hint="eastAsia" w:ascii="宋体" w:hAnsi="宋体"/>
          <w:b/>
          <w:bCs/>
          <w:color w:val="auto"/>
          <w:sz w:val="24"/>
        </w:rPr>
        <w:t>（</w:t>
      </w:r>
      <w:r>
        <w:rPr>
          <w:rFonts w:ascii="宋体" w:hAnsi="宋体"/>
          <w:b/>
          <w:bCs/>
          <w:color w:val="auto"/>
          <w:sz w:val="24"/>
        </w:rPr>
        <w:t>6</w:t>
      </w:r>
      <w:r>
        <w:rPr>
          <w:rFonts w:hint="eastAsia" w:ascii="宋体" w:hAnsi="宋体"/>
          <w:b/>
          <w:bCs/>
          <w:color w:val="auto"/>
          <w:sz w:val="24"/>
        </w:rPr>
        <w:t>）</w:t>
      </w:r>
      <w:r>
        <w:rPr>
          <w:rFonts w:ascii="宋体" w:hAnsi="宋体"/>
          <w:b/>
          <w:bCs/>
          <w:color w:val="auto"/>
          <w:sz w:val="24"/>
        </w:rPr>
        <w:t>安全管理制度</w:t>
      </w:r>
    </w:p>
    <w:p w14:paraId="389F9040">
      <w:pPr>
        <w:adjustRightInd w:val="0"/>
        <w:snapToGrid w:val="0"/>
        <w:spacing w:line="400" w:lineRule="exact"/>
        <w:ind w:firstLine="480" w:firstLineChars="200"/>
        <w:rPr>
          <w:rFonts w:ascii="宋体" w:hAnsi="宋体"/>
          <w:color w:val="auto"/>
          <w:sz w:val="24"/>
        </w:rPr>
      </w:pPr>
      <w:r>
        <w:rPr>
          <w:rFonts w:ascii="宋体" w:hAnsi="宋体"/>
          <w:color w:val="auto"/>
          <w:sz w:val="24"/>
        </w:rPr>
        <w:t>安全</w:t>
      </w:r>
      <w:r>
        <w:rPr>
          <w:rFonts w:hint="eastAsia" w:ascii="宋体" w:hAnsi="宋体"/>
          <w:color w:val="auto"/>
          <w:sz w:val="24"/>
        </w:rPr>
        <w:t>策略和</w:t>
      </w:r>
      <w:r>
        <w:rPr>
          <w:rFonts w:ascii="宋体" w:hAnsi="宋体"/>
          <w:color w:val="auto"/>
          <w:sz w:val="24"/>
        </w:rPr>
        <w:t>管理制度测评</w:t>
      </w:r>
      <w:r>
        <w:rPr>
          <w:rFonts w:hint="eastAsia" w:ascii="宋体" w:hAnsi="宋体"/>
          <w:color w:val="auto"/>
          <w:sz w:val="24"/>
        </w:rPr>
        <w:t>：</w:t>
      </w:r>
      <w:r>
        <w:rPr>
          <w:rFonts w:ascii="宋体" w:hAnsi="宋体"/>
          <w:color w:val="auto"/>
          <w:sz w:val="24"/>
        </w:rPr>
        <w:t xml:space="preserve">通过访谈和检查的形式评测安全管理制度的制定、发布、评审和修订等情况。主要涉及安全主管人员、安全管理人员、各类其它人员、各类管理制度、各类操作规程文件等对象。 </w:t>
      </w:r>
    </w:p>
    <w:p w14:paraId="50F401A0">
      <w:pPr>
        <w:adjustRightInd w:val="0"/>
        <w:snapToGrid w:val="0"/>
        <w:spacing w:line="400" w:lineRule="exact"/>
        <w:ind w:firstLine="480" w:firstLineChars="200"/>
        <w:rPr>
          <w:rFonts w:ascii="宋体" w:hAnsi="宋体"/>
          <w:color w:val="auto"/>
          <w:sz w:val="24"/>
        </w:rPr>
      </w:pPr>
      <w:r>
        <w:rPr>
          <w:rFonts w:ascii="宋体" w:hAnsi="宋体"/>
          <w:color w:val="auto"/>
          <w:sz w:val="24"/>
        </w:rPr>
        <w:t>在内容上，安全管理制度测评实施过程涉及4个工作单元，具体如下表：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325"/>
        <w:gridCol w:w="7848"/>
      </w:tblGrid>
      <w:tr w14:paraId="68827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D2D1A1C">
            <w:pPr>
              <w:jc w:val="center"/>
              <w:rPr>
                <w:b/>
                <w:color w:val="auto"/>
                <w:kern w:val="0"/>
                <w:szCs w:val="21"/>
              </w:rPr>
            </w:pPr>
            <w:r>
              <w:rPr>
                <w:b/>
                <w:color w:val="auto"/>
                <w:kern w:val="0"/>
                <w:szCs w:val="21"/>
              </w:rPr>
              <w:t>序号</w:t>
            </w:r>
          </w:p>
        </w:tc>
        <w:tc>
          <w:tcPr>
            <w:tcW w:w="665"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B345AD2">
            <w:pPr>
              <w:jc w:val="center"/>
              <w:rPr>
                <w:b/>
                <w:color w:val="auto"/>
                <w:kern w:val="0"/>
                <w:szCs w:val="21"/>
              </w:rPr>
            </w:pPr>
            <w:r>
              <w:rPr>
                <w:b/>
                <w:color w:val="auto"/>
                <w:kern w:val="0"/>
                <w:szCs w:val="21"/>
              </w:rPr>
              <w:t>安全子类</w:t>
            </w:r>
          </w:p>
        </w:tc>
        <w:tc>
          <w:tcPr>
            <w:tcW w:w="393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2741F8C">
            <w:pPr>
              <w:jc w:val="center"/>
              <w:rPr>
                <w:b/>
                <w:color w:val="auto"/>
                <w:kern w:val="0"/>
                <w:szCs w:val="21"/>
              </w:rPr>
            </w:pPr>
            <w:r>
              <w:rPr>
                <w:b/>
                <w:color w:val="auto"/>
                <w:kern w:val="0"/>
                <w:szCs w:val="21"/>
              </w:rPr>
              <w:t>测评指标描述</w:t>
            </w:r>
          </w:p>
        </w:tc>
      </w:tr>
      <w:tr w14:paraId="04E6E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1ED71834">
            <w:pPr>
              <w:widowControl/>
              <w:jc w:val="center"/>
              <w:rPr>
                <w:color w:val="auto"/>
                <w:szCs w:val="21"/>
              </w:rPr>
            </w:pPr>
            <w:r>
              <w:rPr>
                <w:color w:val="auto"/>
                <w:szCs w:val="21"/>
              </w:rPr>
              <w:t>1</w:t>
            </w:r>
          </w:p>
        </w:tc>
        <w:tc>
          <w:tcPr>
            <w:tcW w:w="665" w:type="pct"/>
            <w:tcBorders>
              <w:top w:val="single" w:color="auto" w:sz="4" w:space="0"/>
              <w:left w:val="single" w:color="auto" w:sz="4" w:space="0"/>
              <w:bottom w:val="single" w:color="auto" w:sz="4" w:space="0"/>
              <w:right w:val="single" w:color="auto" w:sz="4" w:space="0"/>
            </w:tcBorders>
            <w:noWrap/>
            <w:vAlign w:val="center"/>
          </w:tcPr>
          <w:p w14:paraId="6C684A10">
            <w:pPr>
              <w:widowControl/>
              <w:jc w:val="center"/>
              <w:rPr>
                <w:color w:val="auto"/>
                <w:szCs w:val="21"/>
              </w:rPr>
            </w:pPr>
            <w:r>
              <w:rPr>
                <w:rFonts w:hint="eastAsia"/>
                <w:color w:val="auto"/>
                <w:szCs w:val="21"/>
              </w:rPr>
              <w:t>安全策略</w:t>
            </w:r>
          </w:p>
        </w:tc>
        <w:tc>
          <w:tcPr>
            <w:tcW w:w="3939" w:type="pct"/>
            <w:tcBorders>
              <w:top w:val="single" w:color="auto" w:sz="4" w:space="0"/>
              <w:left w:val="single" w:color="auto" w:sz="4" w:space="0"/>
              <w:bottom w:val="single" w:color="auto" w:sz="4" w:space="0"/>
              <w:right w:val="single" w:color="auto" w:sz="4" w:space="0"/>
            </w:tcBorders>
            <w:noWrap/>
            <w:vAlign w:val="center"/>
          </w:tcPr>
          <w:p w14:paraId="6C4D73F7">
            <w:pPr>
              <w:widowControl/>
              <w:rPr>
                <w:color w:val="auto"/>
                <w:szCs w:val="21"/>
              </w:rPr>
            </w:pPr>
            <w:r>
              <w:rPr>
                <w:color w:val="auto"/>
                <w:szCs w:val="21"/>
              </w:rPr>
              <w:t>通过访谈安全主管，检查有关管理制度文档和重要操作规程等过程，测评信息系统管理制度在内容覆盖上是否全面、完善。</w:t>
            </w:r>
          </w:p>
        </w:tc>
      </w:tr>
      <w:tr w14:paraId="2B6C6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324B89D0">
            <w:pPr>
              <w:widowControl/>
              <w:jc w:val="center"/>
              <w:rPr>
                <w:color w:val="auto"/>
                <w:szCs w:val="21"/>
              </w:rPr>
            </w:pPr>
            <w:r>
              <w:rPr>
                <w:color w:val="auto"/>
                <w:szCs w:val="21"/>
              </w:rPr>
              <w:t>2</w:t>
            </w:r>
          </w:p>
        </w:tc>
        <w:tc>
          <w:tcPr>
            <w:tcW w:w="665" w:type="pct"/>
            <w:tcBorders>
              <w:top w:val="single" w:color="auto" w:sz="4" w:space="0"/>
              <w:left w:val="single" w:color="auto" w:sz="4" w:space="0"/>
              <w:bottom w:val="single" w:color="auto" w:sz="4" w:space="0"/>
              <w:right w:val="single" w:color="auto" w:sz="4" w:space="0"/>
            </w:tcBorders>
            <w:noWrap/>
            <w:vAlign w:val="center"/>
          </w:tcPr>
          <w:p w14:paraId="0B588B77">
            <w:pPr>
              <w:widowControl/>
              <w:jc w:val="center"/>
              <w:rPr>
                <w:color w:val="auto"/>
                <w:szCs w:val="21"/>
              </w:rPr>
            </w:pPr>
            <w:r>
              <w:rPr>
                <w:rFonts w:hint="eastAsia"/>
                <w:color w:val="auto"/>
                <w:szCs w:val="21"/>
              </w:rPr>
              <w:t>管理制度</w:t>
            </w:r>
          </w:p>
        </w:tc>
        <w:tc>
          <w:tcPr>
            <w:tcW w:w="3939" w:type="pct"/>
            <w:tcBorders>
              <w:top w:val="single" w:color="auto" w:sz="4" w:space="0"/>
              <w:left w:val="single" w:color="auto" w:sz="4" w:space="0"/>
              <w:bottom w:val="single" w:color="auto" w:sz="4" w:space="0"/>
              <w:right w:val="single" w:color="auto" w:sz="4" w:space="0"/>
            </w:tcBorders>
            <w:noWrap/>
            <w:vAlign w:val="center"/>
          </w:tcPr>
          <w:p w14:paraId="4A54CA4E">
            <w:pPr>
              <w:widowControl/>
              <w:rPr>
                <w:color w:val="auto"/>
                <w:szCs w:val="21"/>
              </w:rPr>
            </w:pPr>
            <w:r>
              <w:rPr>
                <w:color w:val="auto"/>
                <w:szCs w:val="21"/>
              </w:rPr>
              <w:t>通过访谈安全主管，检查有关制度制定要求文档等过程，测评信息系统管理制度的制定和发布过程是否遵循一定的流程。</w:t>
            </w:r>
          </w:p>
        </w:tc>
      </w:tr>
      <w:tr w14:paraId="3544F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44327B81">
            <w:pPr>
              <w:widowControl/>
              <w:jc w:val="center"/>
              <w:rPr>
                <w:color w:val="auto"/>
                <w:szCs w:val="21"/>
              </w:rPr>
            </w:pPr>
            <w:r>
              <w:rPr>
                <w:color w:val="auto"/>
                <w:szCs w:val="21"/>
              </w:rPr>
              <w:t>3</w:t>
            </w:r>
          </w:p>
        </w:tc>
        <w:tc>
          <w:tcPr>
            <w:tcW w:w="665" w:type="pct"/>
            <w:tcBorders>
              <w:top w:val="single" w:color="auto" w:sz="4" w:space="0"/>
              <w:left w:val="single" w:color="auto" w:sz="4" w:space="0"/>
              <w:bottom w:val="single" w:color="auto" w:sz="4" w:space="0"/>
              <w:right w:val="single" w:color="auto" w:sz="4" w:space="0"/>
            </w:tcBorders>
            <w:noWrap/>
            <w:vAlign w:val="center"/>
          </w:tcPr>
          <w:p w14:paraId="5CF8931D">
            <w:pPr>
              <w:widowControl/>
              <w:jc w:val="center"/>
              <w:rPr>
                <w:color w:val="auto"/>
                <w:szCs w:val="21"/>
              </w:rPr>
            </w:pPr>
            <w:r>
              <w:rPr>
                <w:rFonts w:hint="eastAsia"/>
                <w:color w:val="auto"/>
                <w:szCs w:val="21"/>
              </w:rPr>
              <w:t>制定和发布</w:t>
            </w:r>
          </w:p>
        </w:tc>
        <w:tc>
          <w:tcPr>
            <w:tcW w:w="3939" w:type="pct"/>
            <w:tcBorders>
              <w:top w:val="single" w:color="auto" w:sz="4" w:space="0"/>
              <w:left w:val="single" w:color="auto" w:sz="4" w:space="0"/>
              <w:bottom w:val="single" w:color="auto" w:sz="4" w:space="0"/>
              <w:right w:val="single" w:color="auto" w:sz="4" w:space="0"/>
            </w:tcBorders>
            <w:noWrap/>
            <w:vAlign w:val="center"/>
          </w:tcPr>
          <w:p w14:paraId="5D39409F">
            <w:pPr>
              <w:widowControl/>
              <w:rPr>
                <w:color w:val="auto"/>
                <w:szCs w:val="21"/>
              </w:rPr>
            </w:pPr>
            <w:r>
              <w:rPr>
                <w:color w:val="auto"/>
                <w:szCs w:val="21"/>
              </w:rPr>
              <w:t>通过访谈安全主管，检查管理制度评审记录等过程，测评信息系统管理制度定期评审和修订情况。</w:t>
            </w:r>
          </w:p>
        </w:tc>
      </w:tr>
      <w:tr w14:paraId="3BA4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6859FD67">
            <w:pPr>
              <w:widowControl/>
              <w:jc w:val="center"/>
              <w:rPr>
                <w:color w:val="auto"/>
                <w:szCs w:val="21"/>
              </w:rPr>
            </w:pPr>
            <w:r>
              <w:rPr>
                <w:rFonts w:hint="eastAsia"/>
                <w:color w:val="auto"/>
                <w:szCs w:val="21"/>
              </w:rPr>
              <w:t>4</w:t>
            </w:r>
          </w:p>
        </w:tc>
        <w:tc>
          <w:tcPr>
            <w:tcW w:w="665" w:type="pct"/>
            <w:tcBorders>
              <w:top w:val="single" w:color="auto" w:sz="4" w:space="0"/>
              <w:left w:val="single" w:color="auto" w:sz="4" w:space="0"/>
              <w:bottom w:val="single" w:color="auto" w:sz="4" w:space="0"/>
              <w:right w:val="single" w:color="auto" w:sz="4" w:space="0"/>
            </w:tcBorders>
            <w:noWrap/>
            <w:vAlign w:val="center"/>
          </w:tcPr>
          <w:p w14:paraId="72802FE0">
            <w:pPr>
              <w:widowControl/>
              <w:jc w:val="center"/>
              <w:rPr>
                <w:color w:val="auto"/>
                <w:szCs w:val="21"/>
              </w:rPr>
            </w:pPr>
            <w:r>
              <w:rPr>
                <w:rFonts w:hint="eastAsia"/>
                <w:color w:val="auto"/>
                <w:szCs w:val="21"/>
              </w:rPr>
              <w:t>评审和修订</w:t>
            </w:r>
          </w:p>
        </w:tc>
        <w:tc>
          <w:tcPr>
            <w:tcW w:w="3939" w:type="pct"/>
            <w:tcBorders>
              <w:top w:val="single" w:color="auto" w:sz="4" w:space="0"/>
              <w:left w:val="single" w:color="auto" w:sz="4" w:space="0"/>
              <w:bottom w:val="single" w:color="auto" w:sz="4" w:space="0"/>
              <w:right w:val="single" w:color="auto" w:sz="4" w:space="0"/>
            </w:tcBorders>
            <w:noWrap/>
            <w:vAlign w:val="center"/>
          </w:tcPr>
          <w:p w14:paraId="616C2BC1">
            <w:pPr>
              <w:widowControl/>
              <w:rPr>
                <w:color w:val="auto"/>
                <w:szCs w:val="21"/>
              </w:rPr>
            </w:pPr>
            <w:r>
              <w:rPr>
                <w:color w:val="auto"/>
                <w:szCs w:val="21"/>
              </w:rPr>
              <w:t>通过访谈安全主管，检查管理制度评审记录等过程，测评信息系统管理制度定期评审和修订情况。</w:t>
            </w:r>
          </w:p>
        </w:tc>
      </w:tr>
    </w:tbl>
    <w:p w14:paraId="08EE16BE">
      <w:pPr>
        <w:tabs>
          <w:tab w:val="left" w:pos="5805"/>
        </w:tabs>
        <w:adjustRightInd w:val="0"/>
        <w:snapToGrid w:val="0"/>
        <w:spacing w:line="400" w:lineRule="exact"/>
        <w:ind w:firstLine="482" w:firstLineChars="200"/>
        <w:rPr>
          <w:rFonts w:ascii="宋体" w:hAnsi="宋体"/>
          <w:b/>
          <w:bCs/>
          <w:color w:val="auto"/>
          <w:sz w:val="24"/>
        </w:rPr>
      </w:pPr>
      <w:r>
        <w:rPr>
          <w:rFonts w:hint="eastAsia" w:ascii="宋体" w:hAnsi="宋体"/>
          <w:b/>
          <w:bCs/>
          <w:color w:val="auto"/>
          <w:sz w:val="24"/>
        </w:rPr>
        <w:t>（</w:t>
      </w:r>
      <w:r>
        <w:rPr>
          <w:rFonts w:ascii="宋体" w:hAnsi="宋体"/>
          <w:b/>
          <w:bCs/>
          <w:color w:val="auto"/>
          <w:sz w:val="24"/>
        </w:rPr>
        <w:t>7</w:t>
      </w:r>
      <w:r>
        <w:rPr>
          <w:rFonts w:hint="eastAsia" w:ascii="宋体" w:hAnsi="宋体"/>
          <w:b/>
          <w:bCs/>
          <w:color w:val="auto"/>
          <w:sz w:val="24"/>
        </w:rPr>
        <w:t>）</w:t>
      </w:r>
      <w:r>
        <w:rPr>
          <w:rFonts w:ascii="宋体" w:hAnsi="宋体"/>
          <w:b/>
          <w:bCs/>
          <w:color w:val="auto"/>
          <w:sz w:val="24"/>
        </w:rPr>
        <w:t>安全管理机构</w:t>
      </w:r>
    </w:p>
    <w:p w14:paraId="21C0B53D">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安全管理机构测评：通过访谈和检查的形式评测安全管理机构的组成情况和机构工作组织情况。主要涉及安全主管人员、安全管理人员、相关的文件资料和工作记录等对象。</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325"/>
        <w:gridCol w:w="7848"/>
      </w:tblGrid>
      <w:tr w14:paraId="3F126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7E0B171">
            <w:pPr>
              <w:jc w:val="center"/>
              <w:rPr>
                <w:b/>
                <w:color w:val="auto"/>
                <w:kern w:val="0"/>
                <w:szCs w:val="21"/>
              </w:rPr>
            </w:pPr>
            <w:r>
              <w:rPr>
                <w:b/>
                <w:color w:val="auto"/>
                <w:kern w:val="0"/>
                <w:szCs w:val="21"/>
              </w:rPr>
              <w:t>序号</w:t>
            </w:r>
          </w:p>
        </w:tc>
        <w:tc>
          <w:tcPr>
            <w:tcW w:w="665"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0B7C588">
            <w:pPr>
              <w:jc w:val="center"/>
              <w:rPr>
                <w:b/>
                <w:color w:val="auto"/>
                <w:kern w:val="0"/>
                <w:szCs w:val="21"/>
              </w:rPr>
            </w:pPr>
            <w:r>
              <w:rPr>
                <w:b/>
                <w:color w:val="auto"/>
                <w:kern w:val="0"/>
                <w:szCs w:val="21"/>
              </w:rPr>
              <w:t>安全子类</w:t>
            </w:r>
          </w:p>
        </w:tc>
        <w:tc>
          <w:tcPr>
            <w:tcW w:w="393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E2CD460">
            <w:pPr>
              <w:jc w:val="center"/>
              <w:rPr>
                <w:b/>
                <w:color w:val="auto"/>
                <w:kern w:val="0"/>
                <w:szCs w:val="21"/>
              </w:rPr>
            </w:pPr>
            <w:r>
              <w:rPr>
                <w:b/>
                <w:color w:val="auto"/>
                <w:kern w:val="0"/>
                <w:szCs w:val="21"/>
              </w:rPr>
              <w:t>测评指标描述</w:t>
            </w:r>
          </w:p>
        </w:tc>
      </w:tr>
      <w:tr w14:paraId="2577D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1A320493">
            <w:pPr>
              <w:jc w:val="center"/>
              <w:rPr>
                <w:color w:val="auto"/>
              </w:rPr>
            </w:pPr>
            <w:r>
              <w:rPr>
                <w:rFonts w:hint="eastAsia"/>
                <w:color w:val="auto"/>
              </w:rPr>
              <w:t>1</w:t>
            </w:r>
          </w:p>
        </w:tc>
        <w:tc>
          <w:tcPr>
            <w:tcW w:w="665" w:type="pct"/>
            <w:tcBorders>
              <w:top w:val="single" w:color="auto" w:sz="4" w:space="0"/>
              <w:left w:val="single" w:color="auto" w:sz="4" w:space="0"/>
              <w:bottom w:val="single" w:color="auto" w:sz="4" w:space="0"/>
              <w:right w:val="single" w:color="auto" w:sz="4" w:space="0"/>
            </w:tcBorders>
            <w:noWrap/>
            <w:vAlign w:val="center"/>
          </w:tcPr>
          <w:p w14:paraId="03DB0C41">
            <w:pPr>
              <w:widowControl/>
              <w:jc w:val="center"/>
              <w:rPr>
                <w:color w:val="auto"/>
                <w:szCs w:val="21"/>
              </w:rPr>
            </w:pPr>
            <w:r>
              <w:rPr>
                <w:color w:val="auto"/>
                <w:szCs w:val="21"/>
              </w:rPr>
              <w:t>岗位设置</w:t>
            </w:r>
          </w:p>
        </w:tc>
        <w:tc>
          <w:tcPr>
            <w:tcW w:w="3939" w:type="pct"/>
            <w:tcBorders>
              <w:top w:val="single" w:color="auto" w:sz="4" w:space="0"/>
              <w:left w:val="single" w:color="auto" w:sz="4" w:space="0"/>
              <w:bottom w:val="single" w:color="auto" w:sz="4" w:space="0"/>
              <w:right w:val="single" w:color="auto" w:sz="4" w:space="0"/>
            </w:tcBorders>
            <w:noWrap/>
            <w:vAlign w:val="center"/>
          </w:tcPr>
          <w:p w14:paraId="3C454B60">
            <w:pPr>
              <w:widowControl/>
              <w:rPr>
                <w:color w:val="auto"/>
                <w:szCs w:val="21"/>
              </w:rPr>
            </w:pPr>
            <w:r>
              <w:rPr>
                <w:color w:val="auto"/>
                <w:szCs w:val="21"/>
              </w:rPr>
              <w:t>通过访谈安全主管，检查部门/岗位职责文件，测评信息系统安全主管部门设置情况以及各岗位设置和岗位职责情况。</w:t>
            </w:r>
          </w:p>
        </w:tc>
      </w:tr>
      <w:tr w14:paraId="5DAC8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7F50BDD4">
            <w:pPr>
              <w:jc w:val="center"/>
              <w:rPr>
                <w:color w:val="auto"/>
              </w:rPr>
            </w:pPr>
            <w:r>
              <w:rPr>
                <w:rFonts w:hint="eastAsia"/>
                <w:color w:val="auto"/>
              </w:rPr>
              <w:t>2</w:t>
            </w:r>
          </w:p>
        </w:tc>
        <w:tc>
          <w:tcPr>
            <w:tcW w:w="665" w:type="pct"/>
            <w:tcBorders>
              <w:top w:val="single" w:color="auto" w:sz="4" w:space="0"/>
              <w:left w:val="single" w:color="auto" w:sz="4" w:space="0"/>
              <w:bottom w:val="single" w:color="auto" w:sz="4" w:space="0"/>
              <w:right w:val="single" w:color="auto" w:sz="4" w:space="0"/>
            </w:tcBorders>
            <w:noWrap/>
            <w:vAlign w:val="center"/>
          </w:tcPr>
          <w:p w14:paraId="18F569E6">
            <w:pPr>
              <w:widowControl/>
              <w:jc w:val="center"/>
              <w:rPr>
                <w:color w:val="auto"/>
                <w:szCs w:val="21"/>
              </w:rPr>
            </w:pPr>
            <w:r>
              <w:rPr>
                <w:color w:val="auto"/>
                <w:szCs w:val="21"/>
              </w:rPr>
              <w:t>人员配备</w:t>
            </w:r>
          </w:p>
        </w:tc>
        <w:tc>
          <w:tcPr>
            <w:tcW w:w="3939" w:type="pct"/>
            <w:tcBorders>
              <w:top w:val="single" w:color="auto" w:sz="4" w:space="0"/>
              <w:left w:val="single" w:color="auto" w:sz="4" w:space="0"/>
              <w:bottom w:val="single" w:color="auto" w:sz="4" w:space="0"/>
              <w:right w:val="single" w:color="auto" w:sz="4" w:space="0"/>
            </w:tcBorders>
            <w:noWrap/>
            <w:vAlign w:val="center"/>
          </w:tcPr>
          <w:p w14:paraId="35C960E9">
            <w:pPr>
              <w:widowControl/>
              <w:rPr>
                <w:color w:val="auto"/>
                <w:szCs w:val="21"/>
              </w:rPr>
            </w:pPr>
            <w:r>
              <w:rPr>
                <w:color w:val="auto"/>
                <w:szCs w:val="21"/>
              </w:rPr>
              <w:t>通过访谈安全主管，检查人员名单等文档，测评信息系统各个岗位人员配备情况。</w:t>
            </w:r>
          </w:p>
        </w:tc>
      </w:tr>
      <w:tr w14:paraId="7B0B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38A583BC">
            <w:pPr>
              <w:jc w:val="center"/>
              <w:rPr>
                <w:color w:val="auto"/>
              </w:rPr>
            </w:pPr>
            <w:r>
              <w:rPr>
                <w:rFonts w:hint="eastAsia"/>
                <w:color w:val="auto"/>
              </w:rPr>
              <w:t>3</w:t>
            </w:r>
          </w:p>
        </w:tc>
        <w:tc>
          <w:tcPr>
            <w:tcW w:w="665" w:type="pct"/>
            <w:tcBorders>
              <w:top w:val="single" w:color="auto" w:sz="4" w:space="0"/>
              <w:left w:val="single" w:color="auto" w:sz="4" w:space="0"/>
              <w:bottom w:val="single" w:color="auto" w:sz="4" w:space="0"/>
              <w:right w:val="single" w:color="auto" w:sz="4" w:space="0"/>
            </w:tcBorders>
            <w:noWrap/>
            <w:vAlign w:val="center"/>
          </w:tcPr>
          <w:p w14:paraId="7AD488B0">
            <w:pPr>
              <w:widowControl/>
              <w:jc w:val="center"/>
              <w:rPr>
                <w:color w:val="auto"/>
                <w:szCs w:val="21"/>
              </w:rPr>
            </w:pPr>
            <w:r>
              <w:rPr>
                <w:color w:val="auto"/>
                <w:szCs w:val="21"/>
              </w:rPr>
              <w:t>授权和审批</w:t>
            </w:r>
          </w:p>
        </w:tc>
        <w:tc>
          <w:tcPr>
            <w:tcW w:w="3939" w:type="pct"/>
            <w:tcBorders>
              <w:top w:val="single" w:color="auto" w:sz="4" w:space="0"/>
              <w:left w:val="single" w:color="auto" w:sz="4" w:space="0"/>
              <w:bottom w:val="single" w:color="auto" w:sz="4" w:space="0"/>
              <w:right w:val="single" w:color="auto" w:sz="4" w:space="0"/>
            </w:tcBorders>
            <w:noWrap/>
            <w:vAlign w:val="center"/>
          </w:tcPr>
          <w:p w14:paraId="45D034F4">
            <w:pPr>
              <w:widowControl/>
              <w:rPr>
                <w:color w:val="auto"/>
                <w:szCs w:val="21"/>
              </w:rPr>
            </w:pPr>
            <w:r>
              <w:rPr>
                <w:color w:val="auto"/>
                <w:szCs w:val="21"/>
              </w:rPr>
              <w:t>通过访谈安全主管，检查相关文档，测评信息系统对关键活动的授权和审批情况。</w:t>
            </w:r>
          </w:p>
        </w:tc>
      </w:tr>
      <w:tr w14:paraId="5D4C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774613EB">
            <w:pPr>
              <w:jc w:val="center"/>
              <w:rPr>
                <w:color w:val="auto"/>
              </w:rPr>
            </w:pPr>
            <w:r>
              <w:rPr>
                <w:rFonts w:hint="eastAsia"/>
                <w:color w:val="auto"/>
              </w:rPr>
              <w:t>4</w:t>
            </w:r>
          </w:p>
        </w:tc>
        <w:tc>
          <w:tcPr>
            <w:tcW w:w="665" w:type="pct"/>
            <w:tcBorders>
              <w:top w:val="single" w:color="auto" w:sz="4" w:space="0"/>
              <w:left w:val="single" w:color="auto" w:sz="4" w:space="0"/>
              <w:bottom w:val="single" w:color="auto" w:sz="4" w:space="0"/>
              <w:right w:val="single" w:color="auto" w:sz="4" w:space="0"/>
            </w:tcBorders>
            <w:noWrap/>
            <w:vAlign w:val="center"/>
          </w:tcPr>
          <w:p w14:paraId="7EB15FC6">
            <w:pPr>
              <w:widowControl/>
              <w:jc w:val="center"/>
              <w:rPr>
                <w:color w:val="auto"/>
                <w:szCs w:val="21"/>
              </w:rPr>
            </w:pPr>
            <w:r>
              <w:rPr>
                <w:color w:val="auto"/>
                <w:szCs w:val="21"/>
              </w:rPr>
              <w:t>沟通和合作</w:t>
            </w:r>
          </w:p>
        </w:tc>
        <w:tc>
          <w:tcPr>
            <w:tcW w:w="3939" w:type="pct"/>
            <w:tcBorders>
              <w:top w:val="single" w:color="auto" w:sz="4" w:space="0"/>
              <w:left w:val="single" w:color="auto" w:sz="4" w:space="0"/>
              <w:bottom w:val="single" w:color="auto" w:sz="4" w:space="0"/>
              <w:right w:val="single" w:color="auto" w:sz="4" w:space="0"/>
            </w:tcBorders>
            <w:noWrap/>
            <w:vAlign w:val="center"/>
          </w:tcPr>
          <w:p w14:paraId="71A1FD00">
            <w:pPr>
              <w:widowControl/>
              <w:rPr>
                <w:color w:val="auto"/>
                <w:szCs w:val="21"/>
              </w:rPr>
            </w:pPr>
            <w:r>
              <w:rPr>
                <w:color w:val="auto"/>
                <w:szCs w:val="21"/>
              </w:rPr>
              <w:t>通过访谈安全主管，检查相关文档，测评信息系统内部部门间、与外部单位间的沟通与合作情况。</w:t>
            </w:r>
          </w:p>
        </w:tc>
      </w:tr>
      <w:tr w14:paraId="40C6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7099CCBE">
            <w:pPr>
              <w:jc w:val="center"/>
              <w:rPr>
                <w:color w:val="auto"/>
              </w:rPr>
            </w:pPr>
            <w:r>
              <w:rPr>
                <w:rFonts w:hint="eastAsia"/>
                <w:color w:val="auto"/>
              </w:rPr>
              <w:t>5</w:t>
            </w:r>
          </w:p>
        </w:tc>
        <w:tc>
          <w:tcPr>
            <w:tcW w:w="665" w:type="pct"/>
            <w:tcBorders>
              <w:top w:val="single" w:color="auto" w:sz="4" w:space="0"/>
              <w:left w:val="single" w:color="auto" w:sz="4" w:space="0"/>
              <w:bottom w:val="single" w:color="auto" w:sz="4" w:space="0"/>
              <w:right w:val="single" w:color="auto" w:sz="4" w:space="0"/>
            </w:tcBorders>
            <w:noWrap/>
            <w:vAlign w:val="center"/>
          </w:tcPr>
          <w:p w14:paraId="66F02931">
            <w:pPr>
              <w:widowControl/>
              <w:jc w:val="center"/>
              <w:rPr>
                <w:color w:val="auto"/>
                <w:szCs w:val="21"/>
              </w:rPr>
            </w:pPr>
            <w:r>
              <w:rPr>
                <w:color w:val="auto"/>
                <w:szCs w:val="21"/>
              </w:rPr>
              <w:t>审核和检查</w:t>
            </w:r>
          </w:p>
        </w:tc>
        <w:tc>
          <w:tcPr>
            <w:tcW w:w="3939" w:type="pct"/>
            <w:tcBorders>
              <w:top w:val="single" w:color="auto" w:sz="4" w:space="0"/>
              <w:left w:val="single" w:color="auto" w:sz="4" w:space="0"/>
              <w:bottom w:val="single" w:color="auto" w:sz="4" w:space="0"/>
              <w:right w:val="single" w:color="auto" w:sz="4" w:space="0"/>
            </w:tcBorders>
            <w:noWrap/>
            <w:vAlign w:val="center"/>
          </w:tcPr>
          <w:p w14:paraId="2A4BFF1B">
            <w:pPr>
              <w:widowControl/>
              <w:rPr>
                <w:color w:val="auto"/>
                <w:szCs w:val="21"/>
              </w:rPr>
            </w:pPr>
            <w:r>
              <w:rPr>
                <w:color w:val="auto"/>
                <w:szCs w:val="21"/>
              </w:rPr>
              <w:t>通过访谈安全主管，检查记录文档等过程，测评信息系统安全工作的审核和检查情况。</w:t>
            </w:r>
          </w:p>
        </w:tc>
      </w:tr>
    </w:tbl>
    <w:p w14:paraId="077F048F">
      <w:pPr>
        <w:tabs>
          <w:tab w:val="left" w:pos="5805"/>
        </w:tabs>
        <w:adjustRightInd w:val="0"/>
        <w:snapToGrid w:val="0"/>
        <w:spacing w:line="400" w:lineRule="exact"/>
        <w:ind w:firstLine="482" w:firstLineChars="200"/>
        <w:rPr>
          <w:rFonts w:ascii="宋体" w:hAnsi="宋体"/>
          <w:b/>
          <w:bCs/>
          <w:color w:val="auto"/>
          <w:sz w:val="24"/>
        </w:rPr>
      </w:pPr>
      <w:r>
        <w:rPr>
          <w:rFonts w:hint="eastAsia" w:ascii="宋体" w:hAnsi="宋体"/>
          <w:b/>
          <w:bCs/>
          <w:color w:val="auto"/>
          <w:sz w:val="24"/>
        </w:rPr>
        <w:t>（8）安全管理人员</w:t>
      </w:r>
    </w:p>
    <w:p w14:paraId="2A7E493B">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 xml:space="preserve">安全管理人员测评：通过访谈和检查的形式评测机构人员安全控制方面的情况。主要涉及安全主管人员、人事管理人员、相关管理制度、相关工作记录等对象。 </w:t>
      </w:r>
    </w:p>
    <w:p w14:paraId="594AE263">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在内容上，人员安全管理测评实施过程涉及4个工作单元，具体如下表：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325"/>
        <w:gridCol w:w="7848"/>
      </w:tblGrid>
      <w:tr w14:paraId="0CFA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41EF1CB">
            <w:pPr>
              <w:jc w:val="center"/>
              <w:rPr>
                <w:b/>
                <w:color w:val="auto"/>
                <w:kern w:val="0"/>
                <w:szCs w:val="21"/>
              </w:rPr>
            </w:pPr>
            <w:r>
              <w:rPr>
                <w:b/>
                <w:color w:val="auto"/>
                <w:kern w:val="0"/>
                <w:szCs w:val="21"/>
              </w:rPr>
              <w:t>序号</w:t>
            </w:r>
          </w:p>
        </w:tc>
        <w:tc>
          <w:tcPr>
            <w:tcW w:w="665"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70C72E3">
            <w:pPr>
              <w:jc w:val="center"/>
              <w:rPr>
                <w:b/>
                <w:color w:val="auto"/>
                <w:kern w:val="0"/>
                <w:szCs w:val="21"/>
              </w:rPr>
            </w:pPr>
            <w:r>
              <w:rPr>
                <w:b/>
                <w:color w:val="auto"/>
                <w:kern w:val="0"/>
                <w:szCs w:val="21"/>
              </w:rPr>
              <w:t>安全子类</w:t>
            </w:r>
          </w:p>
        </w:tc>
        <w:tc>
          <w:tcPr>
            <w:tcW w:w="393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06F4869">
            <w:pPr>
              <w:jc w:val="center"/>
              <w:rPr>
                <w:b/>
                <w:color w:val="auto"/>
                <w:kern w:val="0"/>
                <w:szCs w:val="21"/>
              </w:rPr>
            </w:pPr>
            <w:r>
              <w:rPr>
                <w:b/>
                <w:color w:val="auto"/>
                <w:kern w:val="0"/>
                <w:szCs w:val="21"/>
              </w:rPr>
              <w:t>测评指标描述</w:t>
            </w:r>
          </w:p>
        </w:tc>
      </w:tr>
      <w:tr w14:paraId="0B3B6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3516AAB6">
            <w:pPr>
              <w:widowControl/>
              <w:jc w:val="center"/>
              <w:rPr>
                <w:color w:val="auto"/>
                <w:szCs w:val="21"/>
              </w:rPr>
            </w:pPr>
            <w:r>
              <w:rPr>
                <w:color w:val="auto"/>
                <w:szCs w:val="21"/>
              </w:rPr>
              <w:t>1</w:t>
            </w:r>
          </w:p>
        </w:tc>
        <w:tc>
          <w:tcPr>
            <w:tcW w:w="665" w:type="pct"/>
            <w:tcBorders>
              <w:top w:val="single" w:color="auto" w:sz="4" w:space="0"/>
              <w:left w:val="single" w:color="auto" w:sz="4" w:space="0"/>
              <w:bottom w:val="single" w:color="auto" w:sz="4" w:space="0"/>
              <w:right w:val="single" w:color="auto" w:sz="4" w:space="0"/>
            </w:tcBorders>
            <w:noWrap/>
            <w:vAlign w:val="center"/>
          </w:tcPr>
          <w:p w14:paraId="4F4B21D1">
            <w:pPr>
              <w:widowControl/>
              <w:jc w:val="center"/>
              <w:rPr>
                <w:color w:val="auto"/>
                <w:szCs w:val="21"/>
              </w:rPr>
            </w:pPr>
            <w:r>
              <w:rPr>
                <w:rFonts w:hint="eastAsia"/>
                <w:color w:val="auto"/>
                <w:szCs w:val="21"/>
              </w:rPr>
              <w:t>人员录用</w:t>
            </w:r>
          </w:p>
        </w:tc>
        <w:tc>
          <w:tcPr>
            <w:tcW w:w="3939" w:type="pct"/>
            <w:tcBorders>
              <w:top w:val="single" w:color="auto" w:sz="4" w:space="0"/>
              <w:left w:val="single" w:color="auto" w:sz="4" w:space="0"/>
              <w:bottom w:val="single" w:color="auto" w:sz="4" w:space="0"/>
              <w:right w:val="single" w:color="auto" w:sz="4" w:space="0"/>
            </w:tcBorders>
            <w:noWrap/>
            <w:vAlign w:val="center"/>
          </w:tcPr>
          <w:p w14:paraId="77A1D9AB">
            <w:pPr>
              <w:widowControl/>
              <w:rPr>
                <w:color w:val="auto"/>
                <w:szCs w:val="21"/>
              </w:rPr>
            </w:pPr>
            <w:r>
              <w:rPr>
                <w:color w:val="auto"/>
              </w:rPr>
              <w:t>通过访谈人事负责人，检查人员录用文档等过程，测评信息系统录用人员时是否对人员提出要求以及是否对其进行各种审查和考核。</w:t>
            </w:r>
          </w:p>
        </w:tc>
      </w:tr>
      <w:tr w14:paraId="1BAC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44CC41A6">
            <w:pPr>
              <w:widowControl/>
              <w:jc w:val="center"/>
              <w:rPr>
                <w:color w:val="auto"/>
                <w:szCs w:val="21"/>
              </w:rPr>
            </w:pPr>
            <w:r>
              <w:rPr>
                <w:color w:val="auto"/>
                <w:szCs w:val="21"/>
              </w:rPr>
              <w:t>2</w:t>
            </w:r>
          </w:p>
        </w:tc>
        <w:tc>
          <w:tcPr>
            <w:tcW w:w="665" w:type="pct"/>
            <w:tcBorders>
              <w:top w:val="single" w:color="auto" w:sz="4" w:space="0"/>
              <w:left w:val="single" w:color="auto" w:sz="4" w:space="0"/>
              <w:bottom w:val="single" w:color="auto" w:sz="4" w:space="0"/>
              <w:right w:val="single" w:color="auto" w:sz="4" w:space="0"/>
            </w:tcBorders>
            <w:noWrap/>
            <w:vAlign w:val="center"/>
          </w:tcPr>
          <w:p w14:paraId="5D88B4A4">
            <w:pPr>
              <w:widowControl/>
              <w:jc w:val="center"/>
              <w:rPr>
                <w:color w:val="auto"/>
                <w:szCs w:val="21"/>
              </w:rPr>
            </w:pPr>
            <w:r>
              <w:rPr>
                <w:rFonts w:hint="eastAsia"/>
                <w:color w:val="auto"/>
                <w:szCs w:val="21"/>
              </w:rPr>
              <w:t>人员离岗</w:t>
            </w:r>
          </w:p>
        </w:tc>
        <w:tc>
          <w:tcPr>
            <w:tcW w:w="3939" w:type="pct"/>
            <w:tcBorders>
              <w:top w:val="single" w:color="auto" w:sz="4" w:space="0"/>
              <w:left w:val="single" w:color="auto" w:sz="4" w:space="0"/>
              <w:bottom w:val="single" w:color="auto" w:sz="4" w:space="0"/>
              <w:right w:val="single" w:color="auto" w:sz="4" w:space="0"/>
            </w:tcBorders>
            <w:noWrap/>
            <w:vAlign w:val="center"/>
          </w:tcPr>
          <w:p w14:paraId="1005C66E">
            <w:pPr>
              <w:widowControl/>
              <w:rPr>
                <w:color w:val="auto"/>
                <w:szCs w:val="21"/>
              </w:rPr>
            </w:pPr>
            <w:r>
              <w:rPr>
                <w:color w:val="auto"/>
              </w:rPr>
              <w:t>通过访谈人事负责人，检查人员离岗安全处理记录等过程，测评信息系统人员离岗时是否按照一定的手续办理。</w:t>
            </w:r>
          </w:p>
        </w:tc>
      </w:tr>
      <w:tr w14:paraId="6083B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142637EF">
            <w:pPr>
              <w:widowControl/>
              <w:jc w:val="center"/>
              <w:rPr>
                <w:color w:val="auto"/>
                <w:szCs w:val="21"/>
              </w:rPr>
            </w:pPr>
            <w:r>
              <w:rPr>
                <w:color w:val="auto"/>
                <w:szCs w:val="21"/>
              </w:rPr>
              <w:t>3</w:t>
            </w:r>
          </w:p>
        </w:tc>
        <w:tc>
          <w:tcPr>
            <w:tcW w:w="665" w:type="pct"/>
            <w:tcBorders>
              <w:top w:val="single" w:color="auto" w:sz="4" w:space="0"/>
              <w:left w:val="single" w:color="auto" w:sz="4" w:space="0"/>
              <w:bottom w:val="single" w:color="auto" w:sz="4" w:space="0"/>
              <w:right w:val="single" w:color="auto" w:sz="4" w:space="0"/>
            </w:tcBorders>
            <w:noWrap/>
            <w:vAlign w:val="center"/>
          </w:tcPr>
          <w:p w14:paraId="151353AE">
            <w:pPr>
              <w:widowControl/>
              <w:jc w:val="center"/>
              <w:rPr>
                <w:color w:val="auto"/>
                <w:szCs w:val="21"/>
              </w:rPr>
            </w:pPr>
            <w:r>
              <w:rPr>
                <w:rFonts w:hint="eastAsia"/>
                <w:color w:val="auto"/>
                <w:szCs w:val="21"/>
              </w:rPr>
              <w:t>安全意识教育和培训</w:t>
            </w:r>
          </w:p>
        </w:tc>
        <w:tc>
          <w:tcPr>
            <w:tcW w:w="3939" w:type="pct"/>
            <w:tcBorders>
              <w:top w:val="single" w:color="auto" w:sz="4" w:space="0"/>
              <w:left w:val="single" w:color="auto" w:sz="4" w:space="0"/>
              <w:bottom w:val="single" w:color="auto" w:sz="4" w:space="0"/>
              <w:right w:val="single" w:color="auto" w:sz="4" w:space="0"/>
            </w:tcBorders>
            <w:noWrap/>
            <w:vAlign w:val="center"/>
          </w:tcPr>
          <w:p w14:paraId="2645FBBE">
            <w:pPr>
              <w:widowControl/>
              <w:rPr>
                <w:color w:val="auto"/>
                <w:szCs w:val="21"/>
              </w:rPr>
            </w:pPr>
            <w:r>
              <w:rPr>
                <w:color w:val="auto"/>
              </w:rPr>
              <w:t>通过访谈安全主管，检查培训计划和执行记录等文档，测评是否对人员进行安全方面的教育和培训。</w:t>
            </w:r>
          </w:p>
        </w:tc>
      </w:tr>
      <w:tr w14:paraId="3C40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6AC54F7E">
            <w:pPr>
              <w:widowControl/>
              <w:jc w:val="center"/>
              <w:rPr>
                <w:color w:val="auto"/>
                <w:szCs w:val="21"/>
              </w:rPr>
            </w:pPr>
            <w:r>
              <w:rPr>
                <w:rFonts w:hint="eastAsia"/>
                <w:color w:val="auto"/>
                <w:szCs w:val="21"/>
              </w:rPr>
              <w:t>4</w:t>
            </w:r>
          </w:p>
        </w:tc>
        <w:tc>
          <w:tcPr>
            <w:tcW w:w="665" w:type="pct"/>
            <w:tcBorders>
              <w:top w:val="single" w:color="auto" w:sz="4" w:space="0"/>
              <w:left w:val="single" w:color="auto" w:sz="4" w:space="0"/>
              <w:bottom w:val="single" w:color="auto" w:sz="4" w:space="0"/>
              <w:right w:val="single" w:color="auto" w:sz="4" w:space="0"/>
            </w:tcBorders>
            <w:noWrap/>
            <w:vAlign w:val="center"/>
          </w:tcPr>
          <w:p w14:paraId="68D0BD51">
            <w:pPr>
              <w:widowControl/>
              <w:jc w:val="center"/>
              <w:rPr>
                <w:color w:val="auto"/>
                <w:szCs w:val="21"/>
              </w:rPr>
            </w:pPr>
            <w:r>
              <w:rPr>
                <w:rFonts w:hint="eastAsia"/>
                <w:color w:val="auto"/>
                <w:szCs w:val="21"/>
              </w:rPr>
              <w:t>外部人员访问管理</w:t>
            </w:r>
          </w:p>
        </w:tc>
        <w:tc>
          <w:tcPr>
            <w:tcW w:w="3939" w:type="pct"/>
            <w:tcBorders>
              <w:top w:val="single" w:color="auto" w:sz="4" w:space="0"/>
              <w:left w:val="single" w:color="auto" w:sz="4" w:space="0"/>
              <w:bottom w:val="single" w:color="auto" w:sz="4" w:space="0"/>
              <w:right w:val="single" w:color="auto" w:sz="4" w:space="0"/>
            </w:tcBorders>
            <w:noWrap/>
            <w:vAlign w:val="center"/>
          </w:tcPr>
          <w:p w14:paraId="1478F7F1">
            <w:pPr>
              <w:widowControl/>
              <w:rPr>
                <w:color w:val="auto"/>
                <w:szCs w:val="21"/>
              </w:rPr>
            </w:pPr>
            <w:r>
              <w:rPr>
                <w:color w:val="auto"/>
              </w:rPr>
              <w:t>通过访谈安全主管，检查有关文档等过程，测评对第三方人员访问（物理、逻辑）系统是否采取必要控制措施。</w:t>
            </w:r>
          </w:p>
        </w:tc>
      </w:tr>
    </w:tbl>
    <w:p w14:paraId="408F4E4E">
      <w:pPr>
        <w:tabs>
          <w:tab w:val="left" w:pos="5805"/>
        </w:tabs>
        <w:adjustRightInd w:val="0"/>
        <w:snapToGrid w:val="0"/>
        <w:spacing w:line="400" w:lineRule="exact"/>
        <w:ind w:firstLine="482" w:firstLineChars="200"/>
        <w:rPr>
          <w:rFonts w:ascii="宋体" w:hAnsi="宋体"/>
          <w:b/>
          <w:bCs/>
          <w:color w:val="auto"/>
          <w:sz w:val="24"/>
        </w:rPr>
      </w:pPr>
      <w:r>
        <w:rPr>
          <w:rFonts w:hint="eastAsia" w:ascii="宋体" w:hAnsi="宋体"/>
          <w:b/>
          <w:bCs/>
          <w:color w:val="auto"/>
          <w:sz w:val="24"/>
        </w:rPr>
        <w:t>（9）安全</w:t>
      </w:r>
      <w:r>
        <w:rPr>
          <w:rFonts w:ascii="宋体" w:hAnsi="宋体"/>
          <w:b/>
          <w:bCs/>
          <w:color w:val="auto"/>
          <w:sz w:val="24"/>
        </w:rPr>
        <w:t>建设管理</w:t>
      </w:r>
    </w:p>
    <w:p w14:paraId="6DD23F3D">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安全建设管理测评：通过访谈和检查的形式评测系统建设管理过程中的安全控制情况。主要涉及安全主管人员、系统建设负责人、各类管理制度、操作规程文件、执行过程记录等对象。</w:t>
      </w:r>
    </w:p>
    <w:p w14:paraId="1007BDF6">
      <w:pPr>
        <w:adjustRightInd w:val="0"/>
        <w:snapToGrid w:val="0"/>
        <w:spacing w:line="400" w:lineRule="exact"/>
        <w:ind w:firstLine="480" w:firstLineChars="200"/>
        <w:rPr>
          <w:rFonts w:hint="eastAsia" w:ascii="宋体" w:hAnsi="宋体"/>
          <w:color w:val="auto"/>
          <w:sz w:val="24"/>
        </w:rPr>
      </w:pPr>
      <w:r>
        <w:rPr>
          <w:rFonts w:hint="eastAsia" w:ascii="宋体" w:hAnsi="宋体"/>
          <w:color w:val="auto"/>
          <w:sz w:val="24"/>
        </w:rPr>
        <w:t>在内容上，系统建设管理测评实施过程涉及10个工作单元，具体如下表：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325"/>
        <w:gridCol w:w="7848"/>
      </w:tblGrid>
      <w:tr w14:paraId="0D41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1421D99">
            <w:pPr>
              <w:jc w:val="center"/>
              <w:rPr>
                <w:b/>
                <w:color w:val="auto"/>
                <w:kern w:val="0"/>
                <w:szCs w:val="21"/>
              </w:rPr>
            </w:pPr>
            <w:r>
              <w:rPr>
                <w:b/>
                <w:color w:val="auto"/>
                <w:kern w:val="0"/>
                <w:szCs w:val="21"/>
              </w:rPr>
              <w:t>序号</w:t>
            </w:r>
          </w:p>
        </w:tc>
        <w:tc>
          <w:tcPr>
            <w:tcW w:w="665"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790DD77">
            <w:pPr>
              <w:jc w:val="center"/>
              <w:rPr>
                <w:b/>
                <w:color w:val="auto"/>
                <w:kern w:val="0"/>
                <w:szCs w:val="21"/>
              </w:rPr>
            </w:pPr>
            <w:r>
              <w:rPr>
                <w:b/>
                <w:color w:val="auto"/>
                <w:kern w:val="0"/>
                <w:szCs w:val="21"/>
              </w:rPr>
              <w:t>安全子类</w:t>
            </w:r>
          </w:p>
        </w:tc>
        <w:tc>
          <w:tcPr>
            <w:tcW w:w="393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F0671D7">
            <w:pPr>
              <w:jc w:val="center"/>
              <w:rPr>
                <w:b/>
                <w:color w:val="auto"/>
                <w:kern w:val="0"/>
                <w:szCs w:val="21"/>
              </w:rPr>
            </w:pPr>
            <w:r>
              <w:rPr>
                <w:b/>
                <w:color w:val="auto"/>
                <w:kern w:val="0"/>
                <w:szCs w:val="21"/>
              </w:rPr>
              <w:t>测评指标描述</w:t>
            </w:r>
          </w:p>
        </w:tc>
      </w:tr>
      <w:tr w14:paraId="5EA84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186F3F75">
            <w:pPr>
              <w:jc w:val="center"/>
              <w:rPr>
                <w:color w:val="auto"/>
              </w:rPr>
            </w:pPr>
            <w:r>
              <w:rPr>
                <w:rFonts w:hint="eastAsia"/>
                <w:color w:val="auto"/>
              </w:rPr>
              <w:t>1</w:t>
            </w:r>
          </w:p>
        </w:tc>
        <w:tc>
          <w:tcPr>
            <w:tcW w:w="665" w:type="pct"/>
            <w:tcBorders>
              <w:top w:val="single" w:color="auto" w:sz="4" w:space="0"/>
              <w:left w:val="single" w:color="auto" w:sz="4" w:space="0"/>
              <w:bottom w:val="single" w:color="auto" w:sz="4" w:space="0"/>
              <w:right w:val="single" w:color="auto" w:sz="4" w:space="0"/>
            </w:tcBorders>
            <w:noWrap/>
            <w:vAlign w:val="center"/>
          </w:tcPr>
          <w:p w14:paraId="566A02BC">
            <w:pPr>
              <w:widowControl/>
              <w:jc w:val="center"/>
              <w:rPr>
                <w:color w:val="auto"/>
                <w:szCs w:val="21"/>
              </w:rPr>
            </w:pPr>
            <w:r>
              <w:rPr>
                <w:color w:val="auto"/>
                <w:szCs w:val="21"/>
              </w:rPr>
              <w:t>定级</w:t>
            </w:r>
            <w:r>
              <w:rPr>
                <w:rFonts w:hint="eastAsia"/>
                <w:color w:val="auto"/>
                <w:szCs w:val="21"/>
              </w:rPr>
              <w:t>和备案</w:t>
            </w:r>
          </w:p>
        </w:tc>
        <w:tc>
          <w:tcPr>
            <w:tcW w:w="3939" w:type="pct"/>
            <w:tcBorders>
              <w:top w:val="single" w:color="auto" w:sz="4" w:space="0"/>
              <w:left w:val="single" w:color="auto" w:sz="4" w:space="0"/>
              <w:bottom w:val="single" w:color="auto" w:sz="4" w:space="0"/>
              <w:right w:val="single" w:color="auto" w:sz="4" w:space="0"/>
            </w:tcBorders>
            <w:noWrap/>
            <w:vAlign w:val="center"/>
          </w:tcPr>
          <w:p w14:paraId="2C6ADDEC">
            <w:pPr>
              <w:widowControl/>
              <w:rPr>
                <w:color w:val="auto"/>
                <w:szCs w:val="21"/>
              </w:rPr>
            </w:pPr>
            <w:r>
              <w:rPr>
                <w:color w:val="auto"/>
                <w:szCs w:val="21"/>
              </w:rPr>
              <w:t>通过访谈安全主管，检查系统定级相关文档等过程，测评是否按照一定要求确定系统的安全等级。</w:t>
            </w:r>
          </w:p>
        </w:tc>
      </w:tr>
      <w:tr w14:paraId="4FA0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669F9AE4">
            <w:pPr>
              <w:jc w:val="center"/>
              <w:rPr>
                <w:color w:val="auto"/>
              </w:rPr>
            </w:pPr>
            <w:r>
              <w:rPr>
                <w:rFonts w:hint="eastAsia"/>
                <w:color w:val="auto"/>
              </w:rPr>
              <w:t>2</w:t>
            </w:r>
          </w:p>
        </w:tc>
        <w:tc>
          <w:tcPr>
            <w:tcW w:w="665" w:type="pct"/>
            <w:tcBorders>
              <w:top w:val="single" w:color="auto" w:sz="4" w:space="0"/>
              <w:left w:val="single" w:color="auto" w:sz="4" w:space="0"/>
              <w:bottom w:val="single" w:color="auto" w:sz="4" w:space="0"/>
              <w:right w:val="single" w:color="auto" w:sz="4" w:space="0"/>
            </w:tcBorders>
            <w:noWrap/>
            <w:vAlign w:val="center"/>
          </w:tcPr>
          <w:p w14:paraId="6BE351C1">
            <w:pPr>
              <w:widowControl/>
              <w:jc w:val="center"/>
              <w:rPr>
                <w:color w:val="auto"/>
                <w:szCs w:val="21"/>
              </w:rPr>
            </w:pPr>
            <w:r>
              <w:rPr>
                <w:color w:val="auto"/>
                <w:szCs w:val="21"/>
              </w:rPr>
              <w:t>安全方案设计</w:t>
            </w:r>
          </w:p>
        </w:tc>
        <w:tc>
          <w:tcPr>
            <w:tcW w:w="3939" w:type="pct"/>
            <w:tcBorders>
              <w:top w:val="single" w:color="auto" w:sz="4" w:space="0"/>
              <w:left w:val="single" w:color="auto" w:sz="4" w:space="0"/>
              <w:bottom w:val="single" w:color="auto" w:sz="4" w:space="0"/>
              <w:right w:val="single" w:color="auto" w:sz="4" w:space="0"/>
            </w:tcBorders>
            <w:noWrap/>
            <w:vAlign w:val="center"/>
          </w:tcPr>
          <w:p w14:paraId="6D90E808">
            <w:pPr>
              <w:widowControl/>
              <w:rPr>
                <w:color w:val="auto"/>
                <w:szCs w:val="21"/>
              </w:rPr>
            </w:pPr>
            <w:r>
              <w:rPr>
                <w:color w:val="auto"/>
                <w:szCs w:val="21"/>
              </w:rPr>
              <w:t>通过访谈系统建设负责人，检查系统安全建设方案等文档，测评系统整体的安全规划设计是否按照一定流程进行。</w:t>
            </w:r>
          </w:p>
        </w:tc>
      </w:tr>
      <w:tr w14:paraId="1C95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53447902">
            <w:pPr>
              <w:jc w:val="center"/>
              <w:rPr>
                <w:color w:val="auto"/>
              </w:rPr>
            </w:pPr>
            <w:r>
              <w:rPr>
                <w:rFonts w:hint="eastAsia"/>
                <w:color w:val="auto"/>
              </w:rPr>
              <w:t>3</w:t>
            </w:r>
          </w:p>
        </w:tc>
        <w:tc>
          <w:tcPr>
            <w:tcW w:w="665" w:type="pct"/>
            <w:tcBorders>
              <w:top w:val="single" w:color="auto" w:sz="4" w:space="0"/>
              <w:left w:val="single" w:color="auto" w:sz="4" w:space="0"/>
              <w:bottom w:val="single" w:color="auto" w:sz="4" w:space="0"/>
              <w:right w:val="single" w:color="auto" w:sz="4" w:space="0"/>
            </w:tcBorders>
            <w:noWrap/>
            <w:vAlign w:val="center"/>
          </w:tcPr>
          <w:p w14:paraId="36063FA5">
            <w:pPr>
              <w:widowControl/>
              <w:jc w:val="center"/>
              <w:rPr>
                <w:color w:val="auto"/>
                <w:szCs w:val="21"/>
              </w:rPr>
            </w:pPr>
            <w:r>
              <w:rPr>
                <w:color w:val="auto"/>
                <w:szCs w:val="21"/>
              </w:rPr>
              <w:t>产品采购和使用</w:t>
            </w:r>
          </w:p>
        </w:tc>
        <w:tc>
          <w:tcPr>
            <w:tcW w:w="3939" w:type="pct"/>
            <w:tcBorders>
              <w:top w:val="single" w:color="auto" w:sz="4" w:space="0"/>
              <w:left w:val="single" w:color="auto" w:sz="4" w:space="0"/>
              <w:bottom w:val="single" w:color="auto" w:sz="4" w:space="0"/>
              <w:right w:val="single" w:color="auto" w:sz="4" w:space="0"/>
            </w:tcBorders>
            <w:noWrap/>
            <w:vAlign w:val="center"/>
          </w:tcPr>
          <w:p w14:paraId="4DF18945">
            <w:pPr>
              <w:widowControl/>
              <w:rPr>
                <w:color w:val="auto"/>
                <w:szCs w:val="21"/>
              </w:rPr>
            </w:pPr>
            <w:r>
              <w:rPr>
                <w:color w:val="auto"/>
                <w:szCs w:val="21"/>
              </w:rPr>
              <w:t>通过访谈安全主管、系统建设负责人和安全产品等过程，测评是否按照一定的要求进行系统的产品采购。</w:t>
            </w:r>
          </w:p>
        </w:tc>
      </w:tr>
      <w:tr w14:paraId="6F0C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531AE0F2">
            <w:pPr>
              <w:jc w:val="center"/>
              <w:rPr>
                <w:color w:val="auto"/>
              </w:rPr>
            </w:pPr>
            <w:r>
              <w:rPr>
                <w:rFonts w:hint="eastAsia"/>
                <w:color w:val="auto"/>
              </w:rPr>
              <w:t>4</w:t>
            </w:r>
          </w:p>
        </w:tc>
        <w:tc>
          <w:tcPr>
            <w:tcW w:w="665" w:type="pct"/>
            <w:tcBorders>
              <w:top w:val="single" w:color="auto" w:sz="4" w:space="0"/>
              <w:left w:val="single" w:color="auto" w:sz="4" w:space="0"/>
              <w:bottom w:val="single" w:color="auto" w:sz="4" w:space="0"/>
              <w:right w:val="single" w:color="auto" w:sz="4" w:space="0"/>
            </w:tcBorders>
            <w:noWrap/>
            <w:vAlign w:val="center"/>
          </w:tcPr>
          <w:p w14:paraId="2BFBAFBF">
            <w:pPr>
              <w:widowControl/>
              <w:jc w:val="center"/>
              <w:rPr>
                <w:color w:val="auto"/>
                <w:szCs w:val="21"/>
              </w:rPr>
            </w:pPr>
            <w:r>
              <w:rPr>
                <w:color w:val="auto"/>
                <w:szCs w:val="21"/>
              </w:rPr>
              <w:t>自行软件开发</w:t>
            </w:r>
          </w:p>
        </w:tc>
        <w:tc>
          <w:tcPr>
            <w:tcW w:w="3939" w:type="pct"/>
            <w:tcBorders>
              <w:top w:val="single" w:color="auto" w:sz="4" w:space="0"/>
              <w:left w:val="single" w:color="auto" w:sz="4" w:space="0"/>
              <w:bottom w:val="single" w:color="auto" w:sz="4" w:space="0"/>
              <w:right w:val="single" w:color="auto" w:sz="4" w:space="0"/>
            </w:tcBorders>
            <w:noWrap/>
            <w:vAlign w:val="center"/>
          </w:tcPr>
          <w:p w14:paraId="0F69FD57">
            <w:pPr>
              <w:widowControl/>
              <w:rPr>
                <w:color w:val="auto"/>
                <w:szCs w:val="21"/>
              </w:rPr>
            </w:pPr>
            <w:r>
              <w:rPr>
                <w:color w:val="auto"/>
                <w:szCs w:val="21"/>
              </w:rPr>
              <w:t>通过访谈系统建设负责人，检查相关软件开发文档等，测评自行开发的软件是否采取必要的措施保证开发过程的安全性。</w:t>
            </w:r>
          </w:p>
        </w:tc>
      </w:tr>
      <w:tr w14:paraId="132F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49F54659">
            <w:pPr>
              <w:jc w:val="center"/>
              <w:rPr>
                <w:color w:val="auto"/>
              </w:rPr>
            </w:pPr>
            <w:r>
              <w:rPr>
                <w:rFonts w:hint="eastAsia"/>
                <w:color w:val="auto"/>
              </w:rPr>
              <w:t>5</w:t>
            </w:r>
          </w:p>
        </w:tc>
        <w:tc>
          <w:tcPr>
            <w:tcW w:w="665" w:type="pct"/>
            <w:tcBorders>
              <w:top w:val="single" w:color="auto" w:sz="4" w:space="0"/>
              <w:left w:val="single" w:color="auto" w:sz="4" w:space="0"/>
              <w:bottom w:val="single" w:color="auto" w:sz="4" w:space="0"/>
              <w:right w:val="single" w:color="auto" w:sz="4" w:space="0"/>
            </w:tcBorders>
            <w:noWrap/>
            <w:vAlign w:val="center"/>
          </w:tcPr>
          <w:p w14:paraId="63244970">
            <w:pPr>
              <w:widowControl/>
              <w:jc w:val="center"/>
              <w:rPr>
                <w:color w:val="auto"/>
                <w:szCs w:val="21"/>
              </w:rPr>
            </w:pPr>
            <w:r>
              <w:rPr>
                <w:color w:val="auto"/>
                <w:szCs w:val="21"/>
              </w:rPr>
              <w:t>外包软件开发</w:t>
            </w:r>
          </w:p>
        </w:tc>
        <w:tc>
          <w:tcPr>
            <w:tcW w:w="3939" w:type="pct"/>
            <w:tcBorders>
              <w:top w:val="single" w:color="auto" w:sz="4" w:space="0"/>
              <w:left w:val="single" w:color="auto" w:sz="4" w:space="0"/>
              <w:bottom w:val="single" w:color="auto" w:sz="4" w:space="0"/>
              <w:right w:val="single" w:color="auto" w:sz="4" w:space="0"/>
            </w:tcBorders>
            <w:noWrap/>
            <w:vAlign w:val="center"/>
          </w:tcPr>
          <w:p w14:paraId="562E3DFF">
            <w:pPr>
              <w:widowControl/>
              <w:rPr>
                <w:color w:val="auto"/>
                <w:szCs w:val="21"/>
              </w:rPr>
            </w:pPr>
            <w:r>
              <w:rPr>
                <w:color w:val="auto"/>
                <w:szCs w:val="21"/>
              </w:rPr>
              <w:t>通过访谈系统建设负责人，检查相关文档，测评外包开发的软件是否采取必要的措施保证开发过程的安全性和日后的维护工作能够正常开展。</w:t>
            </w:r>
          </w:p>
        </w:tc>
      </w:tr>
      <w:tr w14:paraId="34B7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6D5F828E">
            <w:pPr>
              <w:jc w:val="center"/>
              <w:rPr>
                <w:color w:val="auto"/>
              </w:rPr>
            </w:pPr>
            <w:r>
              <w:rPr>
                <w:rFonts w:hint="eastAsia"/>
                <w:color w:val="auto"/>
              </w:rPr>
              <w:t>6</w:t>
            </w:r>
          </w:p>
        </w:tc>
        <w:tc>
          <w:tcPr>
            <w:tcW w:w="665" w:type="pct"/>
            <w:tcBorders>
              <w:top w:val="single" w:color="auto" w:sz="4" w:space="0"/>
              <w:left w:val="single" w:color="auto" w:sz="4" w:space="0"/>
              <w:bottom w:val="single" w:color="auto" w:sz="4" w:space="0"/>
              <w:right w:val="single" w:color="auto" w:sz="4" w:space="0"/>
            </w:tcBorders>
            <w:noWrap/>
            <w:vAlign w:val="center"/>
          </w:tcPr>
          <w:p w14:paraId="0CC6B8F9">
            <w:pPr>
              <w:widowControl/>
              <w:jc w:val="center"/>
              <w:rPr>
                <w:color w:val="auto"/>
                <w:szCs w:val="21"/>
              </w:rPr>
            </w:pPr>
            <w:r>
              <w:rPr>
                <w:color w:val="auto"/>
                <w:szCs w:val="21"/>
              </w:rPr>
              <w:t>工程实施</w:t>
            </w:r>
          </w:p>
        </w:tc>
        <w:tc>
          <w:tcPr>
            <w:tcW w:w="3939" w:type="pct"/>
            <w:tcBorders>
              <w:top w:val="single" w:color="auto" w:sz="4" w:space="0"/>
              <w:left w:val="single" w:color="auto" w:sz="4" w:space="0"/>
              <w:bottom w:val="single" w:color="auto" w:sz="4" w:space="0"/>
              <w:right w:val="single" w:color="auto" w:sz="4" w:space="0"/>
            </w:tcBorders>
            <w:noWrap/>
            <w:vAlign w:val="center"/>
          </w:tcPr>
          <w:p w14:paraId="347A4B96">
            <w:pPr>
              <w:widowControl/>
              <w:rPr>
                <w:color w:val="auto"/>
                <w:szCs w:val="21"/>
              </w:rPr>
            </w:pPr>
            <w:r>
              <w:rPr>
                <w:color w:val="auto"/>
                <w:szCs w:val="21"/>
              </w:rPr>
              <w:t>通过访谈系统建设负责人，检查相关文档，测评系统建设的实施过程是否采取必要的措施使其在机构可控的范围内进行。</w:t>
            </w:r>
          </w:p>
        </w:tc>
      </w:tr>
      <w:tr w14:paraId="5850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7BDD873A">
            <w:pPr>
              <w:jc w:val="center"/>
              <w:rPr>
                <w:color w:val="auto"/>
              </w:rPr>
            </w:pPr>
            <w:r>
              <w:rPr>
                <w:rFonts w:hint="eastAsia"/>
                <w:color w:val="auto"/>
              </w:rPr>
              <w:t>7</w:t>
            </w:r>
          </w:p>
        </w:tc>
        <w:tc>
          <w:tcPr>
            <w:tcW w:w="665" w:type="pct"/>
            <w:tcBorders>
              <w:top w:val="single" w:color="auto" w:sz="4" w:space="0"/>
              <w:left w:val="single" w:color="auto" w:sz="4" w:space="0"/>
              <w:bottom w:val="single" w:color="auto" w:sz="4" w:space="0"/>
              <w:right w:val="single" w:color="auto" w:sz="4" w:space="0"/>
            </w:tcBorders>
            <w:noWrap/>
            <w:vAlign w:val="center"/>
          </w:tcPr>
          <w:p w14:paraId="174579D4">
            <w:pPr>
              <w:widowControl/>
              <w:jc w:val="center"/>
              <w:rPr>
                <w:color w:val="auto"/>
                <w:szCs w:val="21"/>
              </w:rPr>
            </w:pPr>
            <w:r>
              <w:rPr>
                <w:color w:val="auto"/>
                <w:szCs w:val="21"/>
              </w:rPr>
              <w:t>测试验收</w:t>
            </w:r>
          </w:p>
        </w:tc>
        <w:tc>
          <w:tcPr>
            <w:tcW w:w="3939" w:type="pct"/>
            <w:tcBorders>
              <w:top w:val="single" w:color="auto" w:sz="4" w:space="0"/>
              <w:left w:val="single" w:color="auto" w:sz="4" w:space="0"/>
              <w:bottom w:val="single" w:color="auto" w:sz="4" w:space="0"/>
              <w:right w:val="single" w:color="auto" w:sz="4" w:space="0"/>
            </w:tcBorders>
            <w:noWrap/>
            <w:vAlign w:val="center"/>
          </w:tcPr>
          <w:p w14:paraId="6546CD57">
            <w:pPr>
              <w:widowControl/>
              <w:rPr>
                <w:color w:val="auto"/>
                <w:szCs w:val="21"/>
              </w:rPr>
            </w:pPr>
            <w:r>
              <w:rPr>
                <w:color w:val="auto"/>
                <w:szCs w:val="21"/>
              </w:rPr>
              <w:t>通过访谈系统建设负责人，检查测试验收等相关文档，测评系统运行前是否对其进行测试验收工作。</w:t>
            </w:r>
          </w:p>
        </w:tc>
      </w:tr>
      <w:tr w14:paraId="2880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0434C36B">
            <w:pPr>
              <w:jc w:val="center"/>
              <w:rPr>
                <w:color w:val="auto"/>
              </w:rPr>
            </w:pPr>
            <w:r>
              <w:rPr>
                <w:rFonts w:hint="eastAsia"/>
                <w:color w:val="auto"/>
              </w:rPr>
              <w:t>8</w:t>
            </w:r>
          </w:p>
        </w:tc>
        <w:tc>
          <w:tcPr>
            <w:tcW w:w="665" w:type="pct"/>
            <w:tcBorders>
              <w:top w:val="single" w:color="auto" w:sz="4" w:space="0"/>
              <w:left w:val="single" w:color="auto" w:sz="4" w:space="0"/>
              <w:bottom w:val="single" w:color="auto" w:sz="4" w:space="0"/>
              <w:right w:val="single" w:color="auto" w:sz="4" w:space="0"/>
            </w:tcBorders>
            <w:noWrap/>
            <w:vAlign w:val="center"/>
          </w:tcPr>
          <w:p w14:paraId="5EB05299">
            <w:pPr>
              <w:widowControl/>
              <w:jc w:val="center"/>
              <w:rPr>
                <w:color w:val="auto"/>
                <w:szCs w:val="21"/>
              </w:rPr>
            </w:pPr>
            <w:r>
              <w:rPr>
                <w:color w:val="auto"/>
                <w:szCs w:val="21"/>
              </w:rPr>
              <w:t>系统交付</w:t>
            </w:r>
          </w:p>
        </w:tc>
        <w:tc>
          <w:tcPr>
            <w:tcW w:w="3939" w:type="pct"/>
            <w:tcBorders>
              <w:top w:val="single" w:color="auto" w:sz="4" w:space="0"/>
              <w:left w:val="single" w:color="auto" w:sz="4" w:space="0"/>
              <w:bottom w:val="single" w:color="auto" w:sz="4" w:space="0"/>
              <w:right w:val="single" w:color="auto" w:sz="4" w:space="0"/>
            </w:tcBorders>
            <w:noWrap/>
            <w:vAlign w:val="center"/>
          </w:tcPr>
          <w:p w14:paraId="3A751D5E">
            <w:pPr>
              <w:widowControl/>
              <w:rPr>
                <w:color w:val="auto"/>
                <w:szCs w:val="21"/>
              </w:rPr>
            </w:pPr>
            <w:r>
              <w:rPr>
                <w:color w:val="auto"/>
                <w:szCs w:val="21"/>
              </w:rPr>
              <w:t>通过访谈系统运维负责人，检查系统交付清单等过程，测评是否采取必要的措施对系统交付过程进行有效控制。</w:t>
            </w:r>
          </w:p>
        </w:tc>
      </w:tr>
      <w:tr w14:paraId="79DA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7E4F1B79">
            <w:pPr>
              <w:jc w:val="center"/>
              <w:rPr>
                <w:color w:val="auto"/>
              </w:rPr>
            </w:pPr>
            <w:r>
              <w:rPr>
                <w:rFonts w:hint="eastAsia"/>
                <w:color w:val="auto"/>
              </w:rPr>
              <w:t>9</w:t>
            </w:r>
          </w:p>
        </w:tc>
        <w:tc>
          <w:tcPr>
            <w:tcW w:w="665" w:type="pct"/>
            <w:tcBorders>
              <w:top w:val="single" w:color="auto" w:sz="4" w:space="0"/>
              <w:left w:val="single" w:color="auto" w:sz="4" w:space="0"/>
              <w:bottom w:val="single" w:color="auto" w:sz="4" w:space="0"/>
              <w:right w:val="single" w:color="auto" w:sz="4" w:space="0"/>
            </w:tcBorders>
            <w:noWrap/>
            <w:vAlign w:val="center"/>
          </w:tcPr>
          <w:p w14:paraId="20FF3A26">
            <w:pPr>
              <w:widowControl/>
              <w:jc w:val="center"/>
              <w:rPr>
                <w:color w:val="auto"/>
                <w:szCs w:val="21"/>
              </w:rPr>
            </w:pPr>
            <w:r>
              <w:rPr>
                <w:rFonts w:hint="eastAsia"/>
                <w:color w:val="auto"/>
                <w:szCs w:val="21"/>
              </w:rPr>
              <w:t>等级测评</w:t>
            </w:r>
          </w:p>
        </w:tc>
        <w:tc>
          <w:tcPr>
            <w:tcW w:w="3939" w:type="pct"/>
            <w:tcBorders>
              <w:top w:val="single" w:color="auto" w:sz="4" w:space="0"/>
              <w:left w:val="single" w:color="auto" w:sz="4" w:space="0"/>
              <w:bottom w:val="single" w:color="auto" w:sz="4" w:space="0"/>
              <w:right w:val="single" w:color="auto" w:sz="4" w:space="0"/>
            </w:tcBorders>
            <w:noWrap/>
            <w:vAlign w:val="center"/>
          </w:tcPr>
          <w:p w14:paraId="2487F375">
            <w:pPr>
              <w:widowControl/>
              <w:rPr>
                <w:color w:val="auto"/>
                <w:szCs w:val="21"/>
              </w:rPr>
            </w:pPr>
            <w:r>
              <w:rPr>
                <w:color w:val="auto"/>
                <w:szCs w:val="21"/>
              </w:rPr>
              <w:t>通过访谈系统运维负责人，</w:t>
            </w:r>
            <w:r>
              <w:rPr>
                <w:rFonts w:hint="eastAsia"/>
                <w:color w:val="auto"/>
                <w:szCs w:val="21"/>
              </w:rPr>
              <w:t>核查定期开展等级测评和等级保护整改情况。</w:t>
            </w:r>
          </w:p>
        </w:tc>
      </w:tr>
      <w:tr w14:paraId="1940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96" w:type="pct"/>
            <w:tcBorders>
              <w:top w:val="single" w:color="auto" w:sz="4" w:space="0"/>
              <w:left w:val="single" w:color="auto" w:sz="4" w:space="0"/>
              <w:bottom w:val="single" w:color="auto" w:sz="4" w:space="0"/>
              <w:right w:val="single" w:color="auto" w:sz="4" w:space="0"/>
            </w:tcBorders>
            <w:noWrap/>
            <w:vAlign w:val="center"/>
          </w:tcPr>
          <w:p w14:paraId="2503EC43">
            <w:pPr>
              <w:jc w:val="center"/>
              <w:rPr>
                <w:color w:val="auto"/>
              </w:rPr>
            </w:pPr>
            <w:r>
              <w:rPr>
                <w:color w:val="auto"/>
              </w:rPr>
              <w:t>10</w:t>
            </w:r>
          </w:p>
        </w:tc>
        <w:tc>
          <w:tcPr>
            <w:tcW w:w="665" w:type="pct"/>
            <w:tcBorders>
              <w:top w:val="single" w:color="auto" w:sz="4" w:space="0"/>
              <w:left w:val="single" w:color="auto" w:sz="4" w:space="0"/>
              <w:bottom w:val="single" w:color="auto" w:sz="4" w:space="0"/>
              <w:right w:val="single" w:color="auto" w:sz="4" w:space="0"/>
            </w:tcBorders>
            <w:noWrap/>
            <w:vAlign w:val="center"/>
          </w:tcPr>
          <w:p w14:paraId="5BAA7279">
            <w:pPr>
              <w:widowControl/>
              <w:jc w:val="center"/>
              <w:rPr>
                <w:color w:val="auto"/>
                <w:szCs w:val="21"/>
              </w:rPr>
            </w:pPr>
            <w:r>
              <w:rPr>
                <w:color w:val="auto"/>
                <w:szCs w:val="21"/>
              </w:rPr>
              <w:t>服务</w:t>
            </w:r>
            <w:r>
              <w:rPr>
                <w:rFonts w:hint="eastAsia"/>
                <w:color w:val="auto"/>
                <w:szCs w:val="21"/>
              </w:rPr>
              <w:t>供应</w:t>
            </w:r>
            <w:r>
              <w:rPr>
                <w:color w:val="auto"/>
                <w:szCs w:val="21"/>
              </w:rPr>
              <w:t>商选择</w:t>
            </w:r>
          </w:p>
        </w:tc>
        <w:tc>
          <w:tcPr>
            <w:tcW w:w="3939" w:type="pct"/>
            <w:tcBorders>
              <w:top w:val="single" w:color="auto" w:sz="4" w:space="0"/>
              <w:left w:val="single" w:color="auto" w:sz="4" w:space="0"/>
              <w:bottom w:val="single" w:color="auto" w:sz="4" w:space="0"/>
              <w:right w:val="single" w:color="auto" w:sz="4" w:space="0"/>
            </w:tcBorders>
            <w:noWrap/>
            <w:vAlign w:val="center"/>
          </w:tcPr>
          <w:p w14:paraId="3A3CF843">
            <w:pPr>
              <w:widowControl/>
              <w:rPr>
                <w:color w:val="auto"/>
                <w:szCs w:val="21"/>
              </w:rPr>
            </w:pPr>
            <w:r>
              <w:rPr>
                <w:color w:val="auto"/>
                <w:szCs w:val="21"/>
              </w:rPr>
              <w:t>通过访谈系统运维负责人，测评是否选择符合国家有关规定的安全服务单位进行相关的安全服务工作。</w:t>
            </w:r>
          </w:p>
        </w:tc>
      </w:tr>
    </w:tbl>
    <w:p w14:paraId="4B4F45FB">
      <w:pPr>
        <w:tabs>
          <w:tab w:val="left" w:pos="5805"/>
        </w:tabs>
        <w:adjustRightInd w:val="0"/>
        <w:snapToGrid w:val="0"/>
        <w:spacing w:line="400" w:lineRule="exact"/>
        <w:ind w:firstLine="482" w:firstLineChars="200"/>
        <w:rPr>
          <w:rFonts w:ascii="宋体" w:hAnsi="宋体"/>
          <w:b/>
          <w:bCs/>
          <w:color w:val="auto"/>
          <w:sz w:val="24"/>
        </w:rPr>
      </w:pPr>
      <w:r>
        <w:rPr>
          <w:rFonts w:hint="eastAsia" w:ascii="宋体" w:hAnsi="宋体"/>
          <w:b/>
          <w:bCs/>
          <w:color w:val="auto"/>
          <w:sz w:val="24"/>
        </w:rPr>
        <w:t>（</w:t>
      </w:r>
      <w:r>
        <w:rPr>
          <w:rFonts w:ascii="宋体" w:hAnsi="宋体"/>
          <w:b/>
          <w:bCs/>
          <w:color w:val="auto"/>
          <w:sz w:val="24"/>
        </w:rPr>
        <w:t>10</w:t>
      </w:r>
      <w:r>
        <w:rPr>
          <w:rFonts w:hint="eastAsia" w:ascii="宋体" w:hAnsi="宋体"/>
          <w:b/>
          <w:bCs/>
          <w:color w:val="auto"/>
          <w:sz w:val="24"/>
        </w:rPr>
        <w:t>）安全</w:t>
      </w:r>
      <w:r>
        <w:rPr>
          <w:rFonts w:ascii="宋体" w:hAnsi="宋体"/>
          <w:b/>
          <w:bCs/>
          <w:color w:val="auto"/>
          <w:sz w:val="24"/>
        </w:rPr>
        <w:t>运维管理测评</w:t>
      </w:r>
    </w:p>
    <w:p w14:paraId="2EE5885D">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安全运维管理测评：通过访谈和检查的形式评测系统运维管理过程中的安全控制情况。主要涉及安全主管人员、安全管理人员、各类运维人员、各类管理制度、操作规程文件、执行过程记录等对象。</w:t>
      </w:r>
    </w:p>
    <w:p w14:paraId="10669231">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在内容上，系统运维管理测评实施过程涉及14个工作单元，具体如下表：</w:t>
      </w:r>
    </w:p>
    <w:tbl>
      <w:tblPr>
        <w:tblStyle w:val="16"/>
        <w:tblW w:w="49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106"/>
        <w:gridCol w:w="7132"/>
      </w:tblGrid>
      <w:tr w14:paraId="20F1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5"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EFD4ACF">
            <w:pPr>
              <w:jc w:val="center"/>
              <w:rPr>
                <w:b/>
                <w:color w:val="auto"/>
                <w:kern w:val="0"/>
                <w:szCs w:val="21"/>
              </w:rPr>
            </w:pPr>
            <w:r>
              <w:rPr>
                <w:b/>
                <w:color w:val="auto"/>
                <w:kern w:val="0"/>
                <w:szCs w:val="21"/>
              </w:rPr>
              <w:t>序号</w:t>
            </w:r>
          </w:p>
        </w:tc>
        <w:tc>
          <w:tcPr>
            <w:tcW w:w="1017"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E6D2E5A">
            <w:pPr>
              <w:jc w:val="center"/>
              <w:rPr>
                <w:b/>
                <w:color w:val="auto"/>
                <w:kern w:val="0"/>
                <w:szCs w:val="21"/>
              </w:rPr>
            </w:pPr>
            <w:r>
              <w:rPr>
                <w:b/>
                <w:color w:val="auto"/>
                <w:kern w:val="0"/>
                <w:szCs w:val="21"/>
              </w:rPr>
              <w:t>安全子类</w:t>
            </w:r>
          </w:p>
        </w:tc>
        <w:tc>
          <w:tcPr>
            <w:tcW w:w="360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DE31C44">
            <w:pPr>
              <w:jc w:val="center"/>
              <w:rPr>
                <w:b/>
                <w:color w:val="auto"/>
                <w:kern w:val="0"/>
                <w:szCs w:val="21"/>
              </w:rPr>
            </w:pPr>
            <w:r>
              <w:rPr>
                <w:b/>
                <w:color w:val="auto"/>
                <w:kern w:val="0"/>
                <w:szCs w:val="21"/>
              </w:rPr>
              <w:t>测评指标描述</w:t>
            </w:r>
          </w:p>
        </w:tc>
      </w:tr>
      <w:tr w14:paraId="5A00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09D49591">
            <w:pPr>
              <w:jc w:val="center"/>
              <w:rPr>
                <w:color w:val="auto"/>
              </w:rPr>
            </w:pPr>
            <w:r>
              <w:rPr>
                <w:rFonts w:hint="eastAsia"/>
                <w:color w:val="auto"/>
              </w:rPr>
              <w:t>1</w:t>
            </w:r>
          </w:p>
        </w:tc>
        <w:tc>
          <w:tcPr>
            <w:tcW w:w="1017" w:type="pct"/>
            <w:tcBorders>
              <w:top w:val="single" w:color="auto" w:sz="4" w:space="0"/>
              <w:left w:val="single" w:color="auto" w:sz="4" w:space="0"/>
              <w:bottom w:val="single" w:color="auto" w:sz="4" w:space="0"/>
              <w:right w:val="single" w:color="auto" w:sz="4" w:space="0"/>
            </w:tcBorders>
            <w:noWrap/>
            <w:vAlign w:val="center"/>
          </w:tcPr>
          <w:p w14:paraId="35583DBB">
            <w:pPr>
              <w:widowControl/>
              <w:jc w:val="center"/>
              <w:rPr>
                <w:color w:val="auto"/>
                <w:szCs w:val="21"/>
              </w:rPr>
            </w:pPr>
            <w:r>
              <w:rPr>
                <w:color w:val="auto"/>
                <w:szCs w:val="21"/>
              </w:rPr>
              <w:t>环境管理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3F414E29">
            <w:pPr>
              <w:widowControl/>
              <w:rPr>
                <w:color w:val="auto"/>
                <w:szCs w:val="21"/>
              </w:rPr>
            </w:pPr>
            <w:r>
              <w:rPr>
                <w:color w:val="auto"/>
                <w:szCs w:val="21"/>
              </w:rPr>
              <w:t>通过访谈物理安全负责人，检查机房安全管理制度，机房和办公环境等过程，测评是否采取必要的措施对机房的出入控制以及办公环境的人员行为等方面进行安全管理。</w:t>
            </w:r>
          </w:p>
        </w:tc>
      </w:tr>
      <w:tr w14:paraId="3577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17C1E7CA">
            <w:pPr>
              <w:jc w:val="center"/>
              <w:rPr>
                <w:color w:val="auto"/>
              </w:rPr>
            </w:pPr>
            <w:r>
              <w:rPr>
                <w:rFonts w:hint="eastAsia"/>
                <w:color w:val="auto"/>
              </w:rPr>
              <w:t>2</w:t>
            </w:r>
          </w:p>
        </w:tc>
        <w:tc>
          <w:tcPr>
            <w:tcW w:w="1017" w:type="pct"/>
            <w:tcBorders>
              <w:top w:val="single" w:color="auto" w:sz="4" w:space="0"/>
              <w:left w:val="single" w:color="auto" w:sz="4" w:space="0"/>
              <w:bottom w:val="single" w:color="auto" w:sz="4" w:space="0"/>
              <w:right w:val="single" w:color="auto" w:sz="4" w:space="0"/>
            </w:tcBorders>
            <w:noWrap/>
            <w:vAlign w:val="center"/>
          </w:tcPr>
          <w:p w14:paraId="76E1F011">
            <w:pPr>
              <w:widowControl/>
              <w:jc w:val="center"/>
              <w:rPr>
                <w:color w:val="auto"/>
                <w:szCs w:val="21"/>
              </w:rPr>
            </w:pPr>
            <w:r>
              <w:rPr>
                <w:color w:val="auto"/>
                <w:szCs w:val="21"/>
              </w:rPr>
              <w:t>资产管理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2A982FA6">
            <w:pPr>
              <w:widowControl/>
              <w:rPr>
                <w:color w:val="auto"/>
                <w:szCs w:val="21"/>
              </w:rPr>
            </w:pPr>
            <w:r>
              <w:rPr>
                <w:color w:val="auto"/>
                <w:szCs w:val="21"/>
              </w:rPr>
              <w:t>通过访谈资产管理员，检查资产清单，检查系统、网络设备等过程，测评是否采取必要的措施对系统的资产进行分类标识管理。</w:t>
            </w:r>
          </w:p>
        </w:tc>
      </w:tr>
      <w:tr w14:paraId="26780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64E6A608">
            <w:pPr>
              <w:jc w:val="center"/>
              <w:rPr>
                <w:color w:val="auto"/>
              </w:rPr>
            </w:pPr>
            <w:r>
              <w:rPr>
                <w:rFonts w:hint="eastAsia"/>
                <w:color w:val="auto"/>
              </w:rPr>
              <w:t>3</w:t>
            </w:r>
          </w:p>
        </w:tc>
        <w:tc>
          <w:tcPr>
            <w:tcW w:w="1017" w:type="pct"/>
            <w:tcBorders>
              <w:top w:val="single" w:color="auto" w:sz="4" w:space="0"/>
              <w:left w:val="single" w:color="auto" w:sz="4" w:space="0"/>
              <w:bottom w:val="single" w:color="auto" w:sz="4" w:space="0"/>
              <w:right w:val="single" w:color="auto" w:sz="4" w:space="0"/>
            </w:tcBorders>
            <w:noWrap/>
            <w:vAlign w:val="center"/>
          </w:tcPr>
          <w:p w14:paraId="7B64645D">
            <w:pPr>
              <w:widowControl/>
              <w:jc w:val="center"/>
              <w:rPr>
                <w:color w:val="auto"/>
                <w:szCs w:val="21"/>
              </w:rPr>
            </w:pPr>
            <w:r>
              <w:rPr>
                <w:color w:val="auto"/>
                <w:szCs w:val="21"/>
              </w:rPr>
              <w:t>介质管理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32829B43">
            <w:pPr>
              <w:widowControl/>
              <w:rPr>
                <w:color w:val="auto"/>
                <w:szCs w:val="21"/>
              </w:rPr>
            </w:pPr>
            <w:r>
              <w:rPr>
                <w:color w:val="auto"/>
                <w:szCs w:val="21"/>
              </w:rPr>
              <w:t>通过访谈资产管理员，检查介质管理记录和各类介质等过程，测评是否采取必要的措施对介质存放环境、使用、维护和销毁等方面进行管理。</w:t>
            </w:r>
          </w:p>
        </w:tc>
      </w:tr>
      <w:tr w14:paraId="2EA9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00D34A59">
            <w:pPr>
              <w:jc w:val="center"/>
              <w:rPr>
                <w:color w:val="auto"/>
              </w:rPr>
            </w:pPr>
            <w:r>
              <w:rPr>
                <w:rFonts w:hint="eastAsia"/>
                <w:color w:val="auto"/>
              </w:rPr>
              <w:t>4</w:t>
            </w:r>
          </w:p>
        </w:tc>
        <w:tc>
          <w:tcPr>
            <w:tcW w:w="1017" w:type="pct"/>
            <w:tcBorders>
              <w:top w:val="single" w:color="auto" w:sz="4" w:space="0"/>
              <w:left w:val="single" w:color="auto" w:sz="4" w:space="0"/>
              <w:bottom w:val="single" w:color="auto" w:sz="4" w:space="0"/>
              <w:right w:val="single" w:color="auto" w:sz="4" w:space="0"/>
            </w:tcBorders>
            <w:noWrap/>
            <w:vAlign w:val="center"/>
          </w:tcPr>
          <w:p w14:paraId="2F8DDA05">
            <w:pPr>
              <w:widowControl/>
              <w:jc w:val="center"/>
              <w:rPr>
                <w:color w:val="auto"/>
                <w:szCs w:val="21"/>
              </w:rPr>
            </w:pPr>
            <w:r>
              <w:rPr>
                <w:color w:val="auto"/>
                <w:szCs w:val="21"/>
              </w:rPr>
              <w:t>设备</w:t>
            </w:r>
            <w:r>
              <w:rPr>
                <w:rFonts w:hint="eastAsia"/>
                <w:color w:val="auto"/>
                <w:szCs w:val="21"/>
              </w:rPr>
              <w:t>维护</w:t>
            </w:r>
            <w:r>
              <w:rPr>
                <w:color w:val="auto"/>
                <w:szCs w:val="21"/>
              </w:rPr>
              <w:t>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5E360D4F">
            <w:pPr>
              <w:widowControl/>
              <w:rPr>
                <w:color w:val="auto"/>
                <w:szCs w:val="21"/>
              </w:rPr>
            </w:pPr>
            <w:r>
              <w:rPr>
                <w:color w:val="auto"/>
                <w:szCs w:val="21"/>
              </w:rPr>
              <w:t>通过访谈资产管理员、系统管理员，检查设备使用管理文档和设备操作规程等过程，测评是否采取必要的措施确保设备在使用、维护和销毁等过程安全。</w:t>
            </w:r>
          </w:p>
        </w:tc>
      </w:tr>
      <w:tr w14:paraId="7F7D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65E3B877">
            <w:pPr>
              <w:jc w:val="center"/>
              <w:rPr>
                <w:color w:val="auto"/>
              </w:rPr>
            </w:pPr>
            <w:r>
              <w:rPr>
                <w:rFonts w:hint="eastAsia"/>
                <w:color w:val="auto"/>
              </w:rPr>
              <w:t>5</w:t>
            </w:r>
          </w:p>
        </w:tc>
        <w:tc>
          <w:tcPr>
            <w:tcW w:w="1017" w:type="pct"/>
            <w:tcBorders>
              <w:top w:val="single" w:color="auto" w:sz="4" w:space="0"/>
              <w:left w:val="single" w:color="auto" w:sz="4" w:space="0"/>
              <w:bottom w:val="single" w:color="auto" w:sz="4" w:space="0"/>
              <w:right w:val="single" w:color="auto" w:sz="4" w:space="0"/>
            </w:tcBorders>
            <w:noWrap/>
            <w:vAlign w:val="center"/>
          </w:tcPr>
          <w:p w14:paraId="1E364355">
            <w:pPr>
              <w:widowControl/>
              <w:jc w:val="center"/>
              <w:rPr>
                <w:color w:val="auto"/>
                <w:szCs w:val="21"/>
              </w:rPr>
            </w:pPr>
            <w:r>
              <w:rPr>
                <w:rFonts w:hint="eastAsia"/>
                <w:color w:val="auto"/>
                <w:szCs w:val="21"/>
              </w:rPr>
              <w:t>漏洞和风险</w:t>
            </w:r>
            <w:r>
              <w:rPr>
                <w:color w:val="auto"/>
                <w:szCs w:val="21"/>
              </w:rPr>
              <w:t>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36167567">
            <w:pPr>
              <w:widowControl/>
              <w:rPr>
                <w:color w:val="auto"/>
                <w:szCs w:val="21"/>
              </w:rPr>
            </w:pPr>
            <w:r>
              <w:rPr>
                <w:color w:val="auto"/>
                <w:szCs w:val="21"/>
              </w:rPr>
              <w:t>通过访谈安全主管、系统管理员，检查系统安全管理制度、系统审计日志和系统漏洞扫描报告等过程，测评是否采取必要的措施对系统的安全配置、系统账户、漏洞扫描和审计日志等方面进行有效的管理。</w:t>
            </w:r>
          </w:p>
        </w:tc>
      </w:tr>
      <w:tr w14:paraId="4AEDE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5623CB79">
            <w:pPr>
              <w:jc w:val="center"/>
              <w:rPr>
                <w:color w:val="auto"/>
              </w:rPr>
            </w:pPr>
            <w:r>
              <w:rPr>
                <w:rFonts w:hint="eastAsia"/>
                <w:color w:val="auto"/>
              </w:rPr>
              <w:t>6</w:t>
            </w:r>
          </w:p>
        </w:tc>
        <w:tc>
          <w:tcPr>
            <w:tcW w:w="1017" w:type="pct"/>
            <w:tcBorders>
              <w:top w:val="single" w:color="auto" w:sz="4" w:space="0"/>
              <w:left w:val="single" w:color="auto" w:sz="4" w:space="0"/>
              <w:bottom w:val="single" w:color="auto" w:sz="4" w:space="0"/>
              <w:right w:val="single" w:color="auto" w:sz="4" w:space="0"/>
            </w:tcBorders>
            <w:noWrap/>
            <w:vAlign w:val="center"/>
          </w:tcPr>
          <w:p w14:paraId="69E7E94D">
            <w:pPr>
              <w:widowControl/>
              <w:jc w:val="center"/>
              <w:rPr>
                <w:color w:val="auto"/>
                <w:szCs w:val="21"/>
              </w:rPr>
            </w:pPr>
            <w:r>
              <w:rPr>
                <w:rFonts w:hint="eastAsia"/>
                <w:color w:val="auto"/>
                <w:szCs w:val="21"/>
              </w:rPr>
              <w:t>网络和</w:t>
            </w:r>
            <w:r>
              <w:rPr>
                <w:color w:val="auto"/>
                <w:szCs w:val="21"/>
              </w:rPr>
              <w:t>系统安全管理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459127E3">
            <w:pPr>
              <w:widowControl/>
              <w:rPr>
                <w:color w:val="auto"/>
                <w:szCs w:val="21"/>
              </w:rPr>
            </w:pPr>
            <w:r>
              <w:rPr>
                <w:color w:val="auto"/>
                <w:szCs w:val="21"/>
              </w:rPr>
              <w:t>通过访谈安全主管、网络管理员，检查网络安全管理制度、网络审计日志和网络漏洞扫描报告等过程，测评是否采取必要的措施对网络的安全配置、网络用户权限和审计日志等方面进行有效的管理，确保网络安全运行。</w:t>
            </w:r>
          </w:p>
        </w:tc>
      </w:tr>
      <w:tr w14:paraId="15265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6BF2A0D0">
            <w:pPr>
              <w:jc w:val="center"/>
              <w:rPr>
                <w:color w:val="auto"/>
              </w:rPr>
            </w:pPr>
            <w:r>
              <w:rPr>
                <w:rFonts w:hint="eastAsia"/>
                <w:color w:val="auto"/>
              </w:rPr>
              <w:t>7</w:t>
            </w:r>
          </w:p>
        </w:tc>
        <w:tc>
          <w:tcPr>
            <w:tcW w:w="1017" w:type="pct"/>
            <w:tcBorders>
              <w:top w:val="single" w:color="auto" w:sz="4" w:space="0"/>
              <w:left w:val="single" w:color="auto" w:sz="4" w:space="0"/>
              <w:bottom w:val="single" w:color="auto" w:sz="4" w:space="0"/>
              <w:right w:val="single" w:color="auto" w:sz="4" w:space="0"/>
            </w:tcBorders>
            <w:noWrap/>
            <w:vAlign w:val="center"/>
          </w:tcPr>
          <w:p w14:paraId="7865781E">
            <w:pPr>
              <w:widowControl/>
              <w:jc w:val="center"/>
              <w:rPr>
                <w:color w:val="auto"/>
                <w:szCs w:val="21"/>
              </w:rPr>
            </w:pPr>
            <w:r>
              <w:rPr>
                <w:color w:val="auto"/>
                <w:szCs w:val="21"/>
              </w:rPr>
              <w:t>恶意代码防范管理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57E0088C">
            <w:pPr>
              <w:widowControl/>
              <w:rPr>
                <w:color w:val="auto"/>
                <w:szCs w:val="21"/>
              </w:rPr>
            </w:pPr>
            <w:r>
              <w:rPr>
                <w:color w:val="auto"/>
                <w:szCs w:val="21"/>
              </w:rPr>
              <w:t>通过访谈系统运维负责人，检查恶意代码防范管理文档和恶意代码检测记录等过程，测评是否采取必要的措施对恶意代码进行有效管理，确保系统具有恶意代码防范能力。</w:t>
            </w:r>
          </w:p>
        </w:tc>
      </w:tr>
      <w:tr w14:paraId="09E75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51684BA9">
            <w:pPr>
              <w:jc w:val="center"/>
              <w:rPr>
                <w:color w:val="auto"/>
              </w:rPr>
            </w:pPr>
            <w:r>
              <w:rPr>
                <w:rFonts w:hint="eastAsia"/>
                <w:color w:val="auto"/>
              </w:rPr>
              <w:t>8</w:t>
            </w:r>
          </w:p>
        </w:tc>
        <w:tc>
          <w:tcPr>
            <w:tcW w:w="1017" w:type="pct"/>
            <w:tcBorders>
              <w:top w:val="single" w:color="auto" w:sz="4" w:space="0"/>
              <w:left w:val="single" w:color="auto" w:sz="4" w:space="0"/>
              <w:bottom w:val="single" w:color="auto" w:sz="4" w:space="0"/>
              <w:right w:val="single" w:color="auto" w:sz="4" w:space="0"/>
            </w:tcBorders>
            <w:noWrap/>
            <w:vAlign w:val="center"/>
          </w:tcPr>
          <w:p w14:paraId="0A4D149C">
            <w:pPr>
              <w:widowControl/>
              <w:jc w:val="center"/>
              <w:rPr>
                <w:color w:val="auto"/>
                <w:szCs w:val="21"/>
              </w:rPr>
            </w:pPr>
            <w:r>
              <w:rPr>
                <w:rFonts w:hint="eastAsia"/>
                <w:color w:val="auto"/>
                <w:szCs w:val="21"/>
              </w:rPr>
              <w:t>配置管理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08220E68">
            <w:pPr>
              <w:widowControl/>
              <w:rPr>
                <w:color w:val="auto"/>
                <w:szCs w:val="21"/>
              </w:rPr>
            </w:pPr>
            <w:r>
              <w:rPr>
                <w:color w:val="auto"/>
                <w:szCs w:val="21"/>
              </w:rPr>
              <w:t>通过访谈系统运维负责人，</w:t>
            </w:r>
            <w:r>
              <w:rPr>
                <w:rFonts w:hint="eastAsia"/>
                <w:color w:val="auto"/>
                <w:szCs w:val="21"/>
              </w:rPr>
              <w:t>核查配置库的建立和维护情况。</w:t>
            </w:r>
          </w:p>
        </w:tc>
      </w:tr>
      <w:tr w14:paraId="1CE26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72154D7F">
            <w:pPr>
              <w:jc w:val="center"/>
              <w:rPr>
                <w:color w:val="auto"/>
              </w:rPr>
            </w:pPr>
            <w:r>
              <w:rPr>
                <w:rFonts w:hint="eastAsia"/>
                <w:color w:val="auto"/>
              </w:rPr>
              <w:t>9</w:t>
            </w:r>
          </w:p>
        </w:tc>
        <w:tc>
          <w:tcPr>
            <w:tcW w:w="1017" w:type="pct"/>
            <w:tcBorders>
              <w:top w:val="single" w:color="auto" w:sz="4" w:space="0"/>
              <w:left w:val="single" w:color="auto" w:sz="4" w:space="0"/>
              <w:bottom w:val="single" w:color="auto" w:sz="4" w:space="0"/>
              <w:right w:val="single" w:color="auto" w:sz="4" w:space="0"/>
            </w:tcBorders>
            <w:noWrap/>
            <w:vAlign w:val="center"/>
          </w:tcPr>
          <w:p w14:paraId="7FC7A825">
            <w:pPr>
              <w:widowControl/>
              <w:jc w:val="center"/>
              <w:rPr>
                <w:color w:val="auto"/>
                <w:szCs w:val="21"/>
              </w:rPr>
            </w:pPr>
            <w:r>
              <w:rPr>
                <w:color w:val="auto"/>
                <w:szCs w:val="21"/>
              </w:rPr>
              <w:t>密码管理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592322CB">
            <w:pPr>
              <w:widowControl/>
              <w:rPr>
                <w:color w:val="auto"/>
                <w:szCs w:val="21"/>
              </w:rPr>
            </w:pPr>
            <w:r>
              <w:rPr>
                <w:color w:val="auto"/>
                <w:szCs w:val="21"/>
              </w:rPr>
              <w:t>通过访谈安全员，测评是否能够确保信息系统中密码算法和密钥的使用符合国家密码管理规定。</w:t>
            </w:r>
          </w:p>
        </w:tc>
      </w:tr>
      <w:tr w14:paraId="11572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613CB879">
            <w:pPr>
              <w:jc w:val="center"/>
              <w:rPr>
                <w:color w:val="auto"/>
              </w:rPr>
            </w:pPr>
            <w:r>
              <w:rPr>
                <w:color w:val="auto"/>
              </w:rPr>
              <w:t>10</w:t>
            </w:r>
          </w:p>
        </w:tc>
        <w:tc>
          <w:tcPr>
            <w:tcW w:w="1017" w:type="pct"/>
            <w:tcBorders>
              <w:top w:val="single" w:color="auto" w:sz="4" w:space="0"/>
              <w:left w:val="single" w:color="auto" w:sz="4" w:space="0"/>
              <w:bottom w:val="single" w:color="auto" w:sz="4" w:space="0"/>
              <w:right w:val="single" w:color="auto" w:sz="4" w:space="0"/>
            </w:tcBorders>
            <w:noWrap/>
            <w:vAlign w:val="center"/>
          </w:tcPr>
          <w:p w14:paraId="18A12AEA">
            <w:pPr>
              <w:widowControl/>
              <w:jc w:val="center"/>
              <w:rPr>
                <w:color w:val="auto"/>
                <w:szCs w:val="21"/>
              </w:rPr>
            </w:pPr>
            <w:r>
              <w:rPr>
                <w:color w:val="auto"/>
                <w:szCs w:val="21"/>
              </w:rPr>
              <w:t>变更管理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2C7BC073">
            <w:pPr>
              <w:widowControl/>
              <w:rPr>
                <w:color w:val="auto"/>
                <w:szCs w:val="21"/>
              </w:rPr>
            </w:pPr>
            <w:r>
              <w:rPr>
                <w:color w:val="auto"/>
                <w:szCs w:val="21"/>
              </w:rPr>
              <w:t>通过访谈系统运维负责人，检查变更方案和变更管理制度等过程，测评是否采取必要的措施对系统发生的变更进行有效管理。</w:t>
            </w:r>
          </w:p>
        </w:tc>
      </w:tr>
      <w:tr w14:paraId="5671E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6AFB5659">
            <w:pPr>
              <w:jc w:val="center"/>
              <w:rPr>
                <w:color w:val="auto"/>
              </w:rPr>
            </w:pPr>
            <w:r>
              <w:rPr>
                <w:color w:val="auto"/>
              </w:rPr>
              <w:t>11</w:t>
            </w:r>
          </w:p>
        </w:tc>
        <w:tc>
          <w:tcPr>
            <w:tcW w:w="1017" w:type="pct"/>
            <w:tcBorders>
              <w:top w:val="single" w:color="auto" w:sz="4" w:space="0"/>
              <w:left w:val="single" w:color="auto" w:sz="4" w:space="0"/>
              <w:bottom w:val="single" w:color="auto" w:sz="4" w:space="0"/>
              <w:right w:val="single" w:color="auto" w:sz="4" w:space="0"/>
            </w:tcBorders>
            <w:noWrap/>
            <w:vAlign w:val="center"/>
          </w:tcPr>
          <w:p w14:paraId="20944711">
            <w:pPr>
              <w:widowControl/>
              <w:jc w:val="center"/>
              <w:rPr>
                <w:color w:val="auto"/>
                <w:szCs w:val="21"/>
              </w:rPr>
            </w:pPr>
            <w:r>
              <w:rPr>
                <w:color w:val="auto"/>
                <w:szCs w:val="21"/>
              </w:rPr>
              <w:t>备份与恢复管理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6D2D63F0">
            <w:pPr>
              <w:widowControl/>
              <w:rPr>
                <w:color w:val="auto"/>
                <w:szCs w:val="21"/>
              </w:rPr>
            </w:pPr>
            <w:r>
              <w:rPr>
                <w:color w:val="auto"/>
                <w:szCs w:val="21"/>
              </w:rPr>
              <w:t>通过访谈系统管理员、网络管理员，检查系统备份管理文档和记录等过程，测评是否采取必要的措施对重要业务信息，系统数据和系统软件进行备份，并确保必要时能够对这些数据有效地恢复。</w:t>
            </w:r>
          </w:p>
        </w:tc>
      </w:tr>
      <w:tr w14:paraId="3C37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0CD9C797">
            <w:pPr>
              <w:jc w:val="center"/>
              <w:rPr>
                <w:color w:val="auto"/>
              </w:rPr>
            </w:pPr>
            <w:r>
              <w:rPr>
                <w:color w:val="auto"/>
              </w:rPr>
              <w:t>12</w:t>
            </w:r>
          </w:p>
        </w:tc>
        <w:tc>
          <w:tcPr>
            <w:tcW w:w="1017" w:type="pct"/>
            <w:tcBorders>
              <w:top w:val="single" w:color="auto" w:sz="4" w:space="0"/>
              <w:left w:val="single" w:color="auto" w:sz="4" w:space="0"/>
              <w:bottom w:val="single" w:color="auto" w:sz="4" w:space="0"/>
              <w:right w:val="single" w:color="auto" w:sz="4" w:space="0"/>
            </w:tcBorders>
            <w:noWrap/>
            <w:vAlign w:val="center"/>
          </w:tcPr>
          <w:p w14:paraId="0B184FA2">
            <w:pPr>
              <w:widowControl/>
              <w:jc w:val="center"/>
              <w:rPr>
                <w:color w:val="auto"/>
                <w:szCs w:val="21"/>
              </w:rPr>
            </w:pPr>
            <w:r>
              <w:rPr>
                <w:color w:val="auto"/>
                <w:szCs w:val="21"/>
              </w:rPr>
              <w:t>安全事件处置</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481D0B2C">
            <w:pPr>
              <w:widowControl/>
              <w:rPr>
                <w:color w:val="auto"/>
                <w:szCs w:val="21"/>
              </w:rPr>
            </w:pPr>
            <w:r>
              <w:rPr>
                <w:color w:val="auto"/>
                <w:szCs w:val="21"/>
              </w:rPr>
              <w:t>通过访谈系统运维负责人，检查安全事件记录分析文档、安全事件报告和处置管理制度等过程，测评是否采取必要的措施对安全事件进行等级划分和对安全事件的报告、处理过程进行有效的管理。</w:t>
            </w:r>
          </w:p>
        </w:tc>
      </w:tr>
      <w:tr w14:paraId="5E07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0CEAFDE8">
            <w:pPr>
              <w:jc w:val="center"/>
              <w:rPr>
                <w:color w:val="auto"/>
              </w:rPr>
            </w:pPr>
            <w:r>
              <w:rPr>
                <w:color w:val="auto"/>
              </w:rPr>
              <w:t>13</w:t>
            </w:r>
          </w:p>
        </w:tc>
        <w:tc>
          <w:tcPr>
            <w:tcW w:w="1017" w:type="pct"/>
            <w:tcBorders>
              <w:top w:val="single" w:color="auto" w:sz="4" w:space="0"/>
              <w:left w:val="single" w:color="auto" w:sz="4" w:space="0"/>
              <w:bottom w:val="single" w:color="auto" w:sz="4" w:space="0"/>
              <w:right w:val="single" w:color="auto" w:sz="4" w:space="0"/>
            </w:tcBorders>
            <w:noWrap/>
            <w:vAlign w:val="center"/>
          </w:tcPr>
          <w:p w14:paraId="416481BE">
            <w:pPr>
              <w:widowControl/>
              <w:jc w:val="center"/>
              <w:rPr>
                <w:color w:val="auto"/>
                <w:szCs w:val="21"/>
              </w:rPr>
            </w:pPr>
            <w:r>
              <w:rPr>
                <w:color w:val="auto"/>
                <w:szCs w:val="21"/>
              </w:rPr>
              <w:t>应急预案管理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4B89F674">
            <w:pPr>
              <w:widowControl/>
              <w:rPr>
                <w:color w:val="auto"/>
                <w:szCs w:val="21"/>
              </w:rPr>
            </w:pPr>
            <w:r>
              <w:rPr>
                <w:color w:val="auto"/>
                <w:szCs w:val="21"/>
              </w:rPr>
              <w:t>通过访谈系统运维负责人，检查应急响应预案文档等过程，测评是否针对不同安全事件制定相应的应急预案，是否对应急预案展开培训、演练和审查等。</w:t>
            </w:r>
          </w:p>
        </w:tc>
      </w:tr>
      <w:tr w14:paraId="4F27F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5" w:type="pct"/>
            <w:tcBorders>
              <w:top w:val="single" w:color="auto" w:sz="4" w:space="0"/>
              <w:left w:val="single" w:color="auto" w:sz="4" w:space="0"/>
              <w:bottom w:val="single" w:color="auto" w:sz="4" w:space="0"/>
              <w:right w:val="single" w:color="auto" w:sz="4" w:space="0"/>
            </w:tcBorders>
            <w:noWrap/>
            <w:vAlign w:val="center"/>
          </w:tcPr>
          <w:p w14:paraId="57DF01A4">
            <w:pPr>
              <w:jc w:val="center"/>
              <w:rPr>
                <w:color w:val="auto"/>
              </w:rPr>
            </w:pPr>
            <w:r>
              <w:rPr>
                <w:color w:val="auto"/>
              </w:rPr>
              <w:t>14</w:t>
            </w:r>
          </w:p>
        </w:tc>
        <w:tc>
          <w:tcPr>
            <w:tcW w:w="1017" w:type="pct"/>
            <w:tcBorders>
              <w:top w:val="single" w:color="auto" w:sz="4" w:space="0"/>
              <w:left w:val="single" w:color="auto" w:sz="4" w:space="0"/>
              <w:bottom w:val="single" w:color="auto" w:sz="4" w:space="0"/>
              <w:right w:val="single" w:color="auto" w:sz="4" w:space="0"/>
            </w:tcBorders>
            <w:noWrap/>
            <w:vAlign w:val="center"/>
          </w:tcPr>
          <w:p w14:paraId="3CBD0F72">
            <w:pPr>
              <w:widowControl/>
              <w:jc w:val="center"/>
              <w:rPr>
                <w:color w:val="auto"/>
                <w:szCs w:val="21"/>
              </w:rPr>
            </w:pPr>
            <w:r>
              <w:rPr>
                <w:rFonts w:hint="eastAsia"/>
                <w:color w:val="auto"/>
                <w:szCs w:val="21"/>
              </w:rPr>
              <w:t>外部运维管理</w:t>
            </w:r>
          </w:p>
        </w:tc>
        <w:tc>
          <w:tcPr>
            <w:tcW w:w="3608" w:type="pct"/>
            <w:tcBorders>
              <w:top w:val="single" w:color="auto" w:sz="4" w:space="0"/>
              <w:left w:val="single" w:color="auto" w:sz="4" w:space="0"/>
              <w:bottom w:val="single" w:color="auto" w:sz="4" w:space="0"/>
              <w:right w:val="single" w:color="auto" w:sz="4" w:space="0"/>
            </w:tcBorders>
            <w:noWrap w:val="0"/>
            <w:vAlign w:val="center"/>
          </w:tcPr>
          <w:p w14:paraId="4B0DC1DA">
            <w:pPr>
              <w:widowControl/>
              <w:rPr>
                <w:color w:val="auto"/>
                <w:szCs w:val="21"/>
              </w:rPr>
            </w:pPr>
            <w:r>
              <w:rPr>
                <w:color w:val="auto"/>
                <w:szCs w:val="21"/>
              </w:rPr>
              <w:t>通过访谈系统运维负责人，</w:t>
            </w:r>
            <w:r>
              <w:rPr>
                <w:rFonts w:hint="eastAsia"/>
                <w:color w:val="auto"/>
                <w:szCs w:val="21"/>
              </w:rPr>
              <w:t>核查</w:t>
            </w:r>
            <w:r>
              <w:rPr>
                <w:rFonts w:hint="eastAsia" w:ascii="宋体" w:hAnsi="宋体"/>
                <w:color w:val="auto"/>
                <w:szCs w:val="21"/>
              </w:rPr>
              <w:t>外包运维服务商选择和安全相关协议的签订情况。</w:t>
            </w:r>
          </w:p>
        </w:tc>
      </w:tr>
    </w:tbl>
    <w:p w14:paraId="00044174">
      <w:pPr>
        <w:adjustRightInd w:val="0"/>
        <w:snapToGrid w:val="0"/>
        <w:spacing w:line="400" w:lineRule="exact"/>
        <w:ind w:firstLine="482" w:firstLineChars="200"/>
        <w:rPr>
          <w:rFonts w:ascii="宋体" w:hAnsi="宋体"/>
          <w:b/>
          <w:bCs/>
          <w:color w:val="auto"/>
          <w:sz w:val="24"/>
        </w:rPr>
      </w:pPr>
      <w:r>
        <w:rPr>
          <w:rFonts w:hint="eastAsia" w:ascii="宋体" w:hAnsi="宋体"/>
          <w:b/>
          <w:bCs/>
          <w:color w:val="auto"/>
          <w:sz w:val="24"/>
        </w:rPr>
        <w:t>（1</w:t>
      </w:r>
      <w:r>
        <w:rPr>
          <w:rFonts w:ascii="宋体" w:hAnsi="宋体"/>
          <w:b/>
          <w:bCs/>
          <w:color w:val="auto"/>
          <w:sz w:val="24"/>
        </w:rPr>
        <w:t>1</w:t>
      </w:r>
      <w:r>
        <w:rPr>
          <w:rFonts w:hint="eastAsia" w:ascii="宋体" w:hAnsi="宋体"/>
          <w:b/>
          <w:bCs/>
          <w:color w:val="auto"/>
          <w:sz w:val="24"/>
        </w:rPr>
        <w:t>）工具测试</w:t>
      </w:r>
    </w:p>
    <w:p w14:paraId="64D27462">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根据工具测试过程管理表单，使用漏洞扫描工具对信息系统的设备进行扫描，扫描结束后，</w:t>
      </w:r>
      <w:r>
        <w:rPr>
          <w:rFonts w:ascii="宋体" w:hAnsi="宋体"/>
          <w:color w:val="auto"/>
          <w:sz w:val="24"/>
        </w:rPr>
        <w:t>根据目标</w:t>
      </w:r>
      <w:r>
        <w:rPr>
          <w:rFonts w:hint="eastAsia" w:ascii="宋体" w:hAnsi="宋体"/>
          <w:color w:val="auto"/>
          <w:sz w:val="24"/>
        </w:rPr>
        <w:t>设备</w:t>
      </w:r>
      <w:r>
        <w:rPr>
          <w:rFonts w:ascii="宋体" w:hAnsi="宋体"/>
          <w:color w:val="auto"/>
          <w:sz w:val="24"/>
        </w:rPr>
        <w:t>的具体情况，判断漏洞验证的风险程度。</w:t>
      </w:r>
    </w:p>
    <w:p w14:paraId="18662461">
      <w:pPr>
        <w:adjustRightInd w:val="0"/>
        <w:snapToGrid w:val="0"/>
        <w:spacing w:line="400" w:lineRule="exact"/>
        <w:ind w:firstLine="482" w:firstLineChars="200"/>
        <w:rPr>
          <w:rFonts w:ascii="宋体" w:hAnsi="宋体"/>
          <w:b/>
          <w:bCs/>
          <w:color w:val="auto"/>
          <w:sz w:val="24"/>
        </w:rPr>
      </w:pPr>
      <w:r>
        <w:rPr>
          <w:rFonts w:hint="eastAsia" w:ascii="宋体" w:hAnsi="宋体"/>
          <w:b/>
          <w:bCs/>
          <w:color w:val="auto"/>
          <w:sz w:val="24"/>
          <w:lang w:val="en-US" w:eastAsia="zh-CN"/>
        </w:rPr>
        <w:t>2</w:t>
      </w:r>
      <w:r>
        <w:rPr>
          <w:rFonts w:ascii="宋体" w:hAnsi="宋体"/>
          <w:b/>
          <w:bCs/>
          <w:color w:val="auto"/>
          <w:sz w:val="24"/>
        </w:rPr>
        <w:t>.</w:t>
      </w:r>
      <w:r>
        <w:rPr>
          <w:rFonts w:hint="eastAsia" w:ascii="宋体" w:hAnsi="宋体"/>
          <w:b/>
          <w:bCs/>
          <w:color w:val="auto"/>
          <w:sz w:val="24"/>
        </w:rPr>
        <w:t>实施流程</w:t>
      </w:r>
    </w:p>
    <w:p w14:paraId="28C93477">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（1）</w:t>
      </w:r>
      <w:r>
        <w:rPr>
          <w:rFonts w:ascii="宋体" w:hAnsi="宋体"/>
          <w:color w:val="auto"/>
          <w:sz w:val="24"/>
        </w:rPr>
        <w:t>测评准备</w:t>
      </w:r>
      <w:r>
        <w:rPr>
          <w:rFonts w:hint="eastAsia" w:ascii="宋体" w:hAnsi="宋体"/>
          <w:color w:val="auto"/>
          <w:sz w:val="24"/>
        </w:rPr>
        <w:t>：</w:t>
      </w:r>
      <w:r>
        <w:rPr>
          <w:rFonts w:hint="eastAsia" w:ascii="宋体" w:hAnsi="宋体"/>
          <w:color w:val="auto"/>
          <w:sz w:val="24"/>
          <w:lang w:eastAsia="zh-CN"/>
        </w:rPr>
        <w:t>乙方</w:t>
      </w:r>
      <w:r>
        <w:rPr>
          <w:rFonts w:ascii="宋体" w:hAnsi="宋体"/>
          <w:color w:val="auto"/>
          <w:sz w:val="24"/>
        </w:rPr>
        <w:t>主要完成启动测评项目，组建测评项目组；通过收集和分析被测系统的相关资料信息，掌握被测系统的大体情况；并准备测评工具和表单等测评所需的相关资料</w:t>
      </w:r>
      <w:r>
        <w:rPr>
          <w:rFonts w:hint="eastAsia" w:ascii="宋体" w:hAnsi="宋体"/>
          <w:color w:val="auto"/>
          <w:sz w:val="24"/>
        </w:rPr>
        <w:t>。</w:t>
      </w:r>
    </w:p>
    <w:p w14:paraId="01657D48">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w:t>
      </w:r>
      <w:r>
        <w:rPr>
          <w:rFonts w:ascii="宋体" w:hAnsi="宋体"/>
          <w:color w:val="auto"/>
          <w:sz w:val="24"/>
        </w:rPr>
        <w:t>2</w:t>
      </w:r>
      <w:r>
        <w:rPr>
          <w:rFonts w:hint="eastAsia" w:ascii="宋体" w:hAnsi="宋体"/>
          <w:color w:val="auto"/>
          <w:sz w:val="24"/>
        </w:rPr>
        <w:t>）方案编制：</w:t>
      </w:r>
      <w:r>
        <w:rPr>
          <w:rFonts w:hint="eastAsia" w:ascii="宋体" w:hAnsi="宋体"/>
          <w:color w:val="auto"/>
          <w:sz w:val="24"/>
          <w:lang w:eastAsia="zh-CN"/>
        </w:rPr>
        <w:t>乙方</w:t>
      </w:r>
      <w:r>
        <w:rPr>
          <w:rFonts w:ascii="宋体" w:hAnsi="宋体"/>
          <w:color w:val="auto"/>
          <w:sz w:val="24"/>
        </w:rPr>
        <w:t>主要完成确定测评对象和测评指标，选择测试工具接入点，从而进一步确定测评实施内容，并从已有的测评指导书中选择本次需要用到的测评指导书，最后根据上述情况编制测评方案。</w:t>
      </w:r>
    </w:p>
    <w:p w14:paraId="631256AE">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w:t>
      </w:r>
      <w:r>
        <w:rPr>
          <w:rFonts w:ascii="宋体" w:hAnsi="宋体"/>
          <w:color w:val="auto"/>
          <w:sz w:val="24"/>
        </w:rPr>
        <w:t>3</w:t>
      </w:r>
      <w:r>
        <w:rPr>
          <w:rFonts w:hint="eastAsia" w:ascii="宋体" w:hAnsi="宋体"/>
          <w:color w:val="auto"/>
          <w:sz w:val="24"/>
        </w:rPr>
        <w:t>）现场测评：</w:t>
      </w:r>
      <w:r>
        <w:rPr>
          <w:rFonts w:hint="eastAsia" w:ascii="宋体" w:hAnsi="宋体"/>
          <w:color w:val="auto"/>
          <w:sz w:val="24"/>
          <w:lang w:eastAsia="zh-CN"/>
        </w:rPr>
        <w:t>乙方</w:t>
      </w:r>
      <w:r>
        <w:rPr>
          <w:rFonts w:ascii="宋体" w:hAnsi="宋体"/>
          <w:color w:val="auto"/>
          <w:sz w:val="24"/>
        </w:rPr>
        <w:t>在与测评委托单位就测评方案达成一致意见，并进一步确定测评配合人员，完成测评指导书各项测评内容，获取足够的测评证据。</w:t>
      </w:r>
    </w:p>
    <w:p w14:paraId="64F8BF55">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w:t>
      </w:r>
      <w:r>
        <w:rPr>
          <w:rFonts w:ascii="宋体" w:hAnsi="宋体"/>
          <w:color w:val="auto"/>
          <w:sz w:val="24"/>
        </w:rPr>
        <w:t>4</w:t>
      </w:r>
      <w:r>
        <w:rPr>
          <w:rFonts w:hint="eastAsia" w:ascii="宋体" w:hAnsi="宋体"/>
          <w:color w:val="auto"/>
          <w:sz w:val="24"/>
        </w:rPr>
        <w:t>）分析与报告编制：</w:t>
      </w:r>
      <w:r>
        <w:rPr>
          <w:rFonts w:ascii="宋体" w:hAnsi="宋体"/>
          <w:color w:val="auto"/>
          <w:sz w:val="24"/>
        </w:rPr>
        <w:t>测评人员通过分析现场测评获得的测评证据和资料，判定单项测评结果及单元测评结果，进行整体测评和风险分析，形成等级测评结论，并编制测评报告。</w:t>
      </w:r>
    </w:p>
    <w:p w14:paraId="22A450B6">
      <w:pPr>
        <w:adjustRightInd w:val="0"/>
        <w:snapToGrid w:val="0"/>
        <w:spacing w:line="400" w:lineRule="exact"/>
        <w:ind w:firstLine="482" w:firstLineChars="200"/>
        <w:rPr>
          <w:rFonts w:ascii="宋体" w:hAnsi="宋体"/>
          <w:b/>
          <w:bCs/>
          <w:color w:val="auto"/>
          <w:sz w:val="24"/>
        </w:rPr>
      </w:pPr>
      <w:r>
        <w:rPr>
          <w:rFonts w:hint="eastAsia" w:ascii="宋体" w:hAnsi="宋体"/>
          <w:b/>
          <w:bCs/>
          <w:color w:val="auto"/>
          <w:sz w:val="24"/>
          <w:lang w:val="en-US" w:eastAsia="zh-CN"/>
        </w:rPr>
        <w:t>3</w:t>
      </w:r>
      <w:r>
        <w:rPr>
          <w:rFonts w:ascii="宋体" w:hAnsi="宋体"/>
          <w:b/>
          <w:bCs/>
          <w:color w:val="auto"/>
          <w:sz w:val="24"/>
        </w:rPr>
        <w:t>.</w:t>
      </w:r>
      <w:r>
        <w:rPr>
          <w:rFonts w:hint="eastAsia" w:ascii="宋体" w:hAnsi="宋体"/>
          <w:b/>
          <w:bCs/>
          <w:color w:val="auto"/>
          <w:sz w:val="24"/>
        </w:rPr>
        <w:t>技术服务要求</w:t>
      </w:r>
    </w:p>
    <w:p w14:paraId="5550754C">
      <w:pPr>
        <w:adjustRightInd w:val="0"/>
        <w:snapToGrid w:val="0"/>
        <w:spacing w:line="400" w:lineRule="exact"/>
        <w:ind w:firstLine="480" w:firstLineChars="200"/>
        <w:rPr>
          <w:rFonts w:ascii="宋体" w:hAnsi="宋体"/>
          <w:color w:val="auto"/>
          <w:sz w:val="24"/>
        </w:rPr>
      </w:pPr>
      <w:r>
        <w:rPr>
          <w:rFonts w:hint="eastAsia" w:ascii="宋体" w:hAnsi="宋体"/>
          <w:color w:val="auto"/>
          <w:sz w:val="24"/>
          <w:lang w:val="en-US" w:eastAsia="zh-CN"/>
        </w:rPr>
        <w:t>3</w:t>
      </w:r>
      <w:r>
        <w:rPr>
          <w:rFonts w:ascii="宋体" w:hAnsi="宋体"/>
          <w:color w:val="auto"/>
          <w:sz w:val="24"/>
        </w:rPr>
        <w:t>.1</w:t>
      </w:r>
      <w:r>
        <w:rPr>
          <w:rFonts w:hint="eastAsia" w:ascii="宋体" w:hAnsi="宋体"/>
          <w:color w:val="auto"/>
          <w:sz w:val="24"/>
        </w:rPr>
        <w:t>本次等级测评应满足的原则</w:t>
      </w:r>
    </w:p>
    <w:p w14:paraId="00358C68">
      <w:pPr>
        <w:adjustRightInd w:val="0"/>
        <w:snapToGrid w:val="0"/>
        <w:spacing w:line="400" w:lineRule="exact"/>
        <w:ind w:firstLine="480" w:firstLineChars="200"/>
        <w:rPr>
          <w:rFonts w:ascii="宋体" w:hAnsi="宋体"/>
          <w:color w:val="auto"/>
          <w:sz w:val="24"/>
        </w:rPr>
      </w:pPr>
      <w:r>
        <w:rPr>
          <w:rFonts w:hint="eastAsia" w:ascii="宋体" w:hAnsi="宋体"/>
          <w:color w:val="auto"/>
          <w:sz w:val="24"/>
          <w:lang w:eastAsia="zh-CN"/>
        </w:rPr>
        <w:t>乙方</w:t>
      </w:r>
      <w:r>
        <w:rPr>
          <w:rFonts w:hint="eastAsia" w:ascii="宋体" w:hAnsi="宋体"/>
          <w:color w:val="auto"/>
          <w:sz w:val="24"/>
        </w:rPr>
        <w:t>应严格依据下列原则和国家等级保护相关标准开展项目实施工作。</w:t>
      </w:r>
    </w:p>
    <w:p w14:paraId="2386473F">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（1）保密原则：对测评的过程数据和结果数据严格保密，未经授权不得泄露给任何单位和个人，不得利用此数据进行任何侵害招标人的行为，否则招标人有权追究</w:t>
      </w:r>
      <w:r>
        <w:rPr>
          <w:rFonts w:hint="eastAsia" w:ascii="宋体" w:hAnsi="宋体"/>
          <w:color w:val="auto"/>
          <w:sz w:val="24"/>
          <w:lang w:eastAsia="zh-CN"/>
        </w:rPr>
        <w:t>乙方</w:t>
      </w:r>
      <w:r>
        <w:rPr>
          <w:rFonts w:hint="eastAsia" w:ascii="宋体" w:hAnsi="宋体"/>
          <w:color w:val="auto"/>
          <w:sz w:val="24"/>
        </w:rPr>
        <w:t>的责任。</w:t>
      </w:r>
    </w:p>
    <w:p w14:paraId="29738BE3">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（2）标准性原则：测评方案的设计与实施应依据国家等级保护的相关标准进行。</w:t>
      </w:r>
    </w:p>
    <w:p w14:paraId="11E32F36">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（3）规范性原则：</w:t>
      </w:r>
      <w:r>
        <w:rPr>
          <w:rFonts w:hint="eastAsia" w:ascii="宋体" w:hAnsi="宋体"/>
          <w:color w:val="auto"/>
          <w:sz w:val="24"/>
          <w:lang w:eastAsia="zh-CN"/>
        </w:rPr>
        <w:t>乙方</w:t>
      </w:r>
      <w:r>
        <w:rPr>
          <w:rFonts w:hint="eastAsia" w:ascii="宋体" w:hAnsi="宋体"/>
          <w:color w:val="auto"/>
          <w:sz w:val="24"/>
        </w:rPr>
        <w:t>的工作中的过程和文档，具有很好的规范性，可以便于项目的跟踪和控制。</w:t>
      </w:r>
    </w:p>
    <w:p w14:paraId="3932978D">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（4）可控性原则：测评服务的进度要跟上进度表的安排，保证招标人对于测评工作的可控性。</w:t>
      </w:r>
    </w:p>
    <w:p w14:paraId="645A0957">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（5）整体性原则：测评的范围和内容应当整体全面，包括国家等级保护相关要求涉及的各个层面。</w:t>
      </w:r>
    </w:p>
    <w:p w14:paraId="10037A79">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（6）最小影响原则：测评工作应尽可能小的影响系统和网络，并在可控范围内；测评工作不能对现有信息系统的的正常运行、业务的正常开展产生任何影响。</w:t>
      </w:r>
    </w:p>
    <w:p w14:paraId="36C2A806">
      <w:pPr>
        <w:adjustRightInd w:val="0"/>
        <w:snapToGrid w:val="0"/>
        <w:spacing w:line="400" w:lineRule="exact"/>
        <w:ind w:firstLine="480" w:firstLineChars="200"/>
        <w:rPr>
          <w:rFonts w:ascii="宋体" w:hAnsi="宋体"/>
          <w:color w:val="auto"/>
          <w:sz w:val="24"/>
        </w:rPr>
      </w:pPr>
      <w:r>
        <w:rPr>
          <w:rFonts w:hint="eastAsia" w:ascii="宋体" w:hAnsi="宋体"/>
          <w:color w:val="auto"/>
          <w:sz w:val="24"/>
          <w:lang w:val="en-US" w:eastAsia="zh-CN"/>
        </w:rPr>
        <w:t>3</w:t>
      </w:r>
      <w:r>
        <w:rPr>
          <w:rFonts w:ascii="宋体" w:hAnsi="宋体"/>
          <w:color w:val="auto"/>
          <w:sz w:val="24"/>
        </w:rPr>
        <w:t>.2</w:t>
      </w:r>
      <w:r>
        <w:rPr>
          <w:rFonts w:hint="eastAsia" w:ascii="宋体" w:hAnsi="宋体"/>
          <w:color w:val="auto"/>
          <w:sz w:val="24"/>
        </w:rPr>
        <w:t>项目保密要求</w:t>
      </w:r>
    </w:p>
    <w:p w14:paraId="3FA8D09C">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（1）对服务的过程数据和结果数据严格保密，未经授权不得泄露给任何单位和个人，不得利用此数据进行任何侵害招标人的行为，否则招标人有权追究投标方的责任；</w:t>
      </w:r>
    </w:p>
    <w:p w14:paraId="375BD093">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（2）对涉及医院的检查项目、资料、检查过程和结果以及医院的知识产权、所有权等其它信息采取保密措施；</w:t>
      </w:r>
    </w:p>
    <w:p w14:paraId="33561352">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（3）在接收医院的检查项目时，应对检查项目加强监管，防止泄密。信息安全等级保护评测之前必须签订保密协议。所有检查项目，不经用户同意，不得向与检查无关人员展示；</w:t>
      </w:r>
    </w:p>
    <w:p w14:paraId="611740A9">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（4）所有检查过程均对外保密，与检查无关人员未经批准，不得擅自进入检查现场；</w:t>
      </w:r>
    </w:p>
    <w:p w14:paraId="06988DBB">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（5）在未经许可的情况下与检查无关的人员不得接触被检查项目及相关资料，不得参与检查和编制检查报告；</w:t>
      </w:r>
    </w:p>
    <w:p w14:paraId="0096E7E0">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（6）出具的检查报告应为保密，未经医院授权，不得将检查报告转交他人，不得擅自公布检查结果；</w:t>
      </w:r>
    </w:p>
    <w:p w14:paraId="37F4ACB0">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（7）当医院要求用电话、图文传真或其它方式传送检查结果时，应有医院正式的书面委托并证实相关通讯方式可靠后方可执行；</w:t>
      </w:r>
    </w:p>
    <w:p w14:paraId="775B8704">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（8）不得向无关人员泄露任何有关医院资料和检查结果，检查结果只能通过相关程序及约定的告知方式通知相应业务单位和个人；</w:t>
      </w:r>
    </w:p>
    <w:p w14:paraId="06321369">
      <w:pPr>
        <w:adjustRightInd w:val="0"/>
        <w:snapToGrid w:val="0"/>
        <w:spacing w:line="400" w:lineRule="exact"/>
        <w:ind w:firstLine="480" w:firstLineChars="200"/>
        <w:rPr>
          <w:rFonts w:ascii="宋体" w:hAnsi="宋体"/>
          <w:color w:val="auto"/>
          <w:sz w:val="24"/>
        </w:rPr>
      </w:pPr>
      <w:r>
        <w:rPr>
          <w:rFonts w:hint="eastAsia" w:ascii="宋体" w:hAnsi="宋体"/>
          <w:color w:val="auto"/>
          <w:sz w:val="24"/>
        </w:rPr>
        <w:t>（9）对接触医院检查项目、资料及其它相关信息的人员应履行为医院保护所有权的义务，不得利用医院的有关知识产权为己牟利。</w:t>
      </w:r>
    </w:p>
    <w:p w14:paraId="33201C3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highlight w:val="none"/>
          <w:lang w:val="en-US" w:eastAsia="zh-CN"/>
        </w:rPr>
      </w:pPr>
    </w:p>
    <w:p w14:paraId="6F245800">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themeColor="text1"/>
          <w:sz w:val="24"/>
          <w:highlight w:val="none"/>
          <w14:textFill>
            <w14:solidFill>
              <w14:schemeClr w14:val="tx1"/>
            </w14:solidFill>
          </w14:textFill>
        </w:rPr>
      </w:pPr>
    </w:p>
    <w:p w14:paraId="2E838F41">
      <w:pPr>
        <w:pStyle w:val="2"/>
        <w:numPr>
          <w:ilvl w:val="0"/>
          <w:numId w:val="0"/>
        </w:numPr>
        <w:spacing w:line="240" w:lineRule="auto"/>
        <w:ind w:left="2940" w:leftChars="0"/>
        <w:jc w:val="both"/>
        <w:rPr>
          <w:rFonts w:hint="eastAsia" w:ascii="宋体" w:hAnsi="宋体" w:cs="宋体"/>
          <w:color w:val="auto"/>
          <w:sz w:val="30"/>
          <w:szCs w:val="30"/>
        </w:rPr>
      </w:pPr>
      <w:bookmarkStart w:id="39" w:name="_Toc16523574"/>
      <w:r>
        <w:rPr>
          <w:rFonts w:hint="eastAsia" w:ascii="宋体" w:hAnsi="宋体" w:cs="宋体"/>
          <w:color w:val="auto"/>
          <w:sz w:val="30"/>
          <w:szCs w:val="30"/>
          <w:lang w:val="en-US" w:eastAsia="zh-CN"/>
        </w:rPr>
        <w:t xml:space="preserve">第三章   </w:t>
      </w:r>
      <w:r>
        <w:rPr>
          <w:rFonts w:hint="eastAsia" w:ascii="宋体" w:hAnsi="宋体" w:cs="宋体"/>
          <w:color w:val="auto"/>
          <w:sz w:val="30"/>
          <w:szCs w:val="30"/>
        </w:rPr>
        <w:t>投标文件的格式</w:t>
      </w:r>
    </w:p>
    <w:p w14:paraId="42075ED1">
      <w:pPr>
        <w:pStyle w:val="2"/>
        <w:numPr>
          <w:ilvl w:val="0"/>
          <w:numId w:val="0"/>
        </w:numPr>
        <w:spacing w:line="240" w:lineRule="auto"/>
        <w:ind w:firstLine="2108" w:firstLineChars="700"/>
        <w:jc w:val="both"/>
        <w:rPr>
          <w:rFonts w:hint="eastAsia" w:ascii="宋体" w:hAnsi="宋体" w:cs="宋体"/>
          <w:color w:val="auto"/>
          <w:sz w:val="30"/>
          <w:szCs w:val="30"/>
        </w:rPr>
      </w:pPr>
      <w:r>
        <w:rPr>
          <w:rFonts w:hint="eastAsia" w:ascii="宋体" w:hAnsi="宋体" w:cs="宋体"/>
          <w:color w:val="auto"/>
          <w:sz w:val="30"/>
          <w:szCs w:val="30"/>
        </w:rPr>
        <w:t>（必须按以下标题和顺序进行编制）</w:t>
      </w:r>
    </w:p>
    <w:p w14:paraId="0011AD09">
      <w:pPr>
        <w:rPr>
          <w:rFonts w:hint="eastAsia" w:ascii="宋体" w:hAnsi="宋体" w:cs="宋体"/>
          <w:color w:val="auto"/>
        </w:rPr>
      </w:pPr>
    </w:p>
    <w:bookmarkEnd w:id="39"/>
    <w:p w14:paraId="6B60CB95">
      <w:pPr>
        <w:rPr>
          <w:rFonts w:hint="eastAsia"/>
          <w:color w:val="auto"/>
        </w:rPr>
      </w:pPr>
    </w:p>
    <w:p w14:paraId="463F9F65">
      <w:pPr>
        <w:jc w:val="center"/>
        <w:rPr>
          <w:b/>
          <w:color w:val="auto"/>
          <w:sz w:val="24"/>
        </w:rPr>
      </w:pPr>
      <w:r>
        <w:rPr>
          <w:b/>
          <w:color w:val="auto"/>
          <w:sz w:val="28"/>
          <w:szCs w:val="28"/>
        </w:rPr>
        <w:t>第一部分、开标一览表</w:t>
      </w:r>
    </w:p>
    <w:p w14:paraId="40105E6A">
      <w:pPr>
        <w:jc w:val="center"/>
        <w:rPr>
          <w:b/>
          <w:color w:val="auto"/>
          <w:sz w:val="24"/>
        </w:rPr>
      </w:pPr>
    </w:p>
    <w:tbl>
      <w:tblPr>
        <w:tblStyle w:val="16"/>
        <w:tblW w:w="68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28"/>
        <w:gridCol w:w="1874"/>
        <w:gridCol w:w="2023"/>
        <w:gridCol w:w="2081"/>
      </w:tblGrid>
      <w:tr w14:paraId="72A3D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jc w:val="center"/>
        </w:trPr>
        <w:tc>
          <w:tcPr>
            <w:tcW w:w="828" w:type="dxa"/>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2001556">
            <w:pPr>
              <w:keepNext w:val="0"/>
              <w:keepLines w:val="0"/>
              <w:widowControl/>
              <w:suppressLineNumbers w:val="0"/>
              <w:jc w:val="center"/>
              <w:rPr>
                <w:b/>
                <w:bCs/>
              </w:rPr>
            </w:pPr>
            <w:r>
              <w:rPr>
                <w:rFonts w:ascii="宋体" w:hAnsi="宋体" w:eastAsia="宋体" w:cs="宋体"/>
                <w:b/>
                <w:bCs/>
                <w:kern w:val="0"/>
                <w:sz w:val="24"/>
                <w:szCs w:val="24"/>
                <w:lang w:val="en-US" w:eastAsia="zh-CN" w:bidi="ar"/>
              </w:rPr>
              <w:t>序号</w:t>
            </w:r>
          </w:p>
        </w:tc>
        <w:tc>
          <w:tcPr>
            <w:tcW w:w="1874" w:type="dxa"/>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B7C118F">
            <w:pPr>
              <w:keepNext w:val="0"/>
              <w:keepLines w:val="0"/>
              <w:widowControl/>
              <w:suppressLineNumbers w:val="0"/>
              <w:jc w:val="center"/>
              <w:rPr>
                <w:b/>
                <w:bCs/>
              </w:rPr>
            </w:pPr>
            <w:r>
              <w:rPr>
                <w:rFonts w:ascii="宋体" w:hAnsi="宋体" w:eastAsia="宋体" w:cs="宋体"/>
                <w:b/>
                <w:bCs/>
                <w:kern w:val="0"/>
                <w:sz w:val="24"/>
                <w:szCs w:val="24"/>
                <w:lang w:val="en-US" w:eastAsia="zh-CN" w:bidi="ar"/>
              </w:rPr>
              <w:t>系统级别</w:t>
            </w:r>
          </w:p>
        </w:tc>
        <w:tc>
          <w:tcPr>
            <w:tcW w:w="2023" w:type="dxa"/>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790C22B0">
            <w:pPr>
              <w:keepNext w:val="0"/>
              <w:keepLines w:val="0"/>
              <w:widowControl/>
              <w:suppressLineNumbers w:val="0"/>
              <w:jc w:val="center"/>
              <w:rPr>
                <w:b/>
                <w:bCs/>
              </w:rPr>
            </w:pPr>
            <w:r>
              <w:rPr>
                <w:rFonts w:ascii="宋体" w:hAnsi="宋体" w:eastAsia="宋体" w:cs="宋体"/>
                <w:b/>
                <w:bCs/>
                <w:kern w:val="0"/>
                <w:sz w:val="24"/>
                <w:szCs w:val="24"/>
                <w:lang w:val="en-US" w:eastAsia="zh-CN" w:bidi="ar"/>
              </w:rPr>
              <w:t>计价单位</w:t>
            </w:r>
          </w:p>
        </w:tc>
        <w:tc>
          <w:tcPr>
            <w:tcW w:w="2081" w:type="dxa"/>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429EE3D">
            <w:pPr>
              <w:keepNext w:val="0"/>
              <w:keepLines w:val="0"/>
              <w:widowControl/>
              <w:suppressLineNumbers w:val="0"/>
              <w:jc w:val="center"/>
              <w:rPr>
                <w:b/>
                <w:bCs/>
              </w:rPr>
            </w:pPr>
            <w:r>
              <w:rPr>
                <w:rFonts w:ascii="宋体" w:hAnsi="宋体" w:eastAsia="宋体" w:cs="宋体"/>
                <w:b/>
                <w:bCs/>
                <w:kern w:val="0"/>
                <w:sz w:val="24"/>
                <w:szCs w:val="24"/>
                <w:lang w:val="en-US" w:eastAsia="zh-CN" w:bidi="ar"/>
              </w:rPr>
              <w:t>单价（万元）</w:t>
            </w:r>
          </w:p>
        </w:tc>
      </w:tr>
      <w:tr w14:paraId="235BE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28" w:type="dxa"/>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21423679">
            <w:pPr>
              <w:keepNext w:val="0"/>
              <w:keepLines w:val="0"/>
              <w:widowControl/>
              <w:suppressLineNumbers w:val="0"/>
              <w:jc w:val="center"/>
            </w:pPr>
            <w:r>
              <w:rPr>
                <w:rFonts w:ascii="宋体" w:hAnsi="宋体" w:eastAsia="宋体" w:cs="宋体"/>
                <w:kern w:val="0"/>
                <w:sz w:val="24"/>
                <w:szCs w:val="24"/>
                <w:lang w:val="en-US" w:eastAsia="zh-CN" w:bidi="ar"/>
              </w:rPr>
              <w:t>1</w:t>
            </w:r>
          </w:p>
        </w:tc>
        <w:tc>
          <w:tcPr>
            <w:tcW w:w="1874" w:type="dxa"/>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65BAD9EF">
            <w:pPr>
              <w:keepNext w:val="0"/>
              <w:keepLines w:val="0"/>
              <w:widowControl/>
              <w:suppressLineNumbers w:val="0"/>
              <w:jc w:val="center"/>
            </w:pPr>
            <w:r>
              <w:rPr>
                <w:rFonts w:ascii="宋体" w:hAnsi="宋体" w:eastAsia="宋体" w:cs="宋体"/>
                <w:kern w:val="0"/>
                <w:sz w:val="24"/>
                <w:szCs w:val="24"/>
                <w:lang w:val="en-US" w:eastAsia="zh-CN" w:bidi="ar"/>
              </w:rPr>
              <w:t>三级信息系统</w:t>
            </w:r>
          </w:p>
        </w:tc>
        <w:tc>
          <w:tcPr>
            <w:tcW w:w="2023" w:type="dxa"/>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295AADCC">
            <w:pPr>
              <w:keepNext w:val="0"/>
              <w:keepLines w:val="0"/>
              <w:widowControl/>
              <w:suppressLineNumbers w:val="0"/>
              <w:jc w:val="center"/>
            </w:pPr>
            <w:r>
              <w:rPr>
                <w:rFonts w:hint="eastAsia" w:ascii="宋体" w:hAnsi="宋体" w:cs="宋体"/>
                <w:kern w:val="0"/>
                <w:sz w:val="24"/>
                <w:szCs w:val="24"/>
                <w:lang w:val="en-US" w:eastAsia="zh-CN" w:bidi="ar"/>
              </w:rPr>
              <w:t>次</w:t>
            </w:r>
            <w:r>
              <w:rPr>
                <w:rFonts w:ascii="宋体" w:hAnsi="宋体" w:eastAsia="宋体" w:cs="宋体"/>
                <w:kern w:val="0"/>
                <w:sz w:val="24"/>
                <w:szCs w:val="24"/>
                <w:lang w:val="en-US" w:eastAsia="zh-CN" w:bidi="ar"/>
              </w:rPr>
              <w:t>/系统</w:t>
            </w:r>
          </w:p>
        </w:tc>
        <w:tc>
          <w:tcPr>
            <w:tcW w:w="2081" w:type="dxa"/>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3CB9F82C">
            <w:pPr>
              <w:keepNext w:val="0"/>
              <w:keepLines w:val="0"/>
              <w:widowControl/>
              <w:suppressLineNumbers w:val="0"/>
              <w:jc w:val="center"/>
            </w:pPr>
          </w:p>
        </w:tc>
      </w:tr>
      <w:tr w14:paraId="7077F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28" w:type="dxa"/>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7966E387">
            <w:pPr>
              <w:keepNext w:val="0"/>
              <w:keepLines w:val="0"/>
              <w:widowControl/>
              <w:suppressLineNumbers w:val="0"/>
              <w:jc w:val="center"/>
            </w:pPr>
            <w:r>
              <w:rPr>
                <w:rFonts w:ascii="宋体" w:hAnsi="宋体" w:eastAsia="宋体" w:cs="宋体"/>
                <w:kern w:val="0"/>
                <w:sz w:val="24"/>
                <w:szCs w:val="24"/>
                <w:lang w:val="en-US" w:eastAsia="zh-CN" w:bidi="ar"/>
              </w:rPr>
              <w:t>2</w:t>
            </w:r>
          </w:p>
        </w:tc>
        <w:tc>
          <w:tcPr>
            <w:tcW w:w="1874" w:type="dxa"/>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6C835F30">
            <w:pPr>
              <w:keepNext w:val="0"/>
              <w:keepLines w:val="0"/>
              <w:widowControl/>
              <w:suppressLineNumbers w:val="0"/>
              <w:jc w:val="center"/>
            </w:pPr>
            <w:r>
              <w:rPr>
                <w:rFonts w:ascii="宋体" w:hAnsi="宋体" w:eastAsia="宋体" w:cs="宋体"/>
                <w:kern w:val="0"/>
                <w:sz w:val="24"/>
                <w:szCs w:val="24"/>
                <w:lang w:val="en-US" w:eastAsia="zh-CN" w:bidi="ar"/>
              </w:rPr>
              <w:t>二级信息系统</w:t>
            </w:r>
          </w:p>
        </w:tc>
        <w:tc>
          <w:tcPr>
            <w:tcW w:w="2023" w:type="dxa"/>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11035A51">
            <w:pPr>
              <w:keepNext w:val="0"/>
              <w:keepLines w:val="0"/>
              <w:widowControl/>
              <w:suppressLineNumbers w:val="0"/>
              <w:jc w:val="center"/>
            </w:pPr>
            <w:r>
              <w:rPr>
                <w:rFonts w:ascii="宋体" w:hAnsi="宋体" w:eastAsia="宋体" w:cs="宋体"/>
                <w:kern w:val="0"/>
                <w:sz w:val="24"/>
                <w:szCs w:val="24"/>
                <w:lang w:val="en-US" w:eastAsia="zh-CN" w:bidi="ar"/>
              </w:rPr>
              <w:t>次/系统</w:t>
            </w:r>
          </w:p>
        </w:tc>
        <w:tc>
          <w:tcPr>
            <w:tcW w:w="2081" w:type="dxa"/>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49934821">
            <w:pPr>
              <w:keepNext w:val="0"/>
              <w:keepLines w:val="0"/>
              <w:widowControl/>
              <w:suppressLineNumbers w:val="0"/>
              <w:jc w:val="center"/>
            </w:pPr>
          </w:p>
        </w:tc>
      </w:tr>
      <w:tr w14:paraId="349BE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4725" w:type="dxa"/>
            <w:gridSpan w:val="3"/>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54B3F34C">
            <w:pPr>
              <w:keepNext w:val="0"/>
              <w:keepLines w:val="0"/>
              <w:widowControl/>
              <w:suppressLineNumbers w:val="0"/>
              <w:jc w:val="center"/>
              <w:rPr>
                <w:rFonts w:hint="default"/>
                <w:lang w:val="en-US"/>
              </w:rPr>
            </w:pPr>
            <w:r>
              <w:rPr>
                <w:rFonts w:ascii="宋体" w:hAnsi="宋体" w:eastAsia="宋体" w:cs="宋体"/>
                <w:kern w:val="0"/>
                <w:sz w:val="24"/>
                <w:szCs w:val="24"/>
                <w:lang w:val="en-US" w:eastAsia="zh-CN" w:bidi="ar"/>
              </w:rPr>
              <w:t>三年总报价</w:t>
            </w:r>
            <w:r>
              <w:rPr>
                <w:rFonts w:hint="eastAsia" w:ascii="宋体" w:hAnsi="宋体" w:cs="宋体"/>
                <w:kern w:val="0"/>
                <w:sz w:val="24"/>
                <w:szCs w:val="24"/>
                <w:lang w:val="en-US" w:eastAsia="zh-CN" w:bidi="ar"/>
              </w:rPr>
              <w:t>（计算公式：总报价=序号1单价*15+序号2单价*2）</w:t>
            </w:r>
          </w:p>
        </w:tc>
        <w:tc>
          <w:tcPr>
            <w:tcW w:w="2081" w:type="dxa"/>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62DC7DB8">
            <w:pPr>
              <w:keepNext w:val="0"/>
              <w:keepLines w:val="0"/>
              <w:widowControl/>
              <w:suppressLineNumbers w:val="0"/>
              <w:jc w:val="center"/>
              <w:rPr>
                <w:rFonts w:ascii="宋体" w:hAnsi="宋体" w:eastAsia="宋体" w:cs="宋体"/>
                <w:kern w:val="0"/>
                <w:sz w:val="24"/>
                <w:szCs w:val="24"/>
                <w:lang w:val="en-US" w:eastAsia="zh-CN" w:bidi="ar"/>
              </w:rPr>
            </w:pPr>
          </w:p>
        </w:tc>
      </w:tr>
    </w:tbl>
    <w:p w14:paraId="0D98727E">
      <w:pPr>
        <w:spacing w:line="360" w:lineRule="auto"/>
        <w:ind w:left="1050" w:leftChars="500"/>
        <w:jc w:val="right"/>
        <w:rPr>
          <w:rStyle w:val="27"/>
          <w:rFonts w:hint="eastAsia" w:ascii="宋体" w:hAnsi="宋体"/>
          <w:kern w:val="0"/>
          <w:sz w:val="21"/>
        </w:rPr>
      </w:pPr>
    </w:p>
    <w:p w14:paraId="561CA0A2">
      <w:pPr>
        <w:spacing w:line="360" w:lineRule="auto"/>
        <w:ind w:left="1050" w:leftChars="500"/>
        <w:jc w:val="right"/>
        <w:rPr>
          <w:rStyle w:val="27"/>
          <w:rFonts w:ascii="宋体" w:hAnsi="宋体"/>
          <w:kern w:val="0"/>
          <w:sz w:val="21"/>
        </w:rPr>
      </w:pPr>
      <w:r>
        <w:rPr>
          <w:rStyle w:val="27"/>
          <w:rFonts w:hint="eastAsia" w:ascii="宋体" w:hAnsi="宋体"/>
          <w:kern w:val="0"/>
          <w:sz w:val="21"/>
        </w:rPr>
        <w:t>供应商名称：</w:t>
      </w:r>
      <w:r>
        <w:rPr>
          <w:rStyle w:val="27"/>
          <w:rFonts w:hint="eastAsia" w:ascii="宋体" w:hAnsi="宋体"/>
          <w:kern w:val="0"/>
          <w:sz w:val="21"/>
          <w:u w:val="single"/>
        </w:rPr>
        <w:t xml:space="preserve">           </w:t>
      </w:r>
      <w:r>
        <w:rPr>
          <w:rStyle w:val="27"/>
          <w:rFonts w:hint="eastAsia" w:ascii="宋体" w:hAnsi="宋体"/>
          <w:kern w:val="0"/>
          <w:sz w:val="21"/>
        </w:rPr>
        <w:t>（盖章）</w:t>
      </w:r>
    </w:p>
    <w:p w14:paraId="4B50E309">
      <w:pPr>
        <w:pStyle w:val="14"/>
        <w:spacing w:before="0" w:beforeAutospacing="0" w:after="0" w:afterAutospacing="0" w:line="360" w:lineRule="auto"/>
        <w:ind w:right="743" w:rightChars="354" w:firstLine="3204"/>
        <w:jc w:val="right"/>
      </w:pPr>
      <w:r>
        <w:rPr>
          <w:rFonts w:hint="eastAsia"/>
          <w:sz w:val="21"/>
          <w:u w:val="single"/>
        </w:rPr>
        <w:t xml:space="preserve">     </w:t>
      </w:r>
      <w:r>
        <w:rPr>
          <w:rFonts w:hint="eastAsia"/>
          <w:sz w:val="21"/>
        </w:rPr>
        <w:t>年</w:t>
      </w:r>
      <w:r>
        <w:rPr>
          <w:rFonts w:hint="eastAsia"/>
          <w:sz w:val="21"/>
          <w:u w:val="single"/>
        </w:rPr>
        <w:t xml:space="preserve">      </w:t>
      </w:r>
      <w:r>
        <w:rPr>
          <w:rFonts w:hint="eastAsia"/>
          <w:sz w:val="21"/>
        </w:rPr>
        <w:t>月</w:t>
      </w:r>
      <w:r>
        <w:rPr>
          <w:rFonts w:hint="eastAsia"/>
          <w:sz w:val="21"/>
          <w:u w:val="single"/>
        </w:rPr>
        <w:t xml:space="preserve">      </w:t>
      </w:r>
      <w:r>
        <w:rPr>
          <w:rFonts w:hint="eastAsia"/>
          <w:sz w:val="21"/>
        </w:rPr>
        <w:t>日</w:t>
      </w:r>
    </w:p>
    <w:p w14:paraId="72FEC1A7">
      <w:pPr>
        <w:pStyle w:val="24"/>
        <w:rPr>
          <w:color w:val="auto"/>
        </w:rPr>
      </w:pPr>
    </w:p>
    <w:p w14:paraId="66551667">
      <w:pPr>
        <w:adjustRightInd w:val="0"/>
        <w:snapToGrid w:val="0"/>
        <w:spacing w:line="360" w:lineRule="auto"/>
        <w:jc w:val="center"/>
        <w:rPr>
          <w:rFonts w:hint="eastAsia" w:ascii="宋体" w:hAnsi="宋体" w:cs="宋体"/>
          <w:b/>
          <w:color w:val="auto"/>
          <w:sz w:val="28"/>
          <w:szCs w:val="28"/>
        </w:rPr>
      </w:pPr>
    </w:p>
    <w:p w14:paraId="28166D50">
      <w:pPr>
        <w:adjustRightInd w:val="0"/>
        <w:snapToGrid w:val="0"/>
        <w:spacing w:line="360" w:lineRule="auto"/>
        <w:jc w:val="center"/>
        <w:rPr>
          <w:rFonts w:hint="eastAsia" w:ascii="宋体" w:hAnsi="宋体" w:cs="宋体"/>
          <w:b/>
          <w:color w:val="auto"/>
          <w:sz w:val="28"/>
          <w:szCs w:val="28"/>
        </w:rPr>
      </w:pPr>
    </w:p>
    <w:p w14:paraId="4E8B8904">
      <w:pPr>
        <w:adjustRightInd w:val="0"/>
        <w:snapToGrid w:val="0"/>
        <w:spacing w:line="360" w:lineRule="auto"/>
        <w:jc w:val="center"/>
        <w:rPr>
          <w:rFonts w:hint="eastAsia" w:ascii="宋体" w:hAnsi="宋体" w:cs="宋体"/>
          <w:b/>
          <w:color w:val="auto"/>
          <w:sz w:val="28"/>
          <w:szCs w:val="28"/>
        </w:rPr>
      </w:pPr>
    </w:p>
    <w:p w14:paraId="2945B527">
      <w:pPr>
        <w:adjustRightInd w:val="0"/>
        <w:snapToGrid w:val="0"/>
        <w:spacing w:line="360" w:lineRule="auto"/>
        <w:jc w:val="center"/>
        <w:rPr>
          <w:rFonts w:hint="eastAsia" w:ascii="宋体" w:hAnsi="宋体" w:cs="宋体"/>
          <w:b/>
          <w:color w:val="auto"/>
          <w:sz w:val="28"/>
          <w:szCs w:val="28"/>
        </w:rPr>
      </w:pPr>
    </w:p>
    <w:p w14:paraId="1FBF603D">
      <w:pPr>
        <w:adjustRightInd w:val="0"/>
        <w:snapToGrid w:val="0"/>
        <w:spacing w:line="360"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第二部分、资格证明文件</w:t>
      </w:r>
    </w:p>
    <w:p w14:paraId="43D168BD">
      <w:pPr>
        <w:pStyle w:val="23"/>
        <w:rPr>
          <w:rFonts w:hint="eastAsia"/>
          <w:lang w:eastAsia="zh-CN"/>
        </w:rPr>
      </w:pPr>
    </w:p>
    <w:p w14:paraId="386689DC">
      <w:pPr>
        <w:adjustRightInd w:val="0"/>
        <w:snapToGrid w:val="0"/>
        <w:spacing w:line="360" w:lineRule="auto"/>
        <w:jc w:val="center"/>
        <w:rPr>
          <w:rFonts w:hint="eastAsia" w:ascii="宋体" w:hAnsi="宋体" w:cs="宋体"/>
          <w:b/>
          <w:color w:val="auto"/>
          <w:sz w:val="24"/>
          <w:szCs w:val="20"/>
        </w:rPr>
      </w:pPr>
    </w:p>
    <w:p w14:paraId="11F0F571">
      <w:pPr>
        <w:adjustRightInd w:val="0"/>
        <w:snapToGrid w:val="0"/>
        <w:spacing w:line="360" w:lineRule="auto"/>
        <w:jc w:val="center"/>
        <w:rPr>
          <w:rFonts w:hint="eastAsia" w:ascii="宋体" w:hAnsi="宋体" w:cs="宋体"/>
          <w:b/>
          <w:color w:val="auto"/>
          <w:sz w:val="24"/>
          <w:szCs w:val="20"/>
        </w:rPr>
      </w:pPr>
      <w:r>
        <w:rPr>
          <w:rFonts w:hint="eastAsia" w:ascii="宋体" w:hAnsi="宋体" w:cs="宋体"/>
          <w:b/>
          <w:color w:val="auto"/>
          <w:sz w:val="24"/>
          <w:szCs w:val="20"/>
        </w:rPr>
        <w:t>一、法定代表人授权委托书</w:t>
      </w:r>
    </w:p>
    <w:p w14:paraId="64449AAA">
      <w:pPr>
        <w:adjustRightInd w:val="0"/>
        <w:snapToGrid w:val="0"/>
        <w:spacing w:line="360" w:lineRule="auto"/>
        <w:rPr>
          <w:rFonts w:hint="eastAsia" w:ascii="宋体" w:hAnsi="宋体" w:cs="宋体"/>
          <w:b/>
          <w:color w:val="auto"/>
          <w:sz w:val="28"/>
          <w:szCs w:val="28"/>
        </w:rPr>
      </w:pPr>
    </w:p>
    <w:p w14:paraId="540590FF">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本人</w:t>
      </w:r>
      <w:r>
        <w:rPr>
          <w:rFonts w:hint="eastAsia" w:ascii="宋体" w:hAnsi="宋体" w:cs="宋体"/>
          <w:color w:val="auto"/>
          <w:kern w:val="0"/>
          <w:sz w:val="24"/>
          <w:u w:val="single"/>
        </w:rPr>
        <w:t>（姓名、职务）</w:t>
      </w:r>
      <w:r>
        <w:rPr>
          <w:rFonts w:hint="eastAsia" w:ascii="宋体" w:hAnsi="宋体" w:cs="宋体"/>
          <w:color w:val="auto"/>
          <w:kern w:val="0"/>
          <w:sz w:val="24"/>
        </w:rPr>
        <w:t>系</w:t>
      </w:r>
      <w:r>
        <w:rPr>
          <w:rFonts w:hint="eastAsia" w:ascii="宋体" w:hAnsi="宋体" w:cs="宋体"/>
          <w:color w:val="auto"/>
          <w:kern w:val="0"/>
          <w:sz w:val="24"/>
          <w:u w:val="single"/>
        </w:rPr>
        <w:t xml:space="preserve"> （</w:t>
      </w:r>
      <w:r>
        <w:rPr>
          <w:rFonts w:hint="eastAsia" w:ascii="宋体" w:hAnsi="宋体" w:cs="宋体"/>
          <w:color w:val="auto"/>
          <w:sz w:val="24"/>
          <w:u w:val="single"/>
        </w:rPr>
        <w:t>投标人</w:t>
      </w:r>
      <w:r>
        <w:rPr>
          <w:rFonts w:hint="eastAsia" w:ascii="宋体" w:hAnsi="宋体" w:cs="宋体"/>
          <w:color w:val="auto"/>
          <w:kern w:val="0"/>
          <w:sz w:val="24"/>
          <w:u w:val="single"/>
        </w:rPr>
        <w:t>名称）</w:t>
      </w:r>
      <w:r>
        <w:rPr>
          <w:rFonts w:hint="eastAsia" w:ascii="宋体" w:hAnsi="宋体" w:cs="宋体"/>
          <w:color w:val="auto"/>
          <w:kern w:val="0"/>
          <w:sz w:val="24"/>
        </w:rPr>
        <w:t>的法定代表人，现授权</w:t>
      </w:r>
      <w:r>
        <w:rPr>
          <w:rFonts w:hint="eastAsia" w:ascii="宋体" w:hAnsi="宋体" w:cs="宋体"/>
          <w:color w:val="auto"/>
          <w:kern w:val="0"/>
          <w:sz w:val="24"/>
          <w:u w:val="single"/>
        </w:rPr>
        <w:t>（姓名、职务）</w:t>
      </w:r>
      <w:r>
        <w:rPr>
          <w:rFonts w:hint="eastAsia" w:ascii="宋体" w:hAnsi="宋体" w:cs="宋体"/>
          <w:color w:val="auto"/>
          <w:kern w:val="0"/>
          <w:sz w:val="24"/>
        </w:rPr>
        <w:t>为我方代理人。代理人根据授权，以我方名义签署、澄清、说明、补正、递交、撤回、修改</w:t>
      </w:r>
      <w:r>
        <w:rPr>
          <w:rFonts w:hint="eastAsia" w:ascii="宋体" w:hAnsi="宋体" w:cs="宋体"/>
          <w:color w:val="auto"/>
          <w:kern w:val="0"/>
          <w:sz w:val="24"/>
          <w:u w:val="single"/>
        </w:rPr>
        <w:t>（项目名称）</w:t>
      </w:r>
      <w:r>
        <w:rPr>
          <w:rFonts w:hint="eastAsia" w:ascii="宋体" w:hAnsi="宋体" w:cs="宋体"/>
          <w:color w:val="auto"/>
          <w:kern w:val="0"/>
          <w:sz w:val="24"/>
        </w:rPr>
        <w:t>（采购编号：</w:t>
      </w:r>
      <w:r>
        <w:rPr>
          <w:rFonts w:hint="eastAsia" w:ascii="宋体" w:hAnsi="宋体" w:cs="宋体"/>
          <w:color w:val="auto"/>
          <w:kern w:val="0"/>
          <w:sz w:val="24"/>
          <w:u w:val="single"/>
        </w:rPr>
        <w:t xml:space="preserve">     </w:t>
      </w:r>
      <w:r>
        <w:rPr>
          <w:rFonts w:hint="eastAsia" w:ascii="宋体" w:hAnsi="宋体" w:cs="宋体"/>
          <w:color w:val="auto"/>
          <w:kern w:val="0"/>
          <w:sz w:val="24"/>
        </w:rPr>
        <w:t>）投标文件、签订合同和处理有关事宜，其法律后果由我方承担。</w:t>
      </w:r>
    </w:p>
    <w:p w14:paraId="3381B1A2">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委托期限：</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14:paraId="0EF25468">
      <w:pPr>
        <w:adjustRightInd w:val="0"/>
        <w:snapToGrid w:val="0"/>
        <w:spacing w:line="360" w:lineRule="auto"/>
        <w:ind w:firstLine="435"/>
        <w:rPr>
          <w:rFonts w:hint="eastAsia" w:ascii="宋体" w:hAnsi="宋体" w:cs="宋体"/>
          <w:color w:val="auto"/>
          <w:kern w:val="0"/>
          <w:sz w:val="24"/>
        </w:rPr>
      </w:pPr>
      <w:r>
        <w:rPr>
          <w:rFonts w:hint="eastAsia" w:ascii="宋体" w:hAnsi="宋体" w:cs="宋体"/>
          <w:color w:val="auto"/>
          <w:kern w:val="0"/>
          <w:sz w:val="24"/>
        </w:rPr>
        <w:t>代理人无转委托权。</w:t>
      </w:r>
    </w:p>
    <w:p w14:paraId="51BFDC15">
      <w:pPr>
        <w:adjustRightInd w:val="0"/>
        <w:snapToGrid w:val="0"/>
        <w:spacing w:line="360" w:lineRule="auto"/>
        <w:ind w:firstLine="435"/>
        <w:rPr>
          <w:rFonts w:hint="eastAsia" w:ascii="宋体" w:hAnsi="宋体" w:cs="宋体"/>
          <w:color w:val="auto"/>
          <w:sz w:val="24"/>
        </w:rPr>
      </w:pPr>
      <w:r>
        <w:rPr>
          <w:rFonts w:hint="eastAsia" w:ascii="宋体" w:hAnsi="宋体" w:cs="宋体"/>
          <w:color w:val="auto"/>
          <w:sz w:val="24"/>
        </w:rPr>
        <w:t>本授权书于日期：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日签字生效，特此声明。</w:t>
      </w:r>
    </w:p>
    <w:p w14:paraId="4F084AFC">
      <w:pPr>
        <w:adjustRightInd w:val="0"/>
        <w:snapToGrid w:val="0"/>
        <w:spacing w:line="360" w:lineRule="auto"/>
        <w:ind w:firstLine="480" w:firstLineChars="200"/>
        <w:rPr>
          <w:rFonts w:hint="eastAsia" w:ascii="宋体" w:hAnsi="宋体" w:cs="宋体"/>
          <w:color w:val="auto"/>
          <w:sz w:val="24"/>
        </w:rPr>
      </w:pPr>
    </w:p>
    <w:tbl>
      <w:tblPr>
        <w:tblStyle w:val="16"/>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7C87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252076A9">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委托代理人身份证（正面、反面）复印件</w:t>
            </w:r>
          </w:p>
        </w:tc>
      </w:tr>
    </w:tbl>
    <w:p w14:paraId="637D8040">
      <w:pPr>
        <w:adjustRightInd w:val="0"/>
        <w:snapToGrid w:val="0"/>
        <w:spacing w:line="360" w:lineRule="auto"/>
        <w:rPr>
          <w:rFonts w:hint="eastAsia" w:ascii="宋体" w:hAnsi="宋体" w:cs="宋体"/>
          <w:color w:val="auto"/>
          <w:sz w:val="24"/>
        </w:rPr>
      </w:pPr>
    </w:p>
    <w:tbl>
      <w:tblPr>
        <w:tblStyle w:val="16"/>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5753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34C02A26">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法定代表人身份证（正面、反面）复印件</w:t>
            </w:r>
          </w:p>
        </w:tc>
      </w:tr>
    </w:tbl>
    <w:p w14:paraId="573075C3">
      <w:pPr>
        <w:adjustRightInd w:val="0"/>
        <w:snapToGrid w:val="0"/>
        <w:spacing w:line="360" w:lineRule="auto"/>
        <w:rPr>
          <w:rFonts w:hint="eastAsia" w:ascii="宋体" w:hAnsi="宋体" w:cs="宋体"/>
          <w:color w:val="auto"/>
          <w:sz w:val="24"/>
        </w:rPr>
      </w:pPr>
    </w:p>
    <w:p w14:paraId="2BBB8A34">
      <w:pPr>
        <w:adjustRightInd w:val="0"/>
        <w:snapToGrid w:val="0"/>
        <w:spacing w:line="360" w:lineRule="auto"/>
        <w:rPr>
          <w:rFonts w:hint="eastAsia" w:ascii="宋体" w:hAnsi="宋体" w:cs="宋体"/>
          <w:color w:val="auto"/>
          <w:sz w:val="24"/>
        </w:rPr>
      </w:pPr>
    </w:p>
    <w:p w14:paraId="1A8CC709">
      <w:pPr>
        <w:adjustRightInd w:val="0"/>
        <w:snapToGrid w:val="0"/>
        <w:spacing w:line="360" w:lineRule="auto"/>
        <w:rPr>
          <w:rFonts w:hint="eastAsia" w:ascii="宋体" w:hAnsi="宋体" w:cs="宋体"/>
          <w:color w:val="auto"/>
          <w:sz w:val="24"/>
        </w:rPr>
      </w:pPr>
      <w:r>
        <w:rPr>
          <w:rFonts w:hint="eastAsia" w:ascii="宋体" w:hAnsi="宋体" w:cs="宋体"/>
          <w:color w:val="auto"/>
          <w:sz w:val="24"/>
        </w:rPr>
        <w:t>投标人名称（盖单位章）：</w:t>
      </w:r>
    </w:p>
    <w:p w14:paraId="1CA38E1D">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法定代表人（签字）：</w:t>
      </w:r>
    </w:p>
    <w:p w14:paraId="524E802C">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委托代理人（签字）：</w:t>
      </w:r>
    </w:p>
    <w:p w14:paraId="7E29138A">
      <w:pPr>
        <w:adjustRightInd w:val="0"/>
        <w:snapToGrid w:val="0"/>
        <w:spacing w:line="360" w:lineRule="auto"/>
        <w:rPr>
          <w:rFonts w:hint="eastAsia" w:ascii="宋体" w:hAnsi="宋体" w:cs="宋体"/>
          <w:b/>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18D29777">
      <w:pPr>
        <w:adjustRightInd w:val="0"/>
        <w:snapToGrid w:val="0"/>
        <w:spacing w:line="360" w:lineRule="auto"/>
        <w:rPr>
          <w:rFonts w:hint="eastAsia" w:ascii="宋体" w:hAnsi="宋体" w:cs="宋体"/>
          <w:b/>
          <w:color w:val="auto"/>
          <w:sz w:val="28"/>
          <w:szCs w:val="28"/>
        </w:rPr>
      </w:pPr>
    </w:p>
    <w:p w14:paraId="3F6A11CD">
      <w:pPr>
        <w:adjustRightInd w:val="0"/>
        <w:snapToGrid w:val="0"/>
        <w:spacing w:line="360" w:lineRule="auto"/>
        <w:jc w:val="center"/>
        <w:rPr>
          <w:rFonts w:hint="eastAsia" w:ascii="宋体" w:hAnsi="宋体" w:cs="宋体"/>
          <w:color w:val="auto"/>
          <w:sz w:val="24"/>
        </w:rPr>
      </w:pPr>
      <w:r>
        <w:rPr>
          <w:rFonts w:hint="eastAsia" w:ascii="宋体" w:hAnsi="宋体" w:cs="宋体"/>
          <w:b/>
          <w:color w:val="auto"/>
          <w:sz w:val="24"/>
          <w:szCs w:val="20"/>
        </w:rPr>
        <w:t>二、投标人资格声明</w:t>
      </w:r>
    </w:p>
    <w:p w14:paraId="3E86AAC0">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致(</w:t>
      </w:r>
      <w:r>
        <w:rPr>
          <w:rFonts w:hint="eastAsia" w:ascii="宋体" w:hAnsi="宋体" w:cs="宋体"/>
          <w:color w:val="auto"/>
          <w:sz w:val="24"/>
          <w:lang w:val="en-US" w:eastAsia="zh-CN"/>
        </w:rPr>
        <w:t xml:space="preserve">           </w:t>
      </w:r>
      <w:r>
        <w:rPr>
          <w:rFonts w:hint="eastAsia" w:ascii="宋体" w:hAnsi="宋体" w:cs="宋体"/>
          <w:color w:val="auto"/>
          <w:sz w:val="24"/>
        </w:rPr>
        <w:t>)：</w:t>
      </w:r>
    </w:p>
    <w:p w14:paraId="129B67DC">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按照</w:t>
      </w:r>
      <w:r>
        <w:rPr>
          <w:rFonts w:hint="eastAsia" w:ascii="宋体" w:hAnsi="宋体" w:cs="宋体"/>
          <w:color w:val="auto"/>
          <w:sz w:val="24"/>
          <w:lang w:eastAsia="zh-CN"/>
        </w:rPr>
        <w:t>招标</w:t>
      </w:r>
      <w:r>
        <w:rPr>
          <w:rFonts w:hint="eastAsia" w:ascii="宋体" w:hAnsi="宋体" w:cs="宋体"/>
          <w:color w:val="auto"/>
          <w:sz w:val="24"/>
        </w:rPr>
        <w:t>文件的规定，我单位郑重声明如下：</w:t>
      </w:r>
    </w:p>
    <w:p w14:paraId="5A64E7F8">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一、我单位是按照中华人民共和国法律规定登记注册的，注册地点为</w:t>
      </w:r>
      <w:r>
        <w:rPr>
          <w:rFonts w:hint="eastAsia" w:ascii="宋体" w:hAnsi="宋体" w:cs="宋体"/>
          <w:color w:val="auto"/>
          <w:sz w:val="24"/>
          <w:u w:val="single"/>
        </w:rPr>
        <w:t xml:space="preserve">      </w:t>
      </w:r>
      <w:r>
        <w:rPr>
          <w:rFonts w:hint="eastAsia" w:ascii="宋体" w:hAnsi="宋体" w:cs="宋体"/>
          <w:color w:val="auto"/>
          <w:sz w:val="24"/>
        </w:rPr>
        <w:t>，全称为</w:t>
      </w:r>
      <w:r>
        <w:rPr>
          <w:rFonts w:hint="eastAsia" w:ascii="宋体" w:hAnsi="宋体" w:cs="宋体"/>
          <w:color w:val="auto"/>
          <w:sz w:val="24"/>
          <w:u w:val="single"/>
        </w:rPr>
        <w:t xml:space="preserve">      </w:t>
      </w:r>
      <w:r>
        <w:rPr>
          <w:rFonts w:hint="eastAsia" w:ascii="宋体" w:hAnsi="宋体" w:cs="宋体"/>
          <w:color w:val="auto"/>
          <w:sz w:val="24"/>
        </w:rPr>
        <w:t>，统一社会信用代码为</w:t>
      </w:r>
      <w:r>
        <w:rPr>
          <w:rFonts w:hint="eastAsia" w:ascii="宋体" w:hAnsi="宋体" w:cs="宋体"/>
          <w:color w:val="auto"/>
          <w:sz w:val="24"/>
          <w:u w:val="single"/>
        </w:rPr>
        <w:t xml:space="preserve">      </w:t>
      </w:r>
      <w:r>
        <w:rPr>
          <w:rFonts w:hint="eastAsia" w:ascii="宋体" w:hAnsi="宋体" w:cs="宋体"/>
          <w:color w:val="auto"/>
          <w:sz w:val="24"/>
        </w:rPr>
        <w:t>，法定代表人为</w:t>
      </w:r>
      <w:r>
        <w:rPr>
          <w:rFonts w:hint="eastAsia" w:ascii="宋体" w:hAnsi="宋体" w:cs="宋体"/>
          <w:color w:val="auto"/>
          <w:sz w:val="24"/>
          <w:u w:val="single"/>
        </w:rPr>
        <w:t xml:space="preserve">      </w:t>
      </w:r>
      <w:r>
        <w:rPr>
          <w:rFonts w:hint="eastAsia" w:ascii="宋体" w:hAnsi="宋体" w:cs="宋体"/>
          <w:color w:val="auto"/>
          <w:sz w:val="24"/>
        </w:rPr>
        <w:t>，具有独立承担民事责任的能力。</w:t>
      </w:r>
    </w:p>
    <w:p w14:paraId="21867362">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二、我单位具有良好的商业信誉和健全的财务会计制度。</w:t>
      </w:r>
    </w:p>
    <w:p w14:paraId="3CB02BF7">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三、</w:t>
      </w:r>
      <w:r>
        <w:rPr>
          <w:rFonts w:hint="eastAsia" w:ascii="宋体" w:hAnsi="宋体" w:cs="宋体"/>
          <w:color w:val="auto"/>
          <w:sz w:val="24"/>
        </w:rPr>
        <w:t>我单位具有履行本项目采购合同所必需的设备和专业技术能力。</w:t>
      </w:r>
    </w:p>
    <w:p w14:paraId="64223B65">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四、我单位在参加本</w:t>
      </w:r>
      <w:r>
        <w:rPr>
          <w:rFonts w:hint="eastAsia" w:asciiTheme="minorEastAsia" w:hAnsiTheme="minorEastAsia" w:eastAsiaTheme="minorEastAsia" w:cstheme="minorEastAsia"/>
          <w:bCs/>
          <w:color w:val="auto"/>
          <w:sz w:val="24"/>
          <w:szCs w:val="24"/>
          <w:lang w:val="en-US" w:eastAsia="zh-CN"/>
        </w:rPr>
        <w:t>采购</w:t>
      </w:r>
      <w:r>
        <w:rPr>
          <w:rFonts w:hint="eastAsia" w:ascii="宋体" w:hAnsi="宋体" w:cs="宋体"/>
          <w:color w:val="auto"/>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14:paraId="0DFF17FA">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五、我单位具备法律、行政法规规定的其他条件。</w:t>
      </w:r>
    </w:p>
    <w:p w14:paraId="149A3161">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kern w:val="0"/>
          <w:sz w:val="24"/>
        </w:rPr>
        <w:t>六、</w:t>
      </w:r>
      <w:r>
        <w:rPr>
          <w:rFonts w:hint="eastAsia" w:ascii="宋体" w:hAnsi="宋体" w:cs="宋体"/>
          <w:color w:val="auto"/>
          <w:sz w:val="24"/>
        </w:rPr>
        <w:t>与我单位存在“单位负责人为同一人或者存在直接控股、管理关系”的其他法人单位信息如下（如无，填写“无”）：</w:t>
      </w:r>
    </w:p>
    <w:p w14:paraId="4B61AC36">
      <w:pPr>
        <w:adjustRightInd w:val="0"/>
        <w:snapToGrid w:val="0"/>
        <w:spacing w:before="120" w:beforeLines="50" w:line="360" w:lineRule="auto"/>
        <w:ind w:firstLine="480" w:firstLineChars="200"/>
        <w:rPr>
          <w:rFonts w:hint="eastAsia" w:ascii="宋体" w:hAnsi="宋体" w:cs="宋体"/>
          <w:color w:val="auto"/>
          <w:sz w:val="24"/>
          <w:u w:val="single"/>
        </w:rPr>
      </w:pPr>
      <w:r>
        <w:rPr>
          <w:rFonts w:hint="eastAsia" w:ascii="宋体" w:hAnsi="宋体" w:cs="宋体"/>
          <w:color w:val="auto"/>
          <w:sz w:val="24"/>
        </w:rPr>
        <w:t>1、与我单位的法定代表人（单位负责人）为同一人的其他法人单位如下：</w:t>
      </w:r>
      <w:r>
        <w:rPr>
          <w:rFonts w:hint="eastAsia" w:ascii="宋体" w:hAnsi="宋体" w:cs="宋体"/>
          <w:color w:val="auto"/>
          <w:sz w:val="24"/>
          <w:u w:val="single"/>
        </w:rPr>
        <w:t xml:space="preserve">               </w:t>
      </w:r>
    </w:p>
    <w:p w14:paraId="763F31A9">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2、我单位直接控股的其他法人单位如下：</w:t>
      </w:r>
      <w:r>
        <w:rPr>
          <w:rFonts w:hint="eastAsia" w:ascii="宋体" w:hAnsi="宋体" w:cs="宋体"/>
          <w:color w:val="auto"/>
          <w:sz w:val="24"/>
          <w:u w:val="single"/>
        </w:rPr>
        <w:t xml:space="preserve">                                            </w:t>
      </w:r>
    </w:p>
    <w:p w14:paraId="1D48A861">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3、与我单位存在管理关系的其他法人单位如下：</w:t>
      </w:r>
      <w:r>
        <w:rPr>
          <w:rFonts w:hint="eastAsia" w:ascii="宋体" w:hAnsi="宋体" w:cs="宋体"/>
          <w:color w:val="auto"/>
          <w:sz w:val="24"/>
          <w:u w:val="single"/>
        </w:rPr>
        <w:t xml:space="preserve">                                      </w:t>
      </w:r>
    </w:p>
    <w:p w14:paraId="1417F859">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lang w:val="en-US" w:eastAsia="zh-CN"/>
        </w:rPr>
        <w:t>七、我单位承诺参与本项目时不存在围标、串标、陪标等违法行为</w:t>
      </w:r>
      <w:r>
        <w:rPr>
          <w:rFonts w:hint="eastAsia" w:ascii="宋体" w:hAnsi="宋体" w:cs="宋体"/>
          <w:color w:val="auto"/>
          <w:sz w:val="24"/>
        </w:rPr>
        <w:t xml:space="preserve"> </w:t>
      </w:r>
    </w:p>
    <w:p w14:paraId="671259A6">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我单位保证上述声明的事项都是真实的，如有虚假，我单位愿意承担相应的法律责任，并承担因此所造成的一切损失。</w:t>
      </w:r>
    </w:p>
    <w:p w14:paraId="2A3FCFA6">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我单位保证随时按照要求提供能够证明上述声明事项真实性的任何有效文件。</w:t>
      </w:r>
    </w:p>
    <w:p w14:paraId="5B697C89">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投标人名称（盖单位公章）：</w:t>
      </w:r>
    </w:p>
    <w:p w14:paraId="3B055510">
      <w:pPr>
        <w:widowControl/>
        <w:adjustRightInd w:val="0"/>
        <w:snapToGrid w:val="0"/>
        <w:spacing w:before="120" w:beforeLines="50" w:line="360" w:lineRule="auto"/>
        <w:jc w:val="left"/>
        <w:rPr>
          <w:rFonts w:hint="eastAsia" w:ascii="宋体" w:hAnsi="宋体" w:cs="宋体"/>
          <w:b/>
          <w:bCs/>
          <w:color w:val="auto"/>
          <w:kern w:val="0"/>
          <w:sz w:val="24"/>
        </w:rPr>
      </w:pPr>
      <w:r>
        <w:rPr>
          <w:rFonts w:hint="eastAsia" w:ascii="宋体" w:hAnsi="宋体" w:cs="宋体"/>
          <w:color w:val="auto"/>
          <w:sz w:val="24"/>
        </w:rPr>
        <w:t>法定代表人或委托代理人（签字）：</w:t>
      </w:r>
    </w:p>
    <w:p w14:paraId="3EF7C52F">
      <w:pPr>
        <w:widowControl/>
        <w:adjustRightInd w:val="0"/>
        <w:snapToGrid w:val="0"/>
        <w:spacing w:before="120" w:beforeLines="50" w:line="360" w:lineRule="auto"/>
        <w:jc w:val="left"/>
        <w:rPr>
          <w:rFonts w:hint="eastAsia" w:ascii="宋体" w:hAnsi="宋体" w:cs="宋体"/>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43446278">
      <w:pPr>
        <w:adjustRightInd w:val="0"/>
        <w:snapToGrid w:val="0"/>
        <w:spacing w:line="360" w:lineRule="auto"/>
        <w:jc w:val="center"/>
        <w:rPr>
          <w:rFonts w:hint="eastAsia" w:ascii="宋体" w:hAnsi="宋体" w:cs="宋体"/>
          <w:b/>
          <w:color w:val="auto"/>
          <w:sz w:val="24"/>
          <w:szCs w:val="20"/>
        </w:rPr>
      </w:pPr>
    </w:p>
    <w:p w14:paraId="1346884B">
      <w:pPr>
        <w:adjustRightInd w:val="0"/>
        <w:snapToGrid w:val="0"/>
        <w:spacing w:line="360" w:lineRule="auto"/>
        <w:rPr>
          <w:rFonts w:hint="eastAsia" w:ascii="宋体" w:hAnsi="宋体" w:cs="宋体"/>
          <w:b/>
          <w:color w:val="auto"/>
          <w:sz w:val="24"/>
          <w:szCs w:val="20"/>
        </w:rPr>
      </w:pPr>
    </w:p>
    <w:p w14:paraId="4F9273E1">
      <w:pPr>
        <w:adjustRightInd w:val="0"/>
        <w:snapToGrid w:val="0"/>
        <w:spacing w:line="360" w:lineRule="auto"/>
        <w:rPr>
          <w:rFonts w:hint="eastAsia" w:ascii="宋体" w:hAnsi="宋体" w:cs="宋体"/>
          <w:b/>
          <w:color w:val="auto"/>
          <w:sz w:val="24"/>
          <w:szCs w:val="20"/>
        </w:rPr>
      </w:pPr>
    </w:p>
    <w:p w14:paraId="2D2F2399">
      <w:pPr>
        <w:adjustRightInd w:val="0"/>
        <w:snapToGrid w:val="0"/>
        <w:spacing w:line="360" w:lineRule="auto"/>
        <w:jc w:val="center"/>
        <w:rPr>
          <w:rFonts w:ascii="宋体" w:hAnsi="宋体" w:cs="宋体"/>
          <w:b/>
          <w:color w:val="auto"/>
          <w:sz w:val="28"/>
          <w:szCs w:val="28"/>
        </w:rPr>
      </w:pPr>
      <w:r>
        <w:rPr>
          <w:rFonts w:hint="eastAsia" w:ascii="宋体" w:hAnsi="宋体" w:cs="宋体"/>
          <w:b/>
          <w:color w:val="auto"/>
          <w:sz w:val="28"/>
          <w:szCs w:val="28"/>
        </w:rPr>
        <w:t>三、符合基本资格条件证明材料复印件或者情况说明</w:t>
      </w:r>
    </w:p>
    <w:p w14:paraId="6BD0C8C8">
      <w:pPr>
        <w:adjustRightInd w:val="0"/>
        <w:snapToGrid w:val="0"/>
        <w:spacing w:line="360" w:lineRule="auto"/>
        <w:jc w:val="center"/>
        <w:rPr>
          <w:rFonts w:hint="eastAsia" w:ascii="宋体" w:hAnsi="宋体" w:cs="宋体"/>
          <w:b/>
          <w:color w:val="auto"/>
          <w:sz w:val="24"/>
          <w:szCs w:val="20"/>
        </w:rPr>
      </w:pPr>
    </w:p>
    <w:p w14:paraId="565506E4">
      <w:pPr>
        <w:pStyle w:val="4"/>
        <w:keepLines w:val="0"/>
        <w:snapToGrid w:val="0"/>
        <w:spacing w:before="0" w:after="0" w:line="520" w:lineRule="exact"/>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cs="宋体"/>
          <w:b w:val="0"/>
          <w:color w:val="auto"/>
          <w:sz w:val="24"/>
          <w:szCs w:val="24"/>
        </w:rPr>
        <w:t>注：</w:t>
      </w:r>
      <w:r>
        <w:rPr>
          <w:rFonts w:hint="eastAsia" w:ascii="宋体" w:hAnsi="宋体" w:cs="宋体"/>
          <w:b w:val="0"/>
          <w:color w:val="auto"/>
          <w:sz w:val="24"/>
          <w:szCs w:val="24"/>
          <w:lang w:bidi="zh-CN"/>
        </w:rPr>
        <w:t>投标公司的营业执照</w:t>
      </w:r>
      <w:r>
        <w:rPr>
          <w:rFonts w:hint="eastAsia" w:ascii="宋体" w:hAnsi="宋体" w:cs="宋体"/>
          <w:b w:val="0"/>
          <w:color w:val="auto"/>
          <w:sz w:val="24"/>
          <w:szCs w:val="24"/>
          <w:lang w:val="en-US" w:bidi="zh-CN"/>
        </w:rPr>
        <w:t>及资格要求的证明材料，提供信用中国网页查询截图，</w:t>
      </w:r>
      <w:r>
        <w:rPr>
          <w:rFonts w:hint="eastAsia" w:ascii="宋体" w:hAnsi="宋体" w:cs="宋体"/>
          <w:b w:val="0"/>
          <w:color w:val="auto"/>
          <w:sz w:val="24"/>
          <w:szCs w:val="24"/>
          <w:lang w:bidi="zh-CN"/>
        </w:rPr>
        <w:t>并加盖单位公章（按顺序装订）。</w:t>
      </w:r>
      <w:r>
        <w:rPr>
          <w:rFonts w:hint="eastAsia" w:ascii="宋体" w:hAnsi="宋体" w:eastAsia="宋体" w:cs="Times New Roman"/>
          <w:b w:val="0"/>
          <w:bCs w:val="0"/>
          <w:color w:val="auto"/>
          <w:kern w:val="2"/>
          <w:sz w:val="24"/>
          <w:szCs w:val="24"/>
          <w:lang w:val="en-US" w:eastAsia="zh-CN" w:bidi="ar-SA"/>
        </w:rPr>
        <w:t>附件    湖南省政府采购供应商资格承诺函</w:t>
      </w:r>
    </w:p>
    <w:p w14:paraId="478C91FB">
      <w:pPr>
        <w:widowControl/>
        <w:spacing w:after="100" w:afterAutospacing="1" w:line="360" w:lineRule="auto"/>
        <w:ind w:left="227" w:right="113" w:firstLine="482"/>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14:paraId="0851C70D">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按照《政府采购促进中小企业发展管理办法》(财库〔2020〕46号)规定，</w:t>
      </w:r>
    </w:p>
    <w:p w14:paraId="786E0303">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本公司企业规模为：          （大型、中型、小型、微型 ）</w:t>
      </w:r>
    </w:p>
    <w:p w14:paraId="39144592">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统一社会信用代码：                        、注册登记机构：                 、 注册日期：                 、有效期：               、注册资本：                、地址：               、经济行业：                 、经济性质：              </w:t>
      </w:r>
    </w:p>
    <w:p w14:paraId="50CF0EAC">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法定代表人姓名 (签字)：             、身份证号：                           、</w:t>
      </w:r>
    </w:p>
    <w:p w14:paraId="71681098">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手机号：             ；</w:t>
      </w:r>
    </w:p>
    <w:p w14:paraId="49FD08FA">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授权代表人姓名 (签字)：                、身份证号：                     </w:t>
      </w:r>
    </w:p>
    <w:p w14:paraId="753E4AC7">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手机号：               。  </w:t>
      </w:r>
    </w:p>
    <w:p w14:paraId="575B8451">
      <w:pPr>
        <w:adjustRightInd w:val="0"/>
        <w:snapToGrid w:val="0"/>
        <w:spacing w:line="360" w:lineRule="auto"/>
        <w:rPr>
          <w:rFonts w:hint="eastAsia" w:ascii="宋体" w:hAnsi="宋体" w:eastAsia="宋体" w:cs="Times New Roman"/>
          <w:b w:val="0"/>
          <w:bCs w:val="0"/>
          <w:color w:val="auto"/>
          <w:kern w:val="2"/>
          <w:sz w:val="24"/>
          <w:szCs w:val="24"/>
          <w:lang w:val="en-US" w:eastAsia="zh-CN" w:bidi="ar-SA"/>
        </w:rPr>
      </w:pPr>
    </w:p>
    <w:p w14:paraId="32BCE7E4">
      <w:pPr>
        <w:adjustRightInd w:val="0"/>
        <w:snapToGrid w:val="0"/>
        <w:spacing w:line="360" w:lineRule="auto"/>
        <w:ind w:left="4406" w:leftChars="-302" w:hanging="5040" w:hangingChars="2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                           供应商名称（盖公章）：                                    </w:t>
      </w:r>
    </w:p>
    <w:p w14:paraId="059336F3">
      <w:pPr>
        <w:adjustRightInd w:val="0"/>
        <w:snapToGrid w:val="0"/>
        <w:spacing w:line="360" w:lineRule="auto"/>
        <w:ind w:left="4406" w:leftChars="-302" w:hanging="5040" w:hangingChars="2100"/>
        <w:jc w:val="right"/>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2023</w:t>
      </w:r>
      <w:r>
        <w:rPr>
          <w:rFonts w:hint="eastAsia" w:ascii="宋体" w:hAnsi="宋体" w:eastAsia="宋体" w:cs="Times New Roman"/>
          <w:b w:val="0"/>
          <w:bCs w:val="0"/>
          <w:color w:val="auto"/>
          <w:kern w:val="2"/>
          <w:sz w:val="24"/>
          <w:szCs w:val="24"/>
          <w:lang w:val="en-US" w:eastAsia="zh-CN" w:bidi="ar-SA"/>
        </w:rPr>
        <w:t>年     月     日</w:t>
      </w:r>
    </w:p>
    <w:p w14:paraId="0EB9AB22">
      <w:pPr>
        <w:jc w:val="left"/>
        <w:rPr>
          <w:rFonts w:hint="eastAsia" w:ascii="宋体" w:hAnsi="宋体" w:eastAsia="宋体" w:cs="Times New Roman"/>
          <w:b w:val="0"/>
          <w:bCs w:val="0"/>
          <w:color w:val="auto"/>
          <w:kern w:val="2"/>
          <w:sz w:val="24"/>
          <w:szCs w:val="24"/>
          <w:lang w:val="en-US" w:eastAsia="zh-CN" w:bidi="ar-SA"/>
        </w:rPr>
      </w:pPr>
    </w:p>
    <w:p w14:paraId="452F65D0">
      <w:pPr>
        <w:jc w:val="left"/>
        <w:rPr>
          <w:rFonts w:hint="eastAsia" w:ascii="宋体" w:hAnsi="宋体" w:eastAsia="宋体" w:cs="Times New Roman"/>
          <w:b w:val="0"/>
          <w:bCs w:val="0"/>
          <w:color w:val="auto"/>
          <w:kern w:val="2"/>
          <w:sz w:val="24"/>
          <w:szCs w:val="24"/>
          <w:lang w:val="en-US" w:eastAsia="zh-CN" w:bidi="ar-SA"/>
        </w:rPr>
      </w:pPr>
    </w:p>
    <w:p w14:paraId="16A0C581">
      <w:pPr>
        <w:jc w:val="left"/>
        <w:rPr>
          <w:rFonts w:hint="eastAsia" w:ascii="宋体" w:hAnsi="宋体" w:eastAsia="宋体" w:cs="宋体"/>
          <w:b/>
          <w:color w:val="auto"/>
          <w:sz w:val="24"/>
          <w:lang w:val="en-US" w:eastAsia="zh-CN"/>
        </w:rPr>
      </w:pPr>
      <w:r>
        <w:rPr>
          <w:rFonts w:hint="eastAsia" w:ascii="宋体" w:hAnsi="宋体" w:eastAsia="宋体" w:cs="Times New Roman"/>
          <w:b w:val="0"/>
          <w:bCs w:val="0"/>
          <w:color w:val="auto"/>
          <w:kern w:val="2"/>
          <w:sz w:val="24"/>
          <w:szCs w:val="24"/>
          <w:lang w:val="en-US" w:eastAsia="zh-CN" w:bidi="ar-SA"/>
        </w:rPr>
        <w:t>注、企业规模划分标准：《关于印发中小企业划型标准规定的通知》（工信部联企业〔2011〕300号）</w:t>
      </w:r>
    </w:p>
    <w:p w14:paraId="4B1AE1FF">
      <w:pPr>
        <w:jc w:val="center"/>
        <w:rPr>
          <w:rFonts w:hint="eastAsia" w:ascii="宋体" w:hAnsi="宋体" w:cs="宋体"/>
          <w:b/>
          <w:color w:val="auto"/>
          <w:sz w:val="24"/>
        </w:rPr>
        <w:sectPr>
          <w:headerReference r:id="rId3" w:type="default"/>
          <w:footerReference r:id="rId4" w:type="default"/>
          <w:pgSz w:w="11906" w:h="16838"/>
          <w:pgMar w:top="1440" w:right="1080" w:bottom="1440" w:left="1080" w:header="567" w:footer="283" w:gutter="0"/>
          <w:pgNumType w:fmt="decimal" w:start="1"/>
          <w:cols w:space="720" w:num="1"/>
          <w:docGrid w:linePitch="312" w:charSpace="0"/>
        </w:sectPr>
      </w:pPr>
    </w:p>
    <w:p w14:paraId="3C2F2BC3">
      <w:pPr>
        <w:spacing w:before="120" w:beforeLines="50" w:after="120" w:afterLines="50" w:line="276"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第三部分、采购需求响应程度</w:t>
      </w:r>
      <w:bookmarkStart w:id="40" w:name="_Toc486424819"/>
      <w:bookmarkStart w:id="41" w:name="_Toc476514128"/>
    </w:p>
    <w:p w14:paraId="6D90F51D">
      <w:pPr>
        <w:pStyle w:val="23"/>
        <w:rPr>
          <w:rFonts w:hint="eastAsia"/>
          <w:lang w:eastAsia="zh-CN"/>
        </w:rPr>
      </w:pPr>
    </w:p>
    <w:p w14:paraId="6BAEDE60">
      <w:pPr>
        <w:spacing w:before="120" w:beforeLines="50" w:after="120" w:afterLines="50" w:line="276" w:lineRule="auto"/>
        <w:jc w:val="center"/>
        <w:rPr>
          <w:b/>
          <w:color w:val="auto"/>
          <w:sz w:val="24"/>
        </w:rPr>
      </w:pPr>
      <w:r>
        <w:rPr>
          <w:b/>
          <w:color w:val="auto"/>
          <w:sz w:val="24"/>
        </w:rPr>
        <w:t>采购需求响应/偏离表</w:t>
      </w:r>
    </w:p>
    <w:p w14:paraId="3BCF85E9">
      <w:pPr>
        <w:adjustRightInd w:val="0"/>
        <w:snapToGrid w:val="0"/>
        <w:spacing w:line="360" w:lineRule="auto"/>
        <w:rPr>
          <w:color w:val="auto"/>
          <w:szCs w:val="21"/>
        </w:rPr>
      </w:pPr>
      <w:r>
        <w:rPr>
          <w:rFonts w:hint="eastAsia"/>
          <w:color w:val="auto"/>
          <w:sz w:val="24"/>
        </w:rPr>
        <w:t>项目</w:t>
      </w:r>
      <w:r>
        <w:rPr>
          <w:color w:val="auto"/>
          <w:sz w:val="24"/>
        </w:rPr>
        <w:t>编号：                    项目名称：                     包号：</w:t>
      </w:r>
    </w:p>
    <w:tbl>
      <w:tblPr>
        <w:tblStyle w:val="16"/>
        <w:tblW w:w="83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7"/>
        <w:gridCol w:w="1877"/>
        <w:gridCol w:w="1671"/>
        <w:gridCol w:w="1608"/>
        <w:gridCol w:w="1513"/>
        <w:gridCol w:w="1061"/>
      </w:tblGrid>
      <w:tr w14:paraId="572AF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27" w:type="dxa"/>
            <w:noWrap w:val="0"/>
            <w:vAlign w:val="center"/>
          </w:tcPr>
          <w:p w14:paraId="684B6852">
            <w:pPr>
              <w:adjustRightInd w:val="0"/>
              <w:snapToGrid w:val="0"/>
              <w:spacing w:before="50" w:line="360" w:lineRule="auto"/>
              <w:ind w:left="-88" w:leftChars="-42"/>
              <w:jc w:val="center"/>
              <w:rPr>
                <w:color w:val="auto"/>
                <w:szCs w:val="21"/>
              </w:rPr>
            </w:pPr>
            <w:r>
              <w:rPr>
                <w:bCs/>
                <w:color w:val="auto"/>
                <w:szCs w:val="21"/>
              </w:rPr>
              <w:t>序</w:t>
            </w:r>
            <w:r>
              <w:rPr>
                <w:color w:val="auto"/>
                <w:szCs w:val="21"/>
              </w:rPr>
              <w:t>号</w:t>
            </w:r>
          </w:p>
        </w:tc>
        <w:tc>
          <w:tcPr>
            <w:tcW w:w="1877" w:type="dxa"/>
            <w:noWrap w:val="0"/>
            <w:vAlign w:val="center"/>
          </w:tcPr>
          <w:p w14:paraId="4257CF67">
            <w:pPr>
              <w:adjustRightInd w:val="0"/>
              <w:snapToGrid w:val="0"/>
              <w:spacing w:before="50" w:line="360" w:lineRule="auto"/>
              <w:ind w:left="-88" w:leftChars="-42"/>
              <w:jc w:val="center"/>
              <w:rPr>
                <w:color w:val="auto"/>
                <w:szCs w:val="21"/>
              </w:rPr>
            </w:pPr>
            <w:r>
              <w:rPr>
                <w:rFonts w:hint="eastAsia"/>
                <w:color w:val="auto"/>
                <w:szCs w:val="21"/>
                <w:lang w:eastAsia="zh-CN"/>
              </w:rPr>
              <w:t>招标</w:t>
            </w:r>
            <w:r>
              <w:rPr>
                <w:color w:val="auto"/>
                <w:szCs w:val="21"/>
              </w:rPr>
              <w:t>文件章节</w:t>
            </w:r>
            <w:r>
              <w:rPr>
                <w:bCs/>
                <w:color w:val="auto"/>
                <w:szCs w:val="21"/>
              </w:rPr>
              <w:t>条</w:t>
            </w:r>
            <w:r>
              <w:rPr>
                <w:color w:val="auto"/>
                <w:szCs w:val="21"/>
              </w:rPr>
              <w:t>款号</w:t>
            </w:r>
          </w:p>
        </w:tc>
        <w:tc>
          <w:tcPr>
            <w:tcW w:w="1671" w:type="dxa"/>
            <w:noWrap w:val="0"/>
            <w:vAlign w:val="top"/>
          </w:tcPr>
          <w:p w14:paraId="769CBF21">
            <w:pPr>
              <w:adjustRightInd w:val="0"/>
              <w:snapToGrid w:val="0"/>
              <w:spacing w:before="50" w:line="360" w:lineRule="auto"/>
              <w:jc w:val="center"/>
              <w:rPr>
                <w:color w:val="auto"/>
              </w:rPr>
            </w:pPr>
            <w:r>
              <w:rPr>
                <w:rFonts w:hint="eastAsia"/>
                <w:color w:val="auto"/>
                <w:lang w:eastAsia="zh-CN"/>
              </w:rPr>
              <w:t>招标</w:t>
            </w:r>
            <w:r>
              <w:rPr>
                <w:color w:val="auto"/>
              </w:rPr>
              <w:t>文件要求</w:t>
            </w:r>
          </w:p>
        </w:tc>
        <w:tc>
          <w:tcPr>
            <w:tcW w:w="1608" w:type="dxa"/>
            <w:noWrap w:val="0"/>
            <w:vAlign w:val="top"/>
          </w:tcPr>
          <w:p w14:paraId="09D4284B">
            <w:pPr>
              <w:adjustRightInd w:val="0"/>
              <w:snapToGrid w:val="0"/>
              <w:spacing w:before="50" w:line="360" w:lineRule="auto"/>
              <w:jc w:val="center"/>
              <w:rPr>
                <w:color w:val="auto"/>
              </w:rPr>
            </w:pPr>
            <w:r>
              <w:rPr>
                <w:color w:val="auto"/>
              </w:rPr>
              <w:t>投标文件应答</w:t>
            </w:r>
          </w:p>
        </w:tc>
        <w:tc>
          <w:tcPr>
            <w:tcW w:w="1513" w:type="dxa"/>
            <w:noWrap w:val="0"/>
            <w:vAlign w:val="center"/>
          </w:tcPr>
          <w:p w14:paraId="67C408D3">
            <w:pPr>
              <w:adjustRightInd w:val="0"/>
              <w:snapToGrid w:val="0"/>
              <w:spacing w:before="50" w:line="360" w:lineRule="auto"/>
              <w:ind w:left="-88" w:leftChars="-42"/>
              <w:jc w:val="center"/>
              <w:rPr>
                <w:color w:val="auto"/>
                <w:szCs w:val="21"/>
              </w:rPr>
            </w:pPr>
            <w:r>
              <w:rPr>
                <w:color w:val="auto"/>
                <w:szCs w:val="21"/>
              </w:rPr>
              <w:t>响应/偏离</w:t>
            </w:r>
          </w:p>
        </w:tc>
        <w:tc>
          <w:tcPr>
            <w:tcW w:w="1061" w:type="dxa"/>
            <w:noWrap w:val="0"/>
            <w:vAlign w:val="center"/>
          </w:tcPr>
          <w:p w14:paraId="333762B8">
            <w:pPr>
              <w:adjustRightInd w:val="0"/>
              <w:snapToGrid w:val="0"/>
              <w:spacing w:before="50" w:line="360" w:lineRule="auto"/>
              <w:ind w:left="-88" w:leftChars="-42"/>
              <w:jc w:val="center"/>
              <w:rPr>
                <w:color w:val="auto"/>
                <w:szCs w:val="21"/>
              </w:rPr>
            </w:pPr>
            <w:r>
              <w:rPr>
                <w:color w:val="auto"/>
                <w:szCs w:val="21"/>
              </w:rPr>
              <w:t>偏离说明</w:t>
            </w:r>
          </w:p>
        </w:tc>
      </w:tr>
      <w:tr w14:paraId="4E091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71E1580C">
            <w:pPr>
              <w:adjustRightInd w:val="0"/>
              <w:snapToGrid w:val="0"/>
              <w:spacing w:before="50" w:line="360" w:lineRule="auto"/>
              <w:ind w:left="-88" w:leftChars="-42"/>
              <w:jc w:val="center"/>
              <w:rPr>
                <w:color w:val="auto"/>
                <w:szCs w:val="21"/>
              </w:rPr>
            </w:pPr>
          </w:p>
        </w:tc>
        <w:tc>
          <w:tcPr>
            <w:tcW w:w="1877" w:type="dxa"/>
            <w:noWrap w:val="0"/>
            <w:vAlign w:val="center"/>
          </w:tcPr>
          <w:p w14:paraId="774A1D01">
            <w:pPr>
              <w:adjustRightInd w:val="0"/>
              <w:snapToGrid w:val="0"/>
              <w:spacing w:before="50" w:line="360" w:lineRule="auto"/>
              <w:ind w:left="-88" w:leftChars="-42"/>
              <w:jc w:val="center"/>
              <w:rPr>
                <w:color w:val="auto"/>
                <w:szCs w:val="21"/>
              </w:rPr>
            </w:pPr>
          </w:p>
        </w:tc>
        <w:tc>
          <w:tcPr>
            <w:tcW w:w="1671" w:type="dxa"/>
            <w:noWrap w:val="0"/>
            <w:vAlign w:val="center"/>
          </w:tcPr>
          <w:p w14:paraId="5CC39C1D">
            <w:pPr>
              <w:adjustRightInd w:val="0"/>
              <w:snapToGrid w:val="0"/>
              <w:spacing w:before="50" w:line="360" w:lineRule="auto"/>
              <w:ind w:left="-88" w:leftChars="-42"/>
              <w:jc w:val="center"/>
              <w:rPr>
                <w:color w:val="auto"/>
                <w:szCs w:val="21"/>
              </w:rPr>
            </w:pPr>
          </w:p>
        </w:tc>
        <w:tc>
          <w:tcPr>
            <w:tcW w:w="1608" w:type="dxa"/>
            <w:noWrap w:val="0"/>
            <w:vAlign w:val="center"/>
          </w:tcPr>
          <w:p w14:paraId="4C313990">
            <w:pPr>
              <w:adjustRightInd w:val="0"/>
              <w:snapToGrid w:val="0"/>
              <w:spacing w:before="50" w:line="360" w:lineRule="auto"/>
              <w:ind w:left="-88" w:leftChars="-42"/>
              <w:jc w:val="center"/>
              <w:rPr>
                <w:color w:val="auto"/>
                <w:szCs w:val="21"/>
              </w:rPr>
            </w:pPr>
          </w:p>
        </w:tc>
        <w:tc>
          <w:tcPr>
            <w:tcW w:w="1513" w:type="dxa"/>
            <w:noWrap w:val="0"/>
            <w:vAlign w:val="center"/>
          </w:tcPr>
          <w:p w14:paraId="3282AE5D">
            <w:pPr>
              <w:adjustRightInd w:val="0"/>
              <w:snapToGrid w:val="0"/>
              <w:spacing w:before="50" w:line="360" w:lineRule="auto"/>
              <w:ind w:left="-88" w:leftChars="-42"/>
              <w:jc w:val="center"/>
              <w:rPr>
                <w:color w:val="auto"/>
                <w:szCs w:val="21"/>
              </w:rPr>
            </w:pPr>
          </w:p>
        </w:tc>
        <w:tc>
          <w:tcPr>
            <w:tcW w:w="1061" w:type="dxa"/>
            <w:noWrap w:val="0"/>
            <w:vAlign w:val="center"/>
          </w:tcPr>
          <w:p w14:paraId="031F9831">
            <w:pPr>
              <w:adjustRightInd w:val="0"/>
              <w:snapToGrid w:val="0"/>
              <w:spacing w:before="50" w:line="360" w:lineRule="auto"/>
              <w:ind w:left="-88" w:leftChars="-42"/>
              <w:jc w:val="center"/>
              <w:rPr>
                <w:color w:val="auto"/>
                <w:szCs w:val="21"/>
              </w:rPr>
            </w:pPr>
          </w:p>
        </w:tc>
      </w:tr>
      <w:tr w14:paraId="00015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77AAB4EE">
            <w:pPr>
              <w:adjustRightInd w:val="0"/>
              <w:snapToGrid w:val="0"/>
              <w:spacing w:before="50" w:line="360" w:lineRule="auto"/>
              <w:ind w:left="-88" w:leftChars="-42"/>
              <w:jc w:val="center"/>
              <w:rPr>
                <w:color w:val="auto"/>
                <w:szCs w:val="21"/>
              </w:rPr>
            </w:pPr>
          </w:p>
        </w:tc>
        <w:tc>
          <w:tcPr>
            <w:tcW w:w="1877" w:type="dxa"/>
            <w:noWrap w:val="0"/>
            <w:vAlign w:val="center"/>
          </w:tcPr>
          <w:p w14:paraId="50AEF049">
            <w:pPr>
              <w:adjustRightInd w:val="0"/>
              <w:snapToGrid w:val="0"/>
              <w:spacing w:before="50" w:line="360" w:lineRule="auto"/>
              <w:ind w:left="-88" w:leftChars="-42"/>
              <w:jc w:val="center"/>
              <w:rPr>
                <w:color w:val="auto"/>
                <w:szCs w:val="21"/>
              </w:rPr>
            </w:pPr>
          </w:p>
        </w:tc>
        <w:tc>
          <w:tcPr>
            <w:tcW w:w="1671" w:type="dxa"/>
            <w:noWrap w:val="0"/>
            <w:vAlign w:val="center"/>
          </w:tcPr>
          <w:p w14:paraId="2A7B0A3E">
            <w:pPr>
              <w:adjustRightInd w:val="0"/>
              <w:snapToGrid w:val="0"/>
              <w:spacing w:before="50" w:line="360" w:lineRule="auto"/>
              <w:ind w:left="-88" w:leftChars="-42"/>
              <w:jc w:val="center"/>
              <w:rPr>
                <w:color w:val="auto"/>
                <w:szCs w:val="21"/>
              </w:rPr>
            </w:pPr>
          </w:p>
        </w:tc>
        <w:tc>
          <w:tcPr>
            <w:tcW w:w="1608" w:type="dxa"/>
            <w:noWrap w:val="0"/>
            <w:vAlign w:val="center"/>
          </w:tcPr>
          <w:p w14:paraId="4A601AAF">
            <w:pPr>
              <w:adjustRightInd w:val="0"/>
              <w:snapToGrid w:val="0"/>
              <w:spacing w:before="50" w:line="360" w:lineRule="auto"/>
              <w:ind w:left="-88" w:leftChars="-42"/>
              <w:jc w:val="center"/>
              <w:rPr>
                <w:color w:val="auto"/>
                <w:szCs w:val="21"/>
              </w:rPr>
            </w:pPr>
          </w:p>
        </w:tc>
        <w:tc>
          <w:tcPr>
            <w:tcW w:w="1513" w:type="dxa"/>
            <w:noWrap w:val="0"/>
            <w:vAlign w:val="center"/>
          </w:tcPr>
          <w:p w14:paraId="25C22211">
            <w:pPr>
              <w:adjustRightInd w:val="0"/>
              <w:snapToGrid w:val="0"/>
              <w:spacing w:before="50" w:line="360" w:lineRule="auto"/>
              <w:ind w:left="-88" w:leftChars="-42"/>
              <w:jc w:val="center"/>
              <w:rPr>
                <w:color w:val="auto"/>
                <w:szCs w:val="21"/>
              </w:rPr>
            </w:pPr>
          </w:p>
        </w:tc>
        <w:tc>
          <w:tcPr>
            <w:tcW w:w="1061" w:type="dxa"/>
            <w:noWrap w:val="0"/>
            <w:vAlign w:val="center"/>
          </w:tcPr>
          <w:p w14:paraId="571A0A5F">
            <w:pPr>
              <w:adjustRightInd w:val="0"/>
              <w:snapToGrid w:val="0"/>
              <w:spacing w:before="50" w:line="360" w:lineRule="auto"/>
              <w:ind w:left="-88" w:leftChars="-42"/>
              <w:jc w:val="center"/>
              <w:rPr>
                <w:color w:val="auto"/>
                <w:szCs w:val="21"/>
              </w:rPr>
            </w:pPr>
          </w:p>
        </w:tc>
      </w:tr>
      <w:tr w14:paraId="7492E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5A3B4144">
            <w:pPr>
              <w:adjustRightInd w:val="0"/>
              <w:snapToGrid w:val="0"/>
              <w:spacing w:before="50" w:line="360" w:lineRule="auto"/>
              <w:ind w:left="-88" w:leftChars="-42"/>
              <w:jc w:val="center"/>
              <w:rPr>
                <w:color w:val="auto"/>
                <w:szCs w:val="21"/>
              </w:rPr>
            </w:pPr>
          </w:p>
        </w:tc>
        <w:tc>
          <w:tcPr>
            <w:tcW w:w="1877" w:type="dxa"/>
            <w:noWrap w:val="0"/>
            <w:vAlign w:val="center"/>
          </w:tcPr>
          <w:p w14:paraId="5678C7D8">
            <w:pPr>
              <w:adjustRightInd w:val="0"/>
              <w:snapToGrid w:val="0"/>
              <w:spacing w:before="50" w:line="360" w:lineRule="auto"/>
              <w:ind w:left="-88" w:leftChars="-42"/>
              <w:jc w:val="center"/>
              <w:rPr>
                <w:color w:val="auto"/>
                <w:szCs w:val="21"/>
              </w:rPr>
            </w:pPr>
          </w:p>
        </w:tc>
        <w:tc>
          <w:tcPr>
            <w:tcW w:w="1671" w:type="dxa"/>
            <w:noWrap w:val="0"/>
            <w:vAlign w:val="center"/>
          </w:tcPr>
          <w:p w14:paraId="7AD96B66">
            <w:pPr>
              <w:adjustRightInd w:val="0"/>
              <w:snapToGrid w:val="0"/>
              <w:spacing w:before="50" w:line="360" w:lineRule="auto"/>
              <w:ind w:left="-88" w:leftChars="-42"/>
              <w:jc w:val="center"/>
              <w:rPr>
                <w:color w:val="auto"/>
                <w:szCs w:val="21"/>
              </w:rPr>
            </w:pPr>
          </w:p>
        </w:tc>
        <w:tc>
          <w:tcPr>
            <w:tcW w:w="1608" w:type="dxa"/>
            <w:noWrap w:val="0"/>
            <w:vAlign w:val="center"/>
          </w:tcPr>
          <w:p w14:paraId="368E095E">
            <w:pPr>
              <w:adjustRightInd w:val="0"/>
              <w:snapToGrid w:val="0"/>
              <w:spacing w:before="50" w:line="360" w:lineRule="auto"/>
              <w:ind w:left="-88" w:leftChars="-42"/>
              <w:jc w:val="center"/>
              <w:rPr>
                <w:color w:val="auto"/>
                <w:szCs w:val="21"/>
              </w:rPr>
            </w:pPr>
          </w:p>
        </w:tc>
        <w:tc>
          <w:tcPr>
            <w:tcW w:w="1513" w:type="dxa"/>
            <w:noWrap w:val="0"/>
            <w:vAlign w:val="center"/>
          </w:tcPr>
          <w:p w14:paraId="1E861332">
            <w:pPr>
              <w:adjustRightInd w:val="0"/>
              <w:snapToGrid w:val="0"/>
              <w:spacing w:before="50" w:line="360" w:lineRule="auto"/>
              <w:ind w:left="-88" w:leftChars="-42"/>
              <w:jc w:val="center"/>
              <w:rPr>
                <w:color w:val="auto"/>
                <w:szCs w:val="21"/>
              </w:rPr>
            </w:pPr>
          </w:p>
        </w:tc>
        <w:tc>
          <w:tcPr>
            <w:tcW w:w="1061" w:type="dxa"/>
            <w:noWrap w:val="0"/>
            <w:vAlign w:val="center"/>
          </w:tcPr>
          <w:p w14:paraId="1DDFBBC9">
            <w:pPr>
              <w:adjustRightInd w:val="0"/>
              <w:snapToGrid w:val="0"/>
              <w:spacing w:before="50" w:line="360" w:lineRule="auto"/>
              <w:ind w:left="-88" w:leftChars="-42"/>
              <w:jc w:val="center"/>
              <w:rPr>
                <w:color w:val="auto"/>
                <w:szCs w:val="21"/>
              </w:rPr>
            </w:pPr>
          </w:p>
        </w:tc>
      </w:tr>
      <w:tr w14:paraId="5ECFA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357" w:type="dxa"/>
            <w:gridSpan w:val="6"/>
            <w:noWrap w:val="0"/>
            <w:vAlign w:val="center"/>
          </w:tcPr>
          <w:p w14:paraId="5564F7E0">
            <w:pPr>
              <w:rPr>
                <w:b/>
                <w:color w:val="auto"/>
              </w:rPr>
            </w:pPr>
          </w:p>
        </w:tc>
      </w:tr>
    </w:tbl>
    <w:p w14:paraId="58C809C7">
      <w:pPr>
        <w:adjustRightInd w:val="0"/>
        <w:snapToGrid w:val="0"/>
        <w:spacing w:before="50" w:line="360" w:lineRule="auto"/>
        <w:ind w:left="-88" w:leftChars="-42"/>
        <w:rPr>
          <w:color w:val="auto"/>
          <w:sz w:val="24"/>
        </w:rPr>
      </w:pPr>
      <w:r>
        <w:rPr>
          <w:b/>
          <w:color w:val="auto"/>
          <w:sz w:val="24"/>
        </w:rPr>
        <w:t>备注</w:t>
      </w:r>
      <w:r>
        <w:rPr>
          <w:color w:val="auto"/>
          <w:sz w:val="24"/>
        </w:rPr>
        <w:t>：</w:t>
      </w:r>
    </w:p>
    <w:bookmarkEnd w:id="40"/>
    <w:bookmarkEnd w:id="41"/>
    <w:p w14:paraId="559CC365">
      <w:pPr>
        <w:adjustRightInd w:val="0"/>
        <w:snapToGrid w:val="0"/>
        <w:spacing w:before="50" w:line="360" w:lineRule="auto"/>
        <w:ind w:left="-88" w:leftChars="-42"/>
        <w:rPr>
          <w:rFonts w:hint="eastAsia"/>
          <w:color w:val="auto"/>
          <w:sz w:val="24"/>
        </w:rPr>
      </w:pPr>
      <w:r>
        <w:rPr>
          <w:color w:val="auto"/>
          <w:sz w:val="24"/>
        </w:rPr>
        <w:t>（1）投标人应根据文件第</w:t>
      </w:r>
      <w:r>
        <w:rPr>
          <w:rFonts w:hint="eastAsia"/>
          <w:color w:val="auto"/>
          <w:sz w:val="24"/>
          <w:lang w:val="en-US" w:eastAsia="zh-CN"/>
        </w:rPr>
        <w:t>二</w:t>
      </w:r>
      <w:r>
        <w:rPr>
          <w:color w:val="auto"/>
          <w:sz w:val="24"/>
        </w:rPr>
        <w:t>章中采购需求填写本表，逐条应答；</w:t>
      </w:r>
    </w:p>
    <w:p w14:paraId="5F3C4965">
      <w:pPr>
        <w:adjustRightInd w:val="0"/>
        <w:snapToGrid w:val="0"/>
        <w:spacing w:before="50" w:line="360" w:lineRule="auto"/>
        <w:ind w:left="-88" w:leftChars="-42"/>
        <w:rPr>
          <w:rFonts w:hint="eastAsia"/>
          <w:color w:val="auto"/>
          <w:sz w:val="24"/>
        </w:rPr>
      </w:pPr>
      <w:r>
        <w:rPr>
          <w:color w:val="auto"/>
          <w:sz w:val="24"/>
        </w:rPr>
        <w:t>（2）如不提供此表，则视为投标人不满足文件第</w:t>
      </w:r>
      <w:r>
        <w:rPr>
          <w:rFonts w:hint="eastAsia"/>
          <w:color w:val="auto"/>
          <w:sz w:val="24"/>
          <w:lang w:eastAsia="zh-CN"/>
        </w:rPr>
        <w:t>二</w:t>
      </w:r>
      <w:r>
        <w:rPr>
          <w:color w:val="auto"/>
          <w:sz w:val="24"/>
        </w:rPr>
        <w:t>章的所有条款要求，其投标无效；</w:t>
      </w:r>
    </w:p>
    <w:p w14:paraId="38E3C596">
      <w:pPr>
        <w:adjustRightInd w:val="0"/>
        <w:snapToGrid w:val="0"/>
        <w:spacing w:before="50" w:line="360" w:lineRule="auto"/>
        <w:ind w:left="-88" w:leftChars="-42"/>
        <w:rPr>
          <w:rFonts w:hint="eastAsia" w:eastAsia="宋体"/>
          <w:color w:val="auto"/>
          <w:lang w:eastAsia="zh-CN"/>
        </w:rPr>
      </w:pPr>
      <w:r>
        <w:rPr>
          <w:color w:val="auto"/>
          <w:sz w:val="24"/>
        </w:rPr>
        <w:t>（3）</w:t>
      </w:r>
      <w:r>
        <w:rPr>
          <w:rFonts w:hint="eastAsia"/>
          <w:color w:val="auto"/>
          <w:sz w:val="24"/>
          <w:lang w:eastAsia="zh-CN"/>
        </w:rPr>
        <w:t>本项目为最低价评分法，所有参数必须全部响应，并在响应表中逐条应答，如有任何一条负偏离，则视为无效投标</w:t>
      </w:r>
    </w:p>
    <w:p w14:paraId="7546D202">
      <w:pPr>
        <w:pStyle w:val="24"/>
        <w:rPr>
          <w:color w:val="auto"/>
        </w:rPr>
      </w:pPr>
    </w:p>
    <w:p w14:paraId="5EEA99A1">
      <w:pPr>
        <w:pStyle w:val="23"/>
        <w:rPr>
          <w:rFonts w:hint="eastAsia"/>
          <w:lang w:eastAsia="zh-CN"/>
        </w:rPr>
      </w:pPr>
    </w:p>
    <w:p w14:paraId="4F73B9B6"/>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24F79">
    <w:pPr>
      <w:pStyle w:val="11"/>
      <w:rPr>
        <w:rFonts w:hint="eastAsia" w:ascii="仿宋_GB2312" w:eastAsia="仿宋_GB2312"/>
        <w:bCs/>
        <w:u w:val="single"/>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333E6">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C1333E6">
                    <w:pPr>
                      <w:pStyle w:val="11"/>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14:paraId="218840FB">
    <w:pPr>
      <w:adjustRightInd w:val="0"/>
      <w:snapToGrid w:val="0"/>
      <w:spacing w:line="260" w:lineRule="atLeast"/>
      <w:rPr>
        <w:rFonts w:hint="eastAsia"/>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31645">
    <w:pPr>
      <w:pStyle w:val="11"/>
      <w:rPr>
        <w:rFonts w:hint="eastAsia" w:ascii="仿宋_GB2312" w:eastAsia="仿宋_GB2312"/>
        <w:bCs/>
        <w:u w:val="single"/>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0F794">
                          <w:pPr>
                            <w:pStyle w:val="11"/>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3F0F794">
                    <w:pPr>
                      <w:pStyle w:val="11"/>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14:paraId="67F2DAB5">
    <w:pPr>
      <w:adjustRightInd w:val="0"/>
      <w:snapToGrid w:val="0"/>
      <w:spacing w:line="260" w:lineRule="atLeast"/>
      <w:rPr>
        <w:rFonts w:hint="eastAsia"/>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B277D">
    <w:pPr>
      <w:pStyle w:val="12"/>
      <w:ind w:left="8280" w:hanging="8280" w:hangingChars="4600"/>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8914C"/>
    <w:multiLevelType w:val="singleLevel"/>
    <w:tmpl w:val="BB68914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3YmMxNGQ0NDE0NTRiYjQ3MWFkZjk1MWM2MTc2NWEifQ=="/>
  </w:docVars>
  <w:rsids>
    <w:rsidRoot w:val="6DE375E4"/>
    <w:rsid w:val="006F2E55"/>
    <w:rsid w:val="00AE556A"/>
    <w:rsid w:val="01350E35"/>
    <w:rsid w:val="02390242"/>
    <w:rsid w:val="03E43FAE"/>
    <w:rsid w:val="04653F41"/>
    <w:rsid w:val="04B72FC8"/>
    <w:rsid w:val="04F57A38"/>
    <w:rsid w:val="050719CA"/>
    <w:rsid w:val="056B0EF3"/>
    <w:rsid w:val="05D47115"/>
    <w:rsid w:val="06934BAA"/>
    <w:rsid w:val="06E91EC4"/>
    <w:rsid w:val="07731DE6"/>
    <w:rsid w:val="07AD7CCC"/>
    <w:rsid w:val="086F75C9"/>
    <w:rsid w:val="09271661"/>
    <w:rsid w:val="09C0303A"/>
    <w:rsid w:val="0A3F4F3C"/>
    <w:rsid w:val="0A6D3244"/>
    <w:rsid w:val="0A8A74D4"/>
    <w:rsid w:val="0C1D3DF2"/>
    <w:rsid w:val="0CAD5ABA"/>
    <w:rsid w:val="0CAD77BD"/>
    <w:rsid w:val="0CD87BD4"/>
    <w:rsid w:val="0D1436BE"/>
    <w:rsid w:val="0E331420"/>
    <w:rsid w:val="0E3A4761"/>
    <w:rsid w:val="0E7C3D6A"/>
    <w:rsid w:val="0EBC028B"/>
    <w:rsid w:val="0EDD1643"/>
    <w:rsid w:val="0FB9029C"/>
    <w:rsid w:val="10897B23"/>
    <w:rsid w:val="10914EF9"/>
    <w:rsid w:val="10B8663C"/>
    <w:rsid w:val="10F7363F"/>
    <w:rsid w:val="12080B62"/>
    <w:rsid w:val="12994AC5"/>
    <w:rsid w:val="129F447F"/>
    <w:rsid w:val="12C86253"/>
    <w:rsid w:val="14E40477"/>
    <w:rsid w:val="15060AC8"/>
    <w:rsid w:val="15125EAE"/>
    <w:rsid w:val="15675A4C"/>
    <w:rsid w:val="15836008"/>
    <w:rsid w:val="15B17473"/>
    <w:rsid w:val="15B67DFF"/>
    <w:rsid w:val="163301F0"/>
    <w:rsid w:val="16A42126"/>
    <w:rsid w:val="173B2B09"/>
    <w:rsid w:val="17F91BB8"/>
    <w:rsid w:val="193E7D91"/>
    <w:rsid w:val="1943608F"/>
    <w:rsid w:val="19E40286"/>
    <w:rsid w:val="19E91315"/>
    <w:rsid w:val="1AD82DAC"/>
    <w:rsid w:val="1AF56B46"/>
    <w:rsid w:val="1BA571C3"/>
    <w:rsid w:val="1CE412C7"/>
    <w:rsid w:val="1D5071B5"/>
    <w:rsid w:val="1DD7486D"/>
    <w:rsid w:val="1E79119D"/>
    <w:rsid w:val="1EE45A7D"/>
    <w:rsid w:val="1EF310E8"/>
    <w:rsid w:val="1EF47691"/>
    <w:rsid w:val="1F334F58"/>
    <w:rsid w:val="1F796B24"/>
    <w:rsid w:val="1F7E3A26"/>
    <w:rsid w:val="1FC602A8"/>
    <w:rsid w:val="1FE73549"/>
    <w:rsid w:val="2038045E"/>
    <w:rsid w:val="2059673D"/>
    <w:rsid w:val="20AF0900"/>
    <w:rsid w:val="20B41DA7"/>
    <w:rsid w:val="21C61C7A"/>
    <w:rsid w:val="22153965"/>
    <w:rsid w:val="2280405B"/>
    <w:rsid w:val="229E5D0D"/>
    <w:rsid w:val="2383771E"/>
    <w:rsid w:val="23F374DB"/>
    <w:rsid w:val="24881A32"/>
    <w:rsid w:val="25266F96"/>
    <w:rsid w:val="267547DF"/>
    <w:rsid w:val="272B6E6C"/>
    <w:rsid w:val="27B626C7"/>
    <w:rsid w:val="27CF2BB7"/>
    <w:rsid w:val="2821285F"/>
    <w:rsid w:val="28501465"/>
    <w:rsid w:val="28E81B29"/>
    <w:rsid w:val="28FD390A"/>
    <w:rsid w:val="29B45A41"/>
    <w:rsid w:val="2A174DA9"/>
    <w:rsid w:val="2AB010A8"/>
    <w:rsid w:val="2AC66F99"/>
    <w:rsid w:val="2B6A7BF4"/>
    <w:rsid w:val="2BD64A85"/>
    <w:rsid w:val="2BF61ECB"/>
    <w:rsid w:val="2C0A2E19"/>
    <w:rsid w:val="2C7642D0"/>
    <w:rsid w:val="2C8B7C6A"/>
    <w:rsid w:val="2CC97A35"/>
    <w:rsid w:val="2D13578C"/>
    <w:rsid w:val="2DD77C64"/>
    <w:rsid w:val="2DDA1E78"/>
    <w:rsid w:val="2DE00B8C"/>
    <w:rsid w:val="2EAC037F"/>
    <w:rsid w:val="2EB67A5C"/>
    <w:rsid w:val="2F4B361C"/>
    <w:rsid w:val="302741D2"/>
    <w:rsid w:val="308B184D"/>
    <w:rsid w:val="309C1E01"/>
    <w:rsid w:val="30BB11DD"/>
    <w:rsid w:val="31F17CD1"/>
    <w:rsid w:val="324F4D43"/>
    <w:rsid w:val="32C2031C"/>
    <w:rsid w:val="33384C93"/>
    <w:rsid w:val="340F06E9"/>
    <w:rsid w:val="34C12F54"/>
    <w:rsid w:val="34F140E5"/>
    <w:rsid w:val="366241E2"/>
    <w:rsid w:val="3662711A"/>
    <w:rsid w:val="36B66AAC"/>
    <w:rsid w:val="36E47928"/>
    <w:rsid w:val="372F7378"/>
    <w:rsid w:val="37BA0809"/>
    <w:rsid w:val="397348CD"/>
    <w:rsid w:val="3A8E0AB7"/>
    <w:rsid w:val="3A994AB7"/>
    <w:rsid w:val="3B3B544D"/>
    <w:rsid w:val="3B654F2B"/>
    <w:rsid w:val="3BB72BAE"/>
    <w:rsid w:val="3BFC7D2B"/>
    <w:rsid w:val="3C7C799C"/>
    <w:rsid w:val="3C8A61A4"/>
    <w:rsid w:val="3D5E17FF"/>
    <w:rsid w:val="3DF93413"/>
    <w:rsid w:val="3DFD1951"/>
    <w:rsid w:val="3E1F0DA4"/>
    <w:rsid w:val="3E3F5666"/>
    <w:rsid w:val="3E584E51"/>
    <w:rsid w:val="3E6E70D5"/>
    <w:rsid w:val="3EBE1ADE"/>
    <w:rsid w:val="403B4B34"/>
    <w:rsid w:val="407B5F4A"/>
    <w:rsid w:val="40C728C9"/>
    <w:rsid w:val="4140452A"/>
    <w:rsid w:val="414D7889"/>
    <w:rsid w:val="41BB0BAE"/>
    <w:rsid w:val="4222229D"/>
    <w:rsid w:val="425629F5"/>
    <w:rsid w:val="4284152B"/>
    <w:rsid w:val="428B1063"/>
    <w:rsid w:val="429A4992"/>
    <w:rsid w:val="435B161D"/>
    <w:rsid w:val="43B25DAC"/>
    <w:rsid w:val="44771DFD"/>
    <w:rsid w:val="45D569C3"/>
    <w:rsid w:val="479B74B7"/>
    <w:rsid w:val="48735221"/>
    <w:rsid w:val="489471A7"/>
    <w:rsid w:val="48997E8F"/>
    <w:rsid w:val="49DF6F4F"/>
    <w:rsid w:val="49E92B05"/>
    <w:rsid w:val="4A354E62"/>
    <w:rsid w:val="4A75113F"/>
    <w:rsid w:val="4AEE1A11"/>
    <w:rsid w:val="4B7F39F4"/>
    <w:rsid w:val="4BAE646F"/>
    <w:rsid w:val="4C06451A"/>
    <w:rsid w:val="4CAC1559"/>
    <w:rsid w:val="4CB132D9"/>
    <w:rsid w:val="4D754257"/>
    <w:rsid w:val="4DCD6AB3"/>
    <w:rsid w:val="4DDD6104"/>
    <w:rsid w:val="4DE92593"/>
    <w:rsid w:val="4EE7662F"/>
    <w:rsid w:val="50216DCD"/>
    <w:rsid w:val="50540C20"/>
    <w:rsid w:val="506258C6"/>
    <w:rsid w:val="50743AC8"/>
    <w:rsid w:val="50FC2845"/>
    <w:rsid w:val="51AC28BD"/>
    <w:rsid w:val="52183ACC"/>
    <w:rsid w:val="53B55872"/>
    <w:rsid w:val="544055F2"/>
    <w:rsid w:val="54AD4386"/>
    <w:rsid w:val="54E30E5A"/>
    <w:rsid w:val="5587625E"/>
    <w:rsid w:val="55937F05"/>
    <w:rsid w:val="55D8243C"/>
    <w:rsid w:val="56483C8F"/>
    <w:rsid w:val="56C77AA7"/>
    <w:rsid w:val="57F52F2F"/>
    <w:rsid w:val="581A7C72"/>
    <w:rsid w:val="583A4BD7"/>
    <w:rsid w:val="58487501"/>
    <w:rsid w:val="59C74B1F"/>
    <w:rsid w:val="5A886F59"/>
    <w:rsid w:val="5BE10DB9"/>
    <w:rsid w:val="5FA73C5F"/>
    <w:rsid w:val="604D5946"/>
    <w:rsid w:val="611B6B1B"/>
    <w:rsid w:val="62030FF0"/>
    <w:rsid w:val="62C222C2"/>
    <w:rsid w:val="62DB090C"/>
    <w:rsid w:val="632D7C40"/>
    <w:rsid w:val="63414A93"/>
    <w:rsid w:val="63485C9D"/>
    <w:rsid w:val="64133D6A"/>
    <w:rsid w:val="64245572"/>
    <w:rsid w:val="66C30AF5"/>
    <w:rsid w:val="678E4F5D"/>
    <w:rsid w:val="67F3562A"/>
    <w:rsid w:val="680E122C"/>
    <w:rsid w:val="699E02E9"/>
    <w:rsid w:val="69D72179"/>
    <w:rsid w:val="6A4E1D63"/>
    <w:rsid w:val="6A90762D"/>
    <w:rsid w:val="6AB9152E"/>
    <w:rsid w:val="6B592423"/>
    <w:rsid w:val="6C23483B"/>
    <w:rsid w:val="6C486FE4"/>
    <w:rsid w:val="6C8F7701"/>
    <w:rsid w:val="6CA409DF"/>
    <w:rsid w:val="6DA700B4"/>
    <w:rsid w:val="6DE375E4"/>
    <w:rsid w:val="6E8E5287"/>
    <w:rsid w:val="6F0168BC"/>
    <w:rsid w:val="6F6F4A62"/>
    <w:rsid w:val="6FAC3B48"/>
    <w:rsid w:val="6FAD463B"/>
    <w:rsid w:val="6FBE332C"/>
    <w:rsid w:val="70CE0BC9"/>
    <w:rsid w:val="71410A38"/>
    <w:rsid w:val="71554367"/>
    <w:rsid w:val="71584067"/>
    <w:rsid w:val="71F26E91"/>
    <w:rsid w:val="735201FF"/>
    <w:rsid w:val="737B50A4"/>
    <w:rsid w:val="73F40E72"/>
    <w:rsid w:val="74566F5C"/>
    <w:rsid w:val="750117A8"/>
    <w:rsid w:val="751301BD"/>
    <w:rsid w:val="755B2270"/>
    <w:rsid w:val="75E27514"/>
    <w:rsid w:val="7612420D"/>
    <w:rsid w:val="76920D75"/>
    <w:rsid w:val="76C47877"/>
    <w:rsid w:val="77423DFF"/>
    <w:rsid w:val="783B5EA9"/>
    <w:rsid w:val="783D7269"/>
    <w:rsid w:val="792B556E"/>
    <w:rsid w:val="79EB699D"/>
    <w:rsid w:val="7A0643B5"/>
    <w:rsid w:val="7A104828"/>
    <w:rsid w:val="7B0620DE"/>
    <w:rsid w:val="7BBF44BB"/>
    <w:rsid w:val="7BF15CE4"/>
    <w:rsid w:val="7C3A27E5"/>
    <w:rsid w:val="7D910EB4"/>
    <w:rsid w:val="7D9727DD"/>
    <w:rsid w:val="7EFB4F6E"/>
    <w:rsid w:val="7F164138"/>
    <w:rsid w:val="7F1A5E95"/>
    <w:rsid w:val="7F465921"/>
    <w:rsid w:val="7FFB0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Normal Indent"/>
    <w:basedOn w:val="1"/>
    <w:next w:val="6"/>
    <w:qFormat/>
    <w:uiPriority w:val="0"/>
    <w:pPr>
      <w:widowControl/>
      <w:ind w:firstLine="420"/>
      <w:jc w:val="left"/>
    </w:pPr>
    <w:rPr>
      <w:kern w:val="0"/>
      <w:sz w:val="20"/>
      <w:szCs w:val="20"/>
    </w:rPr>
  </w:style>
  <w:style w:type="paragraph" w:customStyle="1" w:styleId="6">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7">
    <w:name w:val="annotation text"/>
    <w:basedOn w:val="1"/>
    <w:qFormat/>
    <w:uiPriority w:val="0"/>
    <w:pPr>
      <w:jc w:val="left"/>
    </w:pPr>
  </w:style>
  <w:style w:type="paragraph" w:styleId="8">
    <w:name w:val="Body Text"/>
    <w:basedOn w:val="1"/>
    <w:semiHidden/>
    <w:qFormat/>
    <w:uiPriority w:val="0"/>
    <w:rPr>
      <w:rFonts w:ascii="宋体" w:hAnsi="宋体" w:eastAsia="宋体" w:cs="宋体"/>
      <w:sz w:val="24"/>
      <w:szCs w:val="24"/>
      <w:lang w:val="en-US" w:eastAsia="en-US" w:bidi="ar-SA"/>
    </w:rPr>
  </w:style>
  <w:style w:type="paragraph" w:styleId="9">
    <w:name w:val="Body Text Indent"/>
    <w:basedOn w:val="1"/>
    <w:next w:val="1"/>
    <w:qFormat/>
    <w:uiPriority w:val="99"/>
    <w:pPr>
      <w:spacing w:line="400" w:lineRule="exact"/>
      <w:ind w:left="630"/>
    </w:pPr>
    <w:rPr>
      <w:rFonts w:ascii="楷体_GB2312"/>
      <w:sz w:val="30"/>
      <w:szCs w:val="30"/>
    </w:rPr>
  </w:style>
  <w:style w:type="paragraph" w:styleId="10">
    <w:name w:val="Date"/>
    <w:basedOn w:val="1"/>
    <w:next w:val="1"/>
    <w:qFormat/>
    <w:uiPriority w:val="0"/>
    <w:rPr>
      <w:color w:val="000000"/>
      <w:kern w:val="0"/>
      <w:sz w:val="30"/>
    </w:rPr>
  </w:style>
  <w:style w:type="paragraph" w:styleId="11">
    <w:name w:val="footer"/>
    <w:basedOn w:val="1"/>
    <w:qFormat/>
    <w:uiPriority w:val="0"/>
    <w:pPr>
      <w:tabs>
        <w:tab w:val="center" w:pos="4153"/>
        <w:tab w:val="right" w:pos="8306"/>
      </w:tabs>
      <w:snapToGrid w:val="0"/>
      <w:jc w:val="left"/>
    </w:pPr>
    <w:rPr>
      <w:kern w:val="0"/>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qFormat/>
    <w:uiPriority w:val="0"/>
    <w:pPr>
      <w:spacing w:after="120" w:line="480" w:lineRule="auto"/>
    </w:pPr>
  </w:style>
  <w:style w:type="paragraph" w:styleId="14">
    <w:name w:val="Normal (Web)"/>
    <w:basedOn w:val="1"/>
    <w:qFormat/>
    <w:uiPriority w:val="0"/>
    <w:rPr>
      <w:sz w:val="24"/>
    </w:rPr>
  </w:style>
  <w:style w:type="paragraph" w:styleId="15">
    <w:name w:val="Body Text First Indent 2"/>
    <w:basedOn w:val="9"/>
    <w:next w:val="5"/>
    <w:qFormat/>
    <w:uiPriority w:val="0"/>
    <w:pPr>
      <w:overflowPunct w:val="0"/>
      <w:adjustRightInd w:val="0"/>
      <w:spacing w:line="500" w:lineRule="exact"/>
      <w:ind w:firstLine="420" w:firstLineChars="200"/>
      <w:textAlignment w:val="baseline"/>
    </w:pPr>
    <w:rPr>
      <w:rFonts w:eastAsia="仿宋_GB2312"/>
      <w:kern w:val="28"/>
      <w:sz w:val="28"/>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Hyperlink"/>
    <w:basedOn w:val="18"/>
    <w:qFormat/>
    <w:uiPriority w:val="0"/>
    <w:rPr>
      <w:color w:val="0000FF"/>
      <w:u w:val="single"/>
    </w:rPr>
  </w:style>
  <w:style w:type="paragraph" w:customStyle="1" w:styleId="21">
    <w:name w:val="正文格式"/>
    <w:basedOn w:val="1"/>
    <w:qFormat/>
    <w:uiPriority w:val="0"/>
    <w:pPr>
      <w:widowControl/>
      <w:adjustRightInd w:val="0"/>
      <w:snapToGrid w:val="0"/>
      <w:spacing w:line="400" w:lineRule="atLeast"/>
      <w:ind w:firstLine="482"/>
      <w:textAlignment w:val="baseline"/>
    </w:pPr>
    <w:rPr>
      <w:kern w:val="0"/>
      <w:sz w:val="24"/>
    </w:rPr>
  </w:style>
  <w:style w:type="paragraph" w:customStyle="1" w:styleId="22">
    <w:name w:val="大标题"/>
    <w:basedOn w:val="1"/>
    <w:next w:val="15"/>
    <w:qFormat/>
    <w:uiPriority w:val="0"/>
    <w:pPr>
      <w:jc w:val="center"/>
    </w:pPr>
    <w:rPr>
      <w:rFonts w:ascii="Arial" w:hAnsi="Arial" w:eastAsia="宋体"/>
      <w:b/>
      <w:sz w:val="28"/>
      <w:szCs w:val="24"/>
    </w:rPr>
  </w:style>
  <w:style w:type="paragraph" w:customStyle="1" w:styleId="23">
    <w:name w:val="列出段落1"/>
    <w:basedOn w:val="1"/>
    <w:qFormat/>
    <w:uiPriority w:val="99"/>
    <w:pPr>
      <w:ind w:firstLine="420" w:firstLineChars="200"/>
    </w:pPr>
  </w:style>
  <w:style w:type="paragraph" w:customStyle="1" w:styleId="24">
    <w:name w:val="无间隔1"/>
    <w:qFormat/>
    <w:uiPriority w:val="0"/>
    <w:pPr>
      <w:widowControl w:val="0"/>
      <w:jc w:val="both"/>
    </w:pPr>
    <w:rPr>
      <w:rFonts w:ascii="Calibri" w:hAnsi="Calibri" w:eastAsia="宋体" w:cs="Times New Roman"/>
      <w:kern w:val="2"/>
      <w:sz w:val="21"/>
      <w:szCs w:val="22"/>
      <w:lang w:val="en-US" w:eastAsia="zh-CN" w:bidi="ar-SA"/>
    </w:rPr>
  </w:style>
  <w:style w:type="paragraph" w:styleId="25">
    <w:name w:val="List Paragraph"/>
    <w:basedOn w:val="1"/>
    <w:qFormat/>
    <w:uiPriority w:val="34"/>
    <w:pPr>
      <w:ind w:firstLine="420" w:firstLineChars="200"/>
    </w:pPr>
    <w:rPr>
      <w:rFonts w:ascii="Calibri" w:hAnsi="Calibri"/>
      <w:szCs w:val="22"/>
    </w:rPr>
  </w:style>
  <w:style w:type="paragraph" w:customStyle="1" w:styleId="26">
    <w:name w:val="列表段落1"/>
    <w:basedOn w:val="1"/>
    <w:unhideWhenUsed/>
    <w:qFormat/>
    <w:uiPriority w:val="99"/>
    <w:pPr>
      <w:ind w:firstLine="420" w:firstLineChars="200"/>
    </w:pPr>
  </w:style>
  <w:style w:type="character" w:customStyle="1" w:styleId="27">
    <w:name w:val="纯文本2"/>
    <w:qFormat/>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3463</Words>
  <Characters>3743</Characters>
  <Lines>0</Lines>
  <Paragraphs>0</Paragraphs>
  <TotalTime>6</TotalTime>
  <ScaleCrop>false</ScaleCrop>
  <LinksUpToDate>false</LinksUpToDate>
  <CharactersWithSpaces>3754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2023-07-17T09:45:00Z</dcterms:created>
  <dc:creator>是小豹子</dc:creator>
  <cp:lastModifiedBy>张思远</cp:lastModifiedBy>
  <dcterms:modified xsi:type="dcterms:W3CDTF">2026-09-22T02:10:51Z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48C9B33B502A490BBE9A50522BDCF407_13</vt:lpwstr>
  </property>
  <property fmtid="{D5CDD505-2E9C-101B-9397-08002B2CF9AE}" pid="4" name="KSOTemplateDocerSaveRecord">
    <vt:lpwstr>eyJoZGlkIjoiOWU3YmMxNGQ0NDE0NTRiYjQ3MWFkZjk1MWM2MTc2NWEiLCJ1c2VySWQiOiI0NDIzNjcyODQifQ==</vt:lpwstr>
  </property>
</Properties>
</file>