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napToGrid w:val="0"/>
        <w:jc w:val="center"/>
        <w:rPr>
          <w:rFonts w:ascii="Arial" w:hAnsi="Arial" w:eastAsia="方正小标宋简体" w:cs="Arial"/>
          <w:color w:val="auto"/>
          <w:sz w:val="72"/>
          <w:szCs w:val="72"/>
        </w:rPr>
      </w:pPr>
      <w:bookmarkStart w:id="0" w:name="_Toc16523570"/>
    </w:p>
    <w:p>
      <w:pPr>
        <w:pStyle w:val="6"/>
        <w:snapToGrid w:val="0"/>
        <w:jc w:val="center"/>
        <w:rPr>
          <w:rFonts w:ascii="Arial" w:hAnsi="Arial" w:eastAsia="方正小标宋简体" w:cs="Arial"/>
          <w:color w:val="auto"/>
          <w:sz w:val="72"/>
          <w:szCs w:val="72"/>
        </w:rPr>
      </w:pPr>
      <w:r>
        <w:rPr>
          <w:rFonts w:hint="eastAsia" w:ascii="Arial" w:hAnsi="Arial" w:eastAsia="方正小标宋简体" w:cs="Arial"/>
          <w:color w:val="auto"/>
          <w:sz w:val="72"/>
          <w:szCs w:val="72"/>
        </w:rPr>
        <w:t>娄底市中心医院</w:t>
      </w:r>
    </w:p>
    <w:p>
      <w:pPr>
        <w:pStyle w:val="6"/>
        <w:snapToGrid w:val="0"/>
        <w:jc w:val="center"/>
        <w:rPr>
          <w:rFonts w:ascii="Arial" w:hAnsi="Arial" w:eastAsia="方正小标宋简体" w:cs="Arial"/>
          <w:color w:val="auto"/>
          <w:sz w:val="72"/>
          <w:szCs w:val="72"/>
        </w:rPr>
      </w:pPr>
    </w:p>
    <w:p>
      <w:pPr>
        <w:pStyle w:val="6"/>
        <w:snapToGrid w:val="0"/>
        <w:jc w:val="center"/>
        <w:rPr>
          <w:rFonts w:ascii="Arial" w:hAnsi="Arial" w:eastAsia="方正小标宋简体" w:cs="Arial"/>
          <w:color w:val="auto"/>
          <w:sz w:val="72"/>
          <w:szCs w:val="72"/>
        </w:rPr>
      </w:pPr>
    </w:p>
    <w:p>
      <w:pPr>
        <w:pStyle w:val="6"/>
        <w:snapToGrid w:val="0"/>
        <w:jc w:val="center"/>
        <w:rPr>
          <w:rFonts w:ascii="Arial" w:hAnsi="Arial" w:eastAsia="方正小标宋简体" w:cs="Arial"/>
          <w:color w:val="auto"/>
          <w:sz w:val="72"/>
          <w:szCs w:val="72"/>
        </w:rPr>
      </w:pPr>
    </w:p>
    <w:p>
      <w:pPr>
        <w:pStyle w:val="6"/>
        <w:snapToGrid w:val="0"/>
        <w:jc w:val="center"/>
        <w:rPr>
          <w:rFonts w:ascii="Arial" w:hAnsi="Arial" w:eastAsia="方正小标宋简体" w:cs="Arial"/>
          <w:color w:val="auto"/>
          <w:sz w:val="36"/>
          <w:szCs w:val="36"/>
        </w:rPr>
      </w:pPr>
      <w:r>
        <w:rPr>
          <w:rFonts w:hint="eastAsia" w:ascii="Arial" w:hAnsi="Arial" w:eastAsia="方正小标宋简体" w:cs="Arial"/>
          <w:color w:val="auto"/>
          <w:sz w:val="72"/>
          <w:szCs w:val="72"/>
        </w:rPr>
        <w:t>采购</w:t>
      </w:r>
      <w:r>
        <w:rPr>
          <w:rFonts w:ascii="Arial" w:hAnsi="Arial" w:eastAsia="方正小标宋简体" w:cs="Arial"/>
          <w:color w:val="auto"/>
          <w:sz w:val="72"/>
          <w:szCs w:val="72"/>
        </w:rPr>
        <w:t>文件</w:t>
      </w:r>
    </w:p>
    <w:p>
      <w:pPr>
        <w:pStyle w:val="6"/>
        <w:snapToGrid w:val="0"/>
        <w:jc w:val="center"/>
        <w:rPr>
          <w:rFonts w:ascii="Arial" w:hAnsi="Arial" w:cs="Arial"/>
          <w:color w:val="auto"/>
          <w:sz w:val="32"/>
          <w:szCs w:val="32"/>
        </w:rPr>
      </w:pPr>
    </w:p>
    <w:p>
      <w:pPr>
        <w:pStyle w:val="23"/>
        <w:rPr>
          <w:rFonts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15"/>
        <w:ind w:firstLine="640"/>
        <w:rPr>
          <w:rFonts w:ascii="Arial" w:hAnsi="Arial" w:cs="Arial"/>
          <w:sz w:val="32"/>
          <w:szCs w:val="32"/>
        </w:rPr>
      </w:pPr>
    </w:p>
    <w:p>
      <w:pPr>
        <w:pStyle w:val="6"/>
        <w:snapToGrid w:val="0"/>
        <w:jc w:val="center"/>
        <w:rPr>
          <w:rFonts w:ascii="Arial" w:hAnsi="Arial" w:cs="Arial"/>
          <w:color w:val="auto"/>
          <w:sz w:val="32"/>
          <w:szCs w:val="32"/>
        </w:rPr>
      </w:pPr>
    </w:p>
    <w:p>
      <w:pPr>
        <w:pStyle w:val="6"/>
        <w:snapToGrid w:val="0"/>
        <w:jc w:val="center"/>
        <w:rPr>
          <w:rFonts w:ascii="Arial" w:hAnsi="Arial" w:cs="Arial"/>
          <w:color w:val="auto"/>
          <w:sz w:val="32"/>
          <w:szCs w:val="32"/>
        </w:rPr>
      </w:pPr>
    </w:p>
    <w:p>
      <w:pPr>
        <w:spacing w:line="360" w:lineRule="auto"/>
        <w:rPr>
          <w:bCs/>
          <w:sz w:val="32"/>
          <w:szCs w:val="32"/>
        </w:rPr>
      </w:pPr>
    </w:p>
    <w:p>
      <w:pPr>
        <w:pStyle w:val="2"/>
        <w:keepNext w:val="0"/>
        <w:keepLines w:val="0"/>
        <w:widowControl/>
        <w:spacing w:before="120" w:after="0" w:line="27" w:lineRule="atLeast"/>
        <w:jc w:val="center"/>
        <w:rPr>
          <w:rFonts w:hint="eastAsia" w:eastAsia="宋体"/>
          <w:bCs/>
          <w:sz w:val="32"/>
          <w:szCs w:val="32"/>
          <w:lang w:val="en-US" w:eastAsia="zh-CN"/>
        </w:rPr>
      </w:pPr>
      <w:r>
        <w:rPr>
          <w:rFonts w:hint="eastAsia"/>
          <w:bCs/>
          <w:sz w:val="32"/>
          <w:szCs w:val="32"/>
        </w:rPr>
        <w:t>项目名称：娄底市中心医院</w:t>
      </w:r>
      <w:r>
        <w:rPr>
          <w:rFonts w:hint="eastAsia"/>
          <w:bCs/>
          <w:sz w:val="32"/>
          <w:szCs w:val="32"/>
          <w:lang w:eastAsia="zh-CN"/>
        </w:rPr>
        <w:t>建筑物外窗安全限位装置升级安装服务</w:t>
      </w:r>
      <w:r>
        <w:rPr>
          <w:rFonts w:hint="eastAsia"/>
          <w:bCs/>
          <w:sz w:val="32"/>
          <w:szCs w:val="32"/>
        </w:rPr>
        <w:t>项目</w:t>
      </w:r>
      <w:r>
        <w:rPr>
          <w:rFonts w:hint="eastAsia"/>
          <w:bCs/>
          <w:sz w:val="32"/>
          <w:szCs w:val="32"/>
          <w:lang w:val="en-US" w:eastAsia="zh-CN"/>
        </w:rPr>
        <w:t>文件</w:t>
      </w:r>
    </w:p>
    <w:p>
      <w:pPr>
        <w:jc w:val="center"/>
        <w:rPr>
          <w:b/>
          <w:bCs/>
          <w:kern w:val="44"/>
          <w:sz w:val="32"/>
          <w:szCs w:val="32"/>
        </w:rPr>
      </w:pPr>
      <w:r>
        <w:rPr>
          <w:rFonts w:hint="eastAsia"/>
          <w:b/>
          <w:bCs/>
          <w:kern w:val="44"/>
          <w:sz w:val="32"/>
          <w:szCs w:val="32"/>
        </w:rPr>
        <w:t>（医院公开挂网）</w:t>
      </w:r>
    </w:p>
    <w:p>
      <w:pPr>
        <w:spacing w:line="320" w:lineRule="exact"/>
        <w:jc w:val="left"/>
        <w:rPr>
          <w:sz w:val="24"/>
        </w:rPr>
      </w:pPr>
    </w:p>
    <w:p>
      <w:pPr>
        <w:spacing w:line="320" w:lineRule="exact"/>
        <w:ind w:firstLine="3520" w:firstLineChars="1100"/>
        <w:rPr>
          <w:rFonts w:hint="eastAsia" w:ascii="宋体" w:hAnsi="宋体" w:cs="宋体"/>
          <w:bCs/>
          <w:sz w:val="32"/>
          <w:szCs w:val="32"/>
        </w:rPr>
      </w:pPr>
      <w:r>
        <w:rPr>
          <w:rFonts w:hint="eastAsia" w:ascii="宋体" w:hAnsi="宋体" w:cs="宋体"/>
          <w:bCs/>
          <w:sz w:val="32"/>
          <w:szCs w:val="32"/>
        </w:rPr>
        <w:t>二〇二六年</w:t>
      </w:r>
      <w:r>
        <w:rPr>
          <w:rFonts w:hint="eastAsia" w:ascii="宋体" w:hAnsi="宋体" w:cs="宋体"/>
          <w:bCs/>
          <w:sz w:val="32"/>
          <w:szCs w:val="32"/>
          <w:lang w:val="en-US" w:eastAsia="zh-CN"/>
        </w:rPr>
        <w:t>十</w:t>
      </w:r>
      <w:r>
        <w:rPr>
          <w:rFonts w:hint="eastAsia" w:ascii="宋体" w:hAnsi="宋体" w:cs="宋体"/>
          <w:bCs/>
          <w:sz w:val="32"/>
          <w:szCs w:val="32"/>
        </w:rPr>
        <w:t>月</w:t>
      </w:r>
    </w:p>
    <w:p>
      <w:pPr>
        <w:rPr>
          <w:rFonts w:hint="eastAsia" w:ascii="宋体" w:hAnsi="宋体" w:cs="宋体"/>
          <w:sz w:val="44"/>
          <w:szCs w:val="44"/>
        </w:rPr>
      </w:pPr>
      <w:r>
        <w:rPr>
          <w:rFonts w:hint="eastAsia" w:ascii="宋体" w:hAnsi="宋体" w:cs="宋体"/>
          <w:sz w:val="44"/>
          <w:szCs w:val="44"/>
        </w:rPr>
        <w:br w:type="page"/>
      </w:r>
    </w:p>
    <w:p>
      <w:pPr>
        <w:pStyle w:val="2"/>
        <w:spacing w:line="240" w:lineRule="auto"/>
        <w:jc w:val="center"/>
        <w:rPr>
          <w:szCs w:val="44"/>
        </w:rPr>
      </w:pPr>
      <w:r>
        <w:rPr>
          <w:rFonts w:hint="eastAsia" w:ascii="宋体" w:hAnsi="宋体" w:cs="宋体"/>
          <w:szCs w:val="44"/>
        </w:rPr>
        <w:t>第一章 投标邀请</w:t>
      </w:r>
    </w:p>
    <w:p>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u w:val="single"/>
        </w:rPr>
        <w:t>娄底市中心医院</w:t>
      </w:r>
      <w:r>
        <w:rPr>
          <w:rFonts w:hint="eastAsia" w:asciiTheme="minorEastAsia" w:hAnsiTheme="minorEastAsia" w:eastAsiaTheme="minorEastAsia" w:cstheme="minorEastAsia"/>
          <w:bCs/>
          <w:color w:val="auto"/>
          <w:u w:val="single"/>
          <w:lang w:eastAsia="zh-CN"/>
        </w:rPr>
        <w:t>建筑物外窗安全限位装置升级安装服务</w:t>
      </w:r>
      <w:r>
        <w:rPr>
          <w:rFonts w:hint="eastAsia" w:asciiTheme="minorEastAsia" w:hAnsiTheme="minorEastAsia" w:eastAsiaTheme="minorEastAsia" w:cstheme="minorEastAsia"/>
          <w:bCs/>
          <w:color w:val="auto"/>
          <w:u w:val="single"/>
        </w:rPr>
        <w:t>项目</w:t>
      </w:r>
      <w:r>
        <w:rPr>
          <w:rFonts w:hint="eastAsia" w:asciiTheme="minorEastAsia" w:hAnsiTheme="minorEastAsia" w:eastAsiaTheme="minorEastAsia" w:cstheme="minorEastAsia"/>
          <w:bCs/>
          <w:color w:val="auto"/>
        </w:rPr>
        <w:t>进行医院公开挂网，将事项公告如下：</w:t>
      </w:r>
    </w:p>
    <w:p>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一、项目信息</w:t>
      </w:r>
    </w:p>
    <w:p>
      <w:pPr>
        <w:pStyle w:val="6"/>
        <w:tabs>
          <w:tab w:val="left" w:pos="312"/>
        </w:tabs>
        <w:snapToGrid w:val="0"/>
        <w:spacing w:line="48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项目名称：</w:t>
      </w:r>
      <w:r>
        <w:rPr>
          <w:rFonts w:hint="eastAsia" w:asciiTheme="minorEastAsia" w:hAnsiTheme="minorEastAsia" w:eastAsiaTheme="minorEastAsia" w:cstheme="minorEastAsia"/>
          <w:bCs/>
          <w:color w:val="auto"/>
          <w:u w:val="single"/>
        </w:rPr>
        <w:t>娄底市中心医院</w:t>
      </w:r>
      <w:r>
        <w:rPr>
          <w:rFonts w:hint="eastAsia" w:asciiTheme="minorEastAsia" w:hAnsiTheme="minorEastAsia" w:eastAsiaTheme="minorEastAsia" w:cstheme="minorEastAsia"/>
          <w:bCs/>
          <w:color w:val="auto"/>
          <w:u w:val="single"/>
          <w:lang w:eastAsia="zh-CN"/>
        </w:rPr>
        <w:t>建筑物外窗安全限位装置升级安装服务</w:t>
      </w:r>
      <w:r>
        <w:rPr>
          <w:rFonts w:hint="eastAsia" w:asciiTheme="minorEastAsia" w:hAnsiTheme="minorEastAsia" w:eastAsiaTheme="minorEastAsia" w:cstheme="minorEastAsia"/>
          <w:bCs/>
          <w:color w:val="auto"/>
          <w:u w:val="single"/>
        </w:rPr>
        <w:t>项目</w:t>
      </w:r>
    </w:p>
    <w:p>
      <w:pPr>
        <w:pStyle w:val="6"/>
        <w:numPr>
          <w:ilvl w:val="0"/>
          <w:numId w:val="1"/>
        </w:numPr>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采购方式</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1、医院公开挂网，最低评标价法，在满足所有参数的条件下，报价最低者中标，如有多个并列最低价，则由并列最低价投标人再次报价，直至出现最低报价为止。</w:t>
      </w:r>
    </w:p>
    <w:bookmarkEnd w:id="0"/>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三、投标人资格要求</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1、投标人的基本资格条件：投标人必须是在中华人民共和国境内注册登记的法人、其他组织或者自然人，且应当符合《政府采购法》第二十二条第一款的规定；</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2、参加政府采购活动近3年内，在经营活动中没有重大违法记录；</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3、投标人未列入经营异常名录和未列入严重违法失信企业名单（黑名单），投标人企业法人代表未被列入失信被执行人名单；</w:t>
      </w:r>
    </w:p>
    <w:p>
      <w:pPr>
        <w:pStyle w:val="6"/>
        <w:tabs>
          <w:tab w:val="left" w:pos="312"/>
        </w:tabs>
        <w:snapToGrid w:val="0"/>
        <w:spacing w:line="360" w:lineRule="auto"/>
        <w:ind w:firstLine="720" w:firstLineChars="3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投标人在“信用中国”（www.creditchina.gov.cn）、中国政府采购网（www.ccgp.gov.cn）等网站，未被列入“失信被执行人”、“重大税收违法案件当事人名单”、“政府采购严重违法失信行为记录名单”；</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4、本项目不接受联合体投标，不得分包、转包；</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5、单位负责人为同一人或者存在直接控股、管理关系的不同投标人，不得参加本次采购活动；</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四、投标截止时间、开标时间及地点：</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1、投标截止时间、开标时间：详见医院官网公开挂网表</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2、开标地点;娄底市中心医院</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五、采购人地址和联系方法：</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1、采购人名称：娄底市中心医院</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2、联系人及联系方式：张思远 15115875288</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3、采购人地址：娄底市长青中街51号</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六、投标须知</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1、否决投标的情形：</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1.1、投标人以他人名义投标、串通投标、以行贿手段谋取中标的；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1.2、资格评审时，投标人资格条件不符合国家有关规定或者文件要求的，或者拒不按照要求对投标文件进行澄清、说明或补正，或者其说明补正无法证明其为合格投标人的；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1.3、评标委员会认定投标人以低于成本报价竞标的；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1.4、投标人未按照要求出席开标会的；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1.5、投标报价有错误的，评标委员会将要求投标人作出书面澄清说明和确认，投标人拒不作出澄清说明和确认的；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1.6、投标文件存在弄虚作假或者隐瞒事实，或者未按照文件要求如实提供有关情况和文件，以及证明资料且对投标人有利的，应当否决其投标。被列为中标候选人的，应当取消其中标候选人资格。</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2、有下列情形之一的，采购人将重新挂网采购：</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2.1、投标截止时间止，投标人少于3家的；</w:t>
      </w:r>
    </w:p>
    <w:p>
      <w:pPr>
        <w:pStyle w:val="6"/>
        <w:tabs>
          <w:tab w:val="left" w:pos="312"/>
        </w:tabs>
        <w:snapToGrid w:val="0"/>
        <w:spacing w:line="360" w:lineRule="auto"/>
        <w:ind w:firstLine="480" w:firstLineChars="200"/>
        <w:rPr>
          <w:rFonts w:hint="eastAsia" w:asciiTheme="minorEastAsia" w:hAnsiTheme="minorEastAsia" w:eastAsiaTheme="minorEastAsia" w:cstheme="minorEastAsia"/>
          <w:bCs/>
          <w:color w:val="auto"/>
        </w:rPr>
      </w:pPr>
      <w:r>
        <w:rPr>
          <w:rFonts w:hint="eastAsia" w:asciiTheme="minorEastAsia" w:hAnsiTheme="minorEastAsia" w:eastAsiaTheme="minorEastAsia" w:cstheme="minorEastAsia"/>
          <w:bCs/>
          <w:color w:val="auto"/>
        </w:rPr>
        <w:t>2.2、经评标委员会评审后，有效投标人少于3家的。</w:t>
      </w:r>
    </w:p>
    <w:p>
      <w:pPr>
        <w:pStyle w:val="23"/>
      </w:pPr>
    </w:p>
    <w:p>
      <w:pPr>
        <w:pStyle w:val="23"/>
        <w:jc w:val="both"/>
      </w:pPr>
    </w:p>
    <w:p>
      <w:pPr>
        <w:pStyle w:val="6"/>
        <w:tabs>
          <w:tab w:val="left" w:pos="312"/>
        </w:tabs>
        <w:snapToGrid w:val="0"/>
        <w:spacing w:line="480" w:lineRule="auto"/>
        <w:jc w:val="center"/>
        <w:rPr>
          <w:rFonts w:hint="eastAsia" w:ascii="宋体" w:hAnsi="宋体" w:cs="宋体"/>
          <w:b/>
          <w:bCs/>
          <w:color w:val="auto"/>
          <w:sz w:val="44"/>
          <w:szCs w:val="44"/>
        </w:rPr>
      </w:pPr>
    </w:p>
    <w:p>
      <w:pPr>
        <w:pStyle w:val="6"/>
        <w:tabs>
          <w:tab w:val="left" w:pos="312"/>
        </w:tabs>
        <w:snapToGrid w:val="0"/>
        <w:spacing w:line="480" w:lineRule="auto"/>
        <w:jc w:val="center"/>
        <w:rPr>
          <w:rFonts w:hint="eastAsia" w:ascii="宋体" w:hAnsi="宋体" w:cs="宋体"/>
          <w:b/>
          <w:bCs/>
          <w:color w:val="auto"/>
          <w:sz w:val="44"/>
          <w:szCs w:val="44"/>
        </w:rPr>
      </w:pPr>
    </w:p>
    <w:p>
      <w:pPr>
        <w:pStyle w:val="23"/>
        <w:rPr>
          <w:rFonts w:hint="eastAsia" w:ascii="宋体" w:hAnsi="宋体" w:cs="宋体"/>
          <w:bCs/>
          <w:sz w:val="44"/>
          <w:szCs w:val="44"/>
        </w:rPr>
      </w:pPr>
    </w:p>
    <w:p>
      <w:pPr>
        <w:pStyle w:val="15"/>
        <w:ind w:firstLine="883"/>
        <w:rPr>
          <w:rFonts w:hint="eastAsia" w:ascii="宋体" w:hAnsi="宋体" w:cs="宋体"/>
          <w:b/>
          <w:bCs/>
          <w:sz w:val="44"/>
          <w:szCs w:val="44"/>
        </w:rPr>
      </w:pPr>
    </w:p>
    <w:p>
      <w:pPr>
        <w:rPr>
          <w:rFonts w:hint="eastAsia" w:ascii="宋体" w:hAnsi="宋体" w:cs="宋体"/>
          <w:b/>
          <w:bCs/>
          <w:sz w:val="44"/>
          <w:szCs w:val="44"/>
        </w:rPr>
      </w:pPr>
    </w:p>
    <w:p>
      <w:pPr>
        <w:pStyle w:val="22"/>
      </w:pPr>
    </w:p>
    <w:p>
      <w:pPr>
        <w:pStyle w:val="2"/>
        <w:rPr>
          <w:rFonts w:hint="eastAsia" w:ascii="宋体" w:hAnsi="宋体" w:cs="宋体"/>
          <w:bCs/>
          <w:szCs w:val="44"/>
        </w:rPr>
      </w:pPr>
    </w:p>
    <w:p>
      <w:pPr>
        <w:rPr>
          <w:rFonts w:hint="eastAsia" w:ascii="宋体" w:hAnsi="宋体" w:cs="宋体"/>
          <w:b/>
          <w:bCs/>
          <w:sz w:val="44"/>
          <w:szCs w:val="44"/>
        </w:rPr>
      </w:pPr>
    </w:p>
    <w:p/>
    <w:p>
      <w:pPr>
        <w:pStyle w:val="6"/>
        <w:tabs>
          <w:tab w:val="left" w:pos="312"/>
        </w:tabs>
        <w:snapToGrid w:val="0"/>
        <w:spacing w:line="480" w:lineRule="auto"/>
        <w:jc w:val="center"/>
        <w:rPr>
          <w:rFonts w:hint="eastAsia" w:ascii="宋体" w:hAnsi="宋体" w:cs="宋体"/>
          <w:b/>
          <w:bCs/>
          <w:color w:val="auto"/>
          <w:sz w:val="44"/>
          <w:szCs w:val="44"/>
        </w:rPr>
      </w:pPr>
      <w:r>
        <w:rPr>
          <w:rFonts w:hint="eastAsia" w:ascii="宋体" w:hAnsi="宋体" w:cs="宋体"/>
          <w:b/>
          <w:bCs/>
          <w:color w:val="auto"/>
          <w:sz w:val="44"/>
          <w:szCs w:val="44"/>
        </w:rPr>
        <w:t>第二章采购需求</w:t>
      </w:r>
    </w:p>
    <w:p>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一、采购清单、采购项目交付或者实施的时间和地点</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1.采购项目</w:t>
      </w:r>
    </w:p>
    <w:tbl>
      <w:tblPr>
        <w:tblStyle w:val="16"/>
        <w:tblW w:w="7303"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370"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w:t>
            </w:r>
          </w:p>
        </w:tc>
        <w:tc>
          <w:tcPr>
            <w:tcW w:w="1665"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服务次数（1）</w:t>
            </w:r>
          </w:p>
        </w:tc>
        <w:tc>
          <w:tcPr>
            <w:tcW w:w="2310" w:type="dxa"/>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pPr>
              <w:pStyle w:val="1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预算总价（元）</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370"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widowControl/>
              <w:jc w:val="center"/>
              <w:textAlignment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娄底市中心医院</w:t>
            </w:r>
            <w:r>
              <w:rPr>
                <w:rFonts w:hint="eastAsia" w:asciiTheme="minorEastAsia" w:hAnsiTheme="minorEastAsia" w:eastAsiaTheme="minorEastAsia" w:cstheme="minorEastAsia"/>
                <w:sz w:val="24"/>
                <w:lang w:eastAsia="zh-CN"/>
              </w:rPr>
              <w:t>建筑物外窗安全限位装置升级安装服务</w:t>
            </w:r>
            <w:r>
              <w:rPr>
                <w:rFonts w:hint="eastAsia" w:asciiTheme="minorEastAsia" w:hAnsiTheme="minorEastAsia" w:eastAsiaTheme="minorEastAsia" w:cstheme="minorEastAsia"/>
                <w:sz w:val="24"/>
              </w:rPr>
              <w:t>项目</w:t>
            </w:r>
          </w:p>
        </w:tc>
        <w:tc>
          <w:tcPr>
            <w:tcW w:w="1665"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310" w:type="dxa"/>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pPr>
              <w:spacing w:line="360" w:lineRule="auto"/>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概算：16万</w:t>
            </w:r>
          </w:p>
          <w:p>
            <w:pPr>
              <w:spacing w:line="360" w:lineRule="auto"/>
              <w:jc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单价限价：12.2元/套</w:t>
            </w:r>
          </w:p>
        </w:tc>
      </w:tr>
    </w:tbl>
    <w:p>
      <w:pPr>
        <w:spacing w:line="360" w:lineRule="auto"/>
        <w:rPr>
          <w:rFonts w:hint="eastAsia" w:asciiTheme="minorEastAsia" w:hAnsiTheme="minorEastAsia" w:eastAsiaTheme="minorEastAsia" w:cstheme="minorEastAsia"/>
          <w:bCs/>
          <w:kern w:val="0"/>
          <w:sz w:val="24"/>
        </w:rPr>
      </w:pP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2、服务时间：双方签订合同时具体约定。</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3、服务地点：娄底市中心医院。</w:t>
      </w:r>
    </w:p>
    <w:p>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二、项目内容及要求（以下内容必须全部响应，否则视为无效投标）</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lang w:val="en-US" w:eastAsia="zh-CN"/>
        </w:rPr>
        <w:t>1、</w:t>
      </w:r>
      <w:r>
        <w:rPr>
          <w:rFonts w:hint="eastAsia" w:asciiTheme="minorEastAsia" w:hAnsiTheme="minorEastAsia" w:eastAsiaTheme="minorEastAsia" w:cstheme="minorEastAsia"/>
          <w:bCs/>
          <w:kern w:val="0"/>
          <w:sz w:val="24"/>
        </w:rPr>
        <w:t>　普通外窗限位装置</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1.1</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rPr>
        <w:t>　材质规格：</w:t>
      </w:r>
      <w:r>
        <w:rPr>
          <w:rFonts w:hint="eastAsia" w:asciiTheme="minorEastAsia" w:hAnsiTheme="minorEastAsia" w:eastAsiaTheme="minorEastAsia" w:cstheme="minorEastAsia"/>
          <w:bCs/>
          <w:kern w:val="0"/>
          <w:sz w:val="24"/>
          <w:lang w:val="en-US" w:eastAsia="zh-CN"/>
        </w:rPr>
        <w:t>采用钢丝绳防坠限位器，钢丝绳直径≥3mm，两端连接件及紧固件须为</w:t>
      </w:r>
      <w:r>
        <w:rPr>
          <w:rFonts w:hint="eastAsia" w:asciiTheme="minorEastAsia" w:hAnsiTheme="minorEastAsia" w:eastAsiaTheme="minorEastAsia" w:cstheme="minorEastAsia"/>
          <w:bCs/>
          <w:kern w:val="0"/>
          <w:sz w:val="24"/>
        </w:rPr>
        <w:t>铝合金材质</w:t>
      </w:r>
      <w:r>
        <w:rPr>
          <w:rFonts w:hint="eastAsia" w:asciiTheme="minorEastAsia" w:hAnsiTheme="minorEastAsia" w:eastAsiaTheme="minorEastAsia" w:cstheme="minorEastAsia"/>
          <w:bCs/>
          <w:kern w:val="0"/>
          <w:sz w:val="24"/>
          <w:lang w:val="en-US" w:eastAsia="zh-CN"/>
        </w:rPr>
        <w:t>，具备防锈蚀能力</w:t>
      </w:r>
      <w:r>
        <w:rPr>
          <w:rFonts w:hint="eastAsia" w:asciiTheme="minorEastAsia" w:hAnsiTheme="minorEastAsia" w:eastAsiaTheme="minorEastAsia" w:cstheme="minorEastAsia"/>
          <w:bCs/>
          <w:kern w:val="0"/>
          <w:sz w:val="24"/>
        </w:rPr>
        <w:t>。</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1.2</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rPr>
        <w:t>　功能要求：实现“防坠落+严限位”双重防护，限位开启行程严格控制在≤</w:t>
      </w:r>
      <w:r>
        <w:rPr>
          <w:rFonts w:hint="eastAsia" w:asciiTheme="minorEastAsia" w:hAnsiTheme="minorEastAsia" w:eastAsiaTheme="minorEastAsia" w:cstheme="minorEastAsia"/>
          <w:bCs/>
          <w:kern w:val="0"/>
          <w:sz w:val="24"/>
          <w:lang w:val="en-US" w:eastAsia="zh-CN"/>
        </w:rPr>
        <w:t>150</w:t>
      </w:r>
      <w:r>
        <w:rPr>
          <w:rFonts w:hint="eastAsia" w:asciiTheme="minorEastAsia" w:hAnsiTheme="minorEastAsia" w:eastAsiaTheme="minorEastAsia" w:cstheme="minorEastAsia"/>
          <w:bCs/>
          <w:kern w:val="0"/>
          <w:sz w:val="24"/>
        </w:rPr>
        <w:t>mm，不影响日常通风。</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rPr>
        <w:t>1.3</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lang w:val="en-US" w:eastAsia="zh-CN"/>
        </w:rPr>
        <w:t xml:space="preserve"> 材料标准：所有材料进场前，供应商应提供样品供采购人封样确认。所有进场材料必须与确认样品一致，未经封样确认的材料不得用于本安装服务项目。</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 xml:space="preserve">1.4、 </w:t>
      </w:r>
      <w:r>
        <w:rPr>
          <w:rFonts w:hint="eastAsia" w:asciiTheme="minorEastAsia" w:hAnsiTheme="minorEastAsia" w:eastAsiaTheme="minorEastAsia" w:cstheme="minorEastAsia"/>
          <w:bCs/>
          <w:kern w:val="0"/>
          <w:sz w:val="24"/>
        </w:rPr>
        <w:t>安装工艺</w:t>
      </w:r>
      <w:r>
        <w:rPr>
          <w:rFonts w:hint="eastAsia" w:asciiTheme="minorEastAsia" w:hAnsiTheme="minorEastAsia" w:eastAsiaTheme="minorEastAsia" w:cstheme="minorEastAsia"/>
          <w:bCs/>
          <w:kern w:val="0"/>
          <w:sz w:val="24"/>
          <w:lang w:val="en-US" w:eastAsia="zh-CN"/>
        </w:rPr>
        <w:t>：严格遵循“框高扇低、侧方定位”原则，确保受力合理、不破坏原有窗体结构；</w:t>
      </w:r>
      <w:r>
        <w:rPr>
          <w:rFonts w:hint="eastAsia" w:asciiTheme="minorEastAsia" w:hAnsiTheme="minorEastAsia" w:eastAsiaTheme="minorEastAsia" w:cstheme="minorEastAsia"/>
          <w:bCs/>
          <w:kern w:val="0"/>
          <w:sz w:val="24"/>
          <w:highlight w:val="yellow"/>
          <w:lang w:val="en-US" w:eastAsia="zh-CN"/>
        </w:rPr>
        <w:t>所有固定底座（采用欧标款或23槽款）为铝合金材质</w:t>
      </w:r>
      <w:r>
        <w:rPr>
          <w:rFonts w:hint="eastAsia" w:asciiTheme="minorEastAsia" w:hAnsiTheme="minorEastAsia" w:eastAsiaTheme="minorEastAsia" w:cstheme="minorEastAsia"/>
          <w:bCs/>
          <w:kern w:val="0"/>
          <w:sz w:val="24"/>
          <w:lang w:val="en-US" w:eastAsia="zh-CN"/>
        </w:rPr>
        <w:t>，固定底座还需结构胶固定在窗框上。</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rPr>
        <w:t>　逃生/救援窗限位装置</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rPr>
        <w:t>2.1</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lang w:val="en-US" w:eastAsia="zh-CN"/>
        </w:rPr>
        <w:t>需医院保卫科进行系统性指导安装、确定款式，确保消防安全。</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rPr>
        <w:t>2.2</w:t>
      </w:r>
      <w:r>
        <w:rPr>
          <w:rFonts w:hint="eastAsia" w:asciiTheme="minorEastAsia" w:hAnsiTheme="minorEastAsia" w:eastAsiaTheme="minorEastAsia" w:cstheme="minorEastAsia"/>
          <w:bCs/>
          <w:kern w:val="0"/>
          <w:sz w:val="24"/>
          <w:lang w:eastAsia="zh-CN"/>
        </w:rPr>
        <w:t>、</w:t>
      </w:r>
      <w:r>
        <w:rPr>
          <w:rFonts w:hint="eastAsia" w:asciiTheme="minorEastAsia" w:hAnsiTheme="minorEastAsia" w:eastAsiaTheme="minorEastAsia" w:cstheme="minorEastAsia"/>
          <w:bCs/>
          <w:kern w:val="0"/>
          <w:sz w:val="24"/>
          <w:lang w:val="en-US" w:eastAsia="zh-CN"/>
        </w:rPr>
        <w:t>严格按湘安办函【2026】385号《湖南省安全生产委员会办公室 关于开展“拆窗破网”回头看工作的通知》执行。</w:t>
      </w:r>
    </w:p>
    <w:p>
      <w:pPr>
        <w:spacing w:line="360" w:lineRule="auto"/>
        <w:ind w:firstLine="482" w:firstLineChars="200"/>
        <w:jc w:val="center"/>
        <w:rPr>
          <w:rFonts w:hint="eastAsia" w:asciiTheme="minorEastAsia" w:hAnsiTheme="minorEastAsia" w:eastAsiaTheme="minorEastAsia" w:cstheme="minorEastAsia"/>
          <w:b/>
          <w:bCs w:val="0"/>
          <w:kern w:val="0"/>
          <w:sz w:val="24"/>
          <w:lang w:val="en-US" w:eastAsia="zh-CN"/>
        </w:rPr>
      </w:pPr>
      <w:r>
        <w:rPr>
          <w:rFonts w:hint="eastAsia" w:asciiTheme="minorEastAsia" w:hAnsiTheme="minorEastAsia" w:eastAsiaTheme="minorEastAsia" w:cstheme="minorEastAsia"/>
          <w:b/>
          <w:bCs w:val="0"/>
          <w:kern w:val="0"/>
          <w:sz w:val="24"/>
          <w:lang w:val="en-US" w:eastAsia="zh-CN"/>
        </w:rPr>
        <w:t>固定综合单价明细表（投标时统一报价，综合单价固定不变）</w:t>
      </w:r>
    </w:p>
    <w:tbl>
      <w:tblPr>
        <w:tblStyle w:val="16"/>
        <w:tblW w:w="88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4"/>
        <w:gridCol w:w="1682"/>
        <w:gridCol w:w="1740"/>
        <w:gridCol w:w="1570"/>
        <w:gridCol w:w="3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Ex>
        <w:trPr>
          <w:trHeight w:val="0" w:hRule="atLeast"/>
          <w:tblHeader/>
          <w:jc w:val="center"/>
        </w:trPr>
        <w:tc>
          <w:tcPr>
            <w:tcW w:w="704" w:type="dxa"/>
            <w:shd w:val="clear" w:color="auto" w:fill="auto"/>
            <w:tcMar>
              <w:top w:w="40" w:type="dxa"/>
              <w:left w:w="80" w:type="dxa"/>
              <w:bottom w:w="40" w:type="dxa"/>
              <w:right w:w="80" w:type="dxa"/>
            </w:tcMar>
            <w:vAlign w:val="center"/>
          </w:tcPr>
          <w:p>
            <w:pPr>
              <w:spacing w:line="360" w:lineRule="auto"/>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序号</w:t>
            </w:r>
          </w:p>
        </w:tc>
        <w:tc>
          <w:tcPr>
            <w:tcW w:w="1682" w:type="dxa"/>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产品名称</w:t>
            </w:r>
          </w:p>
        </w:tc>
        <w:tc>
          <w:tcPr>
            <w:tcW w:w="1740" w:type="dxa"/>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规格要求</w:t>
            </w:r>
          </w:p>
        </w:tc>
        <w:tc>
          <w:tcPr>
            <w:tcW w:w="1570" w:type="dxa"/>
            <w:shd w:val="clear" w:color="auto" w:fill="auto"/>
            <w:tcMar>
              <w:top w:w="40" w:type="dxa"/>
              <w:left w:w="80" w:type="dxa"/>
              <w:bottom w:w="40" w:type="dxa"/>
              <w:right w:w="80" w:type="dxa"/>
            </w:tcMar>
            <w:vAlign w:val="center"/>
          </w:tcPr>
          <w:p>
            <w:pPr>
              <w:spacing w:line="360" w:lineRule="auto"/>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固定综合单价</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（元/套）</w:t>
            </w:r>
          </w:p>
        </w:tc>
        <w:tc>
          <w:tcPr>
            <w:tcW w:w="3160" w:type="dxa"/>
            <w:shd w:val="clear" w:color="auto" w:fill="auto"/>
            <w:tcMar>
              <w:top w:w="40" w:type="dxa"/>
              <w:left w:w="80" w:type="dxa"/>
              <w:bottom w:w="40" w:type="dxa"/>
              <w:right w:w="80" w:type="dxa"/>
            </w:tcMar>
            <w:vAlign w:val="center"/>
          </w:tcPr>
          <w:p>
            <w:pPr>
              <w:spacing w:line="360" w:lineRule="auto"/>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30" w:hRule="atLeast"/>
          <w:jc w:val="center"/>
        </w:trPr>
        <w:tc>
          <w:tcPr>
            <w:tcW w:w="704" w:type="dxa"/>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1</w:t>
            </w:r>
          </w:p>
        </w:tc>
        <w:tc>
          <w:tcPr>
            <w:tcW w:w="1682" w:type="dxa"/>
            <w:shd w:val="clear" w:color="auto" w:fill="auto"/>
            <w:tcMar>
              <w:top w:w="40" w:type="dxa"/>
              <w:left w:w="80" w:type="dxa"/>
              <w:bottom w:w="40" w:type="dxa"/>
              <w:right w:w="80" w:type="dxa"/>
            </w:tcMar>
            <w:vAlign w:val="center"/>
          </w:tcPr>
          <w:p>
            <w:pPr>
              <w:spacing w:line="360" w:lineRule="auto"/>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普通外窗铝合金钢丝绳限位器</w:t>
            </w:r>
          </w:p>
        </w:tc>
        <w:tc>
          <w:tcPr>
            <w:tcW w:w="1740" w:type="dxa"/>
            <w:shd w:val="clear" w:color="auto" w:fill="auto"/>
            <w:tcMar>
              <w:top w:w="40" w:type="dxa"/>
              <w:left w:w="80" w:type="dxa"/>
              <w:bottom w:w="40" w:type="dxa"/>
              <w:right w:w="80" w:type="dxa"/>
            </w:tcMar>
            <w:vAlign w:val="center"/>
          </w:tcPr>
          <w:p>
            <w:pPr>
              <w:spacing w:line="360" w:lineRule="auto"/>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highlight w:val="yellow"/>
                <w:lang w:val="en-US" w:eastAsia="zh-CN"/>
              </w:rPr>
              <w:t>304不锈钢</w:t>
            </w:r>
            <w:r>
              <w:rPr>
                <w:rFonts w:hint="eastAsia" w:asciiTheme="minorEastAsia" w:hAnsiTheme="minorEastAsia" w:eastAsiaTheme="minorEastAsia" w:cstheme="minorEastAsia"/>
                <w:bCs/>
                <w:kern w:val="0"/>
                <w:sz w:val="24"/>
                <w:lang w:val="en-US" w:eastAsia="zh-CN"/>
              </w:rPr>
              <w:t>钢丝绳直径≥3mm，铝合金连接件</w:t>
            </w:r>
            <w:r>
              <w:rPr>
                <w:rFonts w:hint="eastAsia" w:asciiTheme="minorEastAsia" w:hAnsiTheme="minorEastAsia" w:eastAsiaTheme="minorEastAsia" w:cstheme="minorEastAsia"/>
                <w:bCs/>
                <w:kern w:val="0"/>
                <w:sz w:val="24"/>
                <w:highlight w:val="yellow"/>
                <w:lang w:val="en-US" w:eastAsia="zh-CN"/>
              </w:rPr>
              <w:t>（采用欧标款或23槽款）</w:t>
            </w:r>
          </w:p>
        </w:tc>
        <w:tc>
          <w:tcPr>
            <w:tcW w:w="1570" w:type="dxa"/>
            <w:vMerge w:val="restart"/>
            <w:shd w:val="clear" w:color="auto" w:fill="auto"/>
            <w:tcMar>
              <w:top w:w="40" w:type="dxa"/>
              <w:left w:w="80" w:type="dxa"/>
              <w:bottom w:w="40" w:type="dxa"/>
              <w:right w:w="80" w:type="dxa"/>
            </w:tcMar>
            <w:vAlign w:val="center"/>
          </w:tcPr>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 xml:space="preserve">           </w:t>
            </w:r>
          </w:p>
        </w:tc>
        <w:tc>
          <w:tcPr>
            <w:tcW w:w="3160" w:type="dxa"/>
            <w:vMerge w:val="restart"/>
            <w:shd w:val="clear" w:color="auto" w:fill="auto"/>
            <w:tcMar>
              <w:top w:w="40" w:type="dxa"/>
              <w:left w:w="80" w:type="dxa"/>
              <w:bottom w:w="40" w:type="dxa"/>
              <w:right w:w="80" w:type="dxa"/>
            </w:tcMar>
            <w:vAlign w:val="center"/>
          </w:tcPr>
          <w:p>
            <w:pPr>
              <w:spacing w:line="360" w:lineRule="auto"/>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1"/>
                <w:szCs w:val="21"/>
                <w:highlight w:val="yellow"/>
                <w:lang w:val="en-US" w:eastAsia="zh-CN"/>
              </w:rPr>
              <w:t>固定综合单价</w:t>
            </w:r>
            <w:r>
              <w:rPr>
                <w:rFonts w:hint="eastAsia" w:asciiTheme="minorEastAsia" w:hAnsiTheme="minorEastAsia" w:eastAsiaTheme="minorEastAsia" w:cstheme="minorEastAsia"/>
                <w:sz w:val="21"/>
                <w:szCs w:val="21"/>
                <w:highlight w:val="yellow"/>
                <w:lang w:val="en-US" w:eastAsia="zh-CN"/>
              </w:rPr>
              <w:t>：包含每套装置的设备费，</w:t>
            </w:r>
            <w:r>
              <w:rPr>
                <w:rFonts w:hint="eastAsia" w:asciiTheme="minorEastAsia" w:hAnsiTheme="minorEastAsia" w:eastAsiaTheme="minorEastAsia" w:cstheme="minorEastAsia"/>
                <w:sz w:val="21"/>
                <w:szCs w:val="21"/>
                <w:highlight w:val="yellow"/>
              </w:rPr>
              <w:t>钢</w:t>
            </w:r>
            <w:r>
              <w:rPr>
                <w:rFonts w:hint="eastAsia" w:asciiTheme="minorEastAsia" w:hAnsiTheme="minorEastAsia" w:eastAsiaTheme="minorEastAsia" w:cstheme="minorEastAsia"/>
                <w:sz w:val="21"/>
                <w:szCs w:val="21"/>
                <w:highlight w:val="yellow"/>
                <w:lang w:eastAsia="zh-CN"/>
              </w:rPr>
              <w:t>丝</w:t>
            </w:r>
            <w:r>
              <w:rPr>
                <w:rFonts w:hint="eastAsia" w:asciiTheme="minorEastAsia" w:hAnsiTheme="minorEastAsia" w:eastAsiaTheme="minorEastAsia" w:cstheme="minorEastAsia"/>
                <w:sz w:val="21"/>
                <w:szCs w:val="21"/>
                <w:highlight w:val="yellow"/>
              </w:rPr>
              <w:t>绳</w:t>
            </w:r>
            <w:r>
              <w:rPr>
                <w:rFonts w:hint="eastAsia" w:asciiTheme="minorEastAsia" w:hAnsiTheme="minorEastAsia" w:eastAsiaTheme="minorEastAsia" w:cstheme="minorEastAsia"/>
                <w:sz w:val="21"/>
                <w:szCs w:val="21"/>
                <w:highlight w:val="yellow"/>
                <w:lang w:val="en-US" w:eastAsia="zh-CN"/>
              </w:rPr>
              <w:t>、</w:t>
            </w:r>
            <w:r>
              <w:rPr>
                <w:rFonts w:hint="eastAsia" w:asciiTheme="minorEastAsia" w:hAnsiTheme="minorEastAsia" w:eastAsiaTheme="minorEastAsia" w:cstheme="minorEastAsia"/>
                <w:sz w:val="21"/>
                <w:szCs w:val="21"/>
                <w:highlight w:val="yellow"/>
              </w:rPr>
              <w:t>铝合金</w:t>
            </w:r>
            <w:r>
              <w:rPr>
                <w:rFonts w:hint="eastAsia" w:asciiTheme="minorEastAsia" w:hAnsiTheme="minorEastAsia" w:eastAsiaTheme="minorEastAsia" w:cstheme="minorEastAsia"/>
                <w:sz w:val="21"/>
                <w:szCs w:val="21"/>
                <w:highlight w:val="yellow"/>
                <w:lang w:val="en-US" w:eastAsia="zh-CN"/>
              </w:rPr>
              <w:t>连接件及辅材费、人工费、运输装卸费、安装</w:t>
            </w:r>
            <w:r>
              <w:rPr>
                <w:rFonts w:hint="eastAsia" w:asciiTheme="minorEastAsia" w:hAnsiTheme="minorEastAsia" w:eastAsiaTheme="minorEastAsia" w:cstheme="minorEastAsia"/>
                <w:color w:val="0000FF"/>
                <w:sz w:val="21"/>
                <w:szCs w:val="21"/>
                <w:highlight w:val="yellow"/>
                <w:lang w:val="en-US" w:eastAsia="zh-CN"/>
              </w:rPr>
              <w:t>服务</w:t>
            </w:r>
            <w:r>
              <w:rPr>
                <w:rFonts w:hint="eastAsia" w:asciiTheme="minorEastAsia" w:hAnsiTheme="minorEastAsia" w:eastAsiaTheme="minorEastAsia" w:cstheme="minorEastAsia"/>
                <w:sz w:val="21"/>
                <w:szCs w:val="21"/>
                <w:highlight w:val="yellow"/>
                <w:lang w:val="en-US" w:eastAsia="zh-CN"/>
              </w:rPr>
              <w:t>费、高空作业措施费、检测验收费、税费、质保期内所有维保费</w:t>
            </w:r>
            <w:r>
              <w:rPr>
                <w:rFonts w:hint="eastAsia" w:asciiTheme="minorEastAsia" w:hAnsiTheme="minorEastAsia" w:eastAsiaTheme="minorEastAsia" w:cstheme="minorEastAsia"/>
                <w:sz w:val="21"/>
                <w:szCs w:val="21"/>
                <w:highlight w:val="yellow"/>
                <w:lang w:eastAsia="zh-CN"/>
              </w:rPr>
              <w:t>、</w:t>
            </w:r>
            <w:r>
              <w:rPr>
                <w:rFonts w:hint="eastAsia" w:asciiTheme="minorEastAsia" w:hAnsiTheme="minorEastAsia" w:eastAsiaTheme="minorEastAsia" w:cstheme="minorEastAsia"/>
                <w:sz w:val="21"/>
                <w:szCs w:val="21"/>
                <w:highlight w:val="yellow"/>
                <w:lang w:val="en-US" w:eastAsia="zh-CN"/>
              </w:rPr>
              <w:t>人员保险费及乙方为完成本</w:t>
            </w:r>
            <w:r>
              <w:rPr>
                <w:rFonts w:hint="eastAsia" w:asciiTheme="minorEastAsia" w:hAnsiTheme="minorEastAsia" w:eastAsiaTheme="minorEastAsia" w:cstheme="minorEastAsia"/>
                <w:color w:val="0000FF"/>
                <w:sz w:val="21"/>
                <w:szCs w:val="21"/>
                <w:highlight w:val="yellow"/>
                <w:lang w:val="en-US" w:eastAsia="zh-CN"/>
              </w:rPr>
              <w:t>服务</w:t>
            </w:r>
            <w:r>
              <w:rPr>
                <w:rFonts w:hint="eastAsia" w:asciiTheme="minorEastAsia" w:hAnsiTheme="minorEastAsia" w:eastAsiaTheme="minorEastAsia" w:cstheme="minorEastAsia"/>
                <w:sz w:val="21"/>
                <w:szCs w:val="21"/>
                <w:highlight w:val="yellow"/>
                <w:lang w:val="en-US" w:eastAsia="zh-CN"/>
              </w:rPr>
              <w:t>所需的一切费用。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01" w:hRule="atLeast"/>
          <w:jc w:val="center"/>
        </w:trPr>
        <w:tc>
          <w:tcPr>
            <w:tcW w:w="704" w:type="dxa"/>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2</w:t>
            </w:r>
          </w:p>
        </w:tc>
        <w:tc>
          <w:tcPr>
            <w:tcW w:w="1682" w:type="dxa"/>
            <w:shd w:val="clear" w:color="auto" w:fill="auto"/>
            <w:tcMar>
              <w:top w:w="40" w:type="dxa"/>
              <w:left w:w="80" w:type="dxa"/>
              <w:bottom w:w="40" w:type="dxa"/>
              <w:right w:w="80" w:type="dxa"/>
            </w:tcMar>
            <w:vAlign w:val="center"/>
          </w:tcPr>
          <w:p>
            <w:pPr>
              <w:spacing w:line="360" w:lineRule="auto"/>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逃生/救援窗快拆限位器</w:t>
            </w:r>
          </w:p>
        </w:tc>
        <w:tc>
          <w:tcPr>
            <w:tcW w:w="1740" w:type="dxa"/>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同上+快拆功能</w:t>
            </w:r>
          </w:p>
        </w:tc>
        <w:tc>
          <w:tcPr>
            <w:tcW w:w="1570" w:type="dxa"/>
            <w:vMerge w:val="continue"/>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p>
        </w:tc>
        <w:tc>
          <w:tcPr>
            <w:tcW w:w="3160" w:type="dxa"/>
            <w:vMerge w:val="continue"/>
            <w:shd w:val="clear" w:color="auto" w:fill="auto"/>
            <w:tcMar>
              <w:top w:w="40" w:type="dxa"/>
              <w:left w:w="80" w:type="dxa"/>
              <w:bottom w:w="40" w:type="dxa"/>
              <w:right w:w="80" w:type="dxa"/>
            </w:tcMar>
            <w:vAlign w:val="center"/>
          </w:tcPr>
          <w:p>
            <w:pPr>
              <w:spacing w:line="360" w:lineRule="auto"/>
              <w:ind w:firstLine="480" w:firstLineChars="200"/>
              <w:rPr>
                <w:rFonts w:hint="eastAsia" w:asciiTheme="minorEastAsia" w:hAnsiTheme="minorEastAsia" w:eastAsiaTheme="minorEastAsia" w:cstheme="minorEastAsia"/>
                <w:bCs/>
                <w:kern w:val="0"/>
                <w:sz w:val="24"/>
                <w:lang w:val="en-US" w:eastAsia="zh-CN"/>
              </w:rPr>
            </w:pPr>
          </w:p>
        </w:tc>
      </w:tr>
    </w:tbl>
    <w:p>
      <w:pPr>
        <w:spacing w:line="360" w:lineRule="auto"/>
        <w:ind w:firstLine="480" w:firstLineChars="200"/>
        <w:rPr>
          <w:rFonts w:hint="eastAsia" w:asciiTheme="minorEastAsia" w:hAnsiTheme="minorEastAsia" w:eastAsiaTheme="minorEastAsia" w:cstheme="minorEastAsia"/>
          <w:bCs/>
          <w:kern w:val="0"/>
          <w:sz w:val="24"/>
          <w:lang w:val="en-US" w:eastAsia="zh-CN"/>
        </w:rPr>
      </w:pP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3、特定资格条件：</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3.1、主体资格：供应商须为在中华人民共和国境内依法注册登记、具有独立承担民事责任能力的法人或其他组织，持有合法有效的营业执照，且经营范围须涵盖建筑装修装饰、金属门窗（含门窗配件）安装等与本项目相关的业务内容。</w:t>
      </w:r>
    </w:p>
    <w:p>
      <w:pPr>
        <w:spacing w:line="360" w:lineRule="auto"/>
        <w:ind w:firstLine="480" w:firstLineChars="200"/>
        <w:rPr>
          <w:rFonts w:hint="eastAsia" w:asciiTheme="minorEastAsia" w:hAnsiTheme="minorEastAsia" w:eastAsiaTheme="minorEastAsia" w:cstheme="minorEastAsia"/>
          <w:bCs/>
          <w:color w:val="FF0000"/>
          <w:kern w:val="0"/>
          <w:sz w:val="24"/>
          <w:lang w:val="en-US" w:eastAsia="zh-CN"/>
        </w:rPr>
      </w:pPr>
      <w:r>
        <w:rPr>
          <w:rFonts w:hint="eastAsia" w:asciiTheme="minorEastAsia" w:hAnsiTheme="minorEastAsia" w:eastAsiaTheme="minorEastAsia" w:cstheme="minorEastAsia"/>
          <w:bCs/>
          <w:color w:val="FF0000"/>
          <w:kern w:val="0"/>
          <w:sz w:val="24"/>
          <w:lang w:val="en-US" w:eastAsia="zh-CN"/>
        </w:rPr>
        <w:t>3.2、产品与质量保障能力：供应商所提供的限位装置产品须具备合法有效的产品合格证及材质证明文件，铝合金材质必须可提供材质检测（证明）材料；供应商应具备与本项目实施规模相适应的供货、安装及售后维保能力，能够按采购人要求及时组织供货并完成安装。</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4、商务要求：</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default" w:asciiTheme="minorEastAsia" w:hAnsiTheme="minorEastAsia" w:eastAsiaTheme="minorEastAsia" w:cstheme="minorEastAsia"/>
          <w:bCs/>
          <w:kern w:val="0"/>
          <w:sz w:val="24"/>
          <w:lang w:val="en-US" w:eastAsia="zh-CN"/>
        </w:rPr>
        <w:t>4.1</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报价方式：固定综合单价包干，按实际验收合格数量结算。固定综合单价包含每套装置的设备费，钢丝绳、铝合金连接件及辅材费、人工费、运输装卸费、安装施工费、高空作业措施费、检测验收费、税费、质保期内所有维保费、人员保险费及供应商为完成本工程所需的一切费用，合同有效期内固定综合单价不作调整。</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default" w:asciiTheme="minorEastAsia" w:hAnsiTheme="minorEastAsia" w:eastAsiaTheme="minorEastAsia" w:cstheme="minorEastAsia"/>
          <w:bCs/>
          <w:kern w:val="0"/>
          <w:sz w:val="24"/>
          <w:lang w:val="en-US" w:eastAsia="zh-CN"/>
        </w:rPr>
        <w:t>4.2</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施工要求：遵守医院各项规章制度，做好成品保护及环境卫生，设置安全警示标识；施工人员应具备相应资质，高空作业持证上岗，并购买人身意外伤害保险；施工时间应避开诊疗高峰。</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default" w:asciiTheme="minorEastAsia" w:hAnsiTheme="minorEastAsia" w:eastAsiaTheme="minorEastAsia" w:cstheme="minorEastAsia"/>
          <w:bCs/>
          <w:kern w:val="0"/>
          <w:sz w:val="24"/>
          <w:lang w:val="en-US" w:eastAsia="zh-CN"/>
        </w:rPr>
        <w:t>4.3</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 xml:space="preserve"> 服务期限：30个日历天，自合同签订之日起至供应商（服务单位）完成所有限位器安装并经采购方总体验收合格之日止。</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default" w:asciiTheme="minorEastAsia" w:hAnsiTheme="minorEastAsia" w:eastAsiaTheme="minorEastAsia" w:cstheme="minorEastAsia"/>
          <w:bCs/>
          <w:kern w:val="0"/>
          <w:sz w:val="24"/>
          <w:lang w:val="en-US" w:eastAsia="zh-CN"/>
        </w:rPr>
        <w:t>4.4</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质保及售后：自整体验收合格之日起不少于24个月免费质保期；质保期内非人为损坏，须在接到报修后24小时内响应并免费更换维修。</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5、验收标准：</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5</w:t>
      </w:r>
      <w:r>
        <w:rPr>
          <w:rFonts w:hint="default" w:asciiTheme="minorEastAsia" w:hAnsiTheme="minorEastAsia" w:eastAsiaTheme="minorEastAsia" w:cstheme="minorEastAsia"/>
          <w:bCs/>
          <w:kern w:val="0"/>
          <w:sz w:val="24"/>
          <w:lang w:val="en-US" w:eastAsia="zh-CN"/>
        </w:rPr>
        <w:t>.1</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逐窗进行拉力测试及限位宽度测量，确保钢丝绳无松动、窗扇开启宽度≤150mm</w:t>
      </w:r>
      <w:r>
        <w:rPr>
          <w:rFonts w:hint="eastAsia" w:asciiTheme="minorEastAsia" w:hAnsiTheme="minorEastAsia" w:eastAsiaTheme="minorEastAsia" w:cstheme="minorEastAsia"/>
          <w:bCs/>
          <w:kern w:val="0"/>
          <w:sz w:val="24"/>
          <w:highlight w:val="yellow"/>
          <w:lang w:val="en-US" w:eastAsia="zh-CN"/>
        </w:rPr>
        <w:t>（儿科诊室、病房、保健限宽</w:t>
      </w:r>
      <w:r>
        <w:rPr>
          <w:rFonts w:hint="default" w:asciiTheme="minorEastAsia" w:hAnsiTheme="minorEastAsia" w:eastAsiaTheme="minorEastAsia" w:cstheme="minorEastAsia"/>
          <w:bCs/>
          <w:kern w:val="0"/>
          <w:sz w:val="24"/>
          <w:highlight w:val="yellow"/>
          <w:lang w:val="en-US" w:eastAsia="zh-CN"/>
        </w:rPr>
        <w:t>≤1</w:t>
      </w:r>
      <w:r>
        <w:rPr>
          <w:rFonts w:hint="eastAsia" w:asciiTheme="minorEastAsia" w:hAnsiTheme="minorEastAsia" w:eastAsiaTheme="minorEastAsia" w:cstheme="minorEastAsia"/>
          <w:bCs/>
          <w:kern w:val="0"/>
          <w:sz w:val="24"/>
          <w:highlight w:val="yellow"/>
          <w:lang w:val="en-US" w:eastAsia="zh-CN"/>
        </w:rPr>
        <w:t>0</w:t>
      </w:r>
      <w:r>
        <w:rPr>
          <w:rFonts w:hint="default" w:asciiTheme="minorEastAsia" w:hAnsiTheme="minorEastAsia" w:eastAsiaTheme="minorEastAsia" w:cstheme="minorEastAsia"/>
          <w:bCs/>
          <w:kern w:val="0"/>
          <w:sz w:val="24"/>
          <w:highlight w:val="yellow"/>
          <w:lang w:val="en-US" w:eastAsia="zh-CN"/>
        </w:rPr>
        <w:t>0mm</w:t>
      </w:r>
      <w:r>
        <w:rPr>
          <w:rFonts w:hint="eastAsia" w:asciiTheme="minorEastAsia" w:hAnsiTheme="minorEastAsia" w:eastAsiaTheme="minorEastAsia" w:cstheme="minorEastAsia"/>
          <w:bCs/>
          <w:kern w:val="0"/>
          <w:sz w:val="24"/>
          <w:highlight w:val="yellow"/>
          <w:lang w:val="en-US" w:eastAsia="zh-CN"/>
        </w:rPr>
        <w:t>）</w:t>
      </w:r>
      <w:r>
        <w:rPr>
          <w:rFonts w:hint="default" w:asciiTheme="minorEastAsia" w:hAnsiTheme="minorEastAsia" w:eastAsiaTheme="minorEastAsia" w:cstheme="minorEastAsia"/>
          <w:bCs/>
          <w:kern w:val="0"/>
          <w:sz w:val="24"/>
          <w:lang w:val="en-US" w:eastAsia="zh-CN"/>
        </w:rPr>
        <w:t>。</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5</w:t>
      </w:r>
      <w:r>
        <w:rPr>
          <w:rFonts w:hint="default" w:asciiTheme="minorEastAsia" w:hAnsiTheme="minorEastAsia" w:eastAsiaTheme="minorEastAsia" w:cstheme="minorEastAsia"/>
          <w:bCs/>
          <w:kern w:val="0"/>
          <w:sz w:val="24"/>
          <w:lang w:val="en-US" w:eastAsia="zh-CN"/>
        </w:rPr>
        <w:t>.2</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提供完整的产品合格证、材质证明及安装清单；验收不合格的不予计量，由供应商无条件整改后重新报验。</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5</w:t>
      </w:r>
      <w:r>
        <w:rPr>
          <w:rFonts w:hint="default" w:asciiTheme="minorEastAsia" w:hAnsiTheme="minorEastAsia" w:eastAsiaTheme="minorEastAsia" w:cstheme="minorEastAsia"/>
          <w:bCs/>
          <w:kern w:val="0"/>
          <w:sz w:val="24"/>
          <w:lang w:val="en-US" w:eastAsia="zh-CN"/>
        </w:rPr>
        <w:t>.3</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结算数量以甲方建设管理科与保卫科签字确认、建设管理科和监审科复核、双方共同验收通过的实际安装合格数量为准，做到一窗一记录、账实可溯源。</w:t>
      </w:r>
    </w:p>
    <w:p>
      <w:pPr>
        <w:spacing w:line="360" w:lineRule="auto"/>
        <w:ind w:firstLine="480" w:firstLineChars="200"/>
        <w:rPr>
          <w:rFonts w:hint="eastAsia"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6、上限控制价：</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6</w:t>
      </w:r>
      <w:r>
        <w:rPr>
          <w:rFonts w:hint="default" w:asciiTheme="minorEastAsia" w:hAnsiTheme="minorEastAsia" w:eastAsiaTheme="minorEastAsia" w:cstheme="minorEastAsia"/>
          <w:bCs/>
          <w:kern w:val="0"/>
          <w:sz w:val="24"/>
          <w:lang w:val="en-US" w:eastAsia="zh-CN"/>
        </w:rPr>
        <w:t>.1</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综合单价控制价12.2元/套，项目总概算约人民币16万元；该金额为概算值，不作为付款和结算的封顶依据，最终按实际验收合格数量乘以对应固定单价结算（扣减违约金）。</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6</w:t>
      </w:r>
      <w:r>
        <w:rPr>
          <w:rFonts w:hint="default" w:asciiTheme="minorEastAsia" w:hAnsiTheme="minorEastAsia" w:eastAsiaTheme="minorEastAsia" w:cstheme="minorEastAsia"/>
          <w:bCs/>
          <w:kern w:val="0"/>
          <w:sz w:val="24"/>
          <w:lang w:val="en-US" w:eastAsia="zh-CN"/>
        </w:rPr>
        <w:t>.2</w:t>
      </w:r>
      <w:r>
        <w:rPr>
          <w:rFonts w:hint="eastAsia" w:asciiTheme="minorEastAsia" w:hAnsiTheme="minorEastAsia" w:eastAsiaTheme="minorEastAsia" w:cstheme="minorEastAsia"/>
          <w:bCs/>
          <w:kern w:val="0"/>
          <w:sz w:val="24"/>
          <w:lang w:val="en-US" w:eastAsia="zh-CN"/>
        </w:rPr>
        <w:t>、</w:t>
      </w:r>
      <w:r>
        <w:rPr>
          <w:rFonts w:hint="default" w:asciiTheme="minorEastAsia" w:hAnsiTheme="minorEastAsia" w:eastAsiaTheme="minorEastAsia" w:cstheme="minorEastAsia"/>
          <w:bCs/>
          <w:kern w:val="0"/>
          <w:sz w:val="24"/>
          <w:lang w:val="en-US" w:eastAsia="zh-CN"/>
        </w:rPr>
        <w:t>项目实施后，可实现全院高层建筑外窗“防坠落+限位锁定”双重防护，在确保通风功能的前提下切实保障医患人身安全；长远看将显著节约维修经费，提升资产使用效能。</w:t>
      </w:r>
    </w:p>
    <w:p>
      <w:pPr>
        <w:spacing w:line="360" w:lineRule="auto"/>
        <w:ind w:firstLine="480" w:firstLineChars="200"/>
        <w:rPr>
          <w:rFonts w:hint="default" w:asciiTheme="minorEastAsia" w:hAnsiTheme="minorEastAsia" w:eastAsiaTheme="minorEastAsia" w:cstheme="minorEastAsia"/>
          <w:bCs/>
          <w:kern w:val="0"/>
          <w:sz w:val="24"/>
          <w:lang w:val="en-US" w:eastAsia="zh-CN"/>
        </w:rPr>
      </w:pPr>
      <w:r>
        <w:rPr>
          <w:rFonts w:hint="eastAsia" w:asciiTheme="minorEastAsia" w:hAnsiTheme="minorEastAsia" w:eastAsiaTheme="minorEastAsia" w:cstheme="minorEastAsia"/>
          <w:bCs/>
          <w:kern w:val="0"/>
          <w:sz w:val="24"/>
          <w:lang w:val="en-US" w:eastAsia="zh-CN"/>
        </w:rPr>
        <w:t>6.3、本项目投标人报价只报单价，超出单价控制价的视为无效投标，综合单价最低者为第一中标候选人</w:t>
      </w:r>
    </w:p>
    <w:p>
      <w:pPr>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br w:type="page"/>
      </w:r>
    </w:p>
    <w:p>
      <w:pPr>
        <w:pStyle w:val="14"/>
        <w:widowControl/>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三、标书要求</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1、封面：需注明标的名称、投标文件、单位、时间；</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2、“三证合一”或“五证合一”营业执照；</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3、投标人身份证复印件；</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4、如投标人不是法定代表人，须持法定代表人亲笔签名的授权委托书,并提供法定代表人身份证明和法定代表人身份证复印件，同时要求法定代表人在身份证复印件上注明用途及签全名。</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5、履行本项目所必需的资质证明；</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6、针对此项目的技术、服务方案；</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7、投标人认为需提供的其他和评审有关的资料；</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8、投标文件的每一页都必须加盖投标单位的公章；</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9、投标文件参数响应表中必须标注响应项佐证材料所对应页面。</w:t>
      </w:r>
    </w:p>
    <w:p>
      <w:pPr>
        <w:spacing w:line="360" w:lineRule="auto"/>
        <w:ind w:firstLine="480" w:firstLineChars="200"/>
        <w:rPr>
          <w:rFonts w:hint="eastAsia"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p>
    <w:p>
      <w:pPr>
        <w:spacing w:line="360" w:lineRule="auto"/>
        <w:ind w:firstLine="560" w:firstLineChars="200"/>
        <w:rPr>
          <w:rFonts w:asciiTheme="minorEastAsia" w:hAnsiTheme="minorEastAsia" w:eastAsiaTheme="minorEastAsia" w:cstheme="minorEastAsia"/>
          <w:bCs/>
          <w:kern w:val="0"/>
          <w:sz w:val="28"/>
          <w:szCs w:val="28"/>
        </w:rPr>
      </w:pPr>
    </w:p>
    <w:p>
      <w:pPr>
        <w:spacing w:line="360" w:lineRule="auto"/>
        <w:ind w:firstLine="560" w:firstLineChars="200"/>
        <w:rPr>
          <w:rFonts w:hint="eastAsia"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四、合同</w:t>
      </w:r>
    </w:p>
    <w:p>
      <w:pPr>
        <w:spacing w:line="380" w:lineRule="exact"/>
      </w:pPr>
      <w:r>
        <w:rPr>
          <w:rFonts w:hint="eastAsia" w:ascii="宋体" w:hAnsi="宋体" w:cs="宋体"/>
          <w:sz w:val="24"/>
        </w:rPr>
        <w:t xml:space="preserve">                 </w:t>
      </w:r>
      <w:r>
        <w:rPr>
          <w:rFonts w:hint="eastAsia" w:ascii="仿宋_GB2312" w:eastAsia="仿宋_GB2312" w:cs="仿宋_GB2312"/>
          <w:bCs/>
          <w:kern w:val="0"/>
          <w:sz w:val="28"/>
          <w:szCs w:val="28"/>
        </w:rPr>
        <w:t xml:space="preserve">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jc w:val="center"/>
        <w:textAlignment w:val="auto"/>
        <w:rPr>
          <w:rFonts w:hint="eastAsia" w:ascii="方正小标宋简体" w:hAnsi="方正小标宋简体" w:eastAsia="方正小标宋简体" w:cs="方正小标宋简体"/>
          <w:b/>
          <w:bCs/>
          <w:color w:val="1A1A1A"/>
          <w:sz w:val="30"/>
          <w:szCs w:val="30"/>
          <w:highlight w:val="none"/>
        </w:rPr>
      </w:pPr>
      <w:r>
        <w:rPr>
          <w:rFonts w:hint="eastAsia" w:ascii="仿宋_GB2312" w:hAnsi="仿宋_GB2312" w:eastAsia="仿宋_GB2312" w:cs="仿宋_GB2312"/>
          <w:color w:val="auto"/>
          <w:sz w:val="24"/>
          <w:szCs w:val="24"/>
          <w:highlight w:val="none"/>
          <w:u w:val="none"/>
          <w:lang w:val="en-US" w:eastAsia="zh-CN"/>
        </w:rPr>
        <w:t xml:space="preserve">    </w:t>
      </w:r>
      <w:r>
        <w:rPr>
          <w:rFonts w:hint="eastAsia" w:ascii="方正小标宋简体" w:hAnsi="方正小标宋简体" w:eastAsia="方正小标宋简体" w:cs="方正小标宋简体"/>
          <w:b w:val="0"/>
          <w:bCs w:val="0"/>
          <w:color w:val="1A1A1A"/>
          <w:sz w:val="30"/>
          <w:szCs w:val="30"/>
          <w:highlight w:val="none"/>
          <w:lang w:eastAsia="zh-CN"/>
        </w:rPr>
        <w:t>娄底市中心医院建筑物外窗安全限位装置升级安装</w:t>
      </w:r>
      <w:r>
        <w:rPr>
          <w:rFonts w:hint="eastAsia" w:ascii="方正小标宋简体" w:hAnsi="方正小标宋简体" w:eastAsia="方正小标宋简体" w:cs="方正小标宋简体"/>
          <w:b w:val="0"/>
          <w:bCs w:val="0"/>
          <w:color w:val="0000FF"/>
          <w:sz w:val="30"/>
          <w:szCs w:val="30"/>
          <w:highlight w:val="none"/>
          <w:lang w:val="en-US" w:eastAsia="zh-CN"/>
        </w:rPr>
        <w:t>服务</w:t>
      </w:r>
      <w:r>
        <w:rPr>
          <w:rFonts w:hint="eastAsia" w:ascii="方正小标宋简体" w:hAnsi="方正小标宋简体" w:eastAsia="方正小标宋简体" w:cs="方正小标宋简体"/>
          <w:b w:val="0"/>
          <w:bCs w:val="0"/>
          <w:color w:val="1A1A1A"/>
          <w:sz w:val="30"/>
          <w:szCs w:val="30"/>
          <w:highlight w:val="none"/>
        </w:rPr>
        <w:t>合同</w:t>
      </w:r>
      <w:bookmarkStart w:id="1" w:name="第一章-合同协议书"/>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eastAsia="zh-CN"/>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eastAsia="zh-CN"/>
        </w:rPr>
        <w:t>委托方（甲方）：娄底市中心医院</w:t>
      </w:r>
      <w:r>
        <w:rPr>
          <w:rStyle w:val="19"/>
          <w:rFonts w:hint="eastAsia" w:asciiTheme="minorEastAsia" w:hAnsiTheme="minorEastAsia" w:eastAsiaTheme="minorEastAsia" w:cstheme="minorEastAsia"/>
          <w:b w:val="0"/>
          <w:bCs/>
          <w:color w:val="auto"/>
          <w:kern w:val="2"/>
          <w:sz w:val="24"/>
          <w:szCs w:val="24"/>
          <w:highlight w:val="none"/>
          <w:lang w:val="en-US" w:eastAsia="zh-CN"/>
        </w:rPr>
        <w:t xml:space="preserve">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val="en-US" w:eastAsia="zh-CN"/>
        </w:rPr>
        <w:t>法定代表人：杨吉军</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val="en-US" w:eastAsia="zh-CN"/>
        </w:rPr>
        <w:t>统一社会信用代码：12431300447162073W</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val="en-US" w:eastAsia="zh-CN"/>
        </w:rPr>
        <w:t>地址：湖南省娄底市娄星区长青中街51号</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eastAsia="zh-CN"/>
        </w:rPr>
        <w:t xml:space="preserve">受托方（乙方）： </w:t>
      </w:r>
      <w:r>
        <w:rPr>
          <w:rStyle w:val="19"/>
          <w:rFonts w:hint="eastAsia" w:asciiTheme="minorEastAsia" w:hAnsiTheme="minorEastAsia" w:eastAsiaTheme="minorEastAsia" w:cstheme="minorEastAsia"/>
          <w:b w:val="0"/>
          <w:bCs/>
          <w:color w:val="auto"/>
          <w:kern w:val="2"/>
          <w:sz w:val="24"/>
          <w:szCs w:val="24"/>
          <w:highlight w:val="none"/>
          <w:lang w:val="en-US" w:eastAsia="zh-CN"/>
        </w:rPr>
        <w:t xml:space="preserve">                      </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val="en-US" w:eastAsia="zh-CN"/>
        </w:rPr>
        <w:t>法定代表人：</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val="en-US" w:eastAsia="zh-CN"/>
        </w:rPr>
        <w:t>统一社会信用代码：</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val="en-US" w:eastAsia="zh-CN"/>
        </w:rPr>
      </w:pPr>
      <w:r>
        <w:rPr>
          <w:rStyle w:val="19"/>
          <w:rFonts w:hint="eastAsia" w:asciiTheme="minorEastAsia" w:hAnsiTheme="minorEastAsia" w:eastAsiaTheme="minorEastAsia" w:cstheme="minorEastAsia"/>
          <w:b w:val="0"/>
          <w:bCs/>
          <w:color w:val="auto"/>
          <w:kern w:val="2"/>
          <w:sz w:val="24"/>
          <w:szCs w:val="24"/>
          <w:highlight w:val="none"/>
          <w:lang w:val="en-US" w:eastAsia="zh-CN"/>
        </w:rPr>
        <w:t>地址：</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firstLine="0" w:firstLineChars="0"/>
        <w:jc w:val="both"/>
        <w:textAlignment w:val="auto"/>
        <w:rPr>
          <w:rStyle w:val="19"/>
          <w:rFonts w:hint="eastAsia" w:asciiTheme="minorEastAsia" w:hAnsiTheme="minorEastAsia" w:eastAsiaTheme="minorEastAsia" w:cstheme="minorEastAsia"/>
          <w:b w:val="0"/>
          <w:bCs/>
          <w:color w:val="auto"/>
          <w:kern w:val="2"/>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鉴于甲方为保障院区高层建筑外窗使用安全，消除因限位装置（风撑、限位器）老化失效带来的窗扇脱落及高空坠物隐患，</w:t>
      </w:r>
      <w:r>
        <w:rPr>
          <w:rFonts w:hint="eastAsia" w:asciiTheme="minorEastAsia" w:hAnsiTheme="minorEastAsia" w:eastAsiaTheme="minorEastAsia" w:cstheme="minorEastAsia"/>
          <w:b w:val="0"/>
          <w:bCs w:val="0"/>
          <w:color w:val="0000FF"/>
          <w:kern w:val="0"/>
          <w:sz w:val="24"/>
          <w:szCs w:val="24"/>
          <w:lang w:val="en-US" w:eastAsia="zh-CN" w:bidi="ar-SA"/>
        </w:rPr>
        <w:t>甲方通过</w:t>
      </w:r>
      <w:r>
        <w:rPr>
          <w:rFonts w:hint="eastAsia" w:asciiTheme="minorEastAsia" w:hAnsiTheme="minorEastAsia" w:eastAsiaTheme="minorEastAsia" w:cstheme="minorEastAsia"/>
          <w:b w:val="0"/>
          <w:bCs w:val="0"/>
          <w:color w:val="0000FF"/>
          <w:kern w:val="0"/>
          <w:sz w:val="24"/>
          <w:szCs w:val="24"/>
          <w:highlight w:val="none"/>
          <w:lang w:val="en-US" w:eastAsia="zh-CN" w:bidi="ar-SA"/>
        </w:rPr>
        <w:t>医院公开挂网方式</w:t>
      </w:r>
      <w:r>
        <w:rPr>
          <w:rFonts w:hint="eastAsia" w:asciiTheme="minorEastAsia" w:hAnsiTheme="minorEastAsia" w:eastAsiaTheme="minorEastAsia" w:cstheme="minorEastAsia"/>
          <w:b w:val="0"/>
          <w:bCs w:val="0"/>
          <w:color w:val="0000FF"/>
          <w:kern w:val="0"/>
          <w:sz w:val="24"/>
          <w:szCs w:val="24"/>
          <w:lang w:val="en-US" w:eastAsia="zh-CN" w:bidi="ar-SA"/>
        </w:rPr>
        <w:t>采购娄底市中心医院建筑物外窗安全限位装置升级安装服务，乙方为中标/中选供应商</w:t>
      </w:r>
      <w:r>
        <w:rPr>
          <w:rFonts w:hint="eastAsia" w:asciiTheme="minorEastAsia" w:hAnsiTheme="minorEastAsia" w:eastAsiaTheme="minorEastAsia" w:cstheme="minorEastAsia"/>
          <w:sz w:val="24"/>
          <w:szCs w:val="24"/>
          <w:highlight w:val="none"/>
          <w:lang w:val="en-US" w:eastAsia="zh-CN"/>
        </w:rPr>
        <w:t>。依照《中华人民共和国民法典》《中华人民共和国政府采购法》及相关法律、行政法规的规定，甲乙双方在自愿、平等、公平和诚实信用的基础上，经协商一致后达成如下条款，特订立本合同。</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jc w:val="both"/>
        <w:textAlignment w:val="auto"/>
        <w:rPr>
          <w:rFonts w:hint="eastAsia" w:asciiTheme="minorEastAsia" w:hAnsiTheme="minorEastAsia" w:eastAsiaTheme="minorEastAsia" w:cstheme="minorEastAsia"/>
          <w:sz w:val="24"/>
          <w:szCs w:val="24"/>
          <w:highlight w:val="none"/>
        </w:rPr>
      </w:pPr>
      <w:bookmarkStart w:id="2" w:name="工程概况"/>
      <w:r>
        <w:rPr>
          <w:rFonts w:hint="eastAsia" w:asciiTheme="minorEastAsia" w:hAnsiTheme="minorEastAsia" w:eastAsiaTheme="minorEastAsia" w:cstheme="minorEastAsia"/>
          <w:b/>
          <w:bCs/>
          <w:sz w:val="24"/>
          <w:szCs w:val="24"/>
          <w:highlight w:val="none"/>
          <w:lang w:val="en-US" w:eastAsia="zh-CN"/>
        </w:rPr>
        <w:t>第一条　定义与解释</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　“本项目”：指娄底市中心医院</w:t>
      </w:r>
      <w:r>
        <w:rPr>
          <w:rFonts w:hint="eastAsia" w:asciiTheme="minorEastAsia" w:hAnsiTheme="minorEastAsia" w:eastAsiaTheme="minorEastAsia" w:cstheme="minorEastAsia"/>
          <w:sz w:val="24"/>
          <w:szCs w:val="24"/>
          <w:highlight w:val="none"/>
          <w:lang w:eastAsia="zh-CN"/>
        </w:rPr>
        <w:t>建筑物外窗安全限位装置升级安装项目</w:t>
      </w:r>
      <w:r>
        <w:rPr>
          <w:rFonts w:hint="eastAsia" w:asciiTheme="minorEastAsia" w:hAnsiTheme="minorEastAsia" w:eastAsiaTheme="minorEastAsia" w:cstheme="minorEastAsia"/>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1.2　“固定综合单价”：指中标后双方确认、在合同有效期内固定不变的每套装置综合单价，包含本合同约定的一切费用。</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　“验收合格数量”</w:t>
      </w:r>
      <w:r>
        <w:rPr>
          <w:rFonts w:hint="eastAsia" w:asciiTheme="minorEastAsia" w:hAnsiTheme="minorEastAsia" w:eastAsiaTheme="minorEastAsia" w:cstheme="minorEastAsia"/>
          <w:color w:val="FF0000"/>
          <w:sz w:val="24"/>
          <w:szCs w:val="24"/>
          <w:highlight w:val="none"/>
          <w:lang w:val="en-US" w:eastAsia="zh-CN"/>
        </w:rPr>
        <w:t>指经甲方现场验收签字确认，并经甲方复核后，甲、乙双方共同确认验收合格的实际安装数量。</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jc w:val="both"/>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第二条　项目概况与服务范围</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2.1 项目名称： 娄底市中心医院</w:t>
      </w:r>
      <w:r>
        <w:rPr>
          <w:rFonts w:hint="eastAsia" w:asciiTheme="minorEastAsia" w:hAnsiTheme="minorEastAsia" w:eastAsiaTheme="minorEastAsia" w:cstheme="minorEastAsia"/>
          <w:sz w:val="24"/>
          <w:szCs w:val="24"/>
          <w:highlight w:val="none"/>
          <w:lang w:eastAsia="zh-CN"/>
        </w:rPr>
        <w:t>建筑物外窗安全限位装置升级安装项目</w:t>
      </w:r>
      <w:r>
        <w:rPr>
          <w:rFonts w:hint="eastAsia" w:asciiTheme="minorEastAsia" w:hAnsiTheme="minorEastAsia" w:eastAsiaTheme="minorEastAsia" w:cstheme="minorEastAsia"/>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2.2 </w:t>
      </w:r>
      <w:r>
        <w:rPr>
          <w:rFonts w:hint="eastAsia" w:asciiTheme="minorEastAsia" w:hAnsiTheme="minorEastAsia" w:eastAsiaTheme="minorEastAsia" w:cstheme="minorEastAsia"/>
          <w:color w:val="0000FF"/>
          <w:sz w:val="24"/>
          <w:szCs w:val="24"/>
          <w:highlight w:val="none"/>
          <w:lang w:val="en-US" w:eastAsia="zh-CN"/>
        </w:rPr>
        <w:t>服务范围</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color w:val="0000FF"/>
          <w:sz w:val="24"/>
          <w:szCs w:val="24"/>
          <w:highlight w:val="none"/>
          <w:lang w:val="en-US" w:eastAsia="zh-CN"/>
        </w:rPr>
        <w:t>甲方</w:t>
      </w:r>
      <w:r>
        <w:rPr>
          <w:rFonts w:hint="eastAsia" w:asciiTheme="minorEastAsia" w:hAnsiTheme="minorEastAsia" w:eastAsiaTheme="minorEastAsia" w:cstheme="minorEastAsia"/>
          <w:sz w:val="24"/>
          <w:szCs w:val="24"/>
          <w:highlight w:val="none"/>
          <w:lang w:val="en-US" w:eastAsia="zh-CN"/>
        </w:rPr>
        <w:t>A区、B区、E区、门诊楼、急诊医技楼、C区西栋</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color w:val="0000FF"/>
          <w:sz w:val="24"/>
          <w:szCs w:val="24"/>
          <w:highlight w:val="none"/>
          <w:lang w:val="en-US" w:eastAsia="zh-CN"/>
        </w:rPr>
        <w:t>D区</w:t>
      </w:r>
      <w:r>
        <w:rPr>
          <w:rFonts w:hint="eastAsia" w:asciiTheme="minorEastAsia" w:hAnsiTheme="minorEastAsia" w:eastAsiaTheme="minorEastAsia" w:cstheme="minorEastAsia"/>
          <w:sz w:val="24"/>
          <w:szCs w:val="24"/>
          <w:highlight w:val="none"/>
          <w:lang w:val="en-US" w:eastAsia="zh-CN"/>
        </w:rPr>
        <w:t>等二楼及以上区域外窗；具体楼栋及范围以甲方书面《安装任务通知单》为准。</w:t>
      </w:r>
      <w:bookmarkEnd w:id="2"/>
      <w:bookmarkStart w:id="3" w:name="承包范围"/>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第三条　产品技术规格、安装要求</w:t>
      </w:r>
      <w:r>
        <w:rPr>
          <w:rFonts w:hint="eastAsia" w:asciiTheme="minorEastAsia" w:hAnsiTheme="minorEastAsia" w:eastAsiaTheme="minorEastAsia" w:cstheme="minorEastAsia"/>
          <w:b/>
          <w:bCs/>
          <w:color w:val="FF0000"/>
          <w:sz w:val="24"/>
          <w:szCs w:val="24"/>
          <w:highlight w:val="none"/>
          <w:lang w:val="en-US" w:eastAsia="zh-CN"/>
        </w:rPr>
        <w:t>及验收方式、标准</w:t>
      </w:r>
    </w:p>
    <w:bookmarkEnd w:id="3"/>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bookmarkStart w:id="4" w:name="合同工期"/>
      <w:r>
        <w:rPr>
          <w:rFonts w:hint="eastAsia" w:asciiTheme="minorEastAsia" w:hAnsiTheme="minorEastAsia" w:eastAsiaTheme="minorEastAsia" w:cstheme="minorEastAsia"/>
          <w:sz w:val="24"/>
          <w:szCs w:val="24"/>
          <w:highlight w:val="none"/>
          <w:lang w:val="en-US" w:eastAsia="zh-CN"/>
        </w:rPr>
        <w:t>3.1　普通外窗限位装置：采用钢丝绳防坠限位器，钢丝绳直径≥3mm，两端连接件及紧固件须为</w:t>
      </w:r>
      <w:r>
        <w:rPr>
          <w:rFonts w:hint="eastAsia" w:asciiTheme="minorEastAsia" w:hAnsiTheme="minorEastAsia" w:eastAsiaTheme="minorEastAsia" w:cstheme="minorEastAsia"/>
          <w:sz w:val="24"/>
          <w:szCs w:val="24"/>
          <w:highlight w:val="none"/>
        </w:rPr>
        <w:t>铝合金材质</w:t>
      </w:r>
      <w:r>
        <w:rPr>
          <w:rFonts w:hint="eastAsia" w:asciiTheme="minorEastAsia" w:hAnsiTheme="minorEastAsia" w:eastAsiaTheme="minorEastAsia" w:cstheme="minorEastAsia"/>
          <w:sz w:val="24"/>
          <w:szCs w:val="24"/>
          <w:highlight w:val="none"/>
          <w:lang w:val="en-US" w:eastAsia="zh-CN"/>
        </w:rPr>
        <w:t>，具备防锈蚀能力，实现“防坠落+严限位”双重防护，不影响日常通风。</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3.2　限位开启行程：普通外窗限位开启行程（宽度）严格控制在≤150mm，符合《WS 444.1—2014 医疗机构患者活动场所及坐卧设施安全要求》第4.3.1条款要求规定。</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3.3　逃生/救援窗限位装置：严格按湘安办函〔2026〕385号《湖南省安全生产委员会办公室关于开展“拆窗破网”回头看工作的通知》执行，由</w:t>
      </w:r>
      <w:r>
        <w:rPr>
          <w:rFonts w:hint="eastAsia" w:asciiTheme="minorEastAsia" w:hAnsiTheme="minorEastAsia" w:eastAsiaTheme="minorEastAsia" w:cstheme="minorEastAsia"/>
          <w:color w:val="0000FF"/>
          <w:sz w:val="24"/>
          <w:szCs w:val="24"/>
          <w:highlight w:val="none"/>
          <w:lang w:val="en-US" w:eastAsia="zh-CN"/>
        </w:rPr>
        <w:t>甲方</w:t>
      </w:r>
      <w:r>
        <w:rPr>
          <w:rFonts w:hint="eastAsia" w:asciiTheme="minorEastAsia" w:hAnsiTheme="minorEastAsia" w:eastAsiaTheme="minorEastAsia" w:cstheme="minorEastAsia"/>
          <w:sz w:val="24"/>
          <w:szCs w:val="24"/>
          <w:highlight w:val="none"/>
          <w:lang w:val="en-US" w:eastAsia="zh-CN"/>
        </w:rPr>
        <w:t>保卫科进行系统性指导安装</w:t>
      </w:r>
      <w:r>
        <w:rPr>
          <w:rFonts w:hint="eastAsia" w:asciiTheme="minorEastAsia" w:hAnsiTheme="minorEastAsia" w:eastAsiaTheme="minorEastAsia" w:cstheme="minorEastAsia"/>
          <w:color w:val="FF0000"/>
          <w:sz w:val="24"/>
          <w:szCs w:val="24"/>
          <w:highlight w:val="none"/>
          <w:lang w:val="en-US" w:eastAsia="zh-CN"/>
        </w:rPr>
        <w:t>、确定款式</w:t>
      </w:r>
      <w:r>
        <w:rPr>
          <w:rFonts w:hint="eastAsia" w:asciiTheme="minorEastAsia" w:hAnsiTheme="minorEastAsia" w:eastAsiaTheme="minorEastAsia" w:cstheme="minorEastAsia"/>
          <w:sz w:val="24"/>
          <w:szCs w:val="24"/>
          <w:highlight w:val="none"/>
          <w:lang w:val="en-US" w:eastAsia="zh-CN"/>
        </w:rPr>
        <w:t>，确保消防安全。</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color w:val="0000FF"/>
          <w:sz w:val="24"/>
          <w:szCs w:val="24"/>
          <w:highlight w:val="none"/>
          <w:lang w:val="en-US" w:eastAsia="zh-CN"/>
        </w:rPr>
        <w:t>3.4 材料标准：所有</w:t>
      </w:r>
      <w:r>
        <w:rPr>
          <w:rFonts w:hint="eastAsia" w:asciiTheme="minorEastAsia" w:hAnsiTheme="minorEastAsia" w:eastAsiaTheme="minorEastAsia" w:cstheme="minorEastAsia"/>
          <w:sz w:val="24"/>
          <w:szCs w:val="24"/>
          <w:highlight w:val="none"/>
          <w:lang w:val="en-US" w:eastAsia="zh-CN"/>
        </w:rPr>
        <w:t>材料进场前，乙方应提供样品供甲方封样确认。所有进场材料必须与确认样品一致，未经封样确认的材料不得用于</w:t>
      </w:r>
      <w:r>
        <w:rPr>
          <w:rFonts w:hint="eastAsia" w:asciiTheme="minorEastAsia" w:hAnsiTheme="minorEastAsia" w:eastAsiaTheme="minorEastAsia" w:cstheme="minorEastAsia"/>
          <w:color w:val="0000FF"/>
          <w:sz w:val="24"/>
          <w:szCs w:val="24"/>
          <w:highlight w:val="none"/>
          <w:lang w:val="en-US" w:eastAsia="zh-CN"/>
        </w:rPr>
        <w:t>本安装服务项目</w:t>
      </w:r>
      <w:r>
        <w:rPr>
          <w:rFonts w:hint="eastAsia" w:asciiTheme="minorEastAsia" w:hAnsiTheme="minorEastAsia" w:eastAsiaTheme="minorEastAsia" w:cstheme="minorEastAsia"/>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3.5　安装工艺：严格遵循“框高扇低、侧方定位”原则，确保受力合理、不破坏原有窗体结构；</w:t>
      </w:r>
      <w:r>
        <w:rPr>
          <w:rFonts w:hint="eastAsia" w:asciiTheme="minorEastAsia" w:hAnsiTheme="minorEastAsia" w:eastAsiaTheme="minorEastAsia" w:cstheme="minorEastAsia"/>
          <w:color w:val="0000FF"/>
          <w:sz w:val="24"/>
          <w:szCs w:val="24"/>
          <w:highlight w:val="green"/>
          <w:lang w:val="en-US" w:eastAsia="zh-CN"/>
        </w:rPr>
        <w:t>所有固定底座（采用欧标款或23槽款）为铝合金材质，</w:t>
      </w:r>
      <w:r>
        <w:rPr>
          <w:rFonts w:hint="eastAsia" w:asciiTheme="minorEastAsia" w:hAnsiTheme="minorEastAsia" w:eastAsiaTheme="minorEastAsia" w:cstheme="minorEastAsia"/>
          <w:sz w:val="24"/>
          <w:szCs w:val="24"/>
          <w:highlight w:val="none"/>
          <w:lang w:val="en-US" w:eastAsia="zh-CN"/>
        </w:rPr>
        <w:t>固定底座还需结构胶固定在窗框上。</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3.6　验收</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3.6.1 验收标准和方式：乙方须</w:t>
      </w:r>
      <w:r>
        <w:rPr>
          <w:rFonts w:hint="eastAsia" w:asciiTheme="minorEastAsia" w:hAnsiTheme="minorEastAsia" w:eastAsiaTheme="minorEastAsia" w:cstheme="minorEastAsia"/>
          <w:sz w:val="24"/>
          <w:szCs w:val="24"/>
          <w:highlight w:val="none"/>
        </w:rPr>
        <w:t>提供完整的产品合格证、材质证明及安装清单；</w:t>
      </w:r>
      <w:r>
        <w:rPr>
          <w:rFonts w:hint="eastAsia" w:asciiTheme="minorEastAsia" w:hAnsiTheme="minorEastAsia" w:eastAsiaTheme="minorEastAsia" w:cstheme="minorEastAsia"/>
          <w:color w:val="FF0000"/>
          <w:sz w:val="24"/>
          <w:szCs w:val="24"/>
          <w:highlight w:val="none"/>
          <w:lang w:val="en-US" w:eastAsia="zh-CN"/>
        </w:rPr>
        <w:t>验收时对限位器</w:t>
      </w:r>
      <w:r>
        <w:rPr>
          <w:rFonts w:hint="eastAsia" w:asciiTheme="minorEastAsia" w:hAnsiTheme="minorEastAsia" w:eastAsiaTheme="minorEastAsia" w:cstheme="minorEastAsia"/>
          <w:sz w:val="24"/>
          <w:szCs w:val="24"/>
          <w:highlight w:val="none"/>
          <w:lang w:val="en-US" w:eastAsia="zh-CN"/>
        </w:rPr>
        <w:t>进行拉力测试及限位宽度测量，</w:t>
      </w:r>
      <w:r>
        <w:rPr>
          <w:rFonts w:hint="eastAsia" w:asciiTheme="minorEastAsia" w:hAnsiTheme="minorEastAsia" w:eastAsiaTheme="minorEastAsia" w:cstheme="minorEastAsia"/>
          <w:color w:val="FF0000"/>
          <w:sz w:val="24"/>
          <w:szCs w:val="24"/>
          <w:highlight w:val="none"/>
          <w:lang w:val="en-US" w:eastAsia="zh-CN"/>
        </w:rPr>
        <w:t>乙方安装的限位器应达到</w:t>
      </w:r>
      <w:r>
        <w:rPr>
          <w:rFonts w:hint="eastAsia" w:asciiTheme="minorEastAsia" w:hAnsiTheme="minorEastAsia" w:eastAsiaTheme="minorEastAsia" w:cstheme="minorEastAsia"/>
          <w:sz w:val="24"/>
          <w:szCs w:val="24"/>
          <w:highlight w:val="none"/>
          <w:lang w:val="en-US" w:eastAsia="zh-CN"/>
        </w:rPr>
        <w:t>钢丝绳无松动、窗扇开启宽度≤150mm</w:t>
      </w:r>
      <w:r>
        <w:rPr>
          <w:rFonts w:hint="eastAsia" w:asciiTheme="minorEastAsia" w:hAnsiTheme="minorEastAsia" w:eastAsiaTheme="minorEastAsia" w:cstheme="minorEastAsia"/>
          <w:color w:val="0000FF"/>
          <w:sz w:val="24"/>
          <w:szCs w:val="24"/>
          <w:highlight w:val="green"/>
          <w:lang w:val="en-US" w:eastAsia="zh-CN"/>
        </w:rPr>
        <w:t>（儿科诊室、病房、保健限宽≤100mm）</w:t>
      </w:r>
      <w:r>
        <w:rPr>
          <w:rFonts w:hint="eastAsia" w:asciiTheme="minorEastAsia" w:hAnsiTheme="minorEastAsia" w:eastAsiaTheme="minorEastAsia" w:cstheme="minorEastAsia"/>
          <w:color w:val="FF0000"/>
          <w:sz w:val="24"/>
          <w:szCs w:val="24"/>
          <w:highlight w:val="none"/>
          <w:lang w:val="en-US" w:eastAsia="zh-CN"/>
        </w:rPr>
        <w:t>标准</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color w:val="FF0000"/>
          <w:sz w:val="24"/>
          <w:szCs w:val="24"/>
          <w:highlight w:val="none"/>
          <w:lang w:val="en-US" w:eastAsia="zh-CN"/>
        </w:rPr>
        <w:t>甲、乙双方在验收过程中</w:t>
      </w:r>
      <w:r>
        <w:rPr>
          <w:rFonts w:hint="eastAsia" w:asciiTheme="minorEastAsia" w:hAnsiTheme="minorEastAsia" w:eastAsiaTheme="minorEastAsia" w:cstheme="minorEastAsia"/>
          <w:sz w:val="24"/>
          <w:szCs w:val="24"/>
          <w:highlight w:val="none"/>
          <w:lang w:val="en-US" w:eastAsia="zh-CN"/>
        </w:rPr>
        <w:t>应</w:t>
      </w:r>
      <w:r>
        <w:rPr>
          <w:rFonts w:hint="eastAsia" w:asciiTheme="minorEastAsia" w:hAnsiTheme="minorEastAsia" w:eastAsiaTheme="minorEastAsia" w:cstheme="minorEastAsia"/>
          <w:sz w:val="24"/>
          <w:szCs w:val="24"/>
          <w:highlight w:val="none"/>
        </w:rPr>
        <w:t>做到一窗一记录、账实可溯源。</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color w:val="FF0000"/>
          <w:sz w:val="24"/>
          <w:szCs w:val="24"/>
          <w:highlight w:val="none"/>
          <w:lang w:val="en-US"/>
        </w:rPr>
      </w:pPr>
      <w:r>
        <w:rPr>
          <w:rFonts w:hint="eastAsia" w:asciiTheme="minorEastAsia" w:hAnsiTheme="minorEastAsia" w:eastAsiaTheme="minorEastAsia" w:cstheme="minorEastAsia"/>
          <w:color w:val="FF0000"/>
          <w:sz w:val="24"/>
          <w:szCs w:val="24"/>
          <w:highlight w:val="none"/>
          <w:lang w:val="en-US" w:eastAsia="zh-CN"/>
        </w:rPr>
        <w:t>3.6.2 总体验收：乙方完成本合同约定的所有限位器安装后应通知甲方组织总体验收；甲方收到乙方验收通知之日起</w:t>
      </w:r>
      <w:r>
        <w:rPr>
          <w:rFonts w:hint="eastAsia" w:asciiTheme="minorEastAsia" w:hAnsiTheme="minorEastAsia" w:eastAsiaTheme="minorEastAsia" w:cstheme="minorEastAsia"/>
          <w:color w:val="FF0000"/>
          <w:sz w:val="24"/>
          <w:szCs w:val="24"/>
          <w:highlight w:val="none"/>
          <w:u w:val="single"/>
          <w:lang w:val="en-US" w:eastAsia="zh-CN"/>
        </w:rPr>
        <w:t>3</w:t>
      </w:r>
      <w:r>
        <w:rPr>
          <w:rFonts w:hint="eastAsia" w:asciiTheme="minorEastAsia" w:hAnsiTheme="minorEastAsia" w:eastAsiaTheme="minorEastAsia" w:cstheme="minorEastAsia"/>
          <w:color w:val="FF0000"/>
          <w:sz w:val="24"/>
          <w:szCs w:val="24"/>
          <w:highlight w:val="none"/>
          <w:lang w:val="en-US" w:eastAsia="zh-CN"/>
        </w:rPr>
        <w:t>日内组织验收。如经甲方总体验收合格向甲方出具总体验收合格凭证；如经甲方总体</w:t>
      </w:r>
      <w:r>
        <w:rPr>
          <w:rFonts w:hint="eastAsia" w:asciiTheme="minorEastAsia" w:hAnsiTheme="minorEastAsia" w:eastAsiaTheme="minorEastAsia" w:cstheme="minorEastAsia"/>
          <w:color w:val="FF0000"/>
          <w:sz w:val="24"/>
          <w:szCs w:val="24"/>
          <w:highlight w:val="none"/>
        </w:rPr>
        <w:t>验收不合格</w:t>
      </w:r>
      <w:r>
        <w:rPr>
          <w:rFonts w:hint="eastAsia" w:asciiTheme="minorEastAsia" w:hAnsiTheme="minorEastAsia" w:eastAsiaTheme="minorEastAsia" w:cstheme="minorEastAsia"/>
          <w:color w:val="FF0000"/>
          <w:sz w:val="24"/>
          <w:szCs w:val="24"/>
          <w:highlight w:val="none"/>
          <w:lang w:eastAsia="zh-CN"/>
        </w:rPr>
        <w:t>，乙方</w:t>
      </w:r>
      <w:r>
        <w:rPr>
          <w:rFonts w:hint="eastAsia" w:asciiTheme="minorEastAsia" w:hAnsiTheme="minorEastAsia" w:eastAsiaTheme="minorEastAsia" w:cstheme="minorEastAsia"/>
          <w:color w:val="FF0000"/>
          <w:sz w:val="24"/>
          <w:szCs w:val="24"/>
          <w:highlight w:val="none"/>
          <w:lang w:val="en-US" w:eastAsia="zh-CN"/>
        </w:rPr>
        <w:t>应在验收不合格之日起</w:t>
      </w:r>
      <w:r>
        <w:rPr>
          <w:rFonts w:hint="eastAsia" w:asciiTheme="minorEastAsia" w:hAnsiTheme="minorEastAsia" w:eastAsiaTheme="minorEastAsia" w:cstheme="minorEastAsia"/>
          <w:color w:val="FF0000"/>
          <w:sz w:val="24"/>
          <w:szCs w:val="24"/>
          <w:highlight w:val="none"/>
          <w:u w:val="single"/>
          <w:lang w:val="en-US" w:eastAsia="zh-CN"/>
        </w:rPr>
        <w:t>3</w:t>
      </w:r>
      <w:r>
        <w:rPr>
          <w:rFonts w:hint="eastAsia" w:asciiTheme="minorEastAsia" w:hAnsiTheme="minorEastAsia" w:eastAsiaTheme="minorEastAsia" w:cstheme="minorEastAsia"/>
          <w:color w:val="FF0000"/>
          <w:sz w:val="24"/>
          <w:szCs w:val="24"/>
          <w:highlight w:val="none"/>
          <w:lang w:val="en-US" w:eastAsia="zh-CN"/>
        </w:rPr>
        <w:t>日内</w:t>
      </w:r>
      <w:r>
        <w:rPr>
          <w:rFonts w:hint="eastAsia" w:asciiTheme="minorEastAsia" w:hAnsiTheme="minorEastAsia" w:eastAsiaTheme="minorEastAsia" w:cstheme="minorEastAsia"/>
          <w:sz w:val="24"/>
          <w:szCs w:val="24"/>
          <w:highlight w:val="none"/>
        </w:rPr>
        <w:t>无条件</w:t>
      </w:r>
      <w:r>
        <w:rPr>
          <w:rFonts w:hint="eastAsia" w:asciiTheme="minorEastAsia" w:hAnsiTheme="minorEastAsia" w:eastAsiaTheme="minorEastAsia" w:cstheme="minorEastAsia"/>
          <w:color w:val="FF0000"/>
          <w:sz w:val="24"/>
          <w:szCs w:val="24"/>
          <w:highlight w:val="none"/>
        </w:rPr>
        <w:t>整改</w:t>
      </w:r>
      <w:r>
        <w:rPr>
          <w:rFonts w:hint="eastAsia" w:asciiTheme="minorEastAsia" w:hAnsiTheme="minorEastAsia" w:eastAsiaTheme="minorEastAsia" w:cstheme="minorEastAsia"/>
          <w:color w:val="FF0000"/>
          <w:sz w:val="24"/>
          <w:szCs w:val="24"/>
          <w:highlight w:val="none"/>
          <w:lang w:eastAsia="zh-CN"/>
        </w:rPr>
        <w:t>、</w:t>
      </w:r>
      <w:r>
        <w:rPr>
          <w:rFonts w:hint="eastAsia" w:asciiTheme="minorEastAsia" w:hAnsiTheme="minorEastAsia" w:eastAsiaTheme="minorEastAsia" w:cstheme="minorEastAsia"/>
          <w:color w:val="FF0000"/>
          <w:sz w:val="24"/>
          <w:szCs w:val="24"/>
          <w:highlight w:val="none"/>
          <w:lang w:val="en-US" w:eastAsia="zh-CN"/>
        </w:rPr>
        <w:t>重做并确保二次验收合格</w:t>
      </w:r>
      <w:r>
        <w:rPr>
          <w:rFonts w:hint="eastAsia" w:asciiTheme="minorEastAsia" w:hAnsiTheme="minorEastAsia" w:eastAsiaTheme="minorEastAsia" w:cstheme="minorEastAsia"/>
          <w:color w:val="FF0000"/>
          <w:sz w:val="24"/>
          <w:szCs w:val="24"/>
          <w:highlight w:val="none"/>
          <w:lang w:eastAsia="zh-CN"/>
        </w:rPr>
        <w:t>，</w:t>
      </w:r>
      <w:r>
        <w:rPr>
          <w:rFonts w:hint="eastAsia" w:asciiTheme="minorEastAsia" w:hAnsiTheme="minorEastAsia" w:eastAsiaTheme="minorEastAsia" w:cstheme="minorEastAsia"/>
          <w:color w:val="FF0000"/>
          <w:sz w:val="24"/>
          <w:szCs w:val="24"/>
          <w:highlight w:val="none"/>
          <w:lang w:val="en-US" w:eastAsia="zh-CN"/>
        </w:rPr>
        <w:t>并承担由此产生的一切费用。</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jc w:val="both"/>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第四条　合同价款与结算方式</w:t>
      </w:r>
    </w:p>
    <w:bookmarkEnd w:id="4"/>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bookmarkStart w:id="5" w:name="质量标准"/>
      <w:r>
        <w:rPr>
          <w:rFonts w:hint="eastAsia" w:asciiTheme="minorEastAsia" w:hAnsiTheme="minorEastAsia" w:eastAsiaTheme="minorEastAsia" w:cstheme="minorEastAsia"/>
          <w:sz w:val="24"/>
          <w:szCs w:val="24"/>
          <w:highlight w:val="none"/>
          <w:lang w:val="en-US" w:eastAsia="zh-CN"/>
        </w:rPr>
        <w:t>4.1　计价模式：本合同采用固定综合单价包干、按实际验收合格数量结算；结算金额＝各项实际验收合格数量×对应固定</w:t>
      </w:r>
      <w:r>
        <w:rPr>
          <w:rFonts w:hint="eastAsia" w:asciiTheme="minorEastAsia" w:hAnsiTheme="minorEastAsia" w:eastAsiaTheme="minorEastAsia" w:cstheme="minorEastAsia"/>
          <w:color w:val="0000FF"/>
          <w:sz w:val="24"/>
          <w:szCs w:val="24"/>
          <w:highlight w:val="none"/>
          <w:lang w:val="en-US" w:eastAsia="zh-CN"/>
        </w:rPr>
        <w:t>综合</w:t>
      </w:r>
      <w:r>
        <w:rPr>
          <w:rFonts w:hint="eastAsia" w:asciiTheme="minorEastAsia" w:hAnsiTheme="minorEastAsia" w:eastAsiaTheme="minorEastAsia" w:cstheme="minorEastAsia"/>
          <w:sz w:val="24"/>
          <w:szCs w:val="24"/>
          <w:highlight w:val="none"/>
          <w:lang w:val="en-US" w:eastAsia="zh-CN"/>
        </w:rPr>
        <w:t>单价-违约金</w:t>
      </w:r>
      <w:r>
        <w:rPr>
          <w:rFonts w:hint="eastAsia" w:asciiTheme="minorEastAsia" w:hAnsiTheme="minorEastAsia" w:eastAsiaTheme="minorEastAsia" w:cstheme="minorEastAsia"/>
          <w:color w:val="FF0000"/>
          <w:sz w:val="24"/>
          <w:szCs w:val="24"/>
          <w:highlight w:val="none"/>
          <w:lang w:val="en-US" w:eastAsia="zh-CN"/>
        </w:rPr>
        <w:t>及其他款项</w:t>
      </w:r>
      <w:r>
        <w:rPr>
          <w:rFonts w:hint="eastAsia" w:asciiTheme="minorEastAsia" w:hAnsiTheme="minorEastAsia" w:eastAsiaTheme="minorEastAsia" w:cstheme="minorEastAsia"/>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sz w:val="24"/>
          <w:szCs w:val="24"/>
          <w:highlight w:val="none"/>
          <w:lang w:val="en-US" w:eastAsia="zh-CN"/>
        </w:rPr>
        <w:t>4.2　固定综合单价包含每套装置的设备费，</w:t>
      </w:r>
      <w:r>
        <w:rPr>
          <w:rFonts w:hint="eastAsia" w:asciiTheme="minorEastAsia" w:hAnsiTheme="minorEastAsia" w:eastAsiaTheme="minorEastAsia" w:cstheme="minorEastAsia"/>
          <w:sz w:val="24"/>
          <w:szCs w:val="24"/>
          <w:highlight w:val="none"/>
        </w:rPr>
        <w:t>钢</w:t>
      </w:r>
      <w:r>
        <w:rPr>
          <w:rFonts w:hint="eastAsia" w:asciiTheme="minorEastAsia" w:hAnsiTheme="minorEastAsia" w:eastAsiaTheme="minorEastAsia" w:cstheme="minorEastAsia"/>
          <w:sz w:val="24"/>
          <w:szCs w:val="24"/>
          <w:highlight w:val="none"/>
          <w:lang w:eastAsia="zh-CN"/>
        </w:rPr>
        <w:t>丝</w:t>
      </w:r>
      <w:r>
        <w:rPr>
          <w:rFonts w:hint="eastAsia" w:asciiTheme="minorEastAsia" w:hAnsiTheme="minorEastAsia" w:eastAsiaTheme="minorEastAsia" w:cstheme="minorEastAsia"/>
          <w:sz w:val="24"/>
          <w:szCs w:val="24"/>
          <w:highlight w:val="none"/>
        </w:rPr>
        <w:t>绳</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铝合金</w:t>
      </w:r>
      <w:r>
        <w:rPr>
          <w:rFonts w:hint="eastAsia" w:asciiTheme="minorEastAsia" w:hAnsiTheme="minorEastAsia" w:eastAsiaTheme="minorEastAsia" w:cstheme="minorEastAsia"/>
          <w:sz w:val="24"/>
          <w:szCs w:val="24"/>
          <w:highlight w:val="none"/>
          <w:lang w:val="en-US" w:eastAsia="zh-CN"/>
        </w:rPr>
        <w:t>连接件及辅材费、人工费、运输装卸费、安装</w:t>
      </w:r>
      <w:r>
        <w:rPr>
          <w:rFonts w:hint="eastAsia" w:asciiTheme="minorEastAsia" w:hAnsiTheme="minorEastAsia" w:eastAsiaTheme="minorEastAsia" w:cstheme="minorEastAsia"/>
          <w:color w:val="0000FF"/>
          <w:sz w:val="24"/>
          <w:szCs w:val="24"/>
          <w:highlight w:val="none"/>
          <w:lang w:val="en-US" w:eastAsia="zh-CN"/>
        </w:rPr>
        <w:t>服务</w:t>
      </w:r>
      <w:r>
        <w:rPr>
          <w:rFonts w:hint="eastAsia" w:asciiTheme="minorEastAsia" w:hAnsiTheme="minorEastAsia" w:eastAsiaTheme="minorEastAsia" w:cstheme="minorEastAsia"/>
          <w:sz w:val="24"/>
          <w:szCs w:val="24"/>
          <w:highlight w:val="none"/>
          <w:lang w:val="en-US" w:eastAsia="zh-CN"/>
        </w:rPr>
        <w:t>费、高空作业措施费、检测验收费、税费、质保期内所有维保费</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人员保险费及乙方为完成本</w:t>
      </w:r>
      <w:r>
        <w:rPr>
          <w:rFonts w:hint="eastAsia" w:asciiTheme="minorEastAsia" w:hAnsiTheme="minorEastAsia" w:eastAsiaTheme="minorEastAsia" w:cstheme="minorEastAsia"/>
          <w:color w:val="0000FF"/>
          <w:sz w:val="24"/>
          <w:szCs w:val="24"/>
          <w:highlight w:val="none"/>
          <w:lang w:val="en-US" w:eastAsia="zh-CN"/>
        </w:rPr>
        <w:t>服务</w:t>
      </w:r>
      <w:r>
        <w:rPr>
          <w:rFonts w:hint="eastAsia" w:asciiTheme="minorEastAsia" w:hAnsiTheme="minorEastAsia" w:eastAsiaTheme="minorEastAsia" w:cstheme="minorEastAsia"/>
          <w:sz w:val="24"/>
          <w:szCs w:val="24"/>
          <w:highlight w:val="none"/>
          <w:lang w:val="en-US" w:eastAsia="zh-CN"/>
        </w:rPr>
        <w:t>所需的一切费用，</w:t>
      </w:r>
      <w:r>
        <w:rPr>
          <w:rFonts w:hint="eastAsia" w:asciiTheme="minorEastAsia" w:hAnsiTheme="minorEastAsia" w:eastAsiaTheme="minorEastAsia" w:cstheme="minorEastAsia"/>
          <w:color w:val="FF0000"/>
          <w:sz w:val="24"/>
          <w:szCs w:val="24"/>
          <w:highlight w:val="none"/>
        </w:rPr>
        <w:t>合同有效期内固定综合单价</w:t>
      </w:r>
      <w:r>
        <w:rPr>
          <w:rFonts w:hint="eastAsia" w:asciiTheme="minorEastAsia" w:hAnsiTheme="minorEastAsia" w:eastAsiaTheme="minorEastAsia" w:cstheme="minorEastAsia"/>
          <w:color w:val="FF0000"/>
          <w:sz w:val="24"/>
          <w:szCs w:val="24"/>
          <w:highlight w:val="none"/>
          <w:lang w:val="en-US" w:eastAsia="zh-CN"/>
        </w:rPr>
        <w:t>不变，不因材料价格、人工成本、施工难度等任何因素调整。</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4.3　综合单价明细表：</w:t>
      </w:r>
    </w:p>
    <w:tbl>
      <w:tblPr>
        <w:tblStyle w:val="16"/>
        <w:tblW w:w="88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4"/>
        <w:gridCol w:w="2694"/>
        <w:gridCol w:w="2442"/>
        <w:gridCol w:w="2071"/>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Ex>
        <w:trPr>
          <w:trHeight w:val="0" w:hRule="atLeast"/>
          <w:tblHeader/>
          <w:jc w:val="center"/>
        </w:trPr>
        <w:tc>
          <w:tcPr>
            <w:tcW w:w="704"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center"/>
              <w:textAlignment w:val="auto"/>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序号</w:t>
            </w:r>
          </w:p>
        </w:tc>
        <w:tc>
          <w:tcPr>
            <w:tcW w:w="2694"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center"/>
              <w:textAlignment w:val="auto"/>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产品名称</w:t>
            </w:r>
          </w:p>
        </w:tc>
        <w:tc>
          <w:tcPr>
            <w:tcW w:w="2442"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center"/>
              <w:textAlignment w:val="auto"/>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规格要求</w:t>
            </w:r>
          </w:p>
        </w:tc>
        <w:tc>
          <w:tcPr>
            <w:tcW w:w="2071"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center"/>
              <w:textAlignment w:val="auto"/>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固定综合单价</w:t>
            </w:r>
          </w:p>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center"/>
              <w:textAlignment w:val="auto"/>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（元/套）</w:t>
            </w:r>
          </w:p>
        </w:tc>
        <w:tc>
          <w:tcPr>
            <w:tcW w:w="945"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center"/>
              <w:textAlignment w:val="auto"/>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Ex>
        <w:trPr>
          <w:trHeight w:val="930" w:hRule="atLeast"/>
          <w:jc w:val="center"/>
        </w:trPr>
        <w:tc>
          <w:tcPr>
            <w:tcW w:w="704"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1</w:t>
            </w:r>
          </w:p>
        </w:tc>
        <w:tc>
          <w:tcPr>
            <w:tcW w:w="2694"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普通外窗铝合金钢丝绳限位器</w:t>
            </w:r>
          </w:p>
        </w:tc>
        <w:tc>
          <w:tcPr>
            <w:tcW w:w="2442"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color w:val="0000FF"/>
                <w:sz w:val="24"/>
                <w:szCs w:val="24"/>
                <w:highlight w:val="green"/>
                <w:lang w:val="en-US" w:eastAsia="zh-CN"/>
              </w:rPr>
              <w:t>304不锈钢</w:t>
            </w:r>
            <w:r>
              <w:rPr>
                <w:rFonts w:hint="eastAsia" w:asciiTheme="minorEastAsia" w:hAnsiTheme="minorEastAsia" w:eastAsiaTheme="minorEastAsia" w:cstheme="minorEastAsia"/>
                <w:sz w:val="24"/>
                <w:szCs w:val="24"/>
                <w:highlight w:val="none"/>
              </w:rPr>
              <w:t>钢</w:t>
            </w:r>
            <w:r>
              <w:rPr>
                <w:rFonts w:hint="eastAsia" w:asciiTheme="minorEastAsia" w:hAnsiTheme="minorEastAsia" w:eastAsiaTheme="minorEastAsia" w:cstheme="minorEastAsia"/>
                <w:sz w:val="24"/>
                <w:szCs w:val="24"/>
                <w:highlight w:val="none"/>
                <w:lang w:eastAsia="zh-CN"/>
              </w:rPr>
              <w:t>丝</w:t>
            </w:r>
            <w:r>
              <w:rPr>
                <w:rFonts w:hint="eastAsia" w:asciiTheme="minorEastAsia" w:hAnsiTheme="minorEastAsia" w:eastAsiaTheme="minorEastAsia" w:cstheme="minorEastAsia"/>
                <w:sz w:val="24"/>
                <w:szCs w:val="24"/>
                <w:highlight w:val="none"/>
              </w:rPr>
              <w:t>绳直径≥</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mm，铝合金连接件</w:t>
            </w:r>
            <w:r>
              <w:rPr>
                <w:rFonts w:hint="eastAsia" w:asciiTheme="minorEastAsia" w:hAnsiTheme="minorEastAsia" w:eastAsiaTheme="minorEastAsia" w:cstheme="minorEastAsia"/>
                <w:color w:val="0000FF"/>
                <w:sz w:val="24"/>
                <w:szCs w:val="24"/>
                <w:highlight w:val="green"/>
                <w:lang w:val="en-US" w:eastAsia="zh-CN"/>
              </w:rPr>
              <w:t>（采用欧标款或23槽款）</w:t>
            </w:r>
          </w:p>
        </w:tc>
        <w:tc>
          <w:tcPr>
            <w:tcW w:w="2071" w:type="dxa"/>
            <w:vMerge w:val="restart"/>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p>
        </w:tc>
        <w:tc>
          <w:tcPr>
            <w:tcW w:w="945" w:type="dxa"/>
            <w:vMerge w:val="restart"/>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含安装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Ex>
        <w:trPr>
          <w:trHeight w:val="601" w:hRule="atLeast"/>
          <w:jc w:val="center"/>
        </w:trPr>
        <w:tc>
          <w:tcPr>
            <w:tcW w:w="704"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2</w:t>
            </w:r>
          </w:p>
        </w:tc>
        <w:tc>
          <w:tcPr>
            <w:tcW w:w="2694"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逃生/救援窗快拆限位器</w:t>
            </w:r>
          </w:p>
        </w:tc>
        <w:tc>
          <w:tcPr>
            <w:tcW w:w="2442" w:type="dxa"/>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同上+快拆功能</w:t>
            </w:r>
          </w:p>
        </w:tc>
        <w:tc>
          <w:tcPr>
            <w:tcW w:w="2071" w:type="dxa"/>
            <w:vMerge w:val="continue"/>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p>
        </w:tc>
        <w:tc>
          <w:tcPr>
            <w:tcW w:w="945" w:type="dxa"/>
            <w:vMerge w:val="continue"/>
            <w:shd w:val="clear" w:color="auto" w:fill="auto"/>
            <w:tcMar>
              <w:top w:w="40" w:type="dxa"/>
              <w:left w:w="80" w:type="dxa"/>
              <w:bottom w:w="40" w:type="dxa"/>
              <w:right w:w="80" w:type="dxa"/>
            </w:tcMar>
            <w:vAlign w:val="center"/>
          </w:tcPr>
          <w:p>
            <w:pPr>
              <w:keepNext w:val="0"/>
              <w:keepLines w:val="0"/>
              <w:pageBreakBefore w:val="0"/>
              <w:widowControl w:val="0"/>
              <w:kinsoku/>
              <w:wordWrap/>
              <w:overflowPunct/>
              <w:topLinePunct w:val="0"/>
              <w:autoSpaceDE/>
              <w:autoSpaceDN/>
              <w:bidi w:val="0"/>
              <w:adjustRightInd/>
              <w:snapToGrid w:val="0"/>
              <w:spacing w:after="0" w:line="360" w:lineRule="exact"/>
              <w:ind w:left="0" w:leftChars="0" w:right="0" w:rightChars="0" w:firstLine="0" w:firstLineChars="0"/>
              <w:jc w:val="both"/>
              <w:textAlignment w:val="auto"/>
              <w:rPr>
                <w:rFonts w:hint="eastAsia" w:asciiTheme="minorEastAsia" w:hAnsiTheme="minorEastAsia" w:eastAsiaTheme="minorEastAsia" w:cstheme="minorEastAsia"/>
                <w:sz w:val="24"/>
                <w:szCs w:val="24"/>
                <w:highlight w:val="none"/>
                <w:lang w:val="en-US" w:eastAsia="zh-CN"/>
              </w:rPr>
            </w:pPr>
          </w:p>
        </w:tc>
      </w:tr>
      <w:bookmarkEnd w:id="5"/>
    </w:tbl>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bookmarkStart w:id="6" w:name="合同价款"/>
      <w:r>
        <w:rPr>
          <w:rFonts w:hint="eastAsia" w:asciiTheme="minorEastAsia" w:hAnsiTheme="minorEastAsia" w:eastAsiaTheme="minorEastAsia" w:cstheme="minorEastAsia"/>
          <w:b/>
          <w:bCs/>
          <w:sz w:val="24"/>
          <w:szCs w:val="24"/>
          <w:highlight w:val="none"/>
          <w:lang w:val="en-US" w:eastAsia="zh-CN"/>
        </w:rPr>
        <w:t>第五条　</w:t>
      </w:r>
      <w:r>
        <w:rPr>
          <w:rFonts w:hint="eastAsia" w:asciiTheme="minorEastAsia" w:hAnsiTheme="minorEastAsia" w:eastAsiaTheme="minorEastAsia" w:cstheme="minorEastAsia"/>
          <w:b/>
          <w:bCs/>
          <w:color w:val="0000FF"/>
          <w:sz w:val="24"/>
          <w:szCs w:val="24"/>
          <w:highlight w:val="none"/>
          <w:lang w:val="en-US" w:eastAsia="zh-CN"/>
        </w:rPr>
        <w:t>服务期限</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5.1　</w:t>
      </w:r>
      <w:r>
        <w:rPr>
          <w:rFonts w:hint="eastAsia" w:asciiTheme="minorEastAsia" w:hAnsiTheme="minorEastAsia" w:eastAsiaTheme="minorEastAsia" w:cstheme="minorEastAsia"/>
          <w:color w:val="0000FF"/>
          <w:sz w:val="24"/>
          <w:szCs w:val="24"/>
          <w:highlight w:val="none"/>
          <w:lang w:val="en-US" w:eastAsia="zh-CN"/>
        </w:rPr>
        <w:t>服务期限</w:t>
      </w:r>
      <w:r>
        <w:rPr>
          <w:rFonts w:hint="eastAsia" w:asciiTheme="minorEastAsia" w:hAnsiTheme="minorEastAsia" w:eastAsiaTheme="minorEastAsia" w:cstheme="minorEastAsia"/>
          <w:sz w:val="24"/>
          <w:szCs w:val="24"/>
          <w:highlight w:val="none"/>
          <w:lang w:val="en-US" w:eastAsia="zh-CN"/>
        </w:rPr>
        <w:t>为</w:t>
      </w:r>
      <w:r>
        <w:rPr>
          <w:rFonts w:hint="eastAsia" w:asciiTheme="minorEastAsia" w:hAnsiTheme="minorEastAsia" w:eastAsiaTheme="minorEastAsia" w:cstheme="minorEastAsia"/>
          <w:sz w:val="24"/>
          <w:szCs w:val="24"/>
          <w:highlight w:val="none"/>
          <w:u w:val="single"/>
          <w:lang w:val="en-US" w:eastAsia="zh-CN"/>
        </w:rPr>
        <w:t>30</w:t>
      </w:r>
      <w:r>
        <w:rPr>
          <w:rFonts w:hint="eastAsia" w:asciiTheme="minorEastAsia" w:hAnsiTheme="minorEastAsia" w:eastAsiaTheme="minorEastAsia" w:cstheme="minorEastAsia"/>
          <w:sz w:val="24"/>
          <w:szCs w:val="24"/>
          <w:highlight w:val="none"/>
          <w:lang w:val="en-US" w:eastAsia="zh-CN"/>
        </w:rPr>
        <w:t>个日历天，自合同签订之日</w:t>
      </w:r>
      <w:r>
        <w:rPr>
          <w:rFonts w:hint="eastAsia" w:asciiTheme="minorEastAsia" w:hAnsiTheme="minorEastAsia" w:eastAsiaTheme="minorEastAsia" w:cstheme="minorEastAsia"/>
          <w:color w:val="FF0000"/>
          <w:sz w:val="24"/>
          <w:szCs w:val="24"/>
          <w:highlight w:val="none"/>
          <w:lang w:val="en-US" w:eastAsia="zh-CN"/>
        </w:rPr>
        <w:t>起至乙方完成所有限位器安装并经甲方总体验收合格之日止。</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5.2　乙方按甲方下达的《安装任务通知单》分区域同步推进，具体服务范围、数量以甲方书面通知为准。</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5.3  乙方须无条件服从甲方安排，不得因单批次数量少、施工难度大等原因推诿。</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color w:val="0000FF"/>
          <w:sz w:val="24"/>
          <w:szCs w:val="24"/>
          <w:highlight w:val="none"/>
          <w:lang w:val="en-US" w:eastAsia="zh-CN"/>
        </w:rPr>
        <w:t>第六条 乙方权利和义务</w:t>
      </w:r>
      <w:r>
        <w:rPr>
          <w:rFonts w:hint="eastAsia" w:asciiTheme="minorEastAsia" w:hAnsiTheme="minorEastAsia" w:eastAsiaTheme="minorEastAsia" w:cstheme="minorEastAsia"/>
          <w:b/>
          <w:bCs/>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6.1　乙方须严格遵守国家安全生产法律法规及医院各项规章制度，确保施工安全和文明施工。</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6.2　乙方须配备具备相应资质的服务人员，如需高空作业人员必须持有效的《特种作业操作证》（高处作业），严禁无证上岗。乙方须为所有服务人员购买人身意外伤害保险。</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6.3　</w:t>
      </w:r>
      <w:r>
        <w:rPr>
          <w:rFonts w:hint="eastAsia" w:asciiTheme="minorEastAsia" w:hAnsiTheme="minorEastAsia" w:eastAsiaTheme="minorEastAsia" w:cstheme="minorEastAsia"/>
          <w:b w:val="0"/>
          <w:bCs w:val="0"/>
          <w:color w:val="0000FF"/>
          <w:sz w:val="24"/>
          <w:szCs w:val="24"/>
          <w:highlight w:val="none"/>
          <w:lang w:val="en-US" w:eastAsia="zh-CN"/>
        </w:rPr>
        <w:t>服务</w:t>
      </w:r>
      <w:r>
        <w:rPr>
          <w:rFonts w:hint="eastAsia" w:asciiTheme="minorEastAsia" w:hAnsiTheme="minorEastAsia" w:eastAsiaTheme="minorEastAsia" w:cstheme="minorEastAsia"/>
          <w:b w:val="0"/>
          <w:bCs w:val="0"/>
          <w:sz w:val="24"/>
          <w:szCs w:val="24"/>
          <w:highlight w:val="none"/>
          <w:lang w:val="en-US" w:eastAsia="zh-CN"/>
        </w:rPr>
        <w:t>期间，乙方项目负责人</w:t>
      </w:r>
      <w:r>
        <w:rPr>
          <w:rFonts w:hint="eastAsia" w:asciiTheme="minorEastAsia" w:hAnsiTheme="minorEastAsia" w:eastAsiaTheme="minorEastAsia" w:cstheme="minorEastAsia"/>
          <w:b w:val="0"/>
          <w:bCs w:val="0"/>
          <w:sz w:val="24"/>
          <w:szCs w:val="24"/>
          <w:highlight w:val="none"/>
          <w:u w:val="single"/>
          <w:lang w:val="en-US" w:eastAsia="zh-CN"/>
        </w:rPr>
        <w:t xml:space="preserve">     </w:t>
      </w:r>
      <w:r>
        <w:rPr>
          <w:rFonts w:hint="eastAsia" w:asciiTheme="minorEastAsia" w:hAnsiTheme="minorEastAsia" w:eastAsiaTheme="minorEastAsia" w:cstheme="minorEastAsia"/>
          <w:b w:val="0"/>
          <w:bCs w:val="0"/>
          <w:sz w:val="24"/>
          <w:szCs w:val="24"/>
          <w:highlight w:val="none"/>
          <w:u w:val="none"/>
          <w:lang w:val="en-US" w:eastAsia="zh-CN"/>
        </w:rPr>
        <w:t>（联系电话：</w:t>
      </w:r>
      <w:r>
        <w:rPr>
          <w:rFonts w:hint="eastAsia" w:asciiTheme="minorEastAsia" w:hAnsiTheme="minorEastAsia" w:eastAsiaTheme="minorEastAsia" w:cstheme="minorEastAsia"/>
          <w:b w:val="0"/>
          <w:bCs w:val="0"/>
          <w:sz w:val="24"/>
          <w:szCs w:val="24"/>
          <w:highlight w:val="none"/>
          <w:u w:val="single"/>
          <w:lang w:val="en-US" w:eastAsia="zh-CN"/>
        </w:rPr>
        <w:t xml:space="preserve">        </w:t>
      </w:r>
      <w:r>
        <w:rPr>
          <w:rFonts w:hint="eastAsia" w:asciiTheme="minorEastAsia" w:hAnsiTheme="minorEastAsia" w:eastAsiaTheme="minorEastAsia" w:cstheme="minorEastAsia"/>
          <w:b w:val="0"/>
          <w:bCs w:val="0"/>
          <w:sz w:val="24"/>
          <w:szCs w:val="24"/>
          <w:highlight w:val="none"/>
          <w:u w:val="none"/>
          <w:lang w:val="en-US" w:eastAsia="zh-CN"/>
        </w:rPr>
        <w:t>）</w:t>
      </w:r>
      <w:r>
        <w:rPr>
          <w:rFonts w:hint="eastAsia" w:asciiTheme="minorEastAsia" w:hAnsiTheme="minorEastAsia" w:eastAsiaTheme="minorEastAsia" w:cstheme="minorEastAsia"/>
          <w:b w:val="0"/>
          <w:bCs w:val="0"/>
          <w:sz w:val="24"/>
          <w:szCs w:val="24"/>
          <w:highlight w:val="none"/>
          <w:lang w:val="en-US" w:eastAsia="zh-CN"/>
        </w:rPr>
        <w:t>须常驻现场，接受甲方考勤及进度、质量、安全监督。</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6.4　</w:t>
      </w:r>
      <w:r>
        <w:rPr>
          <w:rFonts w:hint="eastAsia" w:asciiTheme="minorEastAsia" w:hAnsiTheme="minorEastAsia" w:eastAsiaTheme="minorEastAsia" w:cstheme="minorEastAsia"/>
          <w:b w:val="0"/>
          <w:bCs w:val="0"/>
          <w:color w:val="0000FF"/>
          <w:sz w:val="24"/>
          <w:szCs w:val="24"/>
          <w:highlight w:val="none"/>
          <w:lang w:val="en-US" w:eastAsia="zh-CN"/>
        </w:rPr>
        <w:t>服务</w:t>
      </w:r>
      <w:r>
        <w:rPr>
          <w:rFonts w:hint="eastAsia" w:asciiTheme="minorEastAsia" w:hAnsiTheme="minorEastAsia" w:eastAsiaTheme="minorEastAsia" w:cstheme="minorEastAsia"/>
          <w:b w:val="0"/>
          <w:bCs w:val="0"/>
          <w:sz w:val="24"/>
          <w:szCs w:val="24"/>
          <w:highlight w:val="none"/>
          <w:lang w:val="en-US" w:eastAsia="zh-CN"/>
        </w:rPr>
        <w:t>期间须做好成品保护及环境卫生，设置安全警示标识；</w:t>
      </w:r>
      <w:r>
        <w:rPr>
          <w:rFonts w:hint="eastAsia" w:asciiTheme="minorEastAsia" w:hAnsiTheme="minorEastAsia" w:eastAsiaTheme="minorEastAsia" w:cstheme="minorEastAsia"/>
          <w:b w:val="0"/>
          <w:bCs w:val="0"/>
          <w:color w:val="0000FF"/>
          <w:sz w:val="24"/>
          <w:szCs w:val="24"/>
          <w:highlight w:val="none"/>
          <w:lang w:val="en-US" w:eastAsia="zh-CN"/>
        </w:rPr>
        <w:t>安装</w:t>
      </w:r>
      <w:r>
        <w:rPr>
          <w:rFonts w:hint="eastAsia" w:asciiTheme="minorEastAsia" w:hAnsiTheme="minorEastAsia" w:eastAsiaTheme="minorEastAsia" w:cstheme="minorEastAsia"/>
          <w:b w:val="0"/>
          <w:bCs w:val="0"/>
          <w:sz w:val="24"/>
          <w:szCs w:val="24"/>
          <w:highlight w:val="none"/>
          <w:lang w:val="en-US" w:eastAsia="zh-CN"/>
        </w:rPr>
        <w:t>时间应避开甲方诊疗高峰，减少对医患的干扰；服务</w:t>
      </w:r>
      <w:r>
        <w:rPr>
          <w:rFonts w:hint="eastAsia" w:asciiTheme="minorEastAsia" w:hAnsiTheme="minorEastAsia" w:eastAsiaTheme="minorEastAsia" w:cstheme="minorEastAsia"/>
          <w:sz w:val="24"/>
          <w:szCs w:val="24"/>
          <w:highlight w:val="none"/>
          <w:lang w:val="en-US" w:eastAsia="zh-CN"/>
        </w:rPr>
        <w:t>产生的噪音、污染应控制在最低限度；高空作业必须采取防坠落措施；每日完工后需做到“工完场清”，</w:t>
      </w:r>
      <w:r>
        <w:rPr>
          <w:rFonts w:hint="eastAsia" w:asciiTheme="minorEastAsia" w:hAnsiTheme="minorEastAsia" w:eastAsiaTheme="minorEastAsia" w:cstheme="minorEastAsia"/>
          <w:color w:val="0000FF"/>
          <w:sz w:val="24"/>
          <w:szCs w:val="24"/>
          <w:highlight w:val="none"/>
          <w:lang w:val="en-US" w:eastAsia="zh-CN"/>
        </w:rPr>
        <w:t>服务产生的</w:t>
      </w:r>
      <w:r>
        <w:rPr>
          <w:rFonts w:hint="eastAsia" w:asciiTheme="minorEastAsia" w:hAnsiTheme="minorEastAsia" w:eastAsiaTheme="minorEastAsia" w:cstheme="minorEastAsia"/>
          <w:b w:val="0"/>
          <w:bCs w:val="0"/>
          <w:sz w:val="24"/>
          <w:szCs w:val="24"/>
          <w:highlight w:val="none"/>
          <w:lang w:val="en-US" w:eastAsia="zh-CN"/>
        </w:rPr>
        <w:t>垃圾须当场清理在甲方指定地点归堆，完工后运至院外规定地点。</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color w:val="FF0000"/>
          <w:sz w:val="24"/>
          <w:szCs w:val="24"/>
          <w:highlight w:val="none"/>
          <w:lang w:val="en-US" w:eastAsia="zh-CN"/>
        </w:rPr>
      </w:pPr>
      <w:r>
        <w:rPr>
          <w:rFonts w:hint="eastAsia" w:asciiTheme="minorEastAsia" w:hAnsiTheme="minorEastAsia" w:eastAsiaTheme="minorEastAsia" w:cstheme="minorEastAsia"/>
          <w:b/>
          <w:bCs/>
          <w:color w:val="FF0000"/>
          <w:sz w:val="24"/>
          <w:szCs w:val="24"/>
          <w:highlight w:val="none"/>
          <w:lang w:val="en-US" w:eastAsia="zh-CN"/>
        </w:rPr>
        <w:t>第七条 风险承担</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color w:val="FF0000"/>
          <w:sz w:val="24"/>
          <w:szCs w:val="24"/>
          <w:highlight w:val="none"/>
          <w:lang w:val="en-US" w:eastAsia="zh-CN"/>
        </w:rPr>
      </w:pPr>
      <w:r>
        <w:rPr>
          <w:rFonts w:hint="eastAsia" w:asciiTheme="minorEastAsia" w:hAnsiTheme="minorEastAsia" w:eastAsiaTheme="minorEastAsia" w:cstheme="minorEastAsia"/>
          <w:b w:val="0"/>
          <w:bCs w:val="0"/>
          <w:color w:val="FF0000"/>
          <w:sz w:val="24"/>
          <w:szCs w:val="24"/>
          <w:highlight w:val="none"/>
          <w:lang w:val="en-US" w:eastAsia="zh-CN"/>
        </w:rPr>
        <w:t>7.1 乙方在履行本合同过程中发生的一切事故，给甲方、乙方（包括乙方指派履行本协议人员）或第三方的人身和财产造成的损失，均由乙方负责处理并承担所有费用。</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color w:val="0000FF"/>
          <w:sz w:val="24"/>
          <w:szCs w:val="24"/>
          <w:highlight w:val="none"/>
          <w:lang w:val="en-US" w:eastAsia="zh-CN"/>
        </w:rPr>
      </w:pPr>
      <w:r>
        <w:rPr>
          <w:rFonts w:hint="eastAsia" w:asciiTheme="minorEastAsia" w:hAnsiTheme="minorEastAsia" w:eastAsiaTheme="minorEastAsia" w:cstheme="minorEastAsia"/>
          <w:b w:val="0"/>
          <w:bCs w:val="0"/>
          <w:color w:val="0000FF"/>
          <w:sz w:val="24"/>
          <w:szCs w:val="24"/>
          <w:highlight w:val="none"/>
          <w:lang w:val="en-US" w:eastAsia="zh-CN"/>
        </w:rPr>
        <w:t>7.2 如甲方因乙方服务等原因涉及纠纷、诉讼或被处以行政处罚，由乙方承担甲方因纠纷、诉讼、罚款等造成的全部经济损失。</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第八条　付款方式</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8.1　合同签订后乙方即组织进场施工，甲方不支付预付款。全部区域安装完毕、整体验收合格后，乙方报送合格结算书，经甲方审核后，甲、乙双方签署《最终结算确认书》，甲方在确认结算金额后</w:t>
      </w:r>
      <w:r>
        <w:rPr>
          <w:rFonts w:hint="eastAsia" w:asciiTheme="minorEastAsia" w:hAnsiTheme="minorEastAsia" w:eastAsiaTheme="minorEastAsia" w:cstheme="minorEastAsia"/>
          <w:b w:val="0"/>
          <w:bCs w:val="0"/>
          <w:sz w:val="24"/>
          <w:szCs w:val="24"/>
          <w:highlight w:val="none"/>
          <w:u w:val="single"/>
          <w:lang w:val="en-US" w:eastAsia="zh-CN"/>
        </w:rPr>
        <w:t>60</w:t>
      </w:r>
      <w:r>
        <w:rPr>
          <w:rFonts w:hint="eastAsia" w:asciiTheme="minorEastAsia" w:hAnsiTheme="minorEastAsia" w:eastAsiaTheme="minorEastAsia" w:cstheme="minorEastAsia"/>
          <w:b w:val="0"/>
          <w:bCs w:val="0"/>
          <w:sz w:val="24"/>
          <w:szCs w:val="24"/>
          <w:highlight w:val="none"/>
          <w:lang w:val="en-US" w:eastAsia="zh-CN"/>
        </w:rPr>
        <w:t>个工作日内支付至结算金额总价的97%；余款3%，在</w:t>
      </w:r>
      <w:r>
        <w:rPr>
          <w:rFonts w:hint="eastAsia" w:asciiTheme="minorEastAsia" w:hAnsiTheme="minorEastAsia" w:eastAsiaTheme="minorEastAsia" w:cstheme="minorEastAsia"/>
          <w:b w:val="0"/>
          <w:bCs w:val="0"/>
          <w:color w:val="0000FF"/>
          <w:sz w:val="24"/>
          <w:szCs w:val="24"/>
          <w:highlight w:val="none"/>
          <w:lang w:val="en-US" w:eastAsia="zh-CN"/>
        </w:rPr>
        <w:t>质保期届满且不存在需被扣除情形之日</w:t>
      </w:r>
      <w:r>
        <w:rPr>
          <w:rFonts w:hint="eastAsia" w:asciiTheme="minorEastAsia" w:hAnsiTheme="minorEastAsia" w:eastAsiaTheme="minorEastAsia" w:cstheme="minorEastAsia"/>
          <w:b w:val="0"/>
          <w:bCs w:val="0"/>
          <w:sz w:val="24"/>
          <w:szCs w:val="24"/>
          <w:highlight w:val="none"/>
          <w:lang w:val="en-US" w:eastAsia="zh-CN"/>
        </w:rPr>
        <w:t>起</w:t>
      </w:r>
      <w:r>
        <w:rPr>
          <w:rFonts w:hint="eastAsia" w:asciiTheme="minorEastAsia" w:hAnsiTheme="minorEastAsia" w:eastAsiaTheme="minorEastAsia" w:cstheme="minorEastAsia"/>
          <w:b w:val="0"/>
          <w:bCs w:val="0"/>
          <w:sz w:val="24"/>
          <w:szCs w:val="24"/>
          <w:highlight w:val="none"/>
          <w:u w:val="single"/>
          <w:lang w:val="en-US" w:eastAsia="zh-CN"/>
        </w:rPr>
        <w:t>30</w:t>
      </w:r>
      <w:r>
        <w:rPr>
          <w:rFonts w:hint="eastAsia" w:asciiTheme="minorEastAsia" w:hAnsiTheme="minorEastAsia" w:eastAsiaTheme="minorEastAsia" w:cstheme="minorEastAsia"/>
          <w:b w:val="0"/>
          <w:bCs w:val="0"/>
          <w:sz w:val="24"/>
          <w:szCs w:val="24"/>
          <w:highlight w:val="none"/>
          <w:lang w:val="en-US" w:eastAsia="zh-CN"/>
        </w:rPr>
        <w:t>个工作日内无息付清。</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b w:val="0"/>
          <w:bCs w:val="0"/>
          <w:color w:val="FF0000"/>
          <w:sz w:val="24"/>
          <w:szCs w:val="24"/>
          <w:highlight w:val="none"/>
          <w:lang w:val="en-US" w:eastAsia="zh-CN"/>
        </w:rPr>
      </w:pPr>
      <w:r>
        <w:rPr>
          <w:rFonts w:hint="eastAsia" w:asciiTheme="minorEastAsia" w:hAnsiTheme="minorEastAsia" w:eastAsiaTheme="minorEastAsia" w:cstheme="minorEastAsia"/>
          <w:b w:val="0"/>
          <w:bCs w:val="0"/>
          <w:color w:val="FF0000"/>
          <w:sz w:val="24"/>
          <w:szCs w:val="24"/>
          <w:highlight w:val="none"/>
          <w:lang w:val="en-US" w:eastAsia="zh-CN"/>
        </w:rPr>
        <w:t>8.2 乙方应在甲方每次付款前，向甲方提供以自己名义开具的对应结算金额的增值税普通发票。如乙方未提供，甲方有权顺延付款时间且不视为逾期付款；由此产生的不利后果均由乙方自行承担。</w:t>
      </w:r>
    </w:p>
    <w:p>
      <w:pPr>
        <w:keepNext w:val="0"/>
        <w:keepLines w:val="0"/>
        <w:pageBreakBefore w:val="0"/>
        <w:widowControl w:val="0"/>
        <w:kinsoku/>
        <w:wordWrap/>
        <w:overflowPunct/>
        <w:topLinePunct w:val="0"/>
        <w:autoSpaceDE/>
        <w:autoSpaceDN/>
        <w:bidi w:val="0"/>
        <w:adjustRightInd/>
        <w:snapToGrid/>
        <w:spacing w:after="0" w:line="480" w:lineRule="exact"/>
        <w:ind w:right="0"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sz w:val="24"/>
          <w:szCs w:val="24"/>
          <w:highlight w:val="none"/>
          <w:lang w:val="en-US" w:eastAsia="zh-CN"/>
        </w:rPr>
        <w:t>8.3　乙方申请结算时须同步提供对应数量的安装明细（注明楼栋、楼层、房间号、装置类型），做到“一窗一记录、账实可溯源”。</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8.4  乙方指定收款银行账户的户名：</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；开户银行：</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 账号：</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8.5  </w:t>
      </w:r>
      <w:r>
        <w:rPr>
          <w:rFonts w:hint="eastAsia" w:asciiTheme="minorEastAsia" w:hAnsiTheme="minorEastAsia" w:eastAsiaTheme="minorEastAsia" w:cstheme="minorEastAsia"/>
          <w:sz w:val="24"/>
          <w:szCs w:val="24"/>
          <w:highlight w:val="none"/>
        </w:rPr>
        <w:t>乙方账</w:t>
      </w:r>
      <w:r>
        <w:rPr>
          <w:rFonts w:hint="eastAsia" w:asciiTheme="minorEastAsia" w:hAnsiTheme="minorEastAsia" w:eastAsiaTheme="minorEastAsia" w:cstheme="minorEastAsia"/>
          <w:sz w:val="24"/>
          <w:szCs w:val="24"/>
          <w:highlight w:val="none"/>
          <w:lang w:val="en-US" w:eastAsia="zh-CN"/>
        </w:rPr>
        <w:t>户</w:t>
      </w:r>
      <w:r>
        <w:rPr>
          <w:rFonts w:hint="eastAsia" w:asciiTheme="minorEastAsia" w:hAnsiTheme="minorEastAsia" w:eastAsiaTheme="minorEastAsia" w:cstheme="minorEastAsia"/>
          <w:sz w:val="24"/>
          <w:szCs w:val="24"/>
          <w:highlight w:val="none"/>
        </w:rPr>
        <w:t>如有变更，须在甲方支付款项前7日书面通知甲方；若因乙方未及时通知导致甲方向原账号付款或付款不成功的，由乙方承担全部责任。</w:t>
      </w:r>
    </w:p>
    <w:bookmarkEnd w:id="1"/>
    <w:bookmarkEnd w:id="6"/>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bookmarkStart w:id="7" w:name="第二章-通用合同条款"/>
      <w:bookmarkStart w:id="8" w:name="质量保修"/>
      <w:r>
        <w:rPr>
          <w:rFonts w:hint="eastAsia" w:asciiTheme="minorEastAsia" w:hAnsiTheme="minorEastAsia" w:eastAsiaTheme="minorEastAsia" w:cstheme="minorEastAsia"/>
          <w:b/>
          <w:bCs/>
          <w:sz w:val="24"/>
          <w:szCs w:val="24"/>
          <w:highlight w:val="none"/>
          <w:lang w:val="en-US" w:eastAsia="zh-CN"/>
        </w:rPr>
        <w:t>第九条　质量保修</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color w:val="0000FF"/>
          <w:sz w:val="24"/>
          <w:szCs w:val="24"/>
          <w:highlight w:val="none"/>
          <w:lang w:val="en-US" w:eastAsia="zh-CN"/>
        </w:rPr>
        <w:t>9.1 本合同所安装的限位器</w:t>
      </w:r>
      <w:r>
        <w:rPr>
          <w:rFonts w:hint="eastAsia" w:asciiTheme="minorEastAsia" w:hAnsiTheme="minorEastAsia" w:eastAsiaTheme="minorEastAsia" w:cstheme="minorEastAsia"/>
          <w:sz w:val="24"/>
          <w:szCs w:val="24"/>
          <w:highlight w:val="none"/>
          <w:lang w:val="en-US" w:eastAsia="zh-CN"/>
        </w:rPr>
        <w:t>质保期为</w:t>
      </w:r>
      <w:r>
        <w:rPr>
          <w:rFonts w:hint="eastAsia" w:asciiTheme="minorEastAsia" w:hAnsiTheme="minorEastAsia" w:eastAsiaTheme="minorEastAsia" w:cstheme="minorEastAsia"/>
          <w:sz w:val="24"/>
          <w:szCs w:val="24"/>
          <w:highlight w:val="none"/>
          <w:u w:val="single"/>
          <w:lang w:val="en-US" w:eastAsia="zh-CN"/>
        </w:rPr>
        <w:t>24</w:t>
      </w:r>
      <w:r>
        <w:rPr>
          <w:rFonts w:hint="eastAsia" w:asciiTheme="minorEastAsia" w:hAnsiTheme="minorEastAsia" w:eastAsiaTheme="minorEastAsia" w:cstheme="minorEastAsia"/>
          <w:sz w:val="24"/>
          <w:szCs w:val="24"/>
          <w:highlight w:val="none"/>
          <w:lang w:val="en-US" w:eastAsia="zh-CN"/>
        </w:rPr>
        <w:t>个月，自整体项目验收合格签字之日起计算。</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color w:val="0000FF"/>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9.2 </w:t>
      </w:r>
      <w:r>
        <w:rPr>
          <w:rFonts w:hint="eastAsia" w:asciiTheme="minorEastAsia" w:hAnsiTheme="minorEastAsia" w:eastAsiaTheme="minorEastAsia" w:cstheme="minorEastAsia"/>
          <w:color w:val="0000FF"/>
          <w:sz w:val="24"/>
          <w:szCs w:val="24"/>
          <w:highlight w:val="none"/>
          <w:lang w:val="en-US" w:eastAsia="zh-CN"/>
        </w:rPr>
        <w:t>乙方在质保期内免费提供维修、更换、保养、咨询等服务。</w:t>
      </w:r>
      <w:r>
        <w:rPr>
          <w:rFonts w:hint="eastAsia" w:asciiTheme="minorEastAsia" w:hAnsiTheme="minorEastAsia" w:eastAsiaTheme="minorEastAsia" w:cstheme="minorEastAsia"/>
          <w:sz w:val="24"/>
          <w:szCs w:val="24"/>
          <w:highlight w:val="none"/>
          <w:lang w:val="en-US" w:eastAsia="zh-CN"/>
        </w:rPr>
        <w:t>质保期内出现非人为损坏，乙方须在接到甲方报修通知后24小时内</w:t>
      </w:r>
      <w:r>
        <w:rPr>
          <w:rFonts w:hint="eastAsia" w:asciiTheme="minorEastAsia" w:hAnsiTheme="minorEastAsia" w:eastAsiaTheme="minorEastAsia" w:cstheme="minorEastAsia"/>
          <w:color w:val="0000FF"/>
          <w:sz w:val="24"/>
          <w:szCs w:val="24"/>
          <w:highlight w:val="none"/>
          <w:lang w:val="en-US" w:eastAsia="zh-CN"/>
        </w:rPr>
        <w:t>响应并完成更换维修</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color w:val="0000FF"/>
          <w:sz w:val="24"/>
          <w:szCs w:val="24"/>
          <w:highlight w:val="none"/>
          <w:lang w:val="en-US" w:eastAsia="zh-CN"/>
        </w:rPr>
        <w:t>如乙方不及时提供服务，甲方有权委托第三方提供维修、更换、保养、咨询等服务，由此产生的相关费用，甲方有权在应付款中扣除、不足部分由乙方另行补足，或要求乙方将第三方提供服务产生的相关费用直接支付给甲方。</w:t>
      </w:r>
    </w:p>
    <w:bookmarkEnd w:id="7"/>
    <w:bookmarkEnd w:id="8"/>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bookmarkStart w:id="9" w:name="第三章-专用合同条款"/>
      <w:r>
        <w:rPr>
          <w:rFonts w:hint="eastAsia" w:asciiTheme="minorEastAsia" w:hAnsiTheme="minorEastAsia" w:eastAsiaTheme="minorEastAsia" w:cstheme="minorEastAsia"/>
          <w:b/>
          <w:bCs/>
          <w:sz w:val="24"/>
          <w:szCs w:val="24"/>
          <w:highlight w:val="none"/>
          <w:lang w:val="en-US" w:eastAsia="zh-CN"/>
        </w:rPr>
        <w:t>第十条 廉洁条款</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u w:val="single"/>
          <w:lang w:val="en-US" w:eastAsia="zh-CN"/>
        </w:rPr>
      </w:pPr>
      <w:r>
        <w:rPr>
          <w:rFonts w:hint="eastAsia" w:asciiTheme="minorEastAsia" w:hAnsiTheme="minorEastAsia" w:eastAsiaTheme="minorEastAsia" w:cstheme="minorEastAsia"/>
          <w:b/>
          <w:bCs/>
          <w:sz w:val="24"/>
          <w:szCs w:val="24"/>
          <w:highlight w:val="none"/>
          <w:u w:val="single"/>
          <w:lang w:val="en-US" w:eastAsia="zh-CN"/>
        </w:rPr>
        <w:t>10.1 乙方应严格遵守国家相关法律法规，涉及合同的有关业务活动必须坚持公开、公平、公正、诚信原则，不得为获取不正当利益，损害国家、集体和甲方利益。</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u w:val="single"/>
          <w:lang w:val="en-US" w:eastAsia="zh-CN"/>
        </w:rPr>
      </w:pPr>
      <w:r>
        <w:rPr>
          <w:rFonts w:hint="eastAsia" w:asciiTheme="minorEastAsia" w:hAnsiTheme="minorEastAsia" w:eastAsiaTheme="minorEastAsia" w:cstheme="minorEastAsia"/>
          <w:b/>
          <w:bCs/>
          <w:sz w:val="24"/>
          <w:szCs w:val="24"/>
          <w:highlight w:val="none"/>
          <w:u w:val="single"/>
          <w:lang w:val="en-US" w:eastAsia="zh-CN"/>
        </w:rPr>
        <w:t>10.2 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bookmarkStart w:id="10" w:name="违约与争议解决"/>
      <w:r>
        <w:rPr>
          <w:rFonts w:hint="eastAsia" w:asciiTheme="minorEastAsia" w:hAnsiTheme="minorEastAsia" w:eastAsiaTheme="minorEastAsia" w:cstheme="minorEastAsia"/>
          <w:b/>
          <w:bCs/>
          <w:sz w:val="24"/>
          <w:szCs w:val="24"/>
          <w:highlight w:val="none"/>
          <w:lang w:val="en-US" w:eastAsia="zh-CN"/>
        </w:rPr>
        <w:t>第十一条 通知与送达</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11.1 甲乙双方同意，与本合同有关的任何文书，应以书面方式按照本合同约定发送，书面方式包括手机短信、微信、书面函件、电子邮件等形式。</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11.2 双方确认的文书（包括未来可能发生的诉讼或仲裁活动中法院或仲裁机构的送达法律文书）送达地址：</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u w:val="single"/>
          <w:lang w:val="en-US" w:eastAsia="zh-CN"/>
        </w:rPr>
      </w:pPr>
      <w:r>
        <w:rPr>
          <w:rFonts w:hint="eastAsia" w:asciiTheme="minorEastAsia" w:hAnsiTheme="minorEastAsia" w:eastAsiaTheme="minorEastAsia" w:cstheme="minorEastAsia"/>
          <w:sz w:val="24"/>
          <w:szCs w:val="24"/>
          <w:highlight w:val="none"/>
          <w:lang w:val="en-US" w:eastAsia="zh-CN"/>
        </w:rPr>
        <w:t>11.2.1 甲方的联系地址：</w:t>
      </w: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single"/>
          <w:lang w:val="en-US" w:eastAsia="zh-CN"/>
        </w:rPr>
        <w:t xml:space="preserve">娄底市中心医院综合楼6楼612室 </w:t>
      </w:r>
      <w:r>
        <w:rPr>
          <w:rFonts w:hint="eastAsia" w:asciiTheme="minorEastAsia" w:hAnsiTheme="minorEastAsia" w:eastAsiaTheme="minorEastAsia" w:cstheme="minorEastAsia"/>
          <w:sz w:val="24"/>
          <w:szCs w:val="24"/>
          <w:highlight w:val="none"/>
          <w:u w:val="none"/>
          <w:lang w:val="en-US" w:eastAsia="zh-CN"/>
        </w:rPr>
        <w:t>，联系人：</w:t>
      </w:r>
      <w:r>
        <w:rPr>
          <w:rFonts w:hint="eastAsia" w:asciiTheme="minorEastAsia" w:hAnsiTheme="minorEastAsia" w:eastAsiaTheme="minorEastAsia" w:cstheme="minorEastAsia"/>
          <w:sz w:val="24"/>
          <w:szCs w:val="24"/>
          <w:highlight w:val="none"/>
          <w:u w:val="single"/>
          <w:lang w:val="en-US" w:eastAsia="zh-CN"/>
        </w:rPr>
        <w:t xml:space="preserve"> 聂东庚 </w:t>
      </w:r>
      <w:r>
        <w:rPr>
          <w:rFonts w:hint="eastAsia" w:asciiTheme="minorEastAsia" w:hAnsiTheme="minorEastAsia" w:eastAsiaTheme="minorEastAsia" w:cstheme="minorEastAsia"/>
          <w:sz w:val="24"/>
          <w:szCs w:val="24"/>
          <w:highlight w:val="none"/>
          <w:u w:val="none"/>
          <w:lang w:val="en-US" w:eastAsia="zh-CN"/>
        </w:rPr>
        <w:t>，联系电话：</w:t>
      </w:r>
      <w:r>
        <w:rPr>
          <w:rFonts w:hint="eastAsia" w:asciiTheme="minorEastAsia" w:hAnsiTheme="minorEastAsia" w:eastAsiaTheme="minorEastAsia" w:cstheme="minorEastAsia"/>
          <w:sz w:val="24"/>
          <w:szCs w:val="24"/>
          <w:highlight w:val="none"/>
          <w:u w:val="single"/>
          <w:lang w:val="en-US" w:eastAsia="zh-CN"/>
        </w:rPr>
        <w:t xml:space="preserve"> 13873869596 </w:t>
      </w:r>
      <w:r>
        <w:rPr>
          <w:rFonts w:hint="eastAsia" w:asciiTheme="minorEastAsia" w:hAnsiTheme="minorEastAsia" w:eastAsiaTheme="minorEastAsia" w:cstheme="minorEastAsia"/>
          <w:sz w:val="24"/>
          <w:szCs w:val="24"/>
          <w:highlight w:val="none"/>
          <w:u w:val="none"/>
          <w:lang w:val="en-US" w:eastAsia="zh-CN"/>
        </w:rPr>
        <w:t>，邮箱地址：</w:t>
      </w:r>
      <w:r>
        <w:rPr>
          <w:rFonts w:hint="eastAsia" w:asciiTheme="minorEastAsia" w:hAnsiTheme="minorEastAsia" w:eastAsiaTheme="minorEastAsia" w:cstheme="minorEastAsia"/>
          <w:sz w:val="24"/>
          <w:szCs w:val="24"/>
          <w:highlight w:val="none"/>
          <w:u w:val="single"/>
          <w:lang w:val="en-US" w:eastAsia="zh-CN"/>
        </w:rPr>
        <w:t xml:space="preserve">   /  </w:t>
      </w:r>
      <w:r>
        <w:rPr>
          <w:rFonts w:hint="eastAsia" w:asciiTheme="minorEastAsia" w:hAnsiTheme="minorEastAsia" w:eastAsiaTheme="minorEastAsia" w:cstheme="minorEastAsia"/>
          <w:sz w:val="24"/>
          <w:szCs w:val="24"/>
          <w:highlight w:val="none"/>
          <w:u w:val="none"/>
          <w:lang w:val="en-US" w:eastAsia="zh-CN"/>
        </w:rPr>
        <w:t>，或微信号：</w:t>
      </w:r>
      <w:r>
        <w:rPr>
          <w:rFonts w:hint="eastAsia" w:asciiTheme="minorEastAsia" w:hAnsiTheme="minorEastAsia" w:eastAsiaTheme="minorEastAsia" w:cstheme="minorEastAsia"/>
          <w:sz w:val="24"/>
          <w:szCs w:val="24"/>
          <w:highlight w:val="none"/>
          <w:u w:val="single"/>
          <w:lang w:val="en-US" w:eastAsia="zh-CN"/>
        </w:rPr>
        <w:t xml:space="preserve">  /   </w:t>
      </w:r>
      <w:r>
        <w:rPr>
          <w:rFonts w:hint="eastAsia" w:asciiTheme="minorEastAsia" w:hAnsiTheme="minorEastAsia" w:eastAsiaTheme="minorEastAsia" w:cstheme="minorEastAsia"/>
          <w:sz w:val="24"/>
          <w:szCs w:val="24"/>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11.2.2 乙方的联系地址：</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，联系人：</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，联系电话：</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，邮箱地址：</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，或微信号：</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11.3 上述通知应被视为在下列时间送达：以快递或专人发送的，在收件人签收之日或拒收之日；以挂号邮件发出的，在发出之日起7个工作日；以电子邮件发出的，在电子邮件进入收件方电子邮箱服务器之日。</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11.4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第十二条 合同的变更、解除</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12.1 本合同经双方协商一致后可以变更，双方应另行签订补充协议。</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 xml:space="preserve">12.2 </w:t>
      </w:r>
      <w:r>
        <w:rPr>
          <w:rFonts w:hint="eastAsia" w:asciiTheme="minorEastAsia" w:hAnsiTheme="minorEastAsia" w:eastAsiaTheme="minorEastAsia" w:cstheme="minorEastAsia"/>
          <w:sz w:val="24"/>
          <w:szCs w:val="24"/>
          <w:highlight w:val="none"/>
          <w:lang w:eastAsia="zh-CN"/>
        </w:rPr>
        <w:t>乙方出现以下违约情形之一的，</w:t>
      </w:r>
      <w:r>
        <w:rPr>
          <w:rFonts w:hint="eastAsia" w:asciiTheme="minorEastAsia" w:hAnsiTheme="minorEastAsia" w:eastAsiaTheme="minorEastAsia" w:cstheme="minorEastAsia"/>
          <w:color w:val="FF0000"/>
          <w:sz w:val="24"/>
          <w:szCs w:val="24"/>
          <w:highlight w:val="none"/>
          <w:lang w:eastAsia="zh-CN"/>
        </w:rPr>
        <w:t>甲方有权</w:t>
      </w:r>
      <w:r>
        <w:rPr>
          <w:rFonts w:hint="eastAsia" w:asciiTheme="minorEastAsia" w:hAnsiTheme="minorEastAsia" w:eastAsiaTheme="minorEastAsia" w:cstheme="minorEastAsia"/>
          <w:color w:val="FF0000"/>
          <w:sz w:val="24"/>
          <w:szCs w:val="24"/>
          <w:highlight w:val="none"/>
          <w:lang w:val="en-US" w:eastAsia="zh-CN"/>
        </w:rPr>
        <w:t>通知乙方</w:t>
      </w:r>
      <w:r>
        <w:rPr>
          <w:rFonts w:hint="eastAsia" w:asciiTheme="minorEastAsia" w:hAnsiTheme="minorEastAsia" w:eastAsiaTheme="minorEastAsia" w:cstheme="minorEastAsia"/>
          <w:color w:val="FF0000"/>
          <w:sz w:val="24"/>
          <w:szCs w:val="24"/>
          <w:highlight w:val="none"/>
          <w:lang w:eastAsia="zh-CN"/>
        </w:rPr>
        <w:t>单方解除</w:t>
      </w:r>
      <w:r>
        <w:rPr>
          <w:rFonts w:hint="eastAsia" w:asciiTheme="minorEastAsia" w:hAnsiTheme="minorEastAsia" w:eastAsiaTheme="minorEastAsia" w:cstheme="minorEastAsia"/>
          <w:color w:val="FF0000"/>
          <w:sz w:val="24"/>
          <w:szCs w:val="24"/>
          <w:highlight w:val="none"/>
          <w:lang w:val="en-US" w:eastAsia="zh-CN"/>
        </w:rPr>
        <w:t>本</w:t>
      </w:r>
      <w:r>
        <w:rPr>
          <w:rFonts w:hint="eastAsia" w:asciiTheme="minorEastAsia" w:hAnsiTheme="minorEastAsia" w:eastAsiaTheme="minorEastAsia" w:cstheme="minorEastAsia"/>
          <w:color w:val="FF0000"/>
          <w:sz w:val="24"/>
          <w:szCs w:val="24"/>
          <w:highlight w:val="none"/>
          <w:lang w:eastAsia="zh-CN"/>
        </w:rPr>
        <w:t>合同</w:t>
      </w:r>
      <w:r>
        <w:rPr>
          <w:rFonts w:hint="eastAsia" w:asciiTheme="minorEastAsia" w:hAnsiTheme="minorEastAsia" w:eastAsiaTheme="minorEastAsia" w:cstheme="minorEastAsia"/>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12.2.1 </w:t>
      </w:r>
      <w:r>
        <w:rPr>
          <w:rFonts w:hint="eastAsia" w:asciiTheme="minorEastAsia" w:hAnsiTheme="minorEastAsia" w:eastAsiaTheme="minorEastAsia" w:cstheme="minorEastAsia"/>
          <w:sz w:val="24"/>
          <w:szCs w:val="24"/>
          <w:highlight w:val="none"/>
          <w:lang w:eastAsia="zh-CN"/>
        </w:rPr>
        <w:t>乙方逾期</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lang w:eastAsia="zh-CN"/>
        </w:rPr>
        <w:t>日</w:t>
      </w:r>
      <w:r>
        <w:rPr>
          <w:rFonts w:hint="eastAsia" w:asciiTheme="minorEastAsia" w:hAnsiTheme="minorEastAsia" w:eastAsiaTheme="minorEastAsia" w:cstheme="minorEastAsia"/>
          <w:sz w:val="24"/>
          <w:szCs w:val="24"/>
          <w:highlight w:val="none"/>
          <w:lang w:val="en-US" w:eastAsia="zh-CN"/>
        </w:rPr>
        <w:t>未</w:t>
      </w:r>
      <w:r>
        <w:rPr>
          <w:rFonts w:hint="eastAsia" w:asciiTheme="minorEastAsia" w:hAnsiTheme="minorEastAsia" w:eastAsiaTheme="minorEastAsia" w:cstheme="minorEastAsia"/>
          <w:sz w:val="24"/>
          <w:szCs w:val="24"/>
          <w:highlight w:val="none"/>
          <w:lang w:eastAsia="zh-CN"/>
        </w:rPr>
        <w:t>开展现</w:t>
      </w:r>
      <w:r>
        <w:rPr>
          <w:rFonts w:hint="eastAsia" w:asciiTheme="minorEastAsia" w:hAnsiTheme="minorEastAsia" w:eastAsiaTheme="minorEastAsia" w:cstheme="minorEastAsia"/>
          <w:sz w:val="24"/>
          <w:szCs w:val="24"/>
          <w:highlight w:val="none"/>
          <w:lang w:val="en-US" w:eastAsia="zh-CN"/>
        </w:rPr>
        <w:t>场勘查及限位装置的安装工作；</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12.2.2 乙方提供</w:t>
      </w:r>
      <w:r>
        <w:rPr>
          <w:rFonts w:hint="eastAsia" w:asciiTheme="minorEastAsia" w:hAnsiTheme="minorEastAsia" w:eastAsiaTheme="minorEastAsia" w:cstheme="minorEastAsia"/>
          <w:color w:val="0000FF"/>
          <w:sz w:val="24"/>
          <w:szCs w:val="24"/>
          <w:highlight w:val="none"/>
          <w:lang w:val="en-US" w:eastAsia="zh-CN"/>
        </w:rPr>
        <w:t>的材料</w:t>
      </w:r>
      <w:r>
        <w:rPr>
          <w:rFonts w:hint="eastAsia" w:asciiTheme="minorEastAsia" w:hAnsiTheme="minorEastAsia" w:eastAsiaTheme="minorEastAsia" w:cstheme="minorEastAsia"/>
          <w:sz w:val="24"/>
          <w:szCs w:val="24"/>
          <w:highlight w:val="none"/>
          <w:lang w:val="en-US" w:eastAsia="zh-CN"/>
        </w:rPr>
        <w:t>质量不符合国家标准、本合同标准或投标文件/响应文件约定标准；</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 xml:space="preserve">12.2.3 </w:t>
      </w:r>
      <w:r>
        <w:rPr>
          <w:rFonts w:hint="eastAsia" w:asciiTheme="minorEastAsia" w:hAnsiTheme="minorEastAsia" w:eastAsiaTheme="minorEastAsia" w:cstheme="minorEastAsia"/>
          <w:sz w:val="24"/>
          <w:szCs w:val="24"/>
          <w:highlight w:val="none"/>
          <w:lang w:eastAsia="zh-CN"/>
        </w:rPr>
        <w:t>乙方将</w:t>
      </w:r>
      <w:r>
        <w:rPr>
          <w:rFonts w:hint="eastAsia" w:asciiTheme="minorEastAsia" w:hAnsiTheme="minorEastAsia" w:eastAsiaTheme="minorEastAsia" w:cstheme="minorEastAsia"/>
          <w:sz w:val="24"/>
          <w:szCs w:val="24"/>
          <w:highlight w:val="none"/>
          <w:lang w:val="en-US" w:eastAsia="zh-CN"/>
        </w:rPr>
        <w:t>本合同权利义务全部或部分转让给</w:t>
      </w:r>
      <w:r>
        <w:rPr>
          <w:rFonts w:hint="eastAsia" w:asciiTheme="minorEastAsia" w:hAnsiTheme="minorEastAsia" w:eastAsiaTheme="minorEastAsia" w:cstheme="minorEastAsia"/>
          <w:sz w:val="24"/>
          <w:szCs w:val="24"/>
          <w:highlight w:val="none"/>
          <w:lang w:eastAsia="zh-CN"/>
        </w:rPr>
        <w:t>第三方。</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12.2.4 乙方安装的限位器不符合本合同约定标准经甲方两次验收不合格的。</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12.2.5 乙方未在本合同约定期限内完成并经甲方总体验收合格，逾期</w:t>
      </w:r>
      <w:r>
        <w:rPr>
          <w:rFonts w:hint="eastAsia" w:asciiTheme="minorEastAsia" w:hAnsiTheme="minorEastAsia" w:eastAsiaTheme="minorEastAsia" w:cstheme="minorEastAsia"/>
          <w:color w:val="FF0000"/>
          <w:sz w:val="24"/>
          <w:szCs w:val="24"/>
          <w:highlight w:val="none"/>
          <w:u w:val="single"/>
          <w:lang w:val="en-US" w:eastAsia="zh-CN"/>
        </w:rPr>
        <w:t>10</w:t>
      </w:r>
      <w:r>
        <w:rPr>
          <w:rFonts w:hint="eastAsia" w:asciiTheme="minorEastAsia" w:hAnsiTheme="minorEastAsia" w:eastAsiaTheme="minorEastAsia" w:cstheme="minorEastAsia"/>
          <w:color w:val="FF0000"/>
          <w:sz w:val="24"/>
          <w:szCs w:val="24"/>
          <w:highlight w:val="none"/>
          <w:lang w:val="en-US" w:eastAsia="zh-CN"/>
        </w:rPr>
        <w:t>日以上时。</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第十三条 违约责任</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13.1 乙方逾期</w:t>
      </w:r>
      <w:r>
        <w:rPr>
          <w:rFonts w:hint="eastAsia" w:asciiTheme="minorEastAsia" w:hAnsiTheme="minorEastAsia" w:eastAsiaTheme="minorEastAsia" w:cstheme="minorEastAsia"/>
          <w:color w:val="0000FF"/>
          <w:sz w:val="24"/>
          <w:szCs w:val="24"/>
          <w:highlight w:val="none"/>
          <w:lang w:val="en-US" w:eastAsia="zh-CN"/>
        </w:rPr>
        <w:t>未通过甲方总体验收</w:t>
      </w:r>
      <w:r>
        <w:rPr>
          <w:rFonts w:hint="eastAsia" w:asciiTheme="minorEastAsia" w:hAnsiTheme="minorEastAsia" w:eastAsiaTheme="minorEastAsia" w:cstheme="minorEastAsia"/>
          <w:sz w:val="24"/>
          <w:szCs w:val="24"/>
          <w:highlight w:val="none"/>
          <w:lang w:val="en-US" w:eastAsia="zh-CN"/>
        </w:rPr>
        <w:t>的，</w:t>
      </w:r>
      <w:r>
        <w:rPr>
          <w:rFonts w:hint="eastAsia" w:asciiTheme="minorEastAsia" w:hAnsiTheme="minorEastAsia" w:eastAsiaTheme="minorEastAsia" w:cstheme="minorEastAsia"/>
          <w:color w:val="0000FF"/>
          <w:sz w:val="24"/>
          <w:szCs w:val="24"/>
          <w:highlight w:val="none"/>
          <w:lang w:val="en-US" w:eastAsia="zh-CN"/>
        </w:rPr>
        <w:t>除应赔偿甲方因此造成的损失外，</w:t>
      </w:r>
      <w:r>
        <w:rPr>
          <w:rFonts w:hint="eastAsia" w:asciiTheme="minorEastAsia" w:hAnsiTheme="minorEastAsia" w:eastAsiaTheme="minorEastAsia" w:cstheme="minorEastAsia"/>
          <w:sz w:val="24"/>
          <w:szCs w:val="24"/>
          <w:highlight w:val="none"/>
          <w:lang w:val="en-US" w:eastAsia="zh-CN"/>
        </w:rPr>
        <w:t>每逾期一日，应向甲方支付</w:t>
      </w:r>
      <w:r>
        <w:rPr>
          <w:rFonts w:hint="eastAsia" w:asciiTheme="minorEastAsia" w:hAnsiTheme="minorEastAsia" w:eastAsiaTheme="minorEastAsia" w:cstheme="minorEastAsia"/>
          <w:sz w:val="24"/>
          <w:szCs w:val="24"/>
          <w:highlight w:val="none"/>
          <w:u w:val="none"/>
          <w:lang w:val="en-US" w:eastAsia="zh-CN"/>
        </w:rPr>
        <w:t>500.00元</w:t>
      </w:r>
      <w:r>
        <w:rPr>
          <w:rFonts w:hint="eastAsia" w:asciiTheme="minorEastAsia" w:hAnsiTheme="minorEastAsia" w:eastAsiaTheme="minorEastAsia" w:cstheme="minorEastAsia"/>
          <w:sz w:val="24"/>
          <w:szCs w:val="24"/>
          <w:highlight w:val="none"/>
          <w:lang w:val="en-US" w:eastAsia="zh-CN"/>
        </w:rPr>
        <w:t>的违约金；</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13.2 如乙方擅自单方解除本合同或因乙方原因导致甲方单方解除本合同，甲方有权不向乙方支付任何款项，且乙方除赔偿甲方由此造成的损失外，还应向甲方支付违约金</w:t>
      </w:r>
      <w:r>
        <w:rPr>
          <w:rFonts w:hint="eastAsia" w:asciiTheme="minorEastAsia" w:hAnsiTheme="minorEastAsia" w:eastAsiaTheme="minorEastAsia" w:cstheme="minorEastAsia"/>
          <w:color w:val="0000FF"/>
          <w:sz w:val="24"/>
          <w:szCs w:val="24"/>
          <w:highlight w:val="none"/>
          <w:u w:val="none"/>
          <w:lang w:val="en-US" w:eastAsia="zh-CN"/>
        </w:rPr>
        <w:t>48000.00</w:t>
      </w:r>
      <w:r>
        <w:rPr>
          <w:rFonts w:hint="eastAsia" w:asciiTheme="minorEastAsia" w:hAnsiTheme="minorEastAsia" w:eastAsiaTheme="minorEastAsia" w:cstheme="minorEastAsia"/>
          <w:color w:val="FF0000"/>
          <w:sz w:val="24"/>
          <w:szCs w:val="24"/>
          <w:highlight w:val="none"/>
          <w:lang w:val="en-US" w:eastAsia="zh-CN"/>
        </w:rPr>
        <w:t>元。</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13.3 农民工工资及</w:t>
      </w:r>
      <w:r>
        <w:rPr>
          <w:rFonts w:hint="eastAsia" w:asciiTheme="minorEastAsia" w:hAnsiTheme="minorEastAsia" w:eastAsiaTheme="minorEastAsia" w:cstheme="minorEastAsia"/>
          <w:color w:val="FF0000"/>
          <w:sz w:val="24"/>
          <w:szCs w:val="24"/>
          <w:highlight w:val="none"/>
          <w:lang w:val="en-US" w:eastAsia="zh-CN"/>
        </w:rPr>
        <w:t>乙方</w:t>
      </w:r>
      <w:r>
        <w:rPr>
          <w:rFonts w:hint="eastAsia" w:asciiTheme="minorEastAsia" w:hAnsiTheme="minorEastAsia" w:eastAsiaTheme="minorEastAsia" w:cstheme="minorEastAsia"/>
          <w:sz w:val="24"/>
          <w:szCs w:val="24"/>
          <w:highlight w:val="none"/>
          <w:lang w:val="en-US" w:eastAsia="zh-CN"/>
        </w:rPr>
        <w:t>货款（特别约定）：乙方须按时足额支付农民工工资及材料</w:t>
      </w:r>
      <w:r>
        <w:rPr>
          <w:rFonts w:hint="eastAsia" w:asciiTheme="minorEastAsia" w:hAnsiTheme="minorEastAsia" w:eastAsiaTheme="minorEastAsia" w:cstheme="minorEastAsia"/>
          <w:color w:val="FF0000"/>
          <w:sz w:val="24"/>
          <w:szCs w:val="24"/>
          <w:highlight w:val="none"/>
          <w:lang w:val="en-US" w:eastAsia="zh-CN"/>
        </w:rPr>
        <w:t>供应商的</w:t>
      </w:r>
      <w:r>
        <w:rPr>
          <w:rFonts w:hint="eastAsia" w:asciiTheme="minorEastAsia" w:hAnsiTheme="minorEastAsia" w:eastAsiaTheme="minorEastAsia" w:cstheme="minorEastAsia"/>
          <w:sz w:val="24"/>
          <w:szCs w:val="24"/>
          <w:highlight w:val="none"/>
          <w:lang w:val="en-US" w:eastAsia="zh-CN"/>
        </w:rPr>
        <w:t>货款；若存在拖欠行为，甲方</w:t>
      </w:r>
      <w:r>
        <w:rPr>
          <w:rFonts w:hint="eastAsia" w:asciiTheme="minorEastAsia" w:hAnsiTheme="minorEastAsia" w:eastAsiaTheme="minorEastAsia" w:cstheme="minorEastAsia"/>
          <w:color w:val="0000FF"/>
          <w:sz w:val="24"/>
          <w:szCs w:val="24"/>
          <w:highlight w:val="none"/>
          <w:lang w:val="en-US" w:eastAsia="zh-CN"/>
        </w:rPr>
        <w:t>有权</w:t>
      </w:r>
      <w:r>
        <w:rPr>
          <w:rFonts w:hint="eastAsia" w:asciiTheme="minorEastAsia" w:hAnsiTheme="minorEastAsia" w:eastAsiaTheme="minorEastAsia" w:cstheme="minorEastAsia"/>
          <w:sz w:val="24"/>
          <w:szCs w:val="24"/>
          <w:highlight w:val="none"/>
          <w:lang w:val="en-US" w:eastAsia="zh-CN"/>
        </w:rPr>
        <w:t>从应</w:t>
      </w:r>
      <w:r>
        <w:rPr>
          <w:rFonts w:hint="eastAsia" w:asciiTheme="minorEastAsia" w:hAnsiTheme="minorEastAsia" w:eastAsiaTheme="minorEastAsia" w:cstheme="minorEastAsia"/>
          <w:color w:val="0000FF"/>
          <w:sz w:val="24"/>
          <w:szCs w:val="24"/>
          <w:highlight w:val="none"/>
          <w:lang w:val="en-US" w:eastAsia="zh-CN"/>
        </w:rPr>
        <w:t>支付给乙方的任意价款中</w:t>
      </w:r>
      <w:r>
        <w:rPr>
          <w:rFonts w:hint="eastAsia" w:asciiTheme="minorEastAsia" w:hAnsiTheme="minorEastAsia" w:eastAsiaTheme="minorEastAsia" w:cstheme="minorEastAsia"/>
          <w:sz w:val="24"/>
          <w:szCs w:val="24"/>
          <w:highlight w:val="none"/>
          <w:lang w:val="en-US" w:eastAsia="zh-CN"/>
        </w:rPr>
        <w:t>代扣代付欠款。</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13.4 乙方在服务过程中造成甲方财物损毁、损坏的，乙方应当按财物实际价值予以赔偿，或由乙方无偿修复至原有合格状态，产生的全部费用由乙方自行承担。</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u w:val="single"/>
          <w:lang w:val="en-US" w:eastAsia="zh-CN"/>
        </w:rPr>
      </w:pPr>
      <w:r>
        <w:rPr>
          <w:rFonts w:hint="eastAsia" w:asciiTheme="minorEastAsia" w:hAnsiTheme="minorEastAsia" w:eastAsiaTheme="minorEastAsia" w:cstheme="minorEastAsia"/>
          <w:b/>
          <w:bCs/>
          <w:sz w:val="24"/>
          <w:szCs w:val="24"/>
          <w:highlight w:val="none"/>
          <w:u w:val="single"/>
          <w:lang w:val="en-US" w:eastAsia="zh-CN"/>
        </w:rPr>
        <w:t>13.5 无论甲方在任意时候（不限于本合同履行期间）发现存在违反本合同廉洁条款的行为，乙方须向甲方支付一次性惩罚性违约金</w:t>
      </w:r>
      <w:r>
        <w:rPr>
          <w:rFonts w:hint="eastAsia" w:asciiTheme="minorEastAsia" w:hAnsiTheme="minorEastAsia" w:eastAsiaTheme="minorEastAsia" w:cstheme="minorEastAsia"/>
          <w:b/>
          <w:bCs/>
          <w:color w:val="0000FF"/>
          <w:sz w:val="24"/>
          <w:szCs w:val="24"/>
          <w:highlight w:val="none"/>
          <w:u w:val="single"/>
          <w:lang w:val="en-US" w:eastAsia="zh-CN"/>
        </w:rPr>
        <w:t>16000.00</w:t>
      </w:r>
      <w:r>
        <w:rPr>
          <w:rFonts w:hint="eastAsia" w:asciiTheme="minorEastAsia" w:hAnsiTheme="minorEastAsia" w:eastAsiaTheme="minorEastAsia" w:cstheme="minorEastAsia"/>
          <w:b/>
          <w:bCs/>
          <w:sz w:val="24"/>
          <w:szCs w:val="24"/>
          <w:highlight w:val="none"/>
          <w:u w:val="single"/>
          <w:lang w:val="en-US" w:eastAsia="zh-CN"/>
        </w:rPr>
        <w:t>元。如乙方除需承担违反廉洁条款的违约责任外，同时存在其他违约行为，乙方仍须就其他违约行为承担相应违约责任。</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u w:val="single"/>
          <w:lang w:val="en-US" w:eastAsia="zh-CN"/>
        </w:rPr>
      </w:pPr>
      <w:r>
        <w:rPr>
          <w:rFonts w:hint="eastAsia" w:asciiTheme="minorEastAsia" w:hAnsiTheme="minorEastAsia" w:eastAsiaTheme="minorEastAsia" w:cstheme="minorEastAsia"/>
          <w:b/>
          <w:bCs/>
          <w:sz w:val="24"/>
          <w:szCs w:val="24"/>
          <w:highlight w:val="none"/>
          <w:u w:val="single"/>
          <w:lang w:val="en-US" w:eastAsia="zh-CN"/>
        </w:rPr>
        <w:t>13.6 依据本合同约定乙方应支付给甲方的违约金，甲方有权在应支付给乙方的任意价款中直接予以扣除，如扣除部分不足，乙方应在接到甲方通知后3日内补足。</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 xml:space="preserve">第十四条 </w:t>
      </w:r>
      <w:r>
        <w:rPr>
          <w:rFonts w:hint="eastAsia" w:asciiTheme="minorEastAsia" w:hAnsiTheme="minorEastAsia" w:eastAsiaTheme="minorEastAsia" w:cstheme="minorEastAsia"/>
          <w:b/>
          <w:bCs/>
          <w:sz w:val="24"/>
          <w:szCs w:val="24"/>
          <w:highlight w:val="none"/>
        </w:rPr>
        <w:t>争议解决</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本合同项下发生的争议，双方当事人应通过协商、调解等方式解决；协商或调解解决不成的，任一方均可向甲方所在地有管辖权的人民法院提起诉讼解决。</w:t>
      </w:r>
    </w:p>
    <w:p>
      <w:pPr>
        <w:keepNext w:val="0"/>
        <w:keepLines w:val="0"/>
        <w:pageBreakBefore w:val="0"/>
        <w:widowControl w:val="0"/>
        <w:kinsoku/>
        <w:wordWrap/>
        <w:overflowPunct/>
        <w:topLinePunct w:val="0"/>
        <w:autoSpaceDE/>
        <w:autoSpaceDN/>
        <w:bidi w:val="0"/>
        <w:adjustRightInd/>
        <w:snapToGrid/>
        <w:spacing w:after="0" w:line="480" w:lineRule="exact"/>
        <w:ind w:firstLine="482" w:firstLineChars="200"/>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十五</w:t>
      </w:r>
      <w:r>
        <w:rPr>
          <w:rFonts w:hint="eastAsia" w:asciiTheme="minorEastAsia" w:hAnsiTheme="minorEastAsia" w:eastAsiaTheme="minorEastAsia" w:cstheme="minorEastAsia"/>
          <w:b/>
          <w:bCs/>
          <w:sz w:val="24"/>
          <w:szCs w:val="24"/>
          <w:highlight w:val="none"/>
        </w:rPr>
        <w:t>、</w:t>
      </w:r>
      <w:r>
        <w:rPr>
          <w:rFonts w:hint="eastAsia" w:asciiTheme="minorEastAsia" w:hAnsiTheme="minorEastAsia" w:eastAsiaTheme="minorEastAsia" w:cstheme="minorEastAsia"/>
          <w:b/>
          <w:bCs/>
          <w:sz w:val="24"/>
          <w:szCs w:val="24"/>
          <w:highlight w:val="none"/>
          <w:lang w:eastAsia="zh-CN"/>
        </w:rPr>
        <w:t>其他</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15.1 本合同附件为合同不可分割的组成部分，与合同正文具有同等法律效力。附件包括：附件一《安装任务通知单》、附件二《安装数量确认单》、附件三《最终结算确认书》、附件四《投标人承诺书》。</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15.2 本合同组成文件和优先解释顺序：乙方在履行本合同中作出的书面承诺；本合同补充协议；本合同及附件；中标通知书/成交通知书/议价结果公示/成交公告；投标文件/响应文件；招标文件/采购文件/采购需求；其他与本合同有关的资料。</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15.3 如遇自然灾害等不可抗力致使合同暂时无法履行的，</w:t>
      </w:r>
      <w:r>
        <w:rPr>
          <w:rFonts w:hint="eastAsia" w:asciiTheme="minorEastAsia" w:hAnsiTheme="minorEastAsia" w:eastAsiaTheme="minorEastAsia" w:cstheme="minorEastAsia"/>
          <w:color w:val="0000FF"/>
          <w:sz w:val="24"/>
          <w:szCs w:val="24"/>
          <w:highlight w:val="none"/>
          <w:lang w:val="en-US" w:eastAsia="zh-CN"/>
        </w:rPr>
        <w:t>经甲、乙双方协商后，</w:t>
      </w:r>
      <w:r>
        <w:rPr>
          <w:rFonts w:hint="eastAsia" w:asciiTheme="minorEastAsia" w:hAnsiTheme="minorEastAsia" w:eastAsiaTheme="minorEastAsia" w:cstheme="minorEastAsia"/>
          <w:sz w:val="24"/>
          <w:szCs w:val="24"/>
          <w:highlight w:val="none"/>
          <w:lang w:val="en-US" w:eastAsia="zh-CN"/>
        </w:rPr>
        <w:t>合同履行期</w:t>
      </w:r>
      <w:r>
        <w:rPr>
          <w:rFonts w:hint="eastAsia" w:asciiTheme="minorEastAsia" w:hAnsiTheme="minorEastAsia" w:eastAsiaTheme="minorEastAsia" w:cstheme="minorEastAsia"/>
          <w:color w:val="0000FF"/>
          <w:sz w:val="24"/>
          <w:szCs w:val="24"/>
          <w:highlight w:val="none"/>
          <w:lang w:val="en-US" w:eastAsia="zh-CN"/>
        </w:rPr>
        <w:t>可</w:t>
      </w:r>
      <w:r>
        <w:rPr>
          <w:rFonts w:hint="eastAsia" w:asciiTheme="minorEastAsia" w:hAnsiTheme="minorEastAsia" w:eastAsiaTheme="minorEastAsia" w:cstheme="minorEastAsia"/>
          <w:sz w:val="24"/>
          <w:szCs w:val="24"/>
          <w:highlight w:val="none"/>
          <w:lang w:val="en-US" w:eastAsia="zh-CN"/>
        </w:rPr>
        <w:t>相应顺延。</w:t>
      </w:r>
    </w:p>
    <w:p>
      <w:pPr>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15.4 本合同一式陆份，甲方执叁份、乙方执叁份，自双方签字并盖章后生效。</w:t>
      </w:r>
    </w:p>
    <w:p>
      <w:pPr>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甲方（盖章）：娄底市中心医院        乙方（盖章）：</w:t>
      </w: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法定代表人（签字）：                法定代表人（签字）：  </w:t>
      </w: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rPr>
      </w:pP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或委托代理人（签字）：              或委托代理人（签字）：</w:t>
      </w: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rPr>
      </w:pPr>
    </w:p>
    <w:p>
      <w:pPr>
        <w:keepNext w:val="0"/>
        <w:keepLines w:val="0"/>
        <w:pageBreakBefore w:val="0"/>
        <w:widowControl w:val="0"/>
        <w:kinsoku/>
        <w:wordWrap/>
        <w:overflowPunct/>
        <w:topLinePunct w:val="0"/>
        <w:autoSpaceDE/>
        <w:autoSpaceDN/>
        <w:bidi w:val="0"/>
        <w:adjustRightInd/>
        <w:snapToGrid/>
        <w:spacing w:after="0" w:line="400" w:lineRule="exact"/>
        <w:ind w:firstLine="0" w:firstLineChars="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 xml:space="preserve">合同签订地履行地：娄底市娄星区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签订时间：      年     月     日</w:t>
      </w:r>
      <w:bookmarkEnd w:id="9"/>
      <w:bookmarkEnd w:id="10"/>
      <w:bookmarkStart w:id="11" w:name="附件四质量与安全承诺书"/>
      <w:bookmarkStart w:id="12" w:name="第四章-附件"/>
    </w:p>
    <w:bookmarkEnd w:id="11"/>
    <w:bookmarkEnd w:id="12"/>
    <w:p>
      <w:pPr>
        <w:spacing w:line="520" w:lineRule="exact"/>
        <w:rPr>
          <w:rFonts w:ascii="仿宋_GB2312" w:eastAsia="仿宋_GB2312" w:cs="仿宋_GB2312"/>
          <w:bCs/>
          <w:kern w:val="0"/>
          <w:sz w:val="28"/>
          <w:szCs w:val="28"/>
        </w:rPr>
      </w:pPr>
      <w:bookmarkStart w:id="16" w:name="_GoBack"/>
      <w:bookmarkEnd w:id="16"/>
    </w:p>
    <w:p>
      <w:pPr>
        <w:rPr>
          <w:rFonts w:ascii="仿宋_GB2312" w:eastAsia="仿宋_GB2312" w:cs="仿宋_GB2312"/>
          <w:bCs/>
          <w:kern w:val="0"/>
          <w:sz w:val="28"/>
          <w:szCs w:val="28"/>
        </w:rPr>
      </w:pPr>
      <w:r>
        <w:rPr>
          <w:rFonts w:hint="eastAsia" w:ascii="仿宋_GB2312" w:eastAsia="仿宋_GB2312" w:cs="仿宋_GB2312"/>
          <w:bCs/>
          <w:kern w:val="0"/>
          <w:sz w:val="28"/>
          <w:szCs w:val="28"/>
        </w:rPr>
        <w:br w:type="page"/>
      </w:r>
    </w:p>
    <w:p>
      <w:pPr>
        <w:pStyle w:val="2"/>
        <w:spacing w:line="240" w:lineRule="auto"/>
        <w:ind w:left="2940"/>
        <w:rPr>
          <w:rFonts w:hint="eastAsia" w:ascii="宋体" w:hAnsi="宋体" w:cs="宋体"/>
          <w:sz w:val="30"/>
          <w:szCs w:val="30"/>
        </w:rPr>
      </w:pPr>
      <w:bookmarkStart w:id="13" w:name="_Toc16523574"/>
      <w:r>
        <w:rPr>
          <w:rFonts w:hint="eastAsia" w:ascii="宋体" w:hAnsi="宋体" w:cs="宋体"/>
          <w:sz w:val="30"/>
          <w:szCs w:val="30"/>
        </w:rPr>
        <w:t>第三章   投标文件的格式</w:t>
      </w:r>
    </w:p>
    <w:p>
      <w:pPr>
        <w:pStyle w:val="2"/>
        <w:spacing w:line="240" w:lineRule="auto"/>
        <w:ind w:firstLine="2108" w:firstLineChars="700"/>
        <w:rPr>
          <w:rFonts w:hint="eastAsia" w:ascii="宋体" w:hAnsi="宋体" w:cs="宋体"/>
          <w:sz w:val="30"/>
          <w:szCs w:val="30"/>
        </w:rPr>
      </w:pPr>
      <w:r>
        <w:rPr>
          <w:rFonts w:hint="eastAsia" w:ascii="宋体" w:hAnsi="宋体" w:cs="宋体"/>
          <w:sz w:val="30"/>
          <w:szCs w:val="30"/>
        </w:rPr>
        <w:t>（必须按以下标题和顺序进行编制）</w:t>
      </w:r>
    </w:p>
    <w:p>
      <w:pPr>
        <w:rPr>
          <w:rFonts w:hint="eastAsia" w:ascii="宋体" w:hAnsi="宋体" w:cs="宋体"/>
        </w:rPr>
      </w:pPr>
    </w:p>
    <w:bookmarkEnd w:id="13"/>
    <w:p/>
    <w:p>
      <w:pPr>
        <w:jc w:val="center"/>
        <w:rPr>
          <w:b/>
          <w:sz w:val="24"/>
        </w:rPr>
      </w:pPr>
      <w:r>
        <w:rPr>
          <w:b/>
          <w:sz w:val="28"/>
          <w:szCs w:val="28"/>
        </w:rPr>
        <w:t>第一部分、开标一览表</w:t>
      </w:r>
    </w:p>
    <w:p>
      <w:pPr>
        <w:jc w:val="center"/>
        <w:rPr>
          <w:b/>
          <w:sz w:val="24"/>
        </w:rPr>
      </w:pPr>
    </w:p>
    <w:p>
      <w:pPr>
        <w:jc w:val="center"/>
        <w:rPr>
          <w:b/>
          <w:sz w:val="24"/>
        </w:rPr>
      </w:pPr>
      <w:r>
        <w:rPr>
          <w:rFonts w:hint="eastAsia"/>
          <w:b/>
          <w:sz w:val="24"/>
        </w:rPr>
        <w:t>注：此项内容需包含投标商品名称、数量、品牌、型号、单价等信息</w:t>
      </w:r>
    </w:p>
    <w:p>
      <w:pPr>
        <w:pStyle w:val="25"/>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第二部分、资格证明文件</w:t>
      </w:r>
    </w:p>
    <w:p>
      <w:pPr>
        <w:pStyle w:val="24"/>
      </w:pPr>
    </w:p>
    <w:p>
      <w:pPr>
        <w:adjustRightInd w:val="0"/>
        <w:snapToGrid w:val="0"/>
        <w:spacing w:line="360" w:lineRule="auto"/>
        <w:jc w:val="center"/>
        <w:rPr>
          <w:rFonts w:hint="eastAsia" w:ascii="宋体" w:hAnsi="宋体" w:cs="宋体"/>
          <w:b/>
          <w:sz w:val="24"/>
          <w:szCs w:val="20"/>
        </w:rPr>
      </w:pPr>
    </w:p>
    <w:p>
      <w:pPr>
        <w:adjustRightInd w:val="0"/>
        <w:snapToGrid w:val="0"/>
        <w:spacing w:line="360" w:lineRule="auto"/>
        <w:jc w:val="center"/>
        <w:rPr>
          <w:rFonts w:hint="eastAsia" w:ascii="宋体" w:hAnsi="宋体" w:cs="宋体"/>
          <w:b/>
          <w:sz w:val="24"/>
          <w:szCs w:val="20"/>
        </w:rPr>
      </w:pPr>
      <w:r>
        <w:rPr>
          <w:rFonts w:hint="eastAsia" w:ascii="宋体" w:hAnsi="宋体" w:cs="宋体"/>
          <w:b/>
          <w:sz w:val="24"/>
          <w:szCs w:val="20"/>
        </w:rPr>
        <w:t>一、法定代表人授权委托书</w:t>
      </w:r>
    </w:p>
    <w:p>
      <w:pPr>
        <w:adjustRightInd w:val="0"/>
        <w:snapToGrid w:val="0"/>
        <w:spacing w:line="360" w:lineRule="auto"/>
        <w:rPr>
          <w:rFonts w:hint="eastAsia" w:ascii="宋体" w:hAnsi="宋体" w:cs="宋体"/>
          <w:b/>
          <w:sz w:val="28"/>
          <w:szCs w:val="28"/>
        </w:rPr>
      </w:pPr>
    </w:p>
    <w:p>
      <w:pPr>
        <w:autoSpaceDE w:val="0"/>
        <w:autoSpaceDN w:val="0"/>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本人</w:t>
      </w:r>
      <w:r>
        <w:rPr>
          <w:rFonts w:hint="eastAsia" w:ascii="宋体" w:hAnsi="宋体" w:cs="宋体"/>
          <w:kern w:val="0"/>
          <w:sz w:val="24"/>
          <w:u w:val="single"/>
        </w:rPr>
        <w:t>（姓名、职务）</w:t>
      </w:r>
      <w:r>
        <w:rPr>
          <w:rFonts w:hint="eastAsia" w:ascii="宋体" w:hAnsi="宋体" w:cs="宋体"/>
          <w:kern w:val="0"/>
          <w:sz w:val="24"/>
        </w:rPr>
        <w:t>系</w:t>
      </w:r>
      <w:r>
        <w:rPr>
          <w:rFonts w:hint="eastAsia" w:ascii="宋体" w:hAnsi="宋体" w:cs="宋体"/>
          <w:kern w:val="0"/>
          <w:sz w:val="24"/>
          <w:u w:val="single"/>
        </w:rPr>
        <w:t xml:space="preserve"> （</w:t>
      </w:r>
      <w:r>
        <w:rPr>
          <w:rFonts w:hint="eastAsia" w:ascii="宋体" w:hAnsi="宋体" w:cs="宋体"/>
          <w:sz w:val="24"/>
          <w:u w:val="single"/>
        </w:rPr>
        <w:t>投标人</w:t>
      </w:r>
      <w:r>
        <w:rPr>
          <w:rFonts w:hint="eastAsia" w:ascii="宋体" w:hAnsi="宋体" w:cs="宋体"/>
          <w:kern w:val="0"/>
          <w:sz w:val="24"/>
          <w:u w:val="single"/>
        </w:rPr>
        <w:t>名称）</w:t>
      </w:r>
      <w:r>
        <w:rPr>
          <w:rFonts w:hint="eastAsia" w:ascii="宋体" w:hAnsi="宋体" w:cs="宋体"/>
          <w:kern w:val="0"/>
          <w:sz w:val="24"/>
        </w:rPr>
        <w:t>的法定代表人，现授权</w:t>
      </w:r>
      <w:r>
        <w:rPr>
          <w:rFonts w:hint="eastAsia" w:ascii="宋体" w:hAnsi="宋体" w:cs="宋体"/>
          <w:kern w:val="0"/>
          <w:sz w:val="24"/>
          <w:u w:val="single"/>
        </w:rPr>
        <w:t>（姓名、职务）</w:t>
      </w:r>
      <w:r>
        <w:rPr>
          <w:rFonts w:hint="eastAsia" w:ascii="宋体" w:hAnsi="宋体" w:cs="宋体"/>
          <w:kern w:val="0"/>
          <w:sz w:val="24"/>
        </w:rPr>
        <w:t>为我方代理人。代理人根据授权，以我方名义签署、澄清、说明、补正、递交、撤回、修改</w:t>
      </w:r>
      <w:r>
        <w:rPr>
          <w:rFonts w:hint="eastAsia" w:ascii="宋体" w:hAnsi="宋体" w:cs="宋体"/>
          <w:kern w:val="0"/>
          <w:sz w:val="24"/>
          <w:u w:val="single"/>
        </w:rPr>
        <w:t>（项目名称）</w:t>
      </w:r>
      <w:r>
        <w:rPr>
          <w:rFonts w:hint="eastAsia" w:ascii="宋体" w:hAnsi="宋体" w:cs="宋体"/>
          <w:kern w:val="0"/>
          <w:sz w:val="24"/>
        </w:rPr>
        <w:t>（采购编号：</w:t>
      </w:r>
      <w:r>
        <w:rPr>
          <w:rFonts w:hint="eastAsia" w:ascii="宋体" w:hAnsi="宋体" w:cs="宋体"/>
          <w:kern w:val="0"/>
          <w:sz w:val="24"/>
          <w:u w:val="single"/>
        </w:rPr>
        <w:t xml:space="preserve">     </w:t>
      </w:r>
      <w:r>
        <w:rPr>
          <w:rFonts w:hint="eastAsia" w:ascii="宋体" w:hAnsi="宋体" w:cs="宋体"/>
          <w:kern w:val="0"/>
          <w:sz w:val="24"/>
        </w:rPr>
        <w:t>）投标文件、签订合同和处理有关事宜，其法律后果由我方承担。</w:t>
      </w:r>
    </w:p>
    <w:p>
      <w:pPr>
        <w:autoSpaceDE w:val="0"/>
        <w:autoSpaceDN w:val="0"/>
        <w:adjustRightInd w:val="0"/>
        <w:snapToGrid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委托期限：</w:t>
      </w:r>
      <w:r>
        <w:rPr>
          <w:rFonts w:hint="eastAsia" w:ascii="宋体" w:hAnsi="宋体" w:cs="宋体"/>
          <w:kern w:val="0"/>
          <w:sz w:val="24"/>
          <w:u w:val="single"/>
        </w:rPr>
        <w:t xml:space="preserve">       </w:t>
      </w:r>
      <w:r>
        <w:rPr>
          <w:rFonts w:hint="eastAsia" w:ascii="宋体" w:hAnsi="宋体" w:cs="宋体"/>
          <w:kern w:val="0"/>
          <w:sz w:val="24"/>
        </w:rPr>
        <w:t>。</w:t>
      </w:r>
    </w:p>
    <w:p>
      <w:pPr>
        <w:adjustRightInd w:val="0"/>
        <w:snapToGrid w:val="0"/>
        <w:spacing w:line="360" w:lineRule="auto"/>
        <w:ind w:firstLine="435"/>
        <w:rPr>
          <w:rFonts w:hint="eastAsia" w:ascii="宋体" w:hAnsi="宋体" w:cs="宋体"/>
          <w:kern w:val="0"/>
          <w:sz w:val="24"/>
        </w:rPr>
      </w:pPr>
      <w:r>
        <w:rPr>
          <w:rFonts w:hint="eastAsia" w:ascii="宋体" w:hAnsi="宋体" w:cs="宋体"/>
          <w:kern w:val="0"/>
          <w:sz w:val="24"/>
        </w:rPr>
        <w:t>代理人无转委托权。</w:t>
      </w:r>
    </w:p>
    <w:p>
      <w:pPr>
        <w:adjustRightInd w:val="0"/>
        <w:snapToGrid w:val="0"/>
        <w:spacing w:line="360" w:lineRule="auto"/>
        <w:ind w:firstLine="435"/>
        <w:rPr>
          <w:rFonts w:hint="eastAsia" w:ascii="宋体" w:hAnsi="宋体" w:cs="宋体"/>
          <w:sz w:val="24"/>
        </w:rPr>
      </w:pPr>
      <w:r>
        <w:rPr>
          <w:rFonts w:hint="eastAsia" w:ascii="宋体" w:hAnsi="宋体" w:cs="宋体"/>
          <w:sz w:val="24"/>
        </w:rPr>
        <w:t>本授权书于日期：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adjustRightInd w:val="0"/>
        <w:snapToGrid w:val="0"/>
        <w:spacing w:line="360" w:lineRule="auto"/>
        <w:ind w:firstLine="480" w:firstLineChars="200"/>
        <w:rPr>
          <w:rFonts w:hint="eastAsia" w:ascii="宋体" w:hAnsi="宋体" w:cs="宋体"/>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278" w:type="dxa"/>
            <w:vAlign w:val="center"/>
          </w:tcPr>
          <w:p>
            <w:pPr>
              <w:adjustRightInd w:val="0"/>
              <w:snapToGrid w:val="0"/>
              <w:spacing w:line="360" w:lineRule="auto"/>
              <w:jc w:val="center"/>
              <w:rPr>
                <w:rFonts w:hint="eastAsia" w:ascii="宋体" w:hAnsi="宋体" w:cs="宋体"/>
                <w:sz w:val="24"/>
              </w:rPr>
            </w:pPr>
            <w:r>
              <w:rPr>
                <w:rFonts w:hint="eastAsia" w:ascii="宋体" w:hAnsi="宋体" w:cs="宋体"/>
                <w:sz w:val="24"/>
              </w:rPr>
              <w:t>委托代理人身份证（正面、反面）复印件</w:t>
            </w:r>
          </w:p>
        </w:tc>
      </w:tr>
    </w:tbl>
    <w:p>
      <w:pPr>
        <w:adjustRightInd w:val="0"/>
        <w:snapToGrid w:val="0"/>
        <w:spacing w:line="360" w:lineRule="auto"/>
        <w:rPr>
          <w:rFonts w:hint="eastAsia" w:ascii="宋体" w:hAnsi="宋体" w:cs="宋体"/>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278" w:type="dxa"/>
            <w:vAlign w:val="center"/>
          </w:tcPr>
          <w:p>
            <w:pPr>
              <w:adjustRightInd w:val="0"/>
              <w:snapToGrid w:val="0"/>
              <w:spacing w:line="360" w:lineRule="auto"/>
              <w:jc w:val="center"/>
              <w:rPr>
                <w:rFonts w:hint="eastAsia" w:ascii="宋体" w:hAnsi="宋体" w:cs="宋体"/>
                <w:sz w:val="24"/>
              </w:rPr>
            </w:pPr>
            <w:r>
              <w:rPr>
                <w:rFonts w:hint="eastAsia" w:ascii="宋体" w:hAnsi="宋体" w:cs="宋体"/>
                <w:sz w:val="24"/>
              </w:rPr>
              <w:t>法定代表人身份证（正面、反面）复印件</w:t>
            </w:r>
          </w:p>
        </w:tc>
      </w:tr>
    </w:tbl>
    <w:p>
      <w:pPr>
        <w:adjustRightInd w:val="0"/>
        <w:snapToGrid w:val="0"/>
        <w:spacing w:line="360" w:lineRule="auto"/>
        <w:rPr>
          <w:rFonts w:hint="eastAsia" w:ascii="宋体" w:hAnsi="宋体" w:cs="宋体"/>
          <w:sz w:val="24"/>
        </w:rPr>
      </w:pPr>
    </w:p>
    <w:p>
      <w:pPr>
        <w:adjustRightInd w:val="0"/>
        <w:snapToGrid w:val="0"/>
        <w:spacing w:line="360" w:lineRule="auto"/>
        <w:rPr>
          <w:rFonts w:hint="eastAsia" w:ascii="宋体" w:hAnsi="宋体" w:cs="宋体"/>
          <w:sz w:val="24"/>
        </w:rPr>
      </w:pPr>
    </w:p>
    <w:p>
      <w:pPr>
        <w:adjustRightInd w:val="0"/>
        <w:snapToGrid w:val="0"/>
        <w:spacing w:line="360" w:lineRule="auto"/>
        <w:rPr>
          <w:rFonts w:hint="eastAsia" w:ascii="宋体" w:hAnsi="宋体" w:cs="宋体"/>
          <w:sz w:val="24"/>
        </w:rPr>
      </w:pPr>
      <w:r>
        <w:rPr>
          <w:rFonts w:hint="eastAsia" w:ascii="宋体" w:hAnsi="宋体" w:cs="宋体"/>
          <w:sz w:val="24"/>
        </w:rPr>
        <w:t>投标人名称（盖单位章）：</w:t>
      </w:r>
    </w:p>
    <w:p>
      <w:pPr>
        <w:adjustRightInd w:val="0"/>
        <w:snapToGrid w:val="0"/>
        <w:spacing w:line="360" w:lineRule="auto"/>
        <w:ind w:right="420"/>
        <w:rPr>
          <w:rFonts w:hint="eastAsia" w:ascii="宋体" w:hAnsi="宋体" w:cs="宋体"/>
          <w:sz w:val="24"/>
        </w:rPr>
      </w:pPr>
      <w:r>
        <w:rPr>
          <w:rFonts w:hint="eastAsia" w:ascii="宋体" w:hAnsi="宋体" w:cs="宋体"/>
          <w:sz w:val="24"/>
        </w:rPr>
        <w:t>法定代表人（签字）：</w:t>
      </w:r>
    </w:p>
    <w:p>
      <w:pPr>
        <w:adjustRightInd w:val="0"/>
        <w:snapToGrid w:val="0"/>
        <w:spacing w:line="360" w:lineRule="auto"/>
        <w:ind w:right="420"/>
        <w:rPr>
          <w:rFonts w:hint="eastAsia" w:ascii="宋体" w:hAnsi="宋体" w:cs="宋体"/>
          <w:sz w:val="24"/>
        </w:rPr>
      </w:pPr>
      <w:r>
        <w:rPr>
          <w:rFonts w:hint="eastAsia" w:ascii="宋体" w:hAnsi="宋体" w:cs="宋体"/>
          <w:sz w:val="24"/>
        </w:rPr>
        <w:t>委托代理人（签字）：</w:t>
      </w:r>
    </w:p>
    <w:p>
      <w:pPr>
        <w:adjustRightInd w:val="0"/>
        <w:snapToGrid w:val="0"/>
        <w:spacing w:line="360" w:lineRule="auto"/>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adjustRightInd w:val="0"/>
        <w:snapToGrid w:val="0"/>
        <w:spacing w:line="360" w:lineRule="auto"/>
        <w:rPr>
          <w:rFonts w:hint="eastAsia" w:ascii="宋体" w:hAnsi="宋体" w:cs="宋体"/>
          <w:b/>
          <w:sz w:val="28"/>
          <w:szCs w:val="28"/>
        </w:rPr>
      </w:pPr>
    </w:p>
    <w:p>
      <w:pPr>
        <w:adjustRightInd w:val="0"/>
        <w:snapToGrid w:val="0"/>
        <w:spacing w:line="360" w:lineRule="auto"/>
        <w:jc w:val="center"/>
        <w:rPr>
          <w:rFonts w:hint="eastAsia" w:ascii="宋体" w:hAnsi="宋体" w:cs="宋体"/>
          <w:sz w:val="24"/>
        </w:rPr>
      </w:pPr>
      <w:r>
        <w:rPr>
          <w:rFonts w:hint="eastAsia" w:ascii="宋体" w:hAnsi="宋体" w:cs="宋体"/>
          <w:b/>
          <w:sz w:val="24"/>
          <w:szCs w:val="20"/>
        </w:rPr>
        <w:t>二、投标人资格声明</w:t>
      </w:r>
    </w:p>
    <w:p>
      <w:pPr>
        <w:widowControl/>
        <w:adjustRightInd w:val="0"/>
        <w:snapToGrid w:val="0"/>
        <w:spacing w:before="120" w:beforeLines="50" w:line="360" w:lineRule="auto"/>
        <w:jc w:val="left"/>
        <w:rPr>
          <w:rFonts w:hint="eastAsia" w:ascii="宋体" w:hAnsi="宋体" w:cs="宋体"/>
          <w:kern w:val="0"/>
          <w:sz w:val="24"/>
        </w:rPr>
      </w:pPr>
      <w:r>
        <w:rPr>
          <w:rFonts w:hint="eastAsia" w:ascii="宋体" w:hAnsi="宋体" w:cs="宋体"/>
          <w:sz w:val="24"/>
        </w:rPr>
        <w:t>致(           )：</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按照招标文件的规定，我单位郑重声明如下：</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一、我单位是按照中华人民共和国法律规定登记注册的，注册地点为</w:t>
      </w:r>
      <w:r>
        <w:rPr>
          <w:rFonts w:hint="eastAsia" w:ascii="宋体" w:hAnsi="宋体" w:cs="宋体"/>
          <w:sz w:val="24"/>
          <w:u w:val="single"/>
        </w:rPr>
        <w:t xml:space="preserve">      </w:t>
      </w:r>
      <w:r>
        <w:rPr>
          <w:rFonts w:hint="eastAsia" w:ascii="宋体" w:hAnsi="宋体" w:cs="宋体"/>
          <w:sz w:val="24"/>
        </w:rPr>
        <w:t>，全称为</w:t>
      </w:r>
      <w:r>
        <w:rPr>
          <w:rFonts w:hint="eastAsia" w:ascii="宋体" w:hAnsi="宋体" w:cs="宋体"/>
          <w:sz w:val="24"/>
          <w:u w:val="single"/>
        </w:rPr>
        <w:t xml:space="preserve">      </w:t>
      </w:r>
      <w:r>
        <w:rPr>
          <w:rFonts w:hint="eastAsia" w:ascii="宋体" w:hAnsi="宋体" w:cs="宋体"/>
          <w:sz w:val="24"/>
        </w:rPr>
        <w:t>，统一社会信用代码为</w:t>
      </w:r>
      <w:r>
        <w:rPr>
          <w:rFonts w:hint="eastAsia" w:ascii="宋体" w:hAnsi="宋体" w:cs="宋体"/>
          <w:sz w:val="24"/>
          <w:u w:val="single"/>
        </w:rPr>
        <w:t xml:space="preserve">      </w:t>
      </w:r>
      <w:r>
        <w:rPr>
          <w:rFonts w:hint="eastAsia" w:ascii="宋体" w:hAnsi="宋体" w:cs="宋体"/>
          <w:sz w:val="24"/>
        </w:rPr>
        <w:t>，法定代表人为</w:t>
      </w:r>
      <w:r>
        <w:rPr>
          <w:rFonts w:hint="eastAsia" w:ascii="宋体" w:hAnsi="宋体" w:cs="宋体"/>
          <w:sz w:val="24"/>
          <w:u w:val="single"/>
        </w:rPr>
        <w:t xml:space="preserve">      </w:t>
      </w:r>
      <w:r>
        <w:rPr>
          <w:rFonts w:hint="eastAsia" w:ascii="宋体" w:hAnsi="宋体" w:cs="宋体"/>
          <w:sz w:val="24"/>
        </w:rPr>
        <w:t>，具有独立承担民事责任的能力。</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二、我单位具有良好的商业信誉和健全的财务会计制度。</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kern w:val="0"/>
          <w:sz w:val="24"/>
        </w:rPr>
        <w:t>三、</w:t>
      </w:r>
      <w:r>
        <w:rPr>
          <w:rFonts w:hint="eastAsia" w:ascii="宋体" w:hAnsi="宋体" w:cs="宋体"/>
          <w:sz w:val="24"/>
        </w:rPr>
        <w:t>我单位具有履行本项目采购合同所必需的设备和专业技术能力。</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四、我单位在参加本</w:t>
      </w:r>
      <w:r>
        <w:rPr>
          <w:rFonts w:hint="eastAsia" w:asciiTheme="minorEastAsia" w:hAnsiTheme="minorEastAsia" w:eastAsiaTheme="minorEastAsia" w:cstheme="minorEastAsia"/>
          <w:bCs/>
          <w:sz w:val="24"/>
        </w:rPr>
        <w:t>采购</w:t>
      </w:r>
      <w:r>
        <w:rPr>
          <w:rFonts w:hint="eastAsia" w:ascii="宋体" w:hAnsi="宋体" w:cs="宋体"/>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五、我单位具备法律、行政法规规定的其他条件。</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kern w:val="0"/>
          <w:sz w:val="24"/>
        </w:rPr>
        <w:t>六、</w:t>
      </w:r>
      <w:r>
        <w:rPr>
          <w:rFonts w:hint="eastAsia" w:ascii="宋体" w:hAnsi="宋体" w:cs="宋体"/>
          <w:sz w:val="24"/>
        </w:rPr>
        <w:t>与我单位存在“单位负责人为同一人或者存在直接控股、管理关系”的其他法人单位信息如下（如无，填写“无”）：</w:t>
      </w:r>
    </w:p>
    <w:p>
      <w:pPr>
        <w:adjustRightInd w:val="0"/>
        <w:snapToGrid w:val="0"/>
        <w:spacing w:before="120" w:beforeLines="50" w:line="360" w:lineRule="auto"/>
        <w:ind w:firstLine="480" w:firstLineChars="200"/>
        <w:rPr>
          <w:rFonts w:hint="eastAsia" w:ascii="宋体" w:hAnsi="宋体" w:cs="宋体"/>
          <w:sz w:val="24"/>
          <w:u w:val="single"/>
        </w:rPr>
      </w:pPr>
      <w:r>
        <w:rPr>
          <w:rFonts w:hint="eastAsia" w:ascii="宋体" w:hAnsi="宋体" w:cs="宋体"/>
          <w:sz w:val="24"/>
        </w:rPr>
        <w:t>1、与我单位的法定代表人（单位负责人）为同一人的其他法人单位如下：</w:t>
      </w:r>
      <w:r>
        <w:rPr>
          <w:rFonts w:hint="eastAsia" w:ascii="宋体" w:hAnsi="宋体" w:cs="宋体"/>
          <w:sz w:val="24"/>
          <w:u w:val="single"/>
        </w:rPr>
        <w:t xml:space="preserve">               </w:t>
      </w:r>
    </w:p>
    <w:p>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2、我单位直接控股的其他法人单位如下：</w:t>
      </w:r>
      <w:r>
        <w:rPr>
          <w:rFonts w:hint="eastAsia" w:ascii="宋体" w:hAnsi="宋体" w:cs="宋体"/>
          <w:sz w:val="24"/>
          <w:u w:val="single"/>
        </w:rPr>
        <w:t xml:space="preserve">                                            </w:t>
      </w:r>
    </w:p>
    <w:p>
      <w:pPr>
        <w:adjustRightInd w:val="0"/>
        <w:snapToGrid w:val="0"/>
        <w:spacing w:before="120" w:beforeLines="50" w:line="360" w:lineRule="auto"/>
        <w:ind w:firstLine="480" w:firstLineChars="200"/>
        <w:rPr>
          <w:rFonts w:hint="eastAsia" w:ascii="宋体" w:hAnsi="宋体" w:cs="宋体"/>
          <w:sz w:val="24"/>
        </w:rPr>
      </w:pPr>
      <w:r>
        <w:rPr>
          <w:rFonts w:hint="eastAsia" w:ascii="宋体" w:hAnsi="宋体" w:cs="宋体"/>
          <w:sz w:val="24"/>
        </w:rPr>
        <w:t>3、与我单位存在管理关系的其他法人单位如下：</w:t>
      </w:r>
      <w:r>
        <w:rPr>
          <w:rFonts w:hint="eastAsia" w:ascii="宋体" w:hAnsi="宋体" w:cs="宋体"/>
          <w:sz w:val="24"/>
          <w:u w:val="single"/>
        </w:rPr>
        <w:t xml:space="preserve">                                      </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 xml:space="preserve">七、我单位承诺参与本项目时不存在围标、串标、陪标等违法行为 </w:t>
      </w:r>
    </w:p>
    <w:p>
      <w:pPr>
        <w:widowControl/>
        <w:adjustRightInd w:val="0"/>
        <w:snapToGrid w:val="0"/>
        <w:spacing w:before="120" w:beforeLines="50" w:line="360" w:lineRule="auto"/>
        <w:ind w:firstLine="480" w:firstLineChars="200"/>
        <w:jc w:val="left"/>
        <w:rPr>
          <w:rFonts w:hint="eastAsia" w:ascii="宋体" w:hAnsi="宋体" w:cs="宋体"/>
          <w:kern w:val="0"/>
          <w:sz w:val="24"/>
        </w:rPr>
      </w:pPr>
      <w:r>
        <w:rPr>
          <w:rFonts w:hint="eastAsia" w:ascii="宋体" w:hAnsi="宋体" w:cs="宋体"/>
          <w:sz w:val="24"/>
        </w:rPr>
        <w:t>我单位保证上述声明的事项都是真实的，如有虚假，我单位愿意承担相应的法律责任，并承担因此所造成的一切损失。</w:t>
      </w:r>
    </w:p>
    <w:p>
      <w:pPr>
        <w:widowControl/>
        <w:adjustRightInd w:val="0"/>
        <w:snapToGrid w:val="0"/>
        <w:spacing w:before="120" w:beforeLines="50" w:line="360" w:lineRule="auto"/>
        <w:ind w:firstLine="480" w:firstLineChars="200"/>
        <w:jc w:val="left"/>
        <w:rPr>
          <w:rFonts w:hint="eastAsia" w:ascii="宋体" w:hAnsi="宋体" w:cs="宋体"/>
          <w:sz w:val="24"/>
        </w:rPr>
      </w:pPr>
      <w:r>
        <w:rPr>
          <w:rFonts w:hint="eastAsia" w:ascii="宋体" w:hAnsi="宋体" w:cs="宋体"/>
          <w:sz w:val="24"/>
        </w:rPr>
        <w:t>我单位保证随时按照要求提供能够证明上述声明事项真实性的任何有效文件。</w:t>
      </w:r>
    </w:p>
    <w:p>
      <w:pPr>
        <w:widowControl/>
        <w:adjustRightInd w:val="0"/>
        <w:snapToGrid w:val="0"/>
        <w:spacing w:before="120" w:beforeLines="50" w:line="360" w:lineRule="auto"/>
        <w:jc w:val="left"/>
        <w:rPr>
          <w:rFonts w:hint="eastAsia" w:ascii="宋体" w:hAnsi="宋体" w:cs="宋体"/>
          <w:kern w:val="0"/>
          <w:sz w:val="24"/>
        </w:rPr>
      </w:pPr>
      <w:r>
        <w:rPr>
          <w:rFonts w:hint="eastAsia" w:ascii="宋体" w:hAnsi="宋体" w:cs="宋体"/>
          <w:sz w:val="24"/>
        </w:rPr>
        <w:t>投标人名称（盖单位公章）：</w:t>
      </w:r>
    </w:p>
    <w:p>
      <w:pPr>
        <w:widowControl/>
        <w:adjustRightInd w:val="0"/>
        <w:snapToGrid w:val="0"/>
        <w:spacing w:before="120" w:beforeLines="50" w:line="360" w:lineRule="auto"/>
        <w:jc w:val="left"/>
        <w:rPr>
          <w:rFonts w:hint="eastAsia" w:ascii="宋体" w:hAnsi="宋体" w:cs="宋体"/>
          <w:b/>
          <w:bCs/>
          <w:kern w:val="0"/>
          <w:sz w:val="24"/>
        </w:rPr>
      </w:pPr>
      <w:r>
        <w:rPr>
          <w:rFonts w:hint="eastAsia" w:ascii="宋体" w:hAnsi="宋体" w:cs="宋体"/>
          <w:sz w:val="24"/>
        </w:rPr>
        <w:t>法定代表人或委托代理人（签字）：</w:t>
      </w:r>
    </w:p>
    <w:p>
      <w:pPr>
        <w:widowControl/>
        <w:adjustRightInd w:val="0"/>
        <w:snapToGrid w:val="0"/>
        <w:spacing w:before="120" w:beforeLines="50" w:line="360" w:lineRule="auto"/>
        <w:jc w:val="left"/>
        <w:rPr>
          <w:rFonts w:hint="eastAsia"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adjustRightInd w:val="0"/>
        <w:snapToGrid w:val="0"/>
        <w:spacing w:line="360" w:lineRule="auto"/>
        <w:jc w:val="center"/>
        <w:rPr>
          <w:rFonts w:hint="eastAsia" w:ascii="宋体" w:hAnsi="宋体" w:cs="宋体"/>
          <w:b/>
          <w:sz w:val="24"/>
          <w:szCs w:val="20"/>
        </w:rPr>
      </w:pPr>
    </w:p>
    <w:p>
      <w:pPr>
        <w:adjustRightInd w:val="0"/>
        <w:snapToGrid w:val="0"/>
        <w:spacing w:line="360" w:lineRule="auto"/>
        <w:rPr>
          <w:rFonts w:hint="eastAsia" w:ascii="宋体" w:hAnsi="宋体" w:cs="宋体"/>
          <w:b/>
          <w:sz w:val="24"/>
          <w:szCs w:val="20"/>
        </w:rPr>
      </w:pPr>
    </w:p>
    <w:p>
      <w:pPr>
        <w:adjustRightInd w:val="0"/>
        <w:snapToGrid w:val="0"/>
        <w:spacing w:line="360" w:lineRule="auto"/>
        <w:rPr>
          <w:rFonts w:hint="eastAsia" w:ascii="宋体" w:hAnsi="宋体" w:cs="宋体"/>
          <w:b/>
          <w:sz w:val="24"/>
          <w:szCs w:val="20"/>
        </w:rPr>
      </w:pPr>
    </w:p>
    <w:p>
      <w:pPr>
        <w:adjustRightInd w:val="0"/>
        <w:snapToGrid w:val="0"/>
        <w:spacing w:line="360" w:lineRule="auto"/>
        <w:jc w:val="center"/>
        <w:rPr>
          <w:rFonts w:hint="eastAsia" w:ascii="宋体" w:hAnsi="宋体" w:cs="宋体"/>
          <w:b/>
          <w:sz w:val="28"/>
          <w:szCs w:val="28"/>
        </w:rPr>
      </w:pPr>
      <w:r>
        <w:rPr>
          <w:rFonts w:hint="eastAsia" w:ascii="宋体" w:hAnsi="宋体" w:cs="宋体"/>
          <w:b/>
          <w:sz w:val="28"/>
          <w:szCs w:val="28"/>
        </w:rPr>
        <w:t>三、符合基本资格条件证明材料复印件或者情况说明</w:t>
      </w:r>
    </w:p>
    <w:p>
      <w:pPr>
        <w:adjustRightInd w:val="0"/>
        <w:snapToGrid w:val="0"/>
        <w:spacing w:line="360" w:lineRule="auto"/>
        <w:jc w:val="center"/>
        <w:rPr>
          <w:rFonts w:hint="eastAsia" w:ascii="宋体" w:hAnsi="宋体" w:cs="宋体"/>
          <w:b/>
          <w:sz w:val="24"/>
          <w:szCs w:val="20"/>
        </w:rPr>
      </w:pPr>
    </w:p>
    <w:p>
      <w:pPr>
        <w:pStyle w:val="4"/>
        <w:keepLines w:val="0"/>
        <w:snapToGrid w:val="0"/>
        <w:spacing w:before="0" w:after="0" w:line="520" w:lineRule="exact"/>
        <w:jc w:val="left"/>
        <w:rPr>
          <w:rFonts w:hint="eastAsia" w:ascii="宋体" w:hAnsi="宋体"/>
          <w:b w:val="0"/>
          <w:kern w:val="2"/>
          <w:sz w:val="24"/>
          <w:szCs w:val="24"/>
        </w:rPr>
      </w:pPr>
      <w:r>
        <w:rPr>
          <w:rFonts w:hint="eastAsia" w:ascii="宋体" w:hAnsi="宋体" w:cs="宋体"/>
          <w:b w:val="0"/>
          <w:sz w:val="24"/>
          <w:szCs w:val="24"/>
        </w:rPr>
        <w:t>注：</w:t>
      </w:r>
      <w:r>
        <w:rPr>
          <w:rFonts w:hint="eastAsia" w:ascii="宋体" w:hAnsi="宋体" w:cs="宋体"/>
          <w:b w:val="0"/>
          <w:sz w:val="24"/>
          <w:szCs w:val="24"/>
          <w:lang w:bidi="zh-CN"/>
        </w:rPr>
        <w:t>投标公司的营业执照及资格要求的证明材料，提供信用中国网页查询截图，并加盖单位公章（按顺序装订）。</w:t>
      </w:r>
      <w:r>
        <w:rPr>
          <w:rFonts w:hint="eastAsia" w:ascii="宋体" w:hAnsi="宋体"/>
          <w:b w:val="0"/>
          <w:kern w:val="2"/>
          <w:sz w:val="24"/>
          <w:szCs w:val="24"/>
        </w:rPr>
        <w:t>附件    湖南省政府采购供应商资格承诺函</w:t>
      </w:r>
    </w:p>
    <w:p>
      <w:pPr>
        <w:widowControl/>
        <w:spacing w:after="100" w:afterAutospacing="1" w:line="360" w:lineRule="auto"/>
        <w:ind w:left="227" w:right="113" w:firstLine="482"/>
        <w:jc w:val="left"/>
        <w:rPr>
          <w:rFonts w:hint="eastAsia" w:ascii="宋体" w:hAnsi="宋体"/>
          <w:sz w:val="24"/>
        </w:rPr>
      </w:pPr>
      <w:r>
        <w:rPr>
          <w:rFonts w:hint="eastAsia" w:ascii="宋体" w:hAnsi="宋体"/>
          <w:sz w:val="24"/>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pPr>
        <w:widowControl/>
        <w:snapToGrid w:val="0"/>
        <w:spacing w:before="100" w:beforeAutospacing="1" w:after="100" w:afterAutospacing="1" w:line="360" w:lineRule="auto"/>
        <w:ind w:left="210" w:leftChars="100"/>
        <w:jc w:val="left"/>
        <w:rPr>
          <w:rFonts w:hint="eastAsia" w:ascii="宋体" w:hAnsi="宋体"/>
          <w:sz w:val="24"/>
        </w:rPr>
      </w:pPr>
      <w:r>
        <w:rPr>
          <w:rFonts w:hint="eastAsia" w:ascii="宋体" w:hAnsi="宋体"/>
          <w:sz w:val="24"/>
        </w:rPr>
        <w:t>按照《政府采购促进中小企业发展管理办法》(财库〔2020〕46号)规定，</w:t>
      </w:r>
    </w:p>
    <w:p>
      <w:pPr>
        <w:widowControl/>
        <w:snapToGrid w:val="0"/>
        <w:spacing w:before="100" w:beforeAutospacing="1" w:after="100" w:afterAutospacing="1" w:line="360" w:lineRule="auto"/>
        <w:ind w:left="210" w:leftChars="100"/>
        <w:jc w:val="left"/>
        <w:rPr>
          <w:rFonts w:hint="eastAsia" w:ascii="宋体" w:hAnsi="宋体"/>
          <w:sz w:val="24"/>
        </w:rPr>
      </w:pPr>
      <w:r>
        <w:rPr>
          <w:rFonts w:hint="eastAsia" w:ascii="宋体" w:hAnsi="宋体"/>
          <w:sz w:val="24"/>
        </w:rPr>
        <w:t>本公司企业规模为：          （大型、中型、小型、微型 ）</w:t>
      </w:r>
    </w:p>
    <w:p>
      <w:pPr>
        <w:widowControl/>
        <w:spacing w:after="100" w:afterAutospacing="1" w:line="360" w:lineRule="auto"/>
        <w:ind w:left="246"/>
        <w:jc w:val="left"/>
        <w:rPr>
          <w:rFonts w:hint="eastAsia" w:ascii="宋体" w:hAnsi="宋体"/>
          <w:sz w:val="24"/>
        </w:rPr>
      </w:pPr>
      <w:r>
        <w:rPr>
          <w:rFonts w:hint="eastAsia" w:ascii="宋体" w:hAnsi="宋体"/>
          <w:sz w:val="24"/>
        </w:rPr>
        <w:t xml:space="preserve">统一社会信用代码：                        、注册登记机构：                 、 注册日期：                 、有效期：               、注册资本：                、地址：               、经济行业：                 、经济性质：              </w:t>
      </w:r>
    </w:p>
    <w:p>
      <w:pPr>
        <w:widowControl/>
        <w:spacing w:after="100" w:afterAutospacing="1" w:line="360" w:lineRule="auto"/>
        <w:ind w:left="246"/>
        <w:jc w:val="left"/>
        <w:rPr>
          <w:rFonts w:hint="eastAsia" w:ascii="宋体" w:hAnsi="宋体"/>
          <w:sz w:val="24"/>
        </w:rPr>
      </w:pPr>
      <w:r>
        <w:rPr>
          <w:rFonts w:hint="eastAsia" w:ascii="宋体" w:hAnsi="宋体"/>
          <w:sz w:val="24"/>
        </w:rPr>
        <w:t>法定代表人姓名 (签字)：             、身份证号：                           、</w:t>
      </w:r>
    </w:p>
    <w:p>
      <w:pPr>
        <w:widowControl/>
        <w:spacing w:after="100" w:afterAutospacing="1" w:line="360" w:lineRule="auto"/>
        <w:ind w:left="246"/>
        <w:jc w:val="left"/>
        <w:rPr>
          <w:rFonts w:hint="eastAsia" w:ascii="宋体" w:hAnsi="宋体"/>
          <w:sz w:val="24"/>
        </w:rPr>
      </w:pPr>
      <w:r>
        <w:rPr>
          <w:rFonts w:hint="eastAsia" w:ascii="宋体" w:hAnsi="宋体"/>
          <w:sz w:val="24"/>
        </w:rPr>
        <w:t>手机号：             ；</w:t>
      </w:r>
    </w:p>
    <w:p>
      <w:pPr>
        <w:widowControl/>
        <w:spacing w:after="100" w:afterAutospacing="1" w:line="360" w:lineRule="auto"/>
        <w:ind w:left="246" w:hanging="16"/>
        <w:jc w:val="left"/>
        <w:rPr>
          <w:rFonts w:hint="eastAsia" w:ascii="宋体" w:hAnsi="宋体"/>
          <w:sz w:val="24"/>
        </w:rPr>
      </w:pPr>
      <w:r>
        <w:rPr>
          <w:rFonts w:hint="eastAsia" w:ascii="宋体" w:hAnsi="宋体"/>
          <w:sz w:val="24"/>
        </w:rPr>
        <w:t xml:space="preserve">授权代表人姓名 (签字)：                、身份证号：                     </w:t>
      </w:r>
    </w:p>
    <w:p>
      <w:pPr>
        <w:widowControl/>
        <w:spacing w:after="100" w:afterAutospacing="1" w:line="360" w:lineRule="auto"/>
        <w:ind w:left="246" w:hanging="16"/>
        <w:jc w:val="left"/>
        <w:rPr>
          <w:rFonts w:hint="eastAsia" w:ascii="宋体" w:hAnsi="宋体"/>
          <w:sz w:val="24"/>
        </w:rPr>
      </w:pPr>
      <w:r>
        <w:rPr>
          <w:rFonts w:hint="eastAsia" w:ascii="宋体" w:hAnsi="宋体"/>
          <w:sz w:val="24"/>
        </w:rPr>
        <w:t xml:space="preserve">手机号：               。  </w:t>
      </w:r>
    </w:p>
    <w:p>
      <w:pPr>
        <w:adjustRightInd w:val="0"/>
        <w:snapToGrid w:val="0"/>
        <w:spacing w:line="360" w:lineRule="auto"/>
        <w:rPr>
          <w:rFonts w:hint="eastAsia" w:ascii="宋体" w:hAnsi="宋体"/>
          <w:sz w:val="24"/>
        </w:rPr>
      </w:pPr>
    </w:p>
    <w:p>
      <w:pPr>
        <w:adjustRightInd w:val="0"/>
        <w:snapToGrid w:val="0"/>
        <w:spacing w:line="360" w:lineRule="auto"/>
        <w:ind w:left="4406" w:leftChars="-302" w:hanging="5040" w:hangingChars="2100"/>
        <w:jc w:val="left"/>
        <w:rPr>
          <w:rFonts w:hint="eastAsia" w:ascii="宋体" w:hAnsi="宋体"/>
          <w:sz w:val="24"/>
        </w:rPr>
      </w:pPr>
      <w:r>
        <w:rPr>
          <w:rFonts w:hint="eastAsia" w:ascii="宋体" w:hAnsi="宋体"/>
          <w:sz w:val="24"/>
        </w:rPr>
        <w:t xml:space="preserve">                           供应商名称（盖公章）：                                    </w:t>
      </w:r>
    </w:p>
    <w:p>
      <w:pPr>
        <w:adjustRightInd w:val="0"/>
        <w:snapToGrid w:val="0"/>
        <w:spacing w:line="360" w:lineRule="auto"/>
        <w:ind w:left="4406" w:leftChars="-302" w:hanging="5040" w:hangingChars="2100"/>
        <w:jc w:val="right"/>
        <w:rPr>
          <w:rFonts w:hint="eastAsia" w:ascii="宋体" w:hAnsi="宋体"/>
          <w:sz w:val="24"/>
        </w:rPr>
      </w:pPr>
      <w:r>
        <w:rPr>
          <w:rFonts w:hint="eastAsia" w:ascii="宋体" w:hAnsi="宋体"/>
          <w:sz w:val="24"/>
        </w:rPr>
        <w:t>2023年     月     日</w:t>
      </w:r>
    </w:p>
    <w:p>
      <w:pPr>
        <w:jc w:val="left"/>
        <w:rPr>
          <w:rFonts w:hint="eastAsia" w:ascii="宋体" w:hAnsi="宋体"/>
          <w:sz w:val="24"/>
        </w:rPr>
      </w:pPr>
    </w:p>
    <w:p>
      <w:pPr>
        <w:jc w:val="left"/>
        <w:rPr>
          <w:rFonts w:hint="eastAsia" w:ascii="宋体" w:hAnsi="宋体"/>
          <w:sz w:val="24"/>
        </w:rPr>
      </w:pPr>
    </w:p>
    <w:p>
      <w:pPr>
        <w:jc w:val="left"/>
        <w:rPr>
          <w:rFonts w:hint="eastAsia" w:ascii="宋体" w:hAnsi="宋体" w:cs="宋体"/>
          <w:b/>
          <w:sz w:val="24"/>
        </w:rPr>
      </w:pPr>
      <w:r>
        <w:rPr>
          <w:rFonts w:hint="eastAsia" w:ascii="宋体" w:hAnsi="宋体"/>
          <w:sz w:val="24"/>
        </w:rPr>
        <w:t>注、企业规模划分标准：《关于印发中小企业划型标准规定的通知》（工信部联企业〔2011〕300号）</w:t>
      </w:r>
    </w:p>
    <w:p>
      <w:pPr>
        <w:jc w:val="center"/>
        <w:rPr>
          <w:rFonts w:hint="eastAsia" w:ascii="宋体" w:hAnsi="宋体" w:cs="宋体"/>
          <w:b/>
          <w:sz w:val="24"/>
        </w:rPr>
        <w:sectPr>
          <w:headerReference r:id="rId3" w:type="default"/>
          <w:footerReference r:id="rId4" w:type="default"/>
          <w:pgSz w:w="11906" w:h="16838"/>
          <w:pgMar w:top="1440" w:right="1080" w:bottom="1440" w:left="1080" w:header="567" w:footer="283" w:gutter="0"/>
          <w:pgNumType w:start="1"/>
          <w:cols w:space="720" w:num="1"/>
          <w:docGrid w:linePitch="312" w:charSpace="0"/>
        </w:sectPr>
      </w:pPr>
    </w:p>
    <w:p>
      <w:pPr>
        <w:spacing w:before="156" w:beforeLines="50" w:after="156" w:afterLines="50" w:line="276" w:lineRule="auto"/>
        <w:jc w:val="center"/>
        <w:rPr>
          <w:rFonts w:hint="eastAsia" w:ascii="宋体" w:hAnsi="宋体" w:cs="宋体"/>
          <w:b/>
          <w:sz w:val="28"/>
          <w:szCs w:val="28"/>
        </w:rPr>
      </w:pPr>
      <w:r>
        <w:rPr>
          <w:rFonts w:hint="eastAsia" w:ascii="宋体" w:hAnsi="宋体" w:cs="宋体"/>
          <w:b/>
          <w:sz w:val="28"/>
          <w:szCs w:val="28"/>
        </w:rPr>
        <w:t>第三部分、采购需求响应程度</w:t>
      </w:r>
      <w:bookmarkStart w:id="14" w:name="_Toc486424819"/>
      <w:bookmarkStart w:id="15" w:name="_Toc476514128"/>
    </w:p>
    <w:p>
      <w:pPr>
        <w:pStyle w:val="24"/>
      </w:pPr>
    </w:p>
    <w:p>
      <w:pPr>
        <w:spacing w:before="156" w:beforeLines="50" w:after="156" w:afterLines="50" w:line="276" w:lineRule="auto"/>
        <w:jc w:val="center"/>
        <w:rPr>
          <w:b/>
          <w:sz w:val="24"/>
        </w:rPr>
      </w:pPr>
      <w:r>
        <w:rPr>
          <w:b/>
          <w:sz w:val="24"/>
        </w:rPr>
        <w:t>采购需求响应/偏离表</w:t>
      </w:r>
    </w:p>
    <w:p>
      <w:pPr>
        <w:adjustRightInd w:val="0"/>
        <w:snapToGrid w:val="0"/>
        <w:spacing w:line="360" w:lineRule="auto"/>
        <w:rPr>
          <w:szCs w:val="21"/>
        </w:rPr>
      </w:pPr>
      <w:r>
        <w:rPr>
          <w:rFonts w:hint="eastAsia"/>
          <w:sz w:val="24"/>
        </w:rPr>
        <w:t>项目</w:t>
      </w:r>
      <w:r>
        <w:rPr>
          <w:sz w:val="24"/>
        </w:rPr>
        <w:t>编号：                    项目名称：                     包号：</w:t>
      </w:r>
    </w:p>
    <w:tbl>
      <w:tblPr>
        <w:tblStyle w:val="16"/>
        <w:tblW w:w="8357"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27" w:type="dxa"/>
            <w:vAlign w:val="center"/>
          </w:tcPr>
          <w:p>
            <w:pPr>
              <w:adjustRightInd w:val="0"/>
              <w:snapToGrid w:val="0"/>
              <w:spacing w:before="50" w:line="360" w:lineRule="auto"/>
              <w:ind w:left="-88" w:leftChars="-42"/>
              <w:jc w:val="center"/>
              <w:rPr>
                <w:szCs w:val="21"/>
              </w:rPr>
            </w:pPr>
            <w:r>
              <w:rPr>
                <w:bCs/>
                <w:szCs w:val="21"/>
              </w:rPr>
              <w:t>序</w:t>
            </w:r>
            <w:r>
              <w:rPr>
                <w:szCs w:val="21"/>
              </w:rPr>
              <w:t>号</w:t>
            </w:r>
          </w:p>
        </w:tc>
        <w:tc>
          <w:tcPr>
            <w:tcW w:w="1877" w:type="dxa"/>
            <w:vAlign w:val="center"/>
          </w:tcPr>
          <w:p>
            <w:pPr>
              <w:adjustRightInd w:val="0"/>
              <w:snapToGrid w:val="0"/>
              <w:spacing w:before="50" w:line="360" w:lineRule="auto"/>
              <w:ind w:left="-88" w:leftChars="-42"/>
              <w:jc w:val="center"/>
              <w:rPr>
                <w:szCs w:val="21"/>
              </w:rPr>
            </w:pPr>
            <w:r>
              <w:rPr>
                <w:rFonts w:hint="eastAsia"/>
                <w:szCs w:val="21"/>
              </w:rPr>
              <w:t>招标</w:t>
            </w:r>
            <w:r>
              <w:rPr>
                <w:szCs w:val="21"/>
              </w:rPr>
              <w:t>文件章节</w:t>
            </w:r>
            <w:r>
              <w:rPr>
                <w:bCs/>
                <w:szCs w:val="21"/>
              </w:rPr>
              <w:t>条</w:t>
            </w:r>
            <w:r>
              <w:rPr>
                <w:szCs w:val="21"/>
              </w:rPr>
              <w:t>款号</w:t>
            </w:r>
          </w:p>
        </w:tc>
        <w:tc>
          <w:tcPr>
            <w:tcW w:w="1671" w:type="dxa"/>
          </w:tcPr>
          <w:p>
            <w:pPr>
              <w:adjustRightInd w:val="0"/>
              <w:snapToGrid w:val="0"/>
              <w:spacing w:before="50" w:line="360" w:lineRule="auto"/>
              <w:jc w:val="center"/>
            </w:pPr>
            <w:r>
              <w:rPr>
                <w:rFonts w:hint="eastAsia"/>
              </w:rPr>
              <w:t>招标</w:t>
            </w:r>
            <w:r>
              <w:t>文件要求</w:t>
            </w:r>
          </w:p>
        </w:tc>
        <w:tc>
          <w:tcPr>
            <w:tcW w:w="1608" w:type="dxa"/>
          </w:tcPr>
          <w:p>
            <w:pPr>
              <w:adjustRightInd w:val="0"/>
              <w:snapToGrid w:val="0"/>
              <w:spacing w:before="50" w:line="360" w:lineRule="auto"/>
              <w:jc w:val="center"/>
            </w:pPr>
            <w:r>
              <w:t>投标文件应答</w:t>
            </w:r>
          </w:p>
        </w:tc>
        <w:tc>
          <w:tcPr>
            <w:tcW w:w="1513" w:type="dxa"/>
            <w:vAlign w:val="center"/>
          </w:tcPr>
          <w:p>
            <w:pPr>
              <w:adjustRightInd w:val="0"/>
              <w:snapToGrid w:val="0"/>
              <w:spacing w:before="50" w:line="360" w:lineRule="auto"/>
              <w:ind w:left="-88" w:leftChars="-42"/>
              <w:jc w:val="center"/>
              <w:rPr>
                <w:szCs w:val="21"/>
              </w:rPr>
            </w:pPr>
            <w:r>
              <w:rPr>
                <w:szCs w:val="21"/>
              </w:rPr>
              <w:t>响应/偏离</w:t>
            </w:r>
          </w:p>
        </w:tc>
        <w:tc>
          <w:tcPr>
            <w:tcW w:w="1061" w:type="dxa"/>
            <w:vAlign w:val="center"/>
          </w:tcPr>
          <w:p>
            <w:pPr>
              <w:adjustRightInd w:val="0"/>
              <w:snapToGrid w:val="0"/>
              <w:spacing w:before="50" w:line="360" w:lineRule="auto"/>
              <w:ind w:left="-88" w:leftChars="-42"/>
              <w:jc w:val="center"/>
              <w:rPr>
                <w:szCs w:val="21"/>
              </w:rPr>
            </w:pPr>
            <w:r>
              <w:rPr>
                <w:szCs w:val="21"/>
              </w:rPr>
              <w:t>偏离说明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vAlign w:val="center"/>
          </w:tcPr>
          <w:p>
            <w:pPr>
              <w:adjustRightInd w:val="0"/>
              <w:snapToGrid w:val="0"/>
              <w:spacing w:before="50" w:line="360" w:lineRule="auto"/>
              <w:ind w:left="-88" w:leftChars="-42"/>
              <w:jc w:val="center"/>
              <w:rPr>
                <w:szCs w:val="21"/>
              </w:rPr>
            </w:pPr>
          </w:p>
        </w:tc>
        <w:tc>
          <w:tcPr>
            <w:tcW w:w="1877" w:type="dxa"/>
            <w:vAlign w:val="center"/>
          </w:tcPr>
          <w:p>
            <w:pPr>
              <w:adjustRightInd w:val="0"/>
              <w:snapToGrid w:val="0"/>
              <w:spacing w:before="50" w:line="360" w:lineRule="auto"/>
              <w:ind w:left="-88" w:leftChars="-42"/>
              <w:jc w:val="center"/>
              <w:rPr>
                <w:szCs w:val="21"/>
              </w:rPr>
            </w:pPr>
          </w:p>
        </w:tc>
        <w:tc>
          <w:tcPr>
            <w:tcW w:w="1671" w:type="dxa"/>
            <w:vAlign w:val="center"/>
          </w:tcPr>
          <w:p>
            <w:pPr>
              <w:adjustRightInd w:val="0"/>
              <w:snapToGrid w:val="0"/>
              <w:spacing w:before="50" w:line="360" w:lineRule="auto"/>
              <w:ind w:left="-88" w:leftChars="-42"/>
              <w:jc w:val="center"/>
              <w:rPr>
                <w:szCs w:val="21"/>
              </w:rPr>
            </w:pPr>
          </w:p>
        </w:tc>
        <w:tc>
          <w:tcPr>
            <w:tcW w:w="1608" w:type="dxa"/>
            <w:vAlign w:val="center"/>
          </w:tcPr>
          <w:p>
            <w:pPr>
              <w:adjustRightInd w:val="0"/>
              <w:snapToGrid w:val="0"/>
              <w:spacing w:before="50" w:line="360" w:lineRule="auto"/>
              <w:ind w:left="-88" w:leftChars="-42"/>
              <w:jc w:val="center"/>
              <w:rPr>
                <w:szCs w:val="21"/>
              </w:rPr>
            </w:pPr>
          </w:p>
        </w:tc>
        <w:tc>
          <w:tcPr>
            <w:tcW w:w="1513" w:type="dxa"/>
            <w:vAlign w:val="center"/>
          </w:tcPr>
          <w:p>
            <w:pPr>
              <w:adjustRightInd w:val="0"/>
              <w:snapToGrid w:val="0"/>
              <w:spacing w:before="50" w:line="360" w:lineRule="auto"/>
              <w:ind w:left="-88" w:leftChars="-42"/>
              <w:jc w:val="center"/>
              <w:rPr>
                <w:szCs w:val="21"/>
              </w:rPr>
            </w:pPr>
          </w:p>
        </w:tc>
        <w:tc>
          <w:tcPr>
            <w:tcW w:w="1061" w:type="dxa"/>
            <w:vAlign w:val="center"/>
          </w:tcPr>
          <w:p>
            <w:pPr>
              <w:adjustRightInd w:val="0"/>
              <w:snapToGrid w:val="0"/>
              <w:spacing w:before="50" w:line="360" w:lineRule="auto"/>
              <w:ind w:left="-88" w:leftChars="-42"/>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vAlign w:val="center"/>
          </w:tcPr>
          <w:p>
            <w:pPr>
              <w:adjustRightInd w:val="0"/>
              <w:snapToGrid w:val="0"/>
              <w:spacing w:before="50" w:line="360" w:lineRule="auto"/>
              <w:ind w:left="-88" w:leftChars="-42"/>
              <w:jc w:val="center"/>
              <w:rPr>
                <w:szCs w:val="21"/>
              </w:rPr>
            </w:pPr>
          </w:p>
        </w:tc>
        <w:tc>
          <w:tcPr>
            <w:tcW w:w="1877" w:type="dxa"/>
            <w:vAlign w:val="center"/>
          </w:tcPr>
          <w:p>
            <w:pPr>
              <w:adjustRightInd w:val="0"/>
              <w:snapToGrid w:val="0"/>
              <w:spacing w:before="50" w:line="360" w:lineRule="auto"/>
              <w:ind w:left="-88" w:leftChars="-42"/>
              <w:jc w:val="center"/>
              <w:rPr>
                <w:szCs w:val="21"/>
              </w:rPr>
            </w:pPr>
          </w:p>
        </w:tc>
        <w:tc>
          <w:tcPr>
            <w:tcW w:w="1671" w:type="dxa"/>
            <w:vAlign w:val="center"/>
          </w:tcPr>
          <w:p>
            <w:pPr>
              <w:adjustRightInd w:val="0"/>
              <w:snapToGrid w:val="0"/>
              <w:spacing w:before="50" w:line="360" w:lineRule="auto"/>
              <w:ind w:left="-88" w:leftChars="-42"/>
              <w:jc w:val="center"/>
              <w:rPr>
                <w:szCs w:val="21"/>
              </w:rPr>
            </w:pPr>
          </w:p>
        </w:tc>
        <w:tc>
          <w:tcPr>
            <w:tcW w:w="1608" w:type="dxa"/>
            <w:vAlign w:val="center"/>
          </w:tcPr>
          <w:p>
            <w:pPr>
              <w:adjustRightInd w:val="0"/>
              <w:snapToGrid w:val="0"/>
              <w:spacing w:before="50" w:line="360" w:lineRule="auto"/>
              <w:ind w:left="-88" w:leftChars="-42"/>
              <w:jc w:val="center"/>
              <w:rPr>
                <w:szCs w:val="21"/>
              </w:rPr>
            </w:pPr>
          </w:p>
        </w:tc>
        <w:tc>
          <w:tcPr>
            <w:tcW w:w="1513" w:type="dxa"/>
            <w:vAlign w:val="center"/>
          </w:tcPr>
          <w:p>
            <w:pPr>
              <w:adjustRightInd w:val="0"/>
              <w:snapToGrid w:val="0"/>
              <w:spacing w:before="50" w:line="360" w:lineRule="auto"/>
              <w:ind w:left="-88" w:leftChars="-42"/>
              <w:jc w:val="center"/>
              <w:rPr>
                <w:szCs w:val="21"/>
              </w:rPr>
            </w:pPr>
          </w:p>
        </w:tc>
        <w:tc>
          <w:tcPr>
            <w:tcW w:w="1061" w:type="dxa"/>
            <w:vAlign w:val="center"/>
          </w:tcPr>
          <w:p>
            <w:pPr>
              <w:adjustRightInd w:val="0"/>
              <w:snapToGrid w:val="0"/>
              <w:spacing w:before="50" w:line="360" w:lineRule="auto"/>
              <w:ind w:left="-88" w:leftChars="-42"/>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vAlign w:val="center"/>
          </w:tcPr>
          <w:p>
            <w:pPr>
              <w:adjustRightInd w:val="0"/>
              <w:snapToGrid w:val="0"/>
              <w:spacing w:before="50" w:line="360" w:lineRule="auto"/>
              <w:ind w:left="-88" w:leftChars="-42"/>
              <w:jc w:val="center"/>
              <w:rPr>
                <w:szCs w:val="21"/>
              </w:rPr>
            </w:pPr>
          </w:p>
        </w:tc>
        <w:tc>
          <w:tcPr>
            <w:tcW w:w="1877" w:type="dxa"/>
            <w:vAlign w:val="center"/>
          </w:tcPr>
          <w:p>
            <w:pPr>
              <w:adjustRightInd w:val="0"/>
              <w:snapToGrid w:val="0"/>
              <w:spacing w:before="50" w:line="360" w:lineRule="auto"/>
              <w:ind w:left="-88" w:leftChars="-42"/>
              <w:jc w:val="center"/>
              <w:rPr>
                <w:szCs w:val="21"/>
              </w:rPr>
            </w:pPr>
          </w:p>
        </w:tc>
        <w:tc>
          <w:tcPr>
            <w:tcW w:w="1671" w:type="dxa"/>
            <w:vAlign w:val="center"/>
          </w:tcPr>
          <w:p>
            <w:pPr>
              <w:adjustRightInd w:val="0"/>
              <w:snapToGrid w:val="0"/>
              <w:spacing w:before="50" w:line="360" w:lineRule="auto"/>
              <w:ind w:left="-88" w:leftChars="-42"/>
              <w:jc w:val="center"/>
              <w:rPr>
                <w:szCs w:val="21"/>
              </w:rPr>
            </w:pPr>
          </w:p>
        </w:tc>
        <w:tc>
          <w:tcPr>
            <w:tcW w:w="1608" w:type="dxa"/>
            <w:vAlign w:val="center"/>
          </w:tcPr>
          <w:p>
            <w:pPr>
              <w:adjustRightInd w:val="0"/>
              <w:snapToGrid w:val="0"/>
              <w:spacing w:before="50" w:line="360" w:lineRule="auto"/>
              <w:ind w:left="-88" w:leftChars="-42"/>
              <w:jc w:val="center"/>
              <w:rPr>
                <w:szCs w:val="21"/>
              </w:rPr>
            </w:pPr>
          </w:p>
        </w:tc>
        <w:tc>
          <w:tcPr>
            <w:tcW w:w="1513" w:type="dxa"/>
            <w:vAlign w:val="center"/>
          </w:tcPr>
          <w:p>
            <w:pPr>
              <w:adjustRightInd w:val="0"/>
              <w:snapToGrid w:val="0"/>
              <w:spacing w:before="50" w:line="360" w:lineRule="auto"/>
              <w:ind w:left="-88" w:leftChars="-42"/>
              <w:jc w:val="center"/>
              <w:rPr>
                <w:szCs w:val="21"/>
              </w:rPr>
            </w:pPr>
          </w:p>
        </w:tc>
        <w:tc>
          <w:tcPr>
            <w:tcW w:w="1061" w:type="dxa"/>
            <w:vAlign w:val="center"/>
          </w:tcPr>
          <w:p>
            <w:pPr>
              <w:adjustRightInd w:val="0"/>
              <w:snapToGrid w:val="0"/>
              <w:spacing w:before="50" w:line="360" w:lineRule="auto"/>
              <w:ind w:left="-88" w:leftChars="-42"/>
              <w:jc w:val="center"/>
              <w:rPr>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8357" w:type="dxa"/>
            <w:gridSpan w:val="6"/>
            <w:vAlign w:val="center"/>
          </w:tcPr>
          <w:p>
            <w:pPr>
              <w:rPr>
                <w:b/>
              </w:rPr>
            </w:pPr>
          </w:p>
        </w:tc>
      </w:tr>
    </w:tbl>
    <w:p>
      <w:pPr>
        <w:adjustRightInd w:val="0"/>
        <w:snapToGrid w:val="0"/>
        <w:spacing w:before="50" w:line="360" w:lineRule="auto"/>
        <w:ind w:left="-88" w:leftChars="-42"/>
        <w:rPr>
          <w:sz w:val="24"/>
        </w:rPr>
      </w:pPr>
      <w:r>
        <w:rPr>
          <w:b/>
          <w:sz w:val="24"/>
        </w:rPr>
        <w:t>备注</w:t>
      </w:r>
      <w:r>
        <w:rPr>
          <w:sz w:val="24"/>
        </w:rPr>
        <w:t>：</w:t>
      </w:r>
    </w:p>
    <w:bookmarkEnd w:id="14"/>
    <w:bookmarkEnd w:id="15"/>
    <w:p>
      <w:pPr>
        <w:adjustRightInd w:val="0"/>
        <w:snapToGrid w:val="0"/>
        <w:spacing w:before="50" w:line="360" w:lineRule="auto"/>
        <w:ind w:left="-88" w:leftChars="-42"/>
        <w:rPr>
          <w:sz w:val="24"/>
        </w:rPr>
      </w:pPr>
      <w:r>
        <w:rPr>
          <w:sz w:val="24"/>
        </w:rPr>
        <w:t>（1）投标人应根据文件第</w:t>
      </w:r>
      <w:r>
        <w:rPr>
          <w:rFonts w:hint="eastAsia"/>
          <w:sz w:val="24"/>
        </w:rPr>
        <w:t>二</w:t>
      </w:r>
      <w:r>
        <w:rPr>
          <w:sz w:val="24"/>
        </w:rPr>
        <w:t>章中采购需求填写本表，逐条应答；</w:t>
      </w:r>
    </w:p>
    <w:p>
      <w:pPr>
        <w:adjustRightInd w:val="0"/>
        <w:snapToGrid w:val="0"/>
        <w:spacing w:before="50" w:line="360" w:lineRule="auto"/>
        <w:ind w:left="-88" w:leftChars="-42"/>
        <w:rPr>
          <w:sz w:val="24"/>
        </w:rPr>
      </w:pPr>
      <w:r>
        <w:rPr>
          <w:sz w:val="24"/>
        </w:rPr>
        <w:t>（2）如不提供此表，则视为投标人不满足文件第</w:t>
      </w:r>
      <w:r>
        <w:rPr>
          <w:rFonts w:hint="eastAsia"/>
          <w:sz w:val="24"/>
        </w:rPr>
        <w:t>二</w:t>
      </w:r>
      <w:r>
        <w:rPr>
          <w:sz w:val="24"/>
        </w:rPr>
        <w:t>章的所有条款要求，其投标无效；</w:t>
      </w:r>
    </w:p>
    <w:p>
      <w:pPr>
        <w:adjustRightInd w:val="0"/>
        <w:snapToGrid w:val="0"/>
        <w:spacing w:before="50" w:line="360" w:lineRule="auto"/>
        <w:ind w:left="-88" w:leftChars="-42"/>
      </w:pPr>
      <w:r>
        <w:rPr>
          <w:sz w:val="24"/>
        </w:rPr>
        <w:t>（3）</w:t>
      </w:r>
      <w:r>
        <w:rPr>
          <w:rFonts w:hint="eastAsia"/>
          <w:sz w:val="24"/>
        </w:rPr>
        <w:t>本项目为最低价评分法，所有参数必须全部响应，并在响应表中逐条应答，如有任何一条负偏离，则视为无效投标</w:t>
      </w:r>
    </w:p>
    <w:p>
      <w:pPr>
        <w:pStyle w:val="25"/>
      </w:pPr>
    </w:p>
    <w:p>
      <w:pPr>
        <w:pStyle w:val="24"/>
      </w:pPr>
    </w:p>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仿宋_GB2312" w:eastAsia="仿宋_GB2312"/>
        <w:bCs/>
        <w:u w:val="single"/>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仿宋_GB2312" w:eastAsia="仿宋_GB2312"/>
        <w:bCs/>
        <w:u w:val="single"/>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8280" w:hanging="8280" w:hangingChars="4600"/>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3YmMxNGQ0NDE0NTRiYjQ3MWFkZjk1MWM2MTc2NWEifQ=="/>
  </w:docVars>
  <w:rsids>
    <w:rsidRoot w:val="6DE375E4"/>
    <w:rsid w:val="00025532"/>
    <w:rsid w:val="00036DB4"/>
    <w:rsid w:val="000746AF"/>
    <w:rsid w:val="000E5D92"/>
    <w:rsid w:val="002B5400"/>
    <w:rsid w:val="002F510B"/>
    <w:rsid w:val="00532885"/>
    <w:rsid w:val="00684031"/>
    <w:rsid w:val="006B16FB"/>
    <w:rsid w:val="006C2CA5"/>
    <w:rsid w:val="006F2E55"/>
    <w:rsid w:val="00701CE8"/>
    <w:rsid w:val="00770CD7"/>
    <w:rsid w:val="00824820"/>
    <w:rsid w:val="00840FB7"/>
    <w:rsid w:val="008D3D26"/>
    <w:rsid w:val="009054E8"/>
    <w:rsid w:val="00982A51"/>
    <w:rsid w:val="009D03E6"/>
    <w:rsid w:val="00A37BD1"/>
    <w:rsid w:val="00A95A90"/>
    <w:rsid w:val="00AE556A"/>
    <w:rsid w:val="00B16F80"/>
    <w:rsid w:val="00BD5B8D"/>
    <w:rsid w:val="00C230AF"/>
    <w:rsid w:val="00CC7AE0"/>
    <w:rsid w:val="00D77DE5"/>
    <w:rsid w:val="00D963B7"/>
    <w:rsid w:val="00E25F9B"/>
    <w:rsid w:val="00E645EC"/>
    <w:rsid w:val="00F5793F"/>
    <w:rsid w:val="01350E35"/>
    <w:rsid w:val="02390242"/>
    <w:rsid w:val="02595A0F"/>
    <w:rsid w:val="03547882"/>
    <w:rsid w:val="03E43FAE"/>
    <w:rsid w:val="04653F41"/>
    <w:rsid w:val="04B72FC8"/>
    <w:rsid w:val="04F57A38"/>
    <w:rsid w:val="050719CA"/>
    <w:rsid w:val="056B0EF3"/>
    <w:rsid w:val="06934BAA"/>
    <w:rsid w:val="06E91EC4"/>
    <w:rsid w:val="07731DE6"/>
    <w:rsid w:val="086F75C9"/>
    <w:rsid w:val="09C0303A"/>
    <w:rsid w:val="0A3F4F3C"/>
    <w:rsid w:val="0A4E2BD2"/>
    <w:rsid w:val="0A6D3244"/>
    <w:rsid w:val="0A8A74D4"/>
    <w:rsid w:val="0CAD5ABA"/>
    <w:rsid w:val="0CAD77BD"/>
    <w:rsid w:val="0CD87BD4"/>
    <w:rsid w:val="0E331420"/>
    <w:rsid w:val="0E3A4761"/>
    <w:rsid w:val="0EBC028B"/>
    <w:rsid w:val="0EDD1643"/>
    <w:rsid w:val="0FB9029C"/>
    <w:rsid w:val="10897B23"/>
    <w:rsid w:val="10914EF9"/>
    <w:rsid w:val="10B8663C"/>
    <w:rsid w:val="12080B62"/>
    <w:rsid w:val="12994AC5"/>
    <w:rsid w:val="129F447F"/>
    <w:rsid w:val="12C86253"/>
    <w:rsid w:val="13AA5959"/>
    <w:rsid w:val="145B0A4E"/>
    <w:rsid w:val="14E40477"/>
    <w:rsid w:val="15060AC8"/>
    <w:rsid w:val="15125EAE"/>
    <w:rsid w:val="155E1FBF"/>
    <w:rsid w:val="15675A4C"/>
    <w:rsid w:val="15B67DFF"/>
    <w:rsid w:val="15DD4F6F"/>
    <w:rsid w:val="163301F0"/>
    <w:rsid w:val="167A368E"/>
    <w:rsid w:val="17F91BB8"/>
    <w:rsid w:val="193E7D91"/>
    <w:rsid w:val="1943608F"/>
    <w:rsid w:val="19E40286"/>
    <w:rsid w:val="19E91315"/>
    <w:rsid w:val="1AF56B46"/>
    <w:rsid w:val="1CE412C7"/>
    <w:rsid w:val="1D5071B5"/>
    <w:rsid w:val="1DD7486D"/>
    <w:rsid w:val="1E79119D"/>
    <w:rsid w:val="1EF47691"/>
    <w:rsid w:val="1F334F58"/>
    <w:rsid w:val="1F796B24"/>
    <w:rsid w:val="1F7E3A26"/>
    <w:rsid w:val="1FC602A8"/>
    <w:rsid w:val="1FE73549"/>
    <w:rsid w:val="2038045E"/>
    <w:rsid w:val="20AF0900"/>
    <w:rsid w:val="20B41DA7"/>
    <w:rsid w:val="21C26F27"/>
    <w:rsid w:val="21C61C7A"/>
    <w:rsid w:val="2280405B"/>
    <w:rsid w:val="2383771E"/>
    <w:rsid w:val="23F374DB"/>
    <w:rsid w:val="24881A32"/>
    <w:rsid w:val="25266F96"/>
    <w:rsid w:val="252E6125"/>
    <w:rsid w:val="26597496"/>
    <w:rsid w:val="267547DF"/>
    <w:rsid w:val="272B6E6C"/>
    <w:rsid w:val="27B626C7"/>
    <w:rsid w:val="27CF2BB7"/>
    <w:rsid w:val="28195B1B"/>
    <w:rsid w:val="2821285F"/>
    <w:rsid w:val="28501465"/>
    <w:rsid w:val="28E81B29"/>
    <w:rsid w:val="28FD390A"/>
    <w:rsid w:val="29B45A41"/>
    <w:rsid w:val="2A174DA9"/>
    <w:rsid w:val="2AB010A8"/>
    <w:rsid w:val="2AC66F99"/>
    <w:rsid w:val="2B235B2B"/>
    <w:rsid w:val="2BD64A85"/>
    <w:rsid w:val="2BF61ECB"/>
    <w:rsid w:val="2C0A2E19"/>
    <w:rsid w:val="2C7642D0"/>
    <w:rsid w:val="2C8B7C6A"/>
    <w:rsid w:val="2CC97A35"/>
    <w:rsid w:val="2DD77C64"/>
    <w:rsid w:val="2DDA1E78"/>
    <w:rsid w:val="2DE00B8C"/>
    <w:rsid w:val="2EAC037F"/>
    <w:rsid w:val="2EB67A5C"/>
    <w:rsid w:val="302741D2"/>
    <w:rsid w:val="308B184D"/>
    <w:rsid w:val="309C1E01"/>
    <w:rsid w:val="30BB11DD"/>
    <w:rsid w:val="31F17CD1"/>
    <w:rsid w:val="320F7001"/>
    <w:rsid w:val="324F4D43"/>
    <w:rsid w:val="33384C93"/>
    <w:rsid w:val="340F06E9"/>
    <w:rsid w:val="34C12F54"/>
    <w:rsid w:val="34F140E5"/>
    <w:rsid w:val="366241E2"/>
    <w:rsid w:val="3662711A"/>
    <w:rsid w:val="36B66AAC"/>
    <w:rsid w:val="36E47928"/>
    <w:rsid w:val="372F7378"/>
    <w:rsid w:val="37BA0809"/>
    <w:rsid w:val="397348CD"/>
    <w:rsid w:val="3A8E0AB7"/>
    <w:rsid w:val="3A994AB7"/>
    <w:rsid w:val="3B3B544D"/>
    <w:rsid w:val="3B654F2B"/>
    <w:rsid w:val="3BB72BAE"/>
    <w:rsid w:val="3BFC7D2B"/>
    <w:rsid w:val="3C7C799C"/>
    <w:rsid w:val="3C8A61A4"/>
    <w:rsid w:val="3D5E17FF"/>
    <w:rsid w:val="3DF93413"/>
    <w:rsid w:val="3DFD1951"/>
    <w:rsid w:val="3E1F0DA4"/>
    <w:rsid w:val="3E584E51"/>
    <w:rsid w:val="3E6E70D5"/>
    <w:rsid w:val="3EBE1ADE"/>
    <w:rsid w:val="403B4B34"/>
    <w:rsid w:val="4140452A"/>
    <w:rsid w:val="414D7889"/>
    <w:rsid w:val="41BB0BAE"/>
    <w:rsid w:val="4222229D"/>
    <w:rsid w:val="425629F5"/>
    <w:rsid w:val="4284152B"/>
    <w:rsid w:val="428B1063"/>
    <w:rsid w:val="429A4992"/>
    <w:rsid w:val="435B161D"/>
    <w:rsid w:val="43B25DAC"/>
    <w:rsid w:val="44771DFD"/>
    <w:rsid w:val="45D569C3"/>
    <w:rsid w:val="479B74B7"/>
    <w:rsid w:val="48735221"/>
    <w:rsid w:val="48997E8F"/>
    <w:rsid w:val="49E92B05"/>
    <w:rsid w:val="4A354E62"/>
    <w:rsid w:val="4AEE1A11"/>
    <w:rsid w:val="4B7F39F4"/>
    <w:rsid w:val="4BAE646F"/>
    <w:rsid w:val="4C06451A"/>
    <w:rsid w:val="4CAC1559"/>
    <w:rsid w:val="4CB132D9"/>
    <w:rsid w:val="4D754257"/>
    <w:rsid w:val="4DCD6AB3"/>
    <w:rsid w:val="4DDD6104"/>
    <w:rsid w:val="4DE92593"/>
    <w:rsid w:val="4EE7662F"/>
    <w:rsid w:val="50216DCD"/>
    <w:rsid w:val="50540C20"/>
    <w:rsid w:val="506258C6"/>
    <w:rsid w:val="50743AC8"/>
    <w:rsid w:val="51AC28BD"/>
    <w:rsid w:val="52183ACC"/>
    <w:rsid w:val="53B55872"/>
    <w:rsid w:val="544055F2"/>
    <w:rsid w:val="54AD4386"/>
    <w:rsid w:val="54E30E5A"/>
    <w:rsid w:val="5587625E"/>
    <w:rsid w:val="55937F05"/>
    <w:rsid w:val="55D8243C"/>
    <w:rsid w:val="56483C8F"/>
    <w:rsid w:val="56C77AA7"/>
    <w:rsid w:val="579E7EE7"/>
    <w:rsid w:val="57F52F2F"/>
    <w:rsid w:val="581A7C72"/>
    <w:rsid w:val="583A4BD7"/>
    <w:rsid w:val="58487501"/>
    <w:rsid w:val="59B2388F"/>
    <w:rsid w:val="59C74B1F"/>
    <w:rsid w:val="5A886F59"/>
    <w:rsid w:val="5B9A16F5"/>
    <w:rsid w:val="604D5946"/>
    <w:rsid w:val="611B6B1B"/>
    <w:rsid w:val="62030FF0"/>
    <w:rsid w:val="62C222C2"/>
    <w:rsid w:val="62DB090C"/>
    <w:rsid w:val="632D7C40"/>
    <w:rsid w:val="64133D6A"/>
    <w:rsid w:val="64245572"/>
    <w:rsid w:val="66C30AF5"/>
    <w:rsid w:val="678E4F5D"/>
    <w:rsid w:val="67F3562A"/>
    <w:rsid w:val="680E122C"/>
    <w:rsid w:val="68D05980"/>
    <w:rsid w:val="6A4E1D63"/>
    <w:rsid w:val="6A90762D"/>
    <w:rsid w:val="6AB9152E"/>
    <w:rsid w:val="6B592423"/>
    <w:rsid w:val="6C486FE4"/>
    <w:rsid w:val="6C8F7701"/>
    <w:rsid w:val="6CA409DF"/>
    <w:rsid w:val="6DE375E4"/>
    <w:rsid w:val="6E8E5287"/>
    <w:rsid w:val="6F6F4A62"/>
    <w:rsid w:val="6F734262"/>
    <w:rsid w:val="6FAC3B48"/>
    <w:rsid w:val="6FAD463B"/>
    <w:rsid w:val="6FBE332C"/>
    <w:rsid w:val="70CE0BC9"/>
    <w:rsid w:val="71410A38"/>
    <w:rsid w:val="71554367"/>
    <w:rsid w:val="71584067"/>
    <w:rsid w:val="71F26E91"/>
    <w:rsid w:val="735201FF"/>
    <w:rsid w:val="737B50A4"/>
    <w:rsid w:val="73F40E72"/>
    <w:rsid w:val="74566F5C"/>
    <w:rsid w:val="750117A8"/>
    <w:rsid w:val="751301BD"/>
    <w:rsid w:val="755B2270"/>
    <w:rsid w:val="75E27514"/>
    <w:rsid w:val="7612420D"/>
    <w:rsid w:val="76920D75"/>
    <w:rsid w:val="76C47877"/>
    <w:rsid w:val="77423DFF"/>
    <w:rsid w:val="783B5EA9"/>
    <w:rsid w:val="783D7269"/>
    <w:rsid w:val="792B556E"/>
    <w:rsid w:val="79EB699D"/>
    <w:rsid w:val="7A104828"/>
    <w:rsid w:val="7B0620DE"/>
    <w:rsid w:val="7BBF44BB"/>
    <w:rsid w:val="7BF15CE4"/>
    <w:rsid w:val="7C3A27E5"/>
    <w:rsid w:val="7D9727DD"/>
    <w:rsid w:val="7EFB4F6E"/>
    <w:rsid w:val="7F164138"/>
    <w:rsid w:val="7F1A5E95"/>
    <w:rsid w:val="7F436C04"/>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cs="宋体"/>
      <w:sz w:val="24"/>
      <w:lang w:eastAsia="en-US"/>
    </w:rPr>
  </w:style>
  <w:style w:type="paragraph" w:styleId="9">
    <w:name w:val="Body Text Indent"/>
    <w:basedOn w:val="1"/>
    <w:next w:val="1"/>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qFormat/>
    <w:uiPriority w:val="0"/>
    <w:pPr>
      <w:tabs>
        <w:tab w:val="center" w:pos="4153"/>
        <w:tab w:val="right" w:pos="8306"/>
      </w:tabs>
      <w:snapToGrid w:val="0"/>
      <w:jc w:val="left"/>
    </w:pPr>
    <w:rPr>
      <w:kern w:val="0"/>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Body Text 2"/>
    <w:basedOn w:val="1"/>
    <w:qFormat/>
    <w:uiPriority w:val="0"/>
    <w:pPr>
      <w:spacing w:after="120" w:line="480" w:lineRule="auto"/>
    </w:pPr>
  </w:style>
  <w:style w:type="paragraph" w:styleId="14">
    <w:name w:val="Normal (Web)"/>
    <w:basedOn w:val="1"/>
    <w:qFormat/>
    <w:uiPriority w:val="0"/>
    <w:rPr>
      <w:sz w:val="24"/>
    </w:rPr>
  </w:style>
  <w:style w:type="paragraph" w:styleId="15">
    <w:name w:val="Body Text First Indent 2"/>
    <w:basedOn w:val="9"/>
    <w:next w:val="5"/>
    <w:qFormat/>
    <w:uiPriority w:val="0"/>
    <w:pPr>
      <w:overflowPunct w:val="0"/>
      <w:adjustRightInd w:val="0"/>
      <w:spacing w:line="500" w:lineRule="exact"/>
      <w:ind w:firstLine="420" w:firstLineChars="200"/>
      <w:textAlignment w:val="baseline"/>
    </w:pPr>
    <w:rPr>
      <w:rFonts w:eastAsia="仿宋_GB2312"/>
      <w:kern w:val="28"/>
      <w:sz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character" w:styleId="21">
    <w:name w:val="annotation reference"/>
    <w:basedOn w:val="18"/>
    <w:qFormat/>
    <w:uiPriority w:val="0"/>
    <w:rPr>
      <w:sz w:val="21"/>
      <w:szCs w:val="21"/>
    </w:rPr>
  </w:style>
  <w:style w:type="paragraph" w:customStyle="1" w:styleId="22">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3">
    <w:name w:val="大标题"/>
    <w:basedOn w:val="1"/>
    <w:next w:val="15"/>
    <w:qFormat/>
    <w:uiPriority w:val="0"/>
    <w:pPr>
      <w:jc w:val="center"/>
    </w:pPr>
    <w:rPr>
      <w:rFonts w:ascii="Arial" w:hAnsi="Arial"/>
      <w:b/>
      <w:sz w:val="28"/>
    </w:rPr>
  </w:style>
  <w:style w:type="paragraph" w:customStyle="1" w:styleId="24">
    <w:name w:val="列出段落1"/>
    <w:basedOn w:val="1"/>
    <w:qFormat/>
    <w:uiPriority w:val="99"/>
    <w:pPr>
      <w:ind w:firstLine="420" w:firstLineChars="200"/>
    </w:pPr>
  </w:style>
  <w:style w:type="paragraph" w:customStyle="1" w:styleId="25">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6">
    <w:name w:val="List Paragraph"/>
    <w:basedOn w:val="1"/>
    <w:qFormat/>
    <w:uiPriority w:val="34"/>
    <w:pPr>
      <w:ind w:firstLine="420" w:firstLineChars="200"/>
    </w:pPr>
    <w:rPr>
      <w:rFonts w:ascii="Calibri" w:hAnsi="Calibri"/>
      <w:szCs w:val="22"/>
    </w:rPr>
  </w:style>
  <w:style w:type="paragraph" w:customStyle="1" w:styleId="27">
    <w:name w:val="列表段落1"/>
    <w:basedOn w:val="1"/>
    <w:unhideWhenUsed/>
    <w:qFormat/>
    <w:uiPriority w:val="99"/>
    <w:pPr>
      <w:ind w:firstLine="420" w:firstLineChars="200"/>
    </w:pPr>
  </w:style>
  <w:style w:type="paragraph" w:customStyle="1" w:styleId="2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66</Words>
  <Characters>66</Characters>
  <Lines>68</Lines>
  <Paragraphs>19</Paragraphs>
  <TotalTime>0</TotalTime>
  <ScaleCrop>false</ScaleCrop>
  <LinksUpToDate>false</LinksUpToDate>
  <CharactersWithSpaces>67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2026-08-03T12:27:00Z</dcterms:created>
  <dc:creator>是小豹子</dc:creator>
  <cp:lastModifiedBy>Administrator</cp:lastModifiedBy>
  <cp:lastPrinted>2026-08-24T00:28:00Z</cp:lastPrinted>
  <dcterms:modified xsi:type="dcterms:W3CDTF">2026-10-09T01:06:01Z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7451ED21289B4E758CC4364F8EF11757_13</vt:lpwstr>
  </property>
  <property fmtid="{D5CDD505-2E9C-101B-9397-08002B2CF9AE}" pid="4" name="KSOTemplateDocerSaveRecord">
    <vt:lpwstr>eyJoZGlkIjoiZTU0Zjk0YTkyNmI2NWY2YTg0ODFkZGE4NGIwYWQ3OTMiLCJ1c2VySWQiOiIxNDY5NTA2NTg5In0=</vt:lpwstr>
  </property>
  <property fmtid="{D5CDD505-2E9C-101B-9397-08002B2CF9AE}" pid="5" name="MSIP_Label_b7864bb8-b671-4bed-ba85-9478127ab5e9_Enabled">
    <vt:lpwstr>true</vt:lpwstr>
  </property>
  <property fmtid="{D5CDD505-2E9C-101B-9397-08002B2CF9AE}" pid="6" name="MSIP_Label_b7864bb8-b671-4bed-ba85-9478127ab5e9_SetDate">
    <vt:lpwstr>2026-08-03T09:25:17Z</vt:lpwstr>
  </property>
  <property fmtid="{D5CDD505-2E9C-101B-9397-08002B2CF9AE}" pid="7" name="MSIP_Label_b7864bb8-b671-4bed-ba85-9478127ab5e9_Method">
    <vt:lpwstr>Standard</vt:lpwstr>
  </property>
  <property fmtid="{D5CDD505-2E9C-101B-9397-08002B2CF9AE}" pid="8" name="MSIP_Label_b7864bb8-b671-4bed-ba85-9478127ab5e9_Name">
    <vt:lpwstr>Confidential – 2023</vt:lpwstr>
  </property>
  <property fmtid="{D5CDD505-2E9C-101B-9397-08002B2CF9AE}" pid="9" name="MSIP_Label_b7864bb8-b671-4bed-ba85-9478127ab5e9_SiteId">
    <vt:lpwstr>36839a65-7f3f-4bac-9ea4-f571f10a9a03</vt:lpwstr>
  </property>
  <property fmtid="{D5CDD505-2E9C-101B-9397-08002B2CF9AE}" pid="10" name="MSIP_Label_b7864bb8-b671-4bed-ba85-9478127ab5e9_ActionId">
    <vt:lpwstr>f7d54e4c-4bdd-4208-ab6c-2c07bfae6aa4</vt:lpwstr>
  </property>
  <property fmtid="{D5CDD505-2E9C-101B-9397-08002B2CF9AE}" pid="11" name="MSIP_Label_b7864bb8-b671-4bed-ba85-9478127ab5e9_ContentBits">
    <vt:lpwstr>0</vt:lpwstr>
  </property>
  <property fmtid="{D5CDD505-2E9C-101B-9397-08002B2CF9AE}" pid="12" name="MSIP_Label_b7864bb8-b671-4bed-ba85-9478127ab5e9_Tag">
    <vt:lpwstr>10, 3, 0, 1</vt:lpwstr>
  </property>
</Properties>
</file>