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napToGrid w:val="0"/>
        <w:jc w:val="center"/>
        <w:rPr>
          <w:rFonts w:hint="eastAsia" w:ascii="Arial" w:hAnsi="Arial" w:eastAsia="方正小标宋简体" w:cs="Arial"/>
          <w:sz w:val="72"/>
          <w:szCs w:val="72"/>
        </w:rPr>
      </w:pPr>
      <w:bookmarkStart w:id="0" w:name="_Toc16523570"/>
    </w:p>
    <w:p>
      <w:pPr>
        <w:pStyle w:val="7"/>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pPr>
        <w:pStyle w:val="7"/>
        <w:snapToGrid w:val="0"/>
        <w:jc w:val="center"/>
        <w:rPr>
          <w:rFonts w:hint="eastAsia" w:ascii="Arial" w:hAnsi="Arial" w:eastAsia="方正小标宋简体" w:cs="Arial"/>
          <w:sz w:val="72"/>
          <w:szCs w:val="72"/>
        </w:rPr>
      </w:pPr>
    </w:p>
    <w:p>
      <w:pPr>
        <w:pStyle w:val="7"/>
        <w:snapToGrid w:val="0"/>
        <w:jc w:val="center"/>
        <w:rPr>
          <w:rFonts w:hint="eastAsia" w:ascii="Arial" w:hAnsi="Arial" w:eastAsia="方正小标宋简体" w:cs="Arial"/>
          <w:sz w:val="72"/>
          <w:szCs w:val="72"/>
        </w:rPr>
      </w:pPr>
    </w:p>
    <w:p>
      <w:pPr>
        <w:pStyle w:val="7"/>
        <w:snapToGrid w:val="0"/>
        <w:jc w:val="center"/>
        <w:rPr>
          <w:rFonts w:hint="eastAsia" w:ascii="Arial" w:hAnsi="Arial" w:eastAsia="方正小标宋简体" w:cs="Arial"/>
          <w:sz w:val="72"/>
          <w:szCs w:val="72"/>
        </w:rPr>
      </w:pPr>
    </w:p>
    <w:p>
      <w:pPr>
        <w:pStyle w:val="7"/>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pPr>
        <w:pStyle w:val="7"/>
        <w:snapToGrid w:val="0"/>
        <w:jc w:val="center"/>
        <w:rPr>
          <w:rFonts w:ascii="Arial" w:hAnsi="Arial" w:cs="Arial"/>
          <w:sz w:val="32"/>
          <w:szCs w:val="32"/>
        </w:rPr>
      </w:pPr>
    </w:p>
    <w:p>
      <w:pPr>
        <w:pStyle w:val="23"/>
        <w:rPr>
          <w:rFonts w:ascii="Arial" w:hAnsi="Arial" w:cs="Arial"/>
          <w:sz w:val="32"/>
          <w:szCs w:val="32"/>
        </w:rPr>
      </w:pPr>
    </w:p>
    <w:p>
      <w:pPr>
        <w:pStyle w:val="16"/>
        <w:rPr>
          <w:rFonts w:ascii="Arial" w:hAnsi="Arial" w:cs="Arial"/>
          <w:sz w:val="32"/>
          <w:szCs w:val="32"/>
        </w:rPr>
      </w:pPr>
    </w:p>
    <w:p>
      <w:pPr>
        <w:pStyle w:val="16"/>
        <w:rPr>
          <w:rFonts w:ascii="Arial" w:hAnsi="Arial" w:cs="Arial"/>
          <w:sz w:val="32"/>
          <w:szCs w:val="32"/>
        </w:rPr>
      </w:pPr>
    </w:p>
    <w:p>
      <w:pPr>
        <w:pStyle w:val="16"/>
        <w:rPr>
          <w:rFonts w:ascii="Arial" w:hAnsi="Arial" w:cs="Arial"/>
          <w:sz w:val="32"/>
          <w:szCs w:val="32"/>
        </w:rPr>
      </w:pPr>
    </w:p>
    <w:p>
      <w:pPr>
        <w:pStyle w:val="16"/>
        <w:rPr>
          <w:rFonts w:ascii="Arial" w:hAnsi="Arial" w:cs="Arial"/>
          <w:sz w:val="32"/>
          <w:szCs w:val="32"/>
        </w:rPr>
      </w:pPr>
    </w:p>
    <w:p>
      <w:pPr>
        <w:pStyle w:val="16"/>
        <w:rPr>
          <w:rFonts w:ascii="Arial" w:hAnsi="Arial" w:cs="Arial"/>
          <w:sz w:val="32"/>
          <w:szCs w:val="32"/>
        </w:rPr>
      </w:pPr>
    </w:p>
    <w:p>
      <w:pPr>
        <w:pStyle w:val="16"/>
        <w:rPr>
          <w:rFonts w:ascii="Arial" w:hAnsi="Arial" w:cs="Arial"/>
          <w:sz w:val="32"/>
          <w:szCs w:val="32"/>
        </w:rPr>
      </w:pPr>
    </w:p>
    <w:p>
      <w:pPr>
        <w:pStyle w:val="16"/>
        <w:rPr>
          <w:rFonts w:ascii="Arial" w:hAnsi="Arial" w:cs="Arial"/>
          <w:sz w:val="32"/>
          <w:szCs w:val="32"/>
        </w:rPr>
      </w:pPr>
    </w:p>
    <w:p>
      <w:pPr>
        <w:pStyle w:val="7"/>
        <w:snapToGrid w:val="0"/>
        <w:jc w:val="center"/>
        <w:rPr>
          <w:rFonts w:ascii="Arial" w:hAnsi="Arial" w:cs="Arial"/>
          <w:sz w:val="32"/>
          <w:szCs w:val="32"/>
        </w:rPr>
      </w:pPr>
    </w:p>
    <w:p>
      <w:pPr>
        <w:pStyle w:val="7"/>
        <w:snapToGrid w:val="0"/>
        <w:jc w:val="center"/>
        <w:rPr>
          <w:rFonts w:ascii="Arial" w:hAnsi="Arial" w:cs="Arial"/>
          <w:sz w:val="32"/>
          <w:szCs w:val="32"/>
        </w:rPr>
      </w:pPr>
    </w:p>
    <w:p>
      <w:pPr>
        <w:spacing w:line="360" w:lineRule="auto"/>
        <w:rPr>
          <w:rFonts w:hint="eastAsia"/>
          <w:bCs/>
          <w:sz w:val="32"/>
          <w:szCs w:val="3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cs="Times New Roman"/>
          <w:b/>
          <w:bCs/>
          <w:kern w:val="44"/>
          <w:sz w:val="32"/>
          <w:szCs w:val="32"/>
          <w:lang w:val="en-US" w:eastAsia="zh-CN" w:bidi="ar-SA"/>
        </w:rPr>
        <w:t>娄底市中心医院年度（1年）消防器材采购</w:t>
      </w:r>
      <w:r>
        <w:rPr>
          <w:rFonts w:hint="eastAsia"/>
          <w:bCs/>
          <w:sz w:val="32"/>
          <w:szCs w:val="32"/>
          <w:lang w:val="en-US" w:eastAsia="zh-CN"/>
        </w:rPr>
        <w:t>项目</w:t>
      </w:r>
    </w:p>
    <w:p>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（医院公开挂网</w:t>
      </w:r>
      <w:r>
        <w:rPr>
          <w:rFonts w:hint="eastAsia" w:ascii="Times New Roman" w:hAnsi="Times New Roman" w:eastAsia="宋体" w:cs="Times New Roman"/>
          <w:b/>
          <w:bCs/>
          <w:kern w:val="44"/>
          <w:sz w:val="32"/>
          <w:szCs w:val="32"/>
          <w:lang w:val="en-US" w:eastAsia="zh-CN" w:bidi="ar-SA"/>
        </w:rPr>
        <w:t>）</w:t>
      </w:r>
    </w:p>
    <w:p>
      <w:pPr>
        <w:spacing w:line="320" w:lineRule="exact"/>
        <w:jc w:val="left"/>
        <w:rPr>
          <w:sz w:val="24"/>
        </w:rPr>
      </w:pPr>
    </w:p>
    <w:p>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val="en-US" w:eastAsia="zh-CN"/>
        </w:rPr>
        <w:t>六</w:t>
      </w:r>
      <w:r>
        <w:rPr>
          <w:rFonts w:hint="eastAsia" w:ascii="宋体" w:hAnsi="宋体" w:cs="宋体"/>
          <w:bCs/>
          <w:sz w:val="32"/>
          <w:szCs w:val="32"/>
        </w:rPr>
        <w:t>年</w:t>
      </w:r>
      <w:r>
        <w:rPr>
          <w:rFonts w:hint="eastAsia" w:ascii="宋体" w:hAnsi="宋体" w:cs="宋体"/>
          <w:bCs/>
          <w:sz w:val="32"/>
          <w:szCs w:val="32"/>
          <w:lang w:val="en-US" w:eastAsia="zh-CN"/>
        </w:rPr>
        <w:t>十</w:t>
      </w:r>
      <w:r>
        <w:rPr>
          <w:rFonts w:hint="eastAsia" w:ascii="宋体" w:hAnsi="宋体" w:cs="宋体"/>
          <w:bCs/>
          <w:sz w:val="32"/>
          <w:szCs w:val="32"/>
        </w:rPr>
        <w:t>月</w:t>
      </w:r>
    </w:p>
    <w:p>
      <w:pPr>
        <w:pStyle w:val="4"/>
        <w:numPr>
          <w:ilvl w:val="0"/>
          <w:numId w:val="0"/>
        </w:numPr>
        <w:spacing w:line="240" w:lineRule="auto"/>
        <w:ind w:leftChars="0"/>
        <w:jc w:val="center"/>
        <w:rPr>
          <w:rFonts w:hint="eastAsia" w:ascii="宋体" w:hAnsi="宋体" w:cs="宋体"/>
          <w:color w:val="auto"/>
          <w:sz w:val="44"/>
          <w:szCs w:val="44"/>
          <w:lang w:val="en-US" w:eastAsia="zh-CN"/>
        </w:rPr>
      </w:pPr>
    </w:p>
    <w:p>
      <w:pPr>
        <w:pStyle w:val="4"/>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pPr>
        <w:pStyle w:val="7"/>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娄底市中心医院年度（1年）消防器材采购</w:t>
      </w:r>
      <w:r>
        <w:rPr>
          <w:rFonts w:hint="eastAsia" w:asciiTheme="minorEastAsia" w:hAnsiTheme="minorEastAsia" w:eastAsiaTheme="minorEastAsia" w:cstheme="minorEastAsia"/>
          <w:bCs/>
          <w:color w:val="auto"/>
          <w:sz w:val="24"/>
          <w:szCs w:val="24"/>
          <w:lang w:val="en-US" w:eastAsia="zh-CN"/>
        </w:rPr>
        <w:t>项目进行医院公开挂网，将事项公告如下：</w:t>
      </w:r>
    </w:p>
    <w:p>
      <w:pPr>
        <w:pStyle w:val="7"/>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pPr>
        <w:pStyle w:val="7"/>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Cs/>
          <w:color w:val="auto"/>
          <w:sz w:val="24"/>
          <w:szCs w:val="24"/>
          <w:u w:val="single"/>
          <w:lang w:val="en-US" w:eastAsia="zh-CN"/>
        </w:rPr>
        <w:t>娄底市中心医院年度（1年）消防器材采购</w:t>
      </w:r>
      <w:r>
        <w:rPr>
          <w:rFonts w:hint="eastAsia" w:asciiTheme="minorEastAsia" w:hAnsiTheme="minorEastAsia" w:eastAsiaTheme="minorEastAsia" w:cstheme="minorEastAsia"/>
          <w:b w:val="0"/>
          <w:bCs/>
          <w:color w:val="auto"/>
          <w:sz w:val="24"/>
          <w:szCs w:val="24"/>
          <w:lang w:val="en-US" w:eastAsia="zh-CN"/>
        </w:rPr>
        <w:t>项目</w:t>
      </w:r>
    </w:p>
    <w:p>
      <w:pPr>
        <w:pStyle w:val="7"/>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p>
      <w:pPr>
        <w:pStyle w:val="7"/>
        <w:keepNext w:val="0"/>
        <w:keepLines w:val="0"/>
        <w:pageBreakBefore w:val="0"/>
        <w:widowControl w:val="0"/>
        <w:numPr>
          <w:ilvl w:val="0"/>
          <w:numId w:val="2"/>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医院公开挂网</w:t>
      </w:r>
      <w:r>
        <w:rPr>
          <w:rFonts w:hint="eastAsia" w:asciiTheme="minorEastAsia" w:hAnsiTheme="minorEastAsia" w:eastAsiaTheme="minorEastAsia" w:cstheme="minorEastAsia"/>
          <w:bCs/>
          <w:color w:val="auto"/>
          <w:sz w:val="24"/>
          <w:szCs w:val="24"/>
          <w:lang w:val="en-US" w:eastAsia="zh-CN"/>
        </w:rPr>
        <w:t>，</w:t>
      </w:r>
      <w:bookmarkEnd w:id="0"/>
      <w:r>
        <w:rPr>
          <w:rFonts w:hint="eastAsia" w:asciiTheme="minorEastAsia" w:hAnsiTheme="minorEastAsia" w:eastAsiaTheme="minorEastAsia" w:cstheme="minorEastAsia"/>
          <w:bCs/>
          <w:color w:val="auto"/>
          <w:sz w:val="24"/>
          <w:szCs w:val="24"/>
          <w:lang w:val="en-US" w:eastAsia="zh-CN"/>
        </w:rPr>
        <w:t>按招标文件评分规则进行评审，以评审结果排序，综合评分得分相同的，按投标报价由低到高顺序排列，得分且投标报价相同的，按技术指标优劣顺序排列。</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1、投标截止时间、开标时间：具体时间另行通知</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2、联系人及联系方式：张思远 15115875288</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pPr>
        <w:pStyle w:val="23"/>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heme="minorEastAsia" w:hAnsiTheme="minorEastAsia" w:eastAsiaTheme="minorEastAsia" w:cstheme="minorEastAsia"/>
          <w:b w:val="0"/>
          <w:bCs/>
          <w:color w:val="auto"/>
          <w:sz w:val="24"/>
          <w:szCs w:val="24"/>
          <w:lang w:val="en-US" w:eastAsia="zh-CN" w:bidi="ar-SA"/>
        </w:rPr>
      </w:pPr>
      <w:r>
        <w:rPr>
          <w:rFonts w:hint="eastAsia" w:asciiTheme="minorEastAsia" w:hAnsiTheme="minorEastAsia" w:eastAsiaTheme="minorEastAsia" w:cstheme="minorEastAsia"/>
          <w:b w:val="0"/>
          <w:bCs/>
          <w:color w:val="auto"/>
          <w:sz w:val="24"/>
          <w:szCs w:val="24"/>
          <w:lang w:val="en-US" w:eastAsia="zh-CN" w:bidi="ar-SA"/>
        </w:rPr>
        <w:t>1.7、技术参数负偏离大于等于1条的。</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pPr>
        <w:pStyle w:val="7"/>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2.2、经评标委员会评审后，有效投标人少于3家的。</w:t>
      </w:r>
    </w:p>
    <w:p>
      <w:pPr>
        <w:pStyle w:val="23"/>
        <w:rPr>
          <w:rFonts w:hint="eastAsia"/>
          <w:lang w:val="en-US" w:eastAsia="zh-CN"/>
        </w:rPr>
      </w:pPr>
    </w:p>
    <w:p>
      <w:pPr>
        <w:pStyle w:val="23"/>
        <w:jc w:val="both"/>
        <w:rPr>
          <w:rFonts w:hint="default"/>
          <w:lang w:val="en-US" w:eastAsia="zh-CN"/>
        </w:rPr>
      </w:pPr>
    </w:p>
    <w:p>
      <w:pPr>
        <w:pStyle w:val="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pPr>
        <w:pStyle w:val="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pPr>
        <w:pStyle w:val="23"/>
        <w:rPr>
          <w:rFonts w:hint="eastAsia" w:ascii="宋体" w:hAnsi="宋体" w:cs="宋体"/>
          <w:b/>
          <w:bCs/>
          <w:color w:val="auto"/>
          <w:sz w:val="44"/>
          <w:szCs w:val="44"/>
          <w:lang w:val="en-US" w:eastAsia="zh-CN"/>
        </w:rPr>
      </w:pPr>
    </w:p>
    <w:p>
      <w:pPr>
        <w:pStyle w:val="16"/>
        <w:rPr>
          <w:rFonts w:hint="eastAsia" w:ascii="宋体" w:hAnsi="宋体" w:cs="宋体"/>
          <w:b/>
          <w:bCs/>
          <w:color w:val="auto"/>
          <w:sz w:val="44"/>
          <w:szCs w:val="44"/>
          <w:lang w:val="en-US" w:eastAsia="zh-CN"/>
        </w:rPr>
      </w:pPr>
    </w:p>
    <w:p>
      <w:pPr>
        <w:rPr>
          <w:rFonts w:hint="eastAsia" w:ascii="宋体" w:hAnsi="宋体" w:cs="宋体"/>
          <w:b/>
          <w:bCs/>
          <w:color w:val="auto"/>
          <w:sz w:val="44"/>
          <w:szCs w:val="44"/>
          <w:lang w:val="en-US" w:eastAsia="zh-CN"/>
        </w:rPr>
      </w:pPr>
    </w:p>
    <w:p>
      <w:pPr>
        <w:pStyle w:val="22"/>
        <w:rPr>
          <w:rFonts w:hint="eastAsia"/>
          <w:lang w:val="en-US" w:eastAsia="zh-CN"/>
        </w:rPr>
      </w:pPr>
    </w:p>
    <w:p>
      <w:pPr>
        <w:rPr>
          <w:rFonts w:hint="eastAsia"/>
          <w:lang w:val="en-US" w:eastAsia="zh-CN"/>
        </w:rPr>
      </w:pPr>
      <w:r>
        <w:rPr>
          <w:rFonts w:hint="eastAsia"/>
          <w:lang w:val="en-US" w:eastAsia="zh-CN"/>
        </w:rPr>
        <w:br w:type="page"/>
      </w:r>
    </w:p>
    <w:p>
      <w:pPr>
        <w:pStyle w:val="7"/>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一、采购清单、采购项目交付或者实施的时间和地点</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7"/>
        <w:tblW w:w="7303"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958"/>
        <w:gridCol w:w="2370"/>
        <w:gridCol w:w="1665"/>
        <w:gridCol w:w="231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2370"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eastAsia="zh-CN"/>
              </w:rPr>
              <w:t>配件</w:t>
            </w:r>
            <w:r>
              <w:rPr>
                <w:rFonts w:hint="eastAsia" w:asciiTheme="minorEastAsia" w:hAnsiTheme="minorEastAsia" w:eastAsiaTheme="minorEastAsia" w:cstheme="minorEastAsia"/>
                <w:kern w:val="2"/>
                <w:sz w:val="24"/>
                <w:szCs w:val="24"/>
              </w:rPr>
              <w:t>名称</w:t>
            </w:r>
          </w:p>
        </w:tc>
        <w:tc>
          <w:tcPr>
            <w:tcW w:w="1665"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服务期限</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pPr>
              <w:pStyle w:val="1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Ex>
        <w:trPr>
          <w:trHeight w:val="481"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70"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kern w:val="2"/>
                <w:sz w:val="24"/>
                <w:szCs w:val="24"/>
                <w:lang w:val="en-US" w:eastAsia="zh-CN" w:bidi="ar-SA"/>
              </w:rPr>
            </w:pPr>
            <w:r>
              <w:rPr>
                <w:rFonts w:hint="eastAsia" w:ascii="宋体" w:hAnsi="宋体" w:cs="宋体"/>
                <w:i w:val="0"/>
                <w:iCs w:val="0"/>
                <w:color w:val="000000"/>
                <w:kern w:val="0"/>
                <w:sz w:val="24"/>
                <w:szCs w:val="24"/>
                <w:u w:val="none"/>
                <w:lang w:val="en-US" w:eastAsia="zh-CN" w:bidi="ar"/>
              </w:rPr>
              <w:t>娄底市中心医院年度（1年）消防器材</w:t>
            </w:r>
          </w:p>
        </w:tc>
        <w:tc>
          <w:tcPr>
            <w:tcW w:w="1665"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一年</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pPr>
              <w:keepNext w:val="0"/>
              <w:keepLines w:val="0"/>
              <w:widowControl/>
              <w:suppressLineNumbers w:val="0"/>
              <w:jc w:val="center"/>
              <w:textAlignment w:val="center"/>
              <w:rPr>
                <w:rFonts w:hint="default" w:asciiTheme="minorEastAsia" w:hAnsiTheme="minorEastAsia" w:eastAsiaTheme="minorEastAsia" w:cstheme="minorEastAsia"/>
                <w:kern w:val="2"/>
                <w:sz w:val="24"/>
                <w:szCs w:val="24"/>
                <w:lang w:val="en-US" w:eastAsia="zh-CN" w:bidi="ar-SA"/>
              </w:rPr>
            </w:pPr>
            <w:r>
              <w:rPr>
                <w:rFonts w:hint="eastAsia" w:ascii="宋体" w:hAnsi="宋体" w:eastAsia="宋体" w:cs="宋体"/>
                <w:i w:val="0"/>
                <w:color w:val="000000"/>
                <w:kern w:val="0"/>
                <w:sz w:val="24"/>
                <w:szCs w:val="24"/>
                <w:u w:val="none"/>
                <w:lang w:val="en-US" w:eastAsia="zh-CN" w:bidi="ar"/>
              </w:rPr>
              <w:t>27.6723</w:t>
            </w:r>
          </w:p>
        </w:tc>
      </w:tr>
    </w:tbl>
    <w:p>
      <w:pPr>
        <w:spacing w:line="360" w:lineRule="auto"/>
        <w:rPr>
          <w:rFonts w:hint="eastAsia" w:asciiTheme="minorEastAsia" w:hAnsiTheme="minorEastAsia" w:eastAsiaTheme="minorEastAsia" w:cstheme="minorEastAsia"/>
          <w:bCs/>
          <w:color w:val="auto"/>
          <w:kern w:val="0"/>
          <w:sz w:val="24"/>
          <w:szCs w:val="24"/>
          <w:lang w:val="en-US" w:eastAsia="zh-CN" w:bidi="ar-SA"/>
        </w:rPr>
      </w:pP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2、服务时间：项目供货期限为一年，按实结算。</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二、项目内容及要求</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1、交货要求：投标人承诺按招标人要求分期分批送货，在收到招标人通知后2天内送货到位；紧急应急物资在收到通知后3小时内送货到位，否则视为违约，招标人有权随时终止合同。</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2、质保期：所有货物质保期1年，若国家、厂商、行业有更优标准，按国家、厂商、行业的最优标准执行。质保期从取得验收合格证明之日起计算。</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3、投标人须提供原厂正品，不得供应贴牌或仿制产品，所有货物均须具备出厂合格证，供货时按需提供。必须与医院现用品牌能匹配使用。</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4、报名期间供应商可来医院使用部门进行现场勘察，（包括但不限于规格型号、尺寸等）（杨斯13875424543</w:t>
      </w:r>
      <w:r>
        <w:rPr>
          <w:rFonts w:hint="eastAsia" w:asciiTheme="minorEastAsia" w:hAnsiTheme="minorEastAsia" w:eastAsiaTheme="minorEastAsia" w:cstheme="minorEastAsia"/>
          <w:bCs/>
          <w:color w:val="auto"/>
          <w:kern w:val="0"/>
          <w:sz w:val="24"/>
          <w:szCs w:val="24"/>
          <w:lang w:val="en-US" w:eastAsia="zh-CN" w:bidi="ar-SA"/>
        </w:rPr>
        <w:t xml:space="preserve"> ）。</w:t>
      </w:r>
      <w:bookmarkStart w:id="5" w:name="_GoBack"/>
      <w:bookmarkEnd w:id="5"/>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5、投标人具备履行合同所必需的仓储、运输、配送能力；</w:t>
      </w:r>
    </w:p>
    <w:p>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6、投标人具备完善的售后服务机制，能提供产品质量承诺及快速退换货服务；供应商须提供销售与售后服务承诺函。</w:t>
      </w:r>
    </w:p>
    <w:p>
      <w:pPr>
        <w:pStyle w:val="2"/>
        <w:rPr>
          <w:rFonts w:hint="default"/>
          <w:lang w:val="en-US" w:eastAsia="zh-CN"/>
        </w:rPr>
      </w:pPr>
      <w:r>
        <w:rPr>
          <w:rFonts w:hint="eastAsia" w:asciiTheme="minorEastAsia" w:hAnsiTheme="minorEastAsia" w:eastAsiaTheme="minorEastAsia" w:cstheme="minorEastAsia"/>
          <w:bCs/>
          <w:color w:val="auto"/>
          <w:kern w:val="0"/>
          <w:sz w:val="24"/>
          <w:szCs w:val="24"/>
          <w:lang w:val="en-US" w:eastAsia="zh-CN" w:bidi="ar-SA"/>
        </w:rPr>
        <w:t>7、预估采购目录见下表，数量仅供参考，具体结算时数量按实结算</w:t>
      </w:r>
    </w:p>
    <w:tbl>
      <w:tblPr>
        <w:tblStyle w:val="17"/>
        <w:tblW w:w="10798" w:type="dxa"/>
        <w:tblInd w:w="-95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50"/>
        <w:gridCol w:w="2132"/>
        <w:gridCol w:w="2079"/>
        <w:gridCol w:w="1048"/>
        <w:gridCol w:w="712"/>
        <w:gridCol w:w="806"/>
        <w:gridCol w:w="1095"/>
        <w:gridCol w:w="1338"/>
        <w:gridCol w:w="7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序号</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名称</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规格型号</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现用品牌</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数量</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预算单价</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金额</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左向指示牌(用于急诊医技楼）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DC36V</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卓而信</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1260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右向指示牌(用于急诊医技楼）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DC36V</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1260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安全出口(用于急诊医技楼）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DC36V</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1260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应急灯(用于急诊医技楼）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DC36V</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1260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左向指示牌(用于BCD区）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1350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右向指示牌(用于BCD区）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1350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安全出口(用于BCD区）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1350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应急灯(用于急诊医技楼）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220V/20w(应急单管荧光灯）</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卓而信</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楼层指示灯(用于急诊医技楼）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36V</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31.5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1260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楼层指示灯(用于ABCD区）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31.5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630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手提式二氧化碳灭火器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3kg</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天广、淮海、江荆</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具</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202.5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4050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手提式干粉灭火器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6kg</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具</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75.6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15120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13</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自救呼吸器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TZL30</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友安、倍安</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8100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14</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输入模块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GST-LD-8300B</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海湾</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15</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w:t>
            </w:r>
            <w:r>
              <w:rPr>
                <w:rFonts w:hint="default" w:ascii="Calibri" w:hAnsi="Calibri" w:eastAsia="宋体" w:cs="Calibri"/>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输出模块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GST-LD-8301A</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16</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手动火灾报警按钮</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J-SAM-GST9122B</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17</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火灾声光警报器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GST-HX-240B</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18</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消火栓按钮</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J-SAM-GST9123B</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52.2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2610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19</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消防电话分机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TS-GSTN601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56.7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283.5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感烟火灾探测器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21</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感温火灾探测器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990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感烟火灾探测器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蓝天</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990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23</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输入模块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RM5Ei</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52.2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1044</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24</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输入输出模块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RM5Ei</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52.2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1044</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25</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输出模块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RM5Ei</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52.2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1044</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26</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手动火灾报警按钮</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J-SAP-502</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1080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27</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火灾声光警报器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SM5Ei</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900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28</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消火栓按钮</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J-SAP-501X</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990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29</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感温火灾探测器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900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消防电话分机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HY5716B</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北京恒业</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103.5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517.5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75"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31</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感烟火灾探测器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泰和安（用于急诊医技楼）</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2250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32</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输入模块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TX3201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2250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33</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w:t>
            </w:r>
            <w:r>
              <w:rPr>
                <w:rFonts w:hint="default" w:ascii="Calibri" w:hAnsi="Calibri" w:eastAsia="宋体" w:cs="Calibri"/>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输出模块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TX3211</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34</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火灾声光警报器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TX3307A</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35</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感温火灾探测器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50.4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2520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36</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消防电话分机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TN3100</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79.2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396</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37</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手动火灾报警按钮</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J-SJP-M-TX3142</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38</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消火栓按钮</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TX3153</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58.5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292.5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39</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消火栓门锁</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室内消火栓门</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按压式</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10.8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540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40</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防火门门锁加拉手</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长</w:t>
            </w:r>
            <w:r>
              <w:rPr>
                <w:rFonts w:hint="default" w:ascii="Calibri" w:hAnsi="Calibri" w:eastAsia="宋体" w:cs="Calibri"/>
                <w:i w:val="0"/>
                <w:iCs w:val="0"/>
                <w:color w:val="000000"/>
                <w:kern w:val="0"/>
                <w:sz w:val="22"/>
                <w:szCs w:val="22"/>
                <w:u w:val="none"/>
                <w:lang w:val="en-US" w:eastAsia="zh-CN" w:bidi="ar"/>
              </w:rPr>
              <w:t>14.5CM</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40.5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2025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41</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防火门门锁加拉手</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长</w:t>
            </w:r>
            <w:r>
              <w:rPr>
                <w:rFonts w:hint="default" w:ascii="Calibri" w:hAnsi="Calibri" w:eastAsia="宋体" w:cs="Calibri"/>
                <w:i w:val="0"/>
                <w:iCs w:val="0"/>
                <w:color w:val="000000"/>
                <w:kern w:val="0"/>
                <w:sz w:val="22"/>
                <w:szCs w:val="22"/>
                <w:u w:val="none"/>
                <w:lang w:val="en-US" w:eastAsia="zh-CN" w:bidi="ar"/>
              </w:rPr>
              <w:t>20CM</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2250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42</w:t>
            </w:r>
          </w:p>
        </w:tc>
        <w:tc>
          <w:tcPr>
            <w:tcW w:w="2132"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软管卷盘</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20米自救卷盘</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平安、国泰、天泉</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85.5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4275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43</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消防水带</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16-65-20+扣</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平安、国泰、润源</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211.5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10575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44</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消防水带内扣式水带接口</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65(加厚）</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平安、国泰、润源</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21.6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1080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45</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百叶送风口A、E、B区</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按现场实践测量尺寸</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256.5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2565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46</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末端试水压力表</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表盘直径100mm</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36</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360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47</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闭门器1</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大号</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坚朗、杜邦、川盈</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76.5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3825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48</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闭门器2</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小号</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坚朗、杜邦、川盈</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61.2</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3060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49</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呼吸器箱</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4个装带可视窗</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佳睿、国泰、永博</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94.5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2835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75"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灭火器箱（8公斤*2个）</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304不锈钢0.6厚（内置月度检查卡口袋15*10CM）</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佳睿、国泰、永博</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211.5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6345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51</w:t>
            </w:r>
          </w:p>
        </w:tc>
        <w:tc>
          <w:tcPr>
            <w:tcW w:w="21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蓄电池（用于应急照明和疏散指示、气体灭火系统控制器）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12V33AH</w:t>
            </w: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劲博、赛特</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265.5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2655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52</w:t>
            </w:r>
          </w:p>
        </w:tc>
        <w:tc>
          <w:tcPr>
            <w:tcW w:w="2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12V55AH</w:t>
            </w: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418.5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4185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53</w:t>
            </w:r>
          </w:p>
        </w:tc>
        <w:tc>
          <w:tcPr>
            <w:tcW w:w="2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12V24AH</w:t>
            </w: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238.5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2385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54</w:t>
            </w:r>
          </w:p>
        </w:tc>
        <w:tc>
          <w:tcPr>
            <w:tcW w:w="21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W-15-36（磷酸铁锂）</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沃博源</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616.5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6165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8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55</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左向指示牌(用于BCD综合楼、科教楼）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220V嵌入式（内径长35厘米，宽内径长13厘米，外径长39.5厘米，宽外径长16.5厘米）</w:t>
            </w: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凯雷德</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1350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56</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右向指示牌(用于BCD综合楼、科教楼）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1350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57</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安全出口(用于BCD综合楼、科教楼）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1350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58</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双向指示牌(用于BCD综合楼、科教楼）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1485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9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59</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楼层指示牌(用于BCD综合楼、科教楼）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220V明装（嵌入式外面长43厘米，宽18厘米，里面长38厘米，宽14厘米）</w:t>
            </w: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1485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60</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左向指示牌(用于BCD综合楼、科教楼）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900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61</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右向指示牌(用于BCD综合楼、科教楼）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900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62</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安全出口(用于BCD综合楼、科教楼）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450</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63</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双面单向指示牌(BC科教楼）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64</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单面双向(BC综合楼科教楼）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4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65</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乙级  /平方米</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平方米</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616.5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12330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66</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甲级  /平方米</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平方米</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796.5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15930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67</w:t>
            </w:r>
          </w:p>
        </w:tc>
        <w:tc>
          <w:tcPr>
            <w:tcW w:w="2132"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乙级  /平方米</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平方米</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616.5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12330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68</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独立式感烟探测器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无线联网</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238.5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4770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69</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防火卷帘控制器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436.5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2182.5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70</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防火卷帘</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/平方米</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765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3825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71</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楼层区域火灾显示盘（A区）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GST-ZF-101Z</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702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3510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72</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楼层区域火灾显示盘（急诊医技楼）</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GST-ZF-101Z</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702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3510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73</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楼层区域火灾显示盘（E区）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GST-ZF-101Z</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702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3510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74</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楼层区域火灾显示盘（B区）</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GST-ZF-101Z</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702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3510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75</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试水报警阀</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DN100/150/200/250 </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大体阀</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765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3825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76</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明杆闸阀</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DN100/150/200/250 大体</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大体阀</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504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2520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77</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信号阀</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DN100/150/200/250 大体</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大体阀</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78</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水流指示器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DN100/150/200/250 </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大体阀</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67.5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337.5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79</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蝶阀</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DN100/150/200/250 大体</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大体阀</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80</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球阀</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铜 加重</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全铜</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52.2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261</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81</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灭火毯</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6米*8米 硅胶车用</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1665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8325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82</w:t>
            </w:r>
          </w:p>
        </w:tc>
        <w:tc>
          <w:tcPr>
            <w:tcW w:w="2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防火隔离挡板</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移动式</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612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3060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83</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应急手电筒</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12合一</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海王鑫、海洋王</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79.2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792</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84</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强光手电筒</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海王鑫、海洋王</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175.5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1755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85</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高压压力表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157.5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787.5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86</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气体专用喷嘴</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157.5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787.5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87</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放气指示灯</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112.5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562.5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88</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紧急启停按钮</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112.5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562.5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89</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排烟防火阀</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按现场实践测量尺寸</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504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1512</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90</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压力开关</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202.5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1012.5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91</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止回阀</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274.5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1372.5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92</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水泵接合器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612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3060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93</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空气开关</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522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2610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94</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继电器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40.5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202.5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95</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水力警铃</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76.5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382.5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96</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延迟器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85.5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427.5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97</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过滤器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121.5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607.5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98</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水流指示器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DN100/150/200/250 </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79.2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396</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99</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流量开关</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328.5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1642.5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100</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液位传感器</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117</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585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101</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消防广播喇叭</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102</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消防广播话筒</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103</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广播模块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225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104</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消防广播功放</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769.5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3847.5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105</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消防手套</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1260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106</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消防腰带</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229.5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1147.5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107</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消防铲</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108</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消防桶</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18</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90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109</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消防钩</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126</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630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110</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消防警示带</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手提式100米</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111</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哈夫节</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4"/>
                <w:szCs w:val="24"/>
                <w:u w:val="none"/>
                <w:lang w:val="en-US" w:eastAsia="zh-CN" w:bidi="ar"/>
              </w:rPr>
              <w:t>DN25/65/100/150/200/250/300</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495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2475</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112</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沟槽管件（卡箍、弯头、三通）</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4"/>
                <w:szCs w:val="24"/>
                <w:u w:val="none"/>
                <w:lang w:val="en-US" w:eastAsia="zh-CN" w:bidi="ar"/>
              </w:rPr>
              <w:t>DN25/65/100/150</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50.4</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252</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113</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消防水管</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4"/>
                <w:szCs w:val="24"/>
                <w:u w:val="none"/>
                <w:lang w:val="en-US" w:eastAsia="zh-CN" w:bidi="ar"/>
              </w:rPr>
              <w:t>DN25/65/100/150</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米</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135</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810</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114</w:t>
            </w: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手提式无磁七氟灭火器（无磁）</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0"/>
                <w:szCs w:val="20"/>
                <w:u w:val="none"/>
                <w:lang w:val="en-US" w:eastAsia="zh-CN" w:bidi="ar"/>
              </w:rPr>
            </w:pPr>
            <w:r>
              <w:rPr>
                <w:rFonts w:hint="eastAsia" w:ascii="黑体" w:hAnsi="宋体" w:eastAsia="黑体" w:cs="黑体"/>
                <w:i w:val="0"/>
                <w:iCs w:val="0"/>
                <w:color w:val="000000"/>
                <w:kern w:val="0"/>
                <w:sz w:val="24"/>
                <w:szCs w:val="24"/>
                <w:u w:val="none"/>
                <w:lang w:val="en-US" w:eastAsia="zh-CN" w:bidi="ar"/>
              </w:rPr>
              <w:t>4KG</w:t>
            </w: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磁共振内使用</w:t>
            </w:r>
          </w:p>
        </w:tc>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具</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1692</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2"/>
                <w:szCs w:val="22"/>
                <w:u w:val="none"/>
                <w:lang w:val="en-US" w:eastAsia="zh-CN" w:bidi="ar"/>
              </w:rPr>
              <w:t>13536</w:t>
            </w:r>
          </w:p>
        </w:tc>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5" w:hRule="atLeast"/>
        </w:trPr>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2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合计金额</w:t>
            </w:r>
          </w:p>
        </w:tc>
        <w:tc>
          <w:tcPr>
            <w:tcW w:w="207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276723</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4"/>
                <w:szCs w:val="24"/>
                <w:u w:val="none"/>
                <w:lang w:val="en-US" w:eastAsia="zh-CN" w:bidi="ar-SA"/>
              </w:rPr>
            </w:pPr>
          </w:p>
        </w:tc>
      </w:tr>
    </w:tbl>
    <w:p>
      <w:pPr>
        <w:pStyle w:val="22"/>
        <w:rPr>
          <w:rFonts w:hint="eastAsia"/>
          <w:lang w:val="en-US" w:eastAsia="zh-CN"/>
        </w:rPr>
      </w:pPr>
    </w:p>
    <w:p>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四、合同</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color w:val="000000" w:themeColor="text1"/>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960" w:firstLineChars="400"/>
        <w:jc w:val="right"/>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合同编号：</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color w:val="000000" w:themeColor="text1"/>
          <w:sz w:val="44"/>
          <w:szCs w:val="44"/>
          <w:highlight w:val="none"/>
          <w:lang w:val="en-US" w:eastAsia="zh-CN"/>
          <w14:textFill>
            <w14:solidFill>
              <w14:schemeClr w14:val="tx1"/>
            </w14:solidFill>
          </w14:textFill>
        </w:rPr>
      </w:pPr>
      <w:r>
        <w:rPr>
          <w:rFonts w:hint="eastAsia" w:ascii="黑体" w:hAnsi="黑体" w:eastAsia="黑体" w:cs="黑体"/>
          <w:color w:val="0000FF"/>
          <w:sz w:val="44"/>
          <w:szCs w:val="44"/>
          <w:highlight w:val="none"/>
          <w:lang w:val="en-US" w:eastAsia="zh-CN"/>
        </w:rPr>
        <w:t>消防器材（易损易耗件）年度</w:t>
      </w:r>
      <w:r>
        <w:rPr>
          <w:rFonts w:hint="eastAsia" w:ascii="黑体" w:hAnsi="黑体" w:eastAsia="黑体" w:cs="黑体"/>
          <w:color w:val="000000" w:themeColor="text1"/>
          <w:sz w:val="44"/>
          <w:szCs w:val="44"/>
          <w:highlight w:val="none"/>
          <w:lang w:val="en-US" w:eastAsia="zh-CN"/>
          <w14:textFill>
            <w14:solidFill>
              <w14:schemeClr w14:val="tx1"/>
            </w14:solidFill>
          </w14:textFill>
        </w:rPr>
        <w:t>采购合同</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甲方（采购方）：</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娄底市中心医院</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法定代表人：杨吉军</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统一社会信用代码：12431300447162073W</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地址：湖南省娄底市娄星区长青中街51号</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联系人：杨斯</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联系电话：13875424543</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乙方（供货方）：</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w:t>
      </w:r>
    </w:p>
    <w:p>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w:t>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val="0"/>
        <w:overflowPunct/>
        <w:topLinePunct/>
        <w:autoSpaceDE/>
        <w:autoSpaceDN/>
        <w:bidi w:val="0"/>
        <w:adjustRightInd/>
        <w:snapToGrid/>
        <w:spacing w:before="0" w:beforeAutospacing="0" w:after="0" w:afterAutospacing="0" w:line="460" w:lineRule="exact"/>
        <w:ind w:right="0" w:rightChars="0"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甲方通过</w:t>
      </w:r>
      <w:r>
        <w:rPr>
          <w:rFonts w:hint="eastAsia" w:ascii="宋体" w:hAnsi="宋体" w:cs="宋体"/>
          <w:color w:val="000000" w:themeColor="text1"/>
          <w:sz w:val="24"/>
          <w:szCs w:val="24"/>
          <w:highlight w:val="none"/>
          <w:lang w:val="en-US" w:eastAsia="zh-CN"/>
          <w14:textFill>
            <w14:solidFill>
              <w14:schemeClr w14:val="tx1"/>
            </w14:solidFill>
          </w14:textFill>
        </w:rPr>
        <w:t>医院公开挂网</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cs="宋体"/>
          <w:color w:val="000000" w:themeColor="text1"/>
          <w:sz w:val="24"/>
          <w:szCs w:val="24"/>
          <w:highlight w:val="none"/>
          <w:u w:val="single"/>
          <w:lang w:val="en-US" w:eastAsia="zh-CN"/>
          <w14:textFill>
            <w14:solidFill>
              <w14:schemeClr w14:val="tx1"/>
            </w14:solidFill>
          </w14:textFill>
        </w:rPr>
        <w:t>消防器材（易损易耗件）</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，乙方为中标/中选供应商。根据《中华人民共和国民法典》《中华人民共和国政府采购法》等相关法律规定，甲乙双方在采购项目确定的基础上，就采购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消防器材（易损易耗件）</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事宜平等、自愿、公平、诚信协商，达成一致，特订立本合同，以资共同遵守。</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right="0" w:firstLine="482" w:firstLineChars="200"/>
        <w:jc w:val="both"/>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第一条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采购内容</w:t>
      </w:r>
      <w:r>
        <w:rPr>
          <w:rFonts w:hint="eastAsia" w:ascii="宋体" w:hAnsi="宋体" w:cs="宋体"/>
          <w:b/>
          <w:bCs/>
          <w:color w:val="0000FF"/>
          <w:sz w:val="24"/>
          <w:szCs w:val="24"/>
          <w:highlight w:val="none"/>
          <w:lang w:val="en-US" w:eastAsia="zh-CN"/>
        </w:rPr>
        <w:t>及供货期限</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right="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 货物名称、品牌、型号、价格</w:t>
      </w:r>
    </w:p>
    <w:tbl>
      <w:tblPr>
        <w:tblStyle w:val="17"/>
        <w:tblpPr w:leftFromText="180" w:rightFromText="180" w:vertAnchor="text" w:horzAnchor="page" w:tblpX="1705" w:tblpY="391"/>
        <w:tblOverlap w:val="never"/>
        <w:tblW w:w="82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5"/>
        <w:gridCol w:w="2051"/>
        <w:gridCol w:w="1736"/>
        <w:gridCol w:w="1005"/>
        <w:gridCol w:w="900"/>
        <w:gridCol w:w="18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72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序号</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货物</w:t>
            </w:r>
            <w:r>
              <w:rPr>
                <w:rFonts w:hint="eastAsia" w:ascii="宋体" w:hAnsi="宋体" w:eastAsia="宋体" w:cs="宋体"/>
                <w:i w:val="0"/>
                <w:iCs w:val="0"/>
                <w:color w:val="000000"/>
                <w:kern w:val="0"/>
                <w:sz w:val="22"/>
                <w:szCs w:val="22"/>
                <w:u w:val="none"/>
                <w:lang w:val="en-US" w:eastAsia="zh-CN" w:bidi="ar"/>
              </w:rPr>
              <w:t>名称</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规格型号</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品牌</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单位</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单价</w:t>
            </w:r>
            <w:r>
              <w:rPr>
                <w:rFonts w:hint="eastAsia" w:ascii="宋体" w:hAnsi="宋体" w:cs="宋体"/>
                <w:i w:val="0"/>
                <w:iCs w:val="0"/>
                <w:color w:val="000000"/>
                <w:kern w:val="0"/>
                <w:sz w:val="22"/>
                <w:szCs w:val="22"/>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左向指示牌(用于急诊医技楼）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DC36V</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右向指示牌(用于急诊医技楼）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DC36V</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安全出口(用于急诊医技楼）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DC36V</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应急灯(用于急诊医技楼）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DC36V</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左向指示牌(用于BCD区）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右向指示牌(用于BCD区）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安全出口(用于BCD区）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应急灯(用于急诊医技楼）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220V/20w(应急单管荧光灯）</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楼层指示灯(用于急诊医技楼）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36V</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楼层指示灯(用于ABCD区）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59"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手提式二氧化碳灭火器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3kg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具</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手提式干粉灭火器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6kg</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具</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13</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自救呼吸器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TZL30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14</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输入模块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GST-LD-8300B</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15</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w:t>
            </w:r>
            <w:r>
              <w:rPr>
                <w:rFonts w:hint="default" w:ascii="Calibri" w:hAnsi="Calibri" w:eastAsia="宋体" w:cs="Calibri"/>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输出模块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GST-LD-8301A</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16</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手动火灾报警按钮</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J-SAM-GST9122B</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17</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火灾声光警报器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GST-HX-240B</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18</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消火栓按钮</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J-SAM-GST9123B</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19</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消防电话分机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TS-GSTN601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感烟火灾探测器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21</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感温火灾探测器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感烟火灾探测器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23</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输入模块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RM5Ei</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24</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输入输出模块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RM5Ei</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25</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输出模块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RM5Ei</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26</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手动火灾报警按钮</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J-SAP-502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27</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火灾声光警报器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SM5Ei</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28</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消火栓按钮</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J-SAP-501X</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29</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感温火灾探测器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消防电话分机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HY5716B</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5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31</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感烟火灾探测器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32</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输入模块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TX3201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33</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输入</w:t>
            </w:r>
            <w:r>
              <w:rPr>
                <w:rFonts w:hint="default" w:ascii="Calibri" w:hAnsi="Calibri" w:eastAsia="宋体" w:cs="Calibri"/>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输出模块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TX3211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34</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火灾声光警报器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TX3307A</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35</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感温火灾探测器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含底座</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36</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消防电话分机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TN3100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37</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手动火灾报警按钮</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J-SJP-M-TX3142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38</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消火栓按钮</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2"/>
                <w:szCs w:val="22"/>
                <w:u w:val="none"/>
                <w:lang w:val="en-US" w:eastAsia="zh-CN" w:bidi="ar"/>
              </w:rPr>
              <w:t>TX3153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39</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消火栓门锁</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室内消火栓门</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按压式</w:t>
            </w:r>
            <w:r>
              <w:rPr>
                <w:rFonts w:hint="eastAsia" w:ascii="宋体" w:hAnsi="宋体" w:cs="宋体"/>
                <w:i w:val="0"/>
                <w:iCs w:val="0"/>
                <w:color w:val="000000"/>
                <w:kern w:val="0"/>
                <w:sz w:val="22"/>
                <w:szCs w:val="22"/>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40</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防火门门锁加拉手</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长</w:t>
            </w:r>
            <w:r>
              <w:rPr>
                <w:rFonts w:hint="default" w:ascii="Calibri" w:hAnsi="Calibri" w:eastAsia="宋体" w:cs="Calibri"/>
                <w:i w:val="0"/>
                <w:iCs w:val="0"/>
                <w:color w:val="000000"/>
                <w:kern w:val="0"/>
                <w:sz w:val="22"/>
                <w:szCs w:val="22"/>
                <w:u w:val="none"/>
                <w:lang w:val="en-US" w:eastAsia="zh-CN" w:bidi="ar"/>
              </w:rPr>
              <w:t>14.5CM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41</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防火门门锁加拉手</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长</w:t>
            </w:r>
            <w:r>
              <w:rPr>
                <w:rFonts w:hint="default" w:ascii="Calibri" w:hAnsi="Calibri" w:eastAsia="宋体" w:cs="Calibri"/>
                <w:i w:val="0"/>
                <w:iCs w:val="0"/>
                <w:color w:val="000000"/>
                <w:kern w:val="0"/>
                <w:sz w:val="22"/>
                <w:szCs w:val="22"/>
                <w:u w:val="none"/>
                <w:lang w:val="en-US" w:eastAsia="zh-CN" w:bidi="ar"/>
              </w:rPr>
              <w:t>20CM</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74"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42</w:t>
            </w:r>
          </w:p>
        </w:tc>
        <w:tc>
          <w:tcPr>
            <w:tcW w:w="2051"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软管卷盘</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20米自救卷盘</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套</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04"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43</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消防水带</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16-65-20+扣</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套</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79"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44</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消防水带内扣式水带接口</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65(加厚）</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付</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45</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百叶送风口A、E、B区</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按现场实践测量尺寸</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46</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末端试水压力表</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表盘直径100mm</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74"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47</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闭门器1</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大号</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48</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闭门器2</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小号</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49</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呼吸器箱</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4个装带可视窗</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275"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灭火器箱（8公斤*2个）</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304不锈钢0.6厚（内置月度检查卡口袋15*10CM）</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51</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蓄电池（用于应急照明和疏散指示、气体灭火系统控制器）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12V33AH</w:t>
            </w:r>
          </w:p>
        </w:tc>
        <w:tc>
          <w:tcPr>
            <w:tcW w:w="10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52</w:t>
            </w: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12V55AH</w:t>
            </w: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53</w:t>
            </w: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12V24AH</w:t>
            </w:r>
          </w:p>
        </w:tc>
        <w:tc>
          <w:tcPr>
            <w:tcW w:w="10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54</w:t>
            </w: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W-15-36（磷酸铁锂）</w:t>
            </w:r>
          </w:p>
        </w:tc>
        <w:tc>
          <w:tcPr>
            <w:tcW w:w="10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58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55</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左向指示牌(用于BCD综合楼、科教楼）</w:t>
            </w:r>
          </w:p>
        </w:tc>
        <w:tc>
          <w:tcPr>
            <w:tcW w:w="173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220V嵌入式（内径长35厘米，宽内径长13厘米，外径长39.5厘米，宽外径长16.5厘米）</w:t>
            </w:r>
          </w:p>
        </w:tc>
        <w:tc>
          <w:tcPr>
            <w:tcW w:w="100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59"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56</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右向指示牌(用于BCD综合楼、科教楼）</w:t>
            </w:r>
          </w:p>
        </w:tc>
        <w:tc>
          <w:tcPr>
            <w:tcW w:w="1736" w:type="dxa"/>
            <w:tcBorders>
              <w:top w:val="single" w:color="auto"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57</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安全出口(用于BCD综合楼、科教楼）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0"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58</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双向指示牌(用于BCD综合楼、科教楼）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59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59</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楼层指示牌(用于BCD综合楼、科教楼）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220V明装（嵌入式外面长43厘米，宽18厘米，里面长38厘米，宽14厘米）</w:t>
            </w:r>
          </w:p>
        </w:tc>
        <w:tc>
          <w:tcPr>
            <w:tcW w:w="1005"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59"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60</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左向指示牌(用于BCD综合楼、科教楼）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59"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61</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右向指示牌(用于BCD综合楼、科教楼）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62</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安全出口(用于BCD综合楼、科教楼）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12" w:hRule="atLeast"/>
        </w:trPr>
        <w:tc>
          <w:tcPr>
            <w:tcW w:w="675"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63</w:t>
            </w:r>
          </w:p>
        </w:tc>
        <w:tc>
          <w:tcPr>
            <w:tcW w:w="2051"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双面单向指示牌(BC科教楼）</w:t>
            </w:r>
          </w:p>
        </w:tc>
        <w:tc>
          <w:tcPr>
            <w:tcW w:w="1736" w:type="dxa"/>
            <w:tcBorders>
              <w:top w:val="single" w:color="000000" w:sz="4" w:space="0"/>
              <w:left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64</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单面双向(BC综合楼科教楼）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auto"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盏</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34"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65</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乙级  /平方米</w:t>
            </w:r>
          </w:p>
        </w:tc>
        <w:tc>
          <w:tcPr>
            <w:tcW w:w="1005"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张</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79"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66</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甲级  /平方米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张</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94"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67</w:t>
            </w:r>
          </w:p>
        </w:tc>
        <w:tc>
          <w:tcPr>
            <w:tcW w:w="2051"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乙级  /平方米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68</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独立式感烟探测器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无线联网</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69</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防火卷帘控制器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70</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防火卷帘</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/平方米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套</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71</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楼层区域火灾显示盘（A区）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GST-ZF-101Z</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72</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楼层区域火灾显示盘（急诊医技楼）</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GST-ZF-101Z</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73</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楼层区域火灾显示盘（E区）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GST-ZF-101Z</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74</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楼层区域火灾显示盘（B区）</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GST-ZF-101Z</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75</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试水报警阀</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DN100/150/200/250 大体阀</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76</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明杆闸阀</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DN100/150/200/250 大体阀</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77</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信号阀</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DN100/150/200/250 大体阀</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78</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水流指示器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DN100/150/200/250 阀</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79</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蝶阀</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DN100/150/200/250 大体阀</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80</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球阀</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铜 </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加重全铜</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81</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灭火毯</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6米*8米 硅胶车用</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床</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82</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防火隔离挡板</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移动式</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块</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83</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应急手电筒</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12合一</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84</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强光手电筒</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85</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高压压力表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86</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气体专用喷嘴</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87</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放气指示灯</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88</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紧急启停按钮</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89</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排烟防火阀</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按现场实践测量尺寸</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90</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压力开关</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91</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止回阀</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92</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水泵接合器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93</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空气开关</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94</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继电器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95</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水力警铃</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96</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延迟器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97</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过滤器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98</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水流指示器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 xml:space="preserve">DN100/150/200/250 </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99</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流量开关</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100</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液位传感器</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101</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消防广播喇叭</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102</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消防广播话筒</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103</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广播模块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104</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消防广播功放</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105</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消防手套</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双</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106</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消防腰带</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根</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107</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消防铲</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108</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消防桶</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91"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109</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消防钩</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110</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消防警示带</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黑体" w:hAnsi="宋体" w:eastAsia="黑体" w:cs="黑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手提式100米</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42"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111</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哈夫节</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4"/>
                <w:szCs w:val="24"/>
                <w:u w:val="none"/>
                <w:lang w:val="en-US" w:eastAsia="zh-CN" w:bidi="ar"/>
              </w:rPr>
              <w:t>DN25/65/100/150/200/250/300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112</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沟槽管件（卡箍、弯头、三通）</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4"/>
                <w:szCs w:val="24"/>
                <w:u w:val="none"/>
                <w:lang w:val="en-US" w:eastAsia="zh-CN" w:bidi="ar"/>
              </w:rPr>
              <w:t>DN25/65/100/150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个</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113</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消防水管</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4"/>
                <w:szCs w:val="24"/>
                <w:u w:val="none"/>
                <w:lang w:val="en-US" w:eastAsia="zh-CN" w:bidi="ar"/>
              </w:rPr>
              <w:t>DN25/65/100/150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根</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3" w:hRule="atLeast"/>
        </w:trPr>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114</w:t>
            </w:r>
          </w:p>
        </w:tc>
        <w:tc>
          <w:tcPr>
            <w:tcW w:w="20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2"/>
                <w:szCs w:val="22"/>
                <w:u w:val="none"/>
                <w:lang w:val="en-US" w:eastAsia="zh-CN" w:bidi="ar"/>
              </w:rPr>
              <w:t>手提式无磁七氟灭火器（无磁）</w:t>
            </w:r>
          </w:p>
        </w:tc>
        <w:tc>
          <w:tcPr>
            <w:tcW w:w="17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0"/>
                <w:szCs w:val="20"/>
                <w:u w:val="none"/>
                <w:lang w:val="en-US" w:eastAsia="zh-CN" w:bidi="ar"/>
              </w:rPr>
            </w:pPr>
            <w:r>
              <w:rPr>
                <w:rFonts w:hint="eastAsia" w:ascii="黑体" w:hAnsi="宋体" w:eastAsia="黑体" w:cs="黑体"/>
                <w:i w:val="0"/>
                <w:iCs w:val="0"/>
                <w:color w:val="000000"/>
                <w:kern w:val="0"/>
                <w:sz w:val="24"/>
                <w:szCs w:val="24"/>
                <w:u w:val="none"/>
                <w:lang w:val="en-US" w:eastAsia="zh-CN" w:bidi="ar"/>
              </w:rPr>
              <w:t>4KG</w:t>
            </w:r>
            <w:r>
              <w:rPr>
                <w:rFonts w:hint="eastAsia" w:ascii="宋体" w:hAnsi="宋体" w:eastAsia="宋体" w:cs="宋体"/>
                <w:i w:val="0"/>
                <w:iCs w:val="0"/>
                <w:color w:val="000000"/>
                <w:kern w:val="0"/>
                <w:sz w:val="22"/>
                <w:szCs w:val="22"/>
                <w:u w:val="none"/>
                <w:lang w:val="en-US" w:eastAsia="zh-CN" w:bidi="ar"/>
              </w:rPr>
              <w:t>磁共振内使用</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cs="宋体"/>
                <w:i w:val="0"/>
                <w:iCs w:val="0"/>
                <w:color w:val="000000"/>
                <w:kern w:val="2"/>
                <w:sz w:val="20"/>
                <w:szCs w:val="20"/>
                <w:u w:val="none"/>
                <w:lang w:val="en-US" w:eastAsia="zh-CN" w:bidi="ar-SA"/>
              </w:rPr>
              <w:t>具</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p>
        </w:tc>
      </w:tr>
    </w:tbl>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p>
    <w:p>
      <w:pPr>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 本合同约定价格为固定单价，不因物价、市场波动变更，约定价格包括且不限于设计费、材料费、人工费、安装费、包装费、运输费、装卸费、调试费、接口费、检测费、检验费、税费、保险费、售后服务费、附随服务费等在内所有费用。 </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1.3 </w:t>
      </w:r>
      <w:r>
        <w:rPr>
          <w:rFonts w:hint="eastAsia" w:ascii="宋体" w:hAnsi="宋体" w:cs="宋体"/>
          <w:color w:val="000000" w:themeColor="text1"/>
          <w:sz w:val="24"/>
          <w:szCs w:val="24"/>
          <w:highlight w:val="none"/>
          <w:lang w:val="en-US" w:eastAsia="zh-CN"/>
          <w14:textFill>
            <w14:solidFill>
              <w14:schemeClr w14:val="tx1"/>
            </w14:solidFill>
          </w14:textFill>
        </w:rPr>
        <w:t>乙方须提供原厂正品，不得提供贴牌货或假冒伪劣产品。供货期间若甲方因使用需求调整采购型号，乙方须无条件配合更换并保证及时供应，</w:t>
      </w:r>
      <w:r>
        <w:rPr>
          <w:rFonts w:hint="eastAsia" w:ascii="宋体" w:hAnsi="宋体" w:cs="宋体"/>
          <w:color w:val="0000FF"/>
          <w:sz w:val="24"/>
          <w:szCs w:val="24"/>
          <w:highlight w:val="none"/>
          <w:lang w:val="en-US" w:eastAsia="zh-CN"/>
        </w:rPr>
        <w:t>更换采购型号后的货物结算价格参照本合同约定同类货物的固定单价执行</w:t>
      </w:r>
      <w:r>
        <w:rPr>
          <w:rFonts w:hint="eastAsia" w:ascii="宋体" w:hAnsi="宋体" w:cs="宋体"/>
          <w:color w:val="000000" w:themeColor="text1"/>
          <w:sz w:val="24"/>
          <w:szCs w:val="24"/>
          <w:highlight w:val="none"/>
          <w:lang w:val="en-US" w:eastAsia="zh-CN"/>
          <w14:textFill>
            <w14:solidFill>
              <w14:schemeClr w14:val="tx1"/>
            </w14:solidFill>
          </w14:textFill>
        </w:rPr>
        <w:t>。</w:t>
      </w:r>
    </w:p>
    <w:p>
      <w:pPr>
        <w:pStyle w:val="2"/>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1.4供货</w:t>
      </w:r>
      <w:r>
        <w:rPr>
          <w:rFonts w:hint="eastAsia" w:ascii="宋体" w:hAnsi="宋体" w:cs="宋体"/>
          <w:color w:val="0000FF"/>
          <w:kern w:val="2"/>
          <w:sz w:val="24"/>
          <w:szCs w:val="24"/>
          <w:highlight w:val="none"/>
          <w:lang w:val="en-US" w:eastAsia="zh-CN" w:bidi="ar-SA"/>
        </w:rPr>
        <w:t>期限</w:t>
      </w:r>
    </w:p>
    <w:p>
      <w:pPr>
        <w:pStyle w:val="2"/>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1.4.1 乙方供货期限为壹年，即从2026年</w:t>
      </w:r>
      <w:r>
        <w:rPr>
          <w:rFonts w:hint="eastAsia" w:ascii="宋体" w:hAnsi="宋体" w:eastAsia="宋体" w:cs="宋体"/>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月</w:t>
      </w:r>
      <w:r>
        <w:rPr>
          <w:rFonts w:hint="eastAsia" w:ascii="宋体" w:hAnsi="宋体" w:eastAsia="宋体" w:cs="宋体"/>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日起至2027年</w:t>
      </w:r>
      <w:r>
        <w:rPr>
          <w:rFonts w:hint="eastAsia" w:ascii="宋体" w:hAnsi="宋体" w:eastAsia="宋体" w:cs="宋体"/>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月</w:t>
      </w:r>
      <w:r>
        <w:rPr>
          <w:rFonts w:hint="eastAsia" w:ascii="宋体" w:hAnsi="宋体" w:eastAsia="宋体" w:cs="宋体"/>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日止或自本合同签订后甲方向乙方采购金额达到</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暂定总额</w:t>
      </w:r>
      <w:r>
        <w:rPr>
          <w:rFonts w:hint="eastAsia" w:ascii="宋体" w:hAnsi="宋体" w:cs="宋体"/>
          <w:color w:val="000000" w:themeColor="text1"/>
          <w:kern w:val="2"/>
          <w:sz w:val="24"/>
          <w:szCs w:val="24"/>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元时止，</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以</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先到者为准。</w:t>
      </w:r>
    </w:p>
    <w:p>
      <w:pPr>
        <w:pStyle w:val="2"/>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1.4.2 </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本</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合同期限届满、重新招标选定供应商</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前</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，乙方必须按本合同约定履行，以确保甲方工作正常运行。</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2" w:firstLineChars="200"/>
        <w:jc w:val="both"/>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第二条  </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交货时间、地点、运输</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、搬运</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2.1 </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交货时间：</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本合同货物分批次交付，乙方应在每次接到甲方通知之日起</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FF"/>
          <w:sz w:val="24"/>
          <w:szCs w:val="24"/>
          <w:highlight w:val="none"/>
          <w:u w:val="single"/>
          <w:lang w:val="en-US" w:eastAsia="zh-CN"/>
        </w:rPr>
        <w:t>2</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日内将</w:t>
      </w:r>
      <w:r>
        <w:rPr>
          <w:rFonts w:hint="eastAsia" w:ascii="宋体" w:hAnsi="宋体" w:eastAsia="宋体" w:cs="宋体"/>
          <w:color w:val="000000" w:themeColor="text1"/>
          <w:sz w:val="24"/>
          <w:szCs w:val="24"/>
          <w:highlight w:val="none"/>
          <w:lang w:val="en-US" w:eastAsia="zh-CN"/>
          <w14:textFill>
            <w14:solidFill>
              <w14:schemeClr w14:val="tx1"/>
            </w14:solidFill>
          </w14:textFill>
        </w:rPr>
        <w:t>甲方要求的货物运至甲方指定交货地点，通过验收并交付甲方使用。</w:t>
      </w:r>
      <w:r>
        <w:rPr>
          <w:rFonts w:hint="eastAsia" w:ascii="宋体" w:hAnsi="宋体" w:cs="宋体"/>
          <w:color w:val="000000" w:themeColor="text1"/>
          <w:sz w:val="24"/>
          <w:szCs w:val="24"/>
          <w:highlight w:val="none"/>
          <w:lang w:val="en-US" w:eastAsia="zh-CN"/>
          <w14:textFill>
            <w14:solidFill>
              <w14:schemeClr w14:val="tx1"/>
            </w14:solidFill>
          </w14:textFill>
        </w:rPr>
        <w:t>甲方需紧急供货的，乙方应在收到甲方通知后3小时内送货到位，并通过甲方验收后交付使用。</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 甲方指定</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交货地点：湖南省娄底市</w:t>
      </w:r>
      <w:r>
        <w:rPr>
          <w:rFonts w:hint="eastAsia" w:ascii="宋体" w:hAnsi="宋体" w:eastAsia="宋体" w:cs="宋体"/>
          <w:color w:val="000000" w:themeColor="text1"/>
          <w:sz w:val="24"/>
          <w:szCs w:val="24"/>
          <w:highlight w:val="none"/>
          <w:lang w:val="en-US" w:eastAsia="zh-CN"/>
          <w14:textFill>
            <w14:solidFill>
              <w14:schemeClr w14:val="tx1"/>
            </w14:solidFill>
          </w14:textFill>
        </w:rPr>
        <w:t>娄星区</w:t>
      </w:r>
      <w:r>
        <w:rPr>
          <w:rFonts w:hint="default" w:ascii="宋体" w:hAnsi="宋体" w:eastAsia="宋体" w:cs="宋体"/>
          <w:color w:val="000000" w:themeColor="text1"/>
          <w:sz w:val="24"/>
          <w:szCs w:val="24"/>
          <w:highlight w:val="non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 xml:space="preserve">娄底市中心医院。 </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default"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运输</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w:t>
      </w:r>
      <w:r>
        <w:rPr>
          <w:rFonts w:hint="default" w:ascii="宋体" w:hAnsi="宋体" w:eastAsia="宋体" w:cs="宋体"/>
          <w:color w:val="000000" w:themeColor="text1"/>
          <w:sz w:val="24"/>
          <w:szCs w:val="24"/>
          <w:highlight w:val="none"/>
          <w:lang w:val="en-US" w:eastAsia="zh-CN"/>
          <w14:textFill>
            <w14:solidFill>
              <w14:schemeClr w14:val="tx1"/>
            </w14:solidFill>
          </w14:textFill>
        </w:rPr>
        <w:t>：由乙方自备交通运输工具将</w:t>
      </w:r>
      <w:r>
        <w:rPr>
          <w:rFonts w:hint="eastAsia" w:ascii="宋体" w:hAnsi="宋体" w:eastAsia="宋体" w:cs="宋体"/>
          <w:color w:val="000000" w:themeColor="text1"/>
          <w:sz w:val="24"/>
          <w:szCs w:val="24"/>
          <w:highlight w:val="none"/>
          <w:lang w:val="en-US" w:eastAsia="zh-CN"/>
          <w14:textFill>
            <w14:solidFill>
              <w14:schemeClr w14:val="tx1"/>
            </w14:solidFill>
          </w14:textFill>
        </w:rPr>
        <w:t>货物</w:t>
      </w:r>
      <w:r>
        <w:rPr>
          <w:rFonts w:hint="default" w:ascii="宋体" w:hAnsi="宋体" w:eastAsia="宋体" w:cs="宋体"/>
          <w:color w:val="000000" w:themeColor="text1"/>
          <w:sz w:val="24"/>
          <w:szCs w:val="24"/>
          <w:highlight w:val="none"/>
          <w:lang w:val="en-US" w:eastAsia="zh-CN"/>
          <w14:textFill>
            <w14:solidFill>
              <w14:schemeClr w14:val="tx1"/>
            </w14:solidFill>
          </w14:textFill>
        </w:rPr>
        <w:t>运至合同约定地点，并负责</w:t>
      </w:r>
      <w:r>
        <w:rPr>
          <w:rFonts w:hint="eastAsia" w:ascii="宋体" w:hAnsi="宋体" w:eastAsia="宋体" w:cs="宋体"/>
          <w:color w:val="000000" w:themeColor="text1"/>
          <w:sz w:val="24"/>
          <w:szCs w:val="24"/>
          <w:highlight w:val="none"/>
          <w:lang w:val="en-US" w:eastAsia="zh-CN"/>
          <w14:textFill>
            <w14:solidFill>
              <w14:schemeClr w14:val="tx1"/>
            </w14:solidFill>
          </w14:textFill>
        </w:rPr>
        <w:t>货物</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、搬运的人工及费用</w:t>
      </w:r>
      <w:r>
        <w:rPr>
          <w:rFonts w:hint="default" w:ascii="宋体" w:hAnsi="宋体" w:eastAsia="宋体" w:cs="宋体"/>
          <w:color w:val="000000" w:themeColor="text1"/>
          <w:sz w:val="24"/>
          <w:szCs w:val="24"/>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第三条 质量标准、质量验收、包装要求</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 质量标准：乙方提供货物的质量、安装应符合或优于国家标准</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cs="宋体"/>
          <w:color w:val="0000FF"/>
          <w:sz w:val="24"/>
          <w:szCs w:val="24"/>
          <w:highlight w:val="none"/>
          <w:lang w:val="en-US" w:eastAsia="zh-CN"/>
        </w:rPr>
        <w:t>且必须与现用品牌能匹配使用</w:t>
      </w:r>
      <w:r>
        <w:rPr>
          <w:rFonts w:hint="eastAsia" w:ascii="宋体" w:hAnsi="宋体" w:eastAsia="宋体" w:cs="宋体"/>
          <w:color w:val="000000" w:themeColor="text1"/>
          <w:sz w:val="24"/>
          <w:szCs w:val="24"/>
          <w:highlight w:val="none"/>
          <w:lang w:val="en-US" w:eastAsia="zh-CN"/>
          <w14:textFill>
            <w14:solidFill>
              <w14:schemeClr w14:val="tx1"/>
            </w14:solidFill>
          </w14:textFill>
        </w:rPr>
        <w:t>；如投标文件/响应文件中的技术参数和质量标准高于国家标准，则货物的技术参数和质量标准以投标文件/响应文件为准；如乙方投标/响应时提交了样品并经甲方确认封存的，货物质量标准以样品为准。</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 质量验收：以本合同约定标准按以下方式进行验收：</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3.2.1 乙方将</w:t>
      </w:r>
      <w:r>
        <w:rPr>
          <w:rFonts w:hint="eastAsia" w:ascii="宋体" w:hAnsi="宋体" w:cs="宋体"/>
          <w:color w:val="0000FF"/>
          <w:sz w:val="24"/>
          <w:szCs w:val="24"/>
          <w:highlight w:val="none"/>
          <w:lang w:val="en-US" w:eastAsia="zh-CN"/>
        </w:rPr>
        <w:t>每批次</w:t>
      </w:r>
      <w:r>
        <w:rPr>
          <w:rFonts w:hint="eastAsia" w:ascii="宋体" w:hAnsi="宋体" w:eastAsia="宋体" w:cs="宋体"/>
          <w:color w:val="000000" w:themeColor="text1"/>
          <w:sz w:val="24"/>
          <w:szCs w:val="24"/>
          <w:highlight w:val="none"/>
          <w:lang w:val="en-US" w:eastAsia="zh-CN"/>
          <w14:textFill>
            <w14:solidFill>
              <w14:schemeClr w14:val="tx1"/>
            </w14:solidFill>
          </w14:textFill>
        </w:rPr>
        <w:t>货物运至指定交货地点后</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应通知甲方，并向甲方提供厂家标准资料文件（进口货物需提供真实有效的海关报关单，其他货物需提供产品合格证和售后质保承诺书）。甲方自接到乙方通知之日起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日内自行组织到货验收，验收合格后签署</w:t>
      </w:r>
      <w:r>
        <w:rPr>
          <w:rFonts w:hint="eastAsia" w:ascii="宋体" w:hAnsi="宋体" w:cs="宋体"/>
          <w:color w:val="0000FF"/>
          <w:sz w:val="24"/>
          <w:szCs w:val="24"/>
          <w:highlight w:val="none"/>
          <w:lang w:val="en-US" w:eastAsia="zh-CN"/>
        </w:rPr>
        <w:t>该批次</w:t>
      </w:r>
      <w:r>
        <w:rPr>
          <w:rFonts w:hint="eastAsia" w:ascii="宋体" w:hAnsi="宋体" w:eastAsia="宋体" w:cs="宋体"/>
          <w:color w:val="000000" w:themeColor="text1"/>
          <w:sz w:val="24"/>
          <w:szCs w:val="24"/>
          <w:highlight w:val="none"/>
          <w:lang w:val="en-US" w:eastAsia="zh-CN"/>
          <w14:textFill>
            <w14:solidFill>
              <w14:schemeClr w14:val="tx1"/>
            </w14:solidFill>
          </w14:textFill>
        </w:rPr>
        <w:t>到货验收报告单。如经甲方验收不合格，乙方应在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w:t>
      </w:r>
      <w:r>
        <w:rPr>
          <w:rFonts w:hint="eastAsia" w:ascii="宋体" w:hAnsi="宋体" w:cs="宋体"/>
          <w:color w:val="000000" w:themeColor="text1"/>
          <w:sz w:val="24"/>
          <w:szCs w:val="24"/>
          <w:highlight w:val="none"/>
          <w:lang w:val="en-US" w:eastAsia="zh-CN"/>
          <w14:textFill>
            <w14:solidFill>
              <w14:schemeClr w14:val="tx1"/>
            </w14:solidFill>
          </w14:textFill>
        </w:rPr>
        <w:t>更换货物</w:t>
      </w:r>
      <w:r>
        <w:rPr>
          <w:rFonts w:hint="eastAsia" w:ascii="宋体" w:hAnsi="宋体" w:eastAsia="宋体" w:cs="宋体"/>
          <w:color w:val="000000" w:themeColor="text1"/>
          <w:sz w:val="24"/>
          <w:szCs w:val="24"/>
          <w:highlight w:val="none"/>
          <w:lang w:val="en-US" w:eastAsia="zh-CN"/>
          <w14:textFill>
            <w14:solidFill>
              <w14:schemeClr w14:val="tx1"/>
            </w14:solidFill>
          </w14:textFill>
        </w:rPr>
        <w:t>并承担所有费用。</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3.2.2 甲方验收时如发现乙方所交付的货物不符合本合同约定，甲方应做出详尽的现场记录，由甲乙双方签署备忘录，该现场记录和备忘录作为乙方补交缺少</w:t>
      </w:r>
      <w:r>
        <w:rPr>
          <w:rFonts w:hint="eastAsia" w:ascii="宋体" w:hAnsi="宋体" w:eastAsia="宋体" w:cs="宋体"/>
          <w:color w:val="0000FF"/>
          <w:sz w:val="24"/>
          <w:szCs w:val="24"/>
          <w:highlight w:val="none"/>
          <w:lang w:val="en-US" w:eastAsia="zh-CN"/>
        </w:rPr>
        <w:t>货物</w:t>
      </w:r>
      <w:r>
        <w:rPr>
          <w:rFonts w:hint="eastAsia" w:ascii="宋体" w:hAnsi="宋体" w:eastAsia="宋体" w:cs="宋体"/>
          <w:color w:val="000000" w:themeColor="text1"/>
          <w:sz w:val="24"/>
          <w:szCs w:val="24"/>
          <w:highlight w:val="none"/>
          <w:lang w:val="en-US" w:eastAsia="zh-CN"/>
          <w14:textFill>
            <w14:solidFill>
              <w14:schemeClr w14:val="tx1"/>
            </w14:solidFill>
          </w14:textFill>
        </w:rPr>
        <w:t>、更换不符标准</w:t>
      </w:r>
      <w:r>
        <w:rPr>
          <w:rFonts w:hint="eastAsia" w:ascii="宋体" w:hAnsi="宋体" w:eastAsia="宋体" w:cs="宋体"/>
          <w:color w:val="0000FF"/>
          <w:sz w:val="24"/>
          <w:szCs w:val="24"/>
          <w:highlight w:val="none"/>
          <w:lang w:val="en-US" w:eastAsia="zh-CN"/>
        </w:rPr>
        <w:t>货物</w:t>
      </w:r>
      <w:r>
        <w:rPr>
          <w:rFonts w:hint="eastAsia" w:ascii="宋体" w:hAnsi="宋体" w:eastAsia="宋体" w:cs="宋体"/>
          <w:color w:val="000000" w:themeColor="text1"/>
          <w:sz w:val="24"/>
          <w:szCs w:val="24"/>
          <w:highlight w:val="none"/>
          <w:lang w:val="en-US" w:eastAsia="zh-CN"/>
          <w14:textFill>
            <w14:solidFill>
              <w14:schemeClr w14:val="tx1"/>
            </w14:solidFill>
          </w14:textFill>
        </w:rPr>
        <w:t>的有效依据，由此产生的一切经济损失由乙方承担。</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 包装要求：乙方提供的货物必须为原厂包装，外包装到货时应保证完好无损，否则甲方有权拒绝收货，由此造成的延期交货违约责任和一切经济损失全部由乙方承担。</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第四条 安装、培训等事项</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4.1 甲方负责协调、处理与安装、调试有关事宜，为乙方创造良好的安装、调试环境。</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4.2 甲方委派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杨斯 </w:t>
      </w:r>
      <w:r>
        <w:rPr>
          <w:rFonts w:hint="eastAsia" w:ascii="宋体" w:hAnsi="宋体" w:eastAsia="宋体" w:cs="宋体"/>
          <w:color w:val="000000" w:themeColor="text1"/>
          <w:sz w:val="24"/>
          <w:szCs w:val="24"/>
          <w:highlight w:val="none"/>
          <w:lang w:val="en-US" w:eastAsia="zh-CN"/>
          <w14:textFill>
            <w14:solidFill>
              <w14:schemeClr w14:val="tx1"/>
            </w14:solidFill>
          </w14:textFill>
        </w:rPr>
        <w:t>作为代表，跟踪、检查安装、调试现场。</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 乙方负责对甲方的操作人员进行免费培训。</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4.4 乙方在安装、调试过程中应加强操作人员的安全教育，杜绝安全事故的发生。 </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第五条 售后服务</w:t>
      </w:r>
    </w:p>
    <w:p>
      <w:pPr>
        <w:keepNext w:val="0"/>
        <w:keepLines w:val="0"/>
        <w:pageBreakBefore w:val="0"/>
        <w:widowControl w:val="0"/>
        <w:numPr>
          <w:ilvl w:val="-1"/>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5.1 本合同货物质保期为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壹</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年，</w:t>
      </w:r>
      <w:r>
        <w:rPr>
          <w:rFonts w:hint="eastAsia" w:ascii="宋体" w:hAnsi="宋体" w:eastAsia="宋体" w:cs="宋体"/>
          <w:color w:val="0000FF"/>
          <w:sz w:val="24"/>
          <w:szCs w:val="24"/>
          <w:highlight w:val="none"/>
          <w:lang w:val="en-US" w:eastAsia="zh-CN"/>
        </w:rPr>
        <w:t>但如国家标准或行业标准对本合同约定货物质保期大于</w:t>
      </w:r>
      <w:r>
        <w:rPr>
          <w:rFonts w:hint="eastAsia" w:ascii="宋体" w:hAnsi="宋体" w:cs="宋体"/>
          <w:color w:val="0000FF"/>
          <w:sz w:val="24"/>
          <w:szCs w:val="24"/>
          <w:highlight w:val="none"/>
          <w:lang w:val="en-US" w:eastAsia="zh-CN"/>
        </w:rPr>
        <w:t>壹年</w:t>
      </w:r>
      <w:r>
        <w:rPr>
          <w:rFonts w:hint="eastAsia" w:ascii="宋体" w:hAnsi="宋体" w:eastAsia="宋体" w:cs="宋体"/>
          <w:color w:val="0000FF"/>
          <w:sz w:val="24"/>
          <w:szCs w:val="24"/>
          <w:highlight w:val="none"/>
          <w:lang w:val="en-US" w:eastAsia="zh-CN"/>
        </w:rPr>
        <w:t>的，则该部分货物的质保期以国家标准或行业标准规定的质保期为准</w:t>
      </w:r>
      <w:r>
        <w:rPr>
          <w:rFonts w:hint="eastAsia" w:ascii="宋体" w:hAnsi="宋体" w:cs="宋体"/>
          <w:color w:val="0000FF"/>
          <w:sz w:val="24"/>
          <w:szCs w:val="24"/>
          <w:highlight w:val="none"/>
          <w:lang w:val="en-US" w:eastAsia="zh-CN"/>
        </w:rPr>
        <w:t>；质保期按批次分别计算，均</w:t>
      </w:r>
      <w:r>
        <w:rPr>
          <w:rFonts w:hint="eastAsia" w:ascii="宋体" w:hAnsi="宋体" w:eastAsia="宋体" w:cs="宋体"/>
          <w:color w:val="000000" w:themeColor="text1"/>
          <w:sz w:val="24"/>
          <w:szCs w:val="24"/>
          <w:highlight w:val="none"/>
          <w:lang w:val="en-US" w:eastAsia="zh-CN"/>
          <w14:textFill>
            <w14:solidFill>
              <w14:schemeClr w14:val="tx1"/>
            </w14:solidFill>
          </w14:textFill>
        </w:rPr>
        <w:t>自甲方在</w:t>
      </w:r>
      <w:r>
        <w:rPr>
          <w:rFonts w:hint="eastAsia" w:ascii="宋体" w:hAnsi="宋体" w:cs="宋体"/>
          <w:color w:val="0000FF"/>
          <w:sz w:val="24"/>
          <w:szCs w:val="24"/>
          <w:highlight w:val="none"/>
          <w:lang w:val="en-US" w:eastAsia="zh-CN"/>
        </w:rPr>
        <w:t>每批次</w:t>
      </w:r>
      <w:r>
        <w:rPr>
          <w:rFonts w:hint="eastAsia" w:ascii="宋体" w:hAnsi="宋体" w:eastAsia="宋体" w:cs="宋体"/>
          <w:color w:val="0000FF"/>
          <w:sz w:val="24"/>
          <w:szCs w:val="24"/>
          <w:highlight w:val="none"/>
          <w:lang w:val="en-US" w:eastAsia="zh-CN"/>
        </w:rPr>
        <w:t>到货</w:t>
      </w:r>
      <w:r>
        <w:rPr>
          <w:rFonts w:hint="eastAsia" w:ascii="宋体" w:hAnsi="宋体" w:eastAsia="宋体" w:cs="宋体"/>
          <w:color w:val="000000" w:themeColor="text1"/>
          <w:sz w:val="24"/>
          <w:szCs w:val="24"/>
          <w:highlight w:val="none"/>
          <w:lang w:val="en-US" w:eastAsia="zh-CN"/>
          <w14:textFill>
            <w14:solidFill>
              <w14:schemeClr w14:val="tx1"/>
            </w14:solidFill>
          </w14:textFill>
        </w:rPr>
        <w:t>验收报告单上签字确认合格之日起开始计算。</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 质保期内乙方免费提供维修、更换服务。</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5.2.1 如货物在</w:t>
      </w:r>
      <w:r>
        <w:rPr>
          <w:rFonts w:hint="eastAsia" w:ascii="宋体" w:hAnsi="宋体" w:eastAsia="宋体" w:cs="宋体"/>
          <w:color w:val="000000" w:themeColor="text1"/>
          <w:sz w:val="24"/>
          <w:highlight w:val="none"/>
          <w14:textFill>
            <w14:solidFill>
              <w14:schemeClr w14:val="tx1"/>
            </w14:solidFill>
          </w14:textFill>
        </w:rPr>
        <w:t>质</w:t>
      </w:r>
      <w:r>
        <w:rPr>
          <w:rFonts w:hint="eastAsia" w:ascii="宋体" w:hAnsi="宋体" w:eastAsia="宋体" w:cs="宋体"/>
          <w:color w:val="000000" w:themeColor="text1"/>
          <w:sz w:val="24"/>
          <w:szCs w:val="24"/>
          <w:highlight w:val="none"/>
          <w:lang w:val="en-US" w:eastAsia="zh-CN"/>
          <w14:textFill>
            <w14:solidFill>
              <w14:schemeClr w14:val="tx1"/>
            </w14:solidFill>
          </w14:textFill>
        </w:rPr>
        <w:t>保期内出现质量问题，乙方应在接到甲方通知（包括电话通知）后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24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小时内赶到甲方进行维修或更换全新合格货物，相关费用由乙方承担。</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5.2.2 质保期内甲方有权随时对货物进行质量监督，如货物经甲方样品比对、随机抽检或送第三方检测机构检测不合格的，乙方须在接到甲方通知后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eastAsia" w:ascii="宋体" w:hAnsi="宋体" w:eastAsia="宋体" w:cs="宋体"/>
          <w:color w:val="000000" w:themeColor="text1"/>
          <w:sz w:val="24"/>
          <w:szCs w:val="24"/>
          <w:highlight w:val="none"/>
          <w:lang w:val="en-US" w:eastAsia="zh-CN"/>
          <w14:textFill>
            <w14:solidFill>
              <w14:schemeClr w14:val="tx1"/>
            </w14:solidFill>
          </w14:textFill>
        </w:rPr>
        <w:t>对不合格货物所在送货批次的全部货物进行更换，第三方检测费用和更换产生的相关费用均由乙方承担。</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5.2.3 质保期内如乙方不及时维修、更换货物，甲方有权委托第三方提供服务，由此产生的相关费用，甲方有权在应付款中扣除、不足部分由乙方另行补足，或要求乙方将第三方提供服务产生的相关费用直接支付给甲方。</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5.3 质保期届满后，如货物出现问题，乙方应在接到甲方通知（包括电话通知）后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小时上门服务，相关费用由甲方承担。</w:t>
      </w:r>
    </w:p>
    <w:p>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 </w:t>
      </w:r>
      <w:r>
        <w:rPr>
          <w:rFonts w:hint="eastAsia" w:ascii="宋体" w:hAnsi="宋体" w:eastAsia="宋体" w:cs="宋体"/>
          <w:color w:val="000000" w:themeColor="text1"/>
          <w:sz w:val="24"/>
          <w:szCs w:val="24"/>
          <w:highlight w:val="none"/>
          <w14:textFill>
            <w14:solidFill>
              <w14:schemeClr w14:val="tx1"/>
            </w14:solidFill>
          </w14:textFill>
        </w:rPr>
        <w:t>乙方须指派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专门负责与甲方联系售后服务事宜，如人员发生变动，应及时通知甲方。</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第六条 付款时间、方式</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6.1 </w:t>
      </w:r>
      <w:r>
        <w:rPr>
          <w:rFonts w:hint="eastAsia" w:ascii="宋体" w:hAnsi="宋体" w:cs="宋体"/>
          <w:color w:val="000000" w:themeColor="text1"/>
          <w:sz w:val="24"/>
          <w:szCs w:val="24"/>
          <w:highlight w:val="none"/>
          <w:lang w:val="en-US" w:eastAsia="zh-CN"/>
          <w14:textFill>
            <w14:solidFill>
              <w14:schemeClr w14:val="tx1"/>
            </w14:solidFill>
          </w14:textFill>
        </w:rPr>
        <w:t>甲乙双方按批次进行结算和付款；甲方每次收到乙方提供的产品并验收合格之日起</w:t>
      </w:r>
      <w:r>
        <w:rPr>
          <w:rFonts w:hint="eastAsia" w:ascii="宋体" w:hAnsi="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cs="宋体"/>
          <w:color w:val="000000" w:themeColor="text1"/>
          <w:sz w:val="24"/>
          <w:szCs w:val="24"/>
          <w:highlight w:val="none"/>
          <w:lang w:val="en-US" w:eastAsia="zh-CN"/>
          <w14:textFill>
            <w14:solidFill>
              <w14:schemeClr w14:val="tx1"/>
            </w14:solidFill>
          </w14:textFill>
        </w:rPr>
        <w:t>日内，双方进行据实结算。乙方应在结算后向甲方提供以自己名义开具的与</w:t>
      </w:r>
      <w:r>
        <w:rPr>
          <w:rFonts w:hint="eastAsia" w:ascii="宋体" w:hAnsi="宋体" w:cs="宋体"/>
          <w:color w:val="0000FF"/>
          <w:sz w:val="24"/>
          <w:szCs w:val="24"/>
          <w:highlight w:val="none"/>
          <w:lang w:val="en-US" w:eastAsia="zh-CN"/>
        </w:rPr>
        <w:t>结算</w:t>
      </w:r>
      <w:r>
        <w:rPr>
          <w:rFonts w:hint="eastAsia" w:ascii="宋体" w:hAnsi="宋体" w:cs="宋体"/>
          <w:color w:val="000000" w:themeColor="text1"/>
          <w:sz w:val="24"/>
          <w:szCs w:val="24"/>
          <w:highlight w:val="none"/>
          <w:lang w:val="en-US" w:eastAsia="zh-CN"/>
          <w14:textFill>
            <w14:solidFill>
              <w14:schemeClr w14:val="tx1"/>
            </w14:solidFill>
          </w14:textFill>
        </w:rPr>
        <w:t>金额对应的增值税</w:t>
      </w:r>
      <w:r>
        <w:rPr>
          <w:rFonts w:hint="eastAsia" w:ascii="宋体" w:hAnsi="宋体" w:cs="宋体"/>
          <w:color w:val="0000FF"/>
          <w:sz w:val="24"/>
          <w:szCs w:val="24"/>
          <w:highlight w:val="none"/>
          <w:lang w:val="en-US" w:eastAsia="zh-CN"/>
        </w:rPr>
        <w:t>普通</w:t>
      </w:r>
      <w:r>
        <w:rPr>
          <w:rFonts w:hint="eastAsia" w:ascii="宋体" w:hAnsi="宋体" w:cs="宋体"/>
          <w:color w:val="000000" w:themeColor="text1"/>
          <w:sz w:val="24"/>
          <w:szCs w:val="24"/>
          <w:highlight w:val="none"/>
          <w:lang w:val="en-US" w:eastAsia="zh-CN"/>
          <w14:textFill>
            <w14:solidFill>
              <w14:schemeClr w14:val="tx1"/>
            </w14:solidFill>
          </w14:textFill>
        </w:rPr>
        <w:t>发票，甲方</w:t>
      </w:r>
      <w:r>
        <w:rPr>
          <w:rFonts w:hint="eastAsia" w:ascii="宋体" w:hAnsi="宋体" w:cs="宋体"/>
          <w:color w:val="0000FF"/>
          <w:sz w:val="24"/>
          <w:szCs w:val="24"/>
          <w:highlight w:val="none"/>
          <w:lang w:val="en-US" w:eastAsia="zh-CN"/>
        </w:rPr>
        <w:t>每次</w:t>
      </w:r>
      <w:r>
        <w:rPr>
          <w:rFonts w:hint="eastAsia" w:ascii="宋体" w:hAnsi="宋体" w:cs="宋体"/>
          <w:color w:val="000000" w:themeColor="text1"/>
          <w:sz w:val="24"/>
          <w:szCs w:val="24"/>
          <w:highlight w:val="none"/>
          <w:lang w:val="en-US" w:eastAsia="zh-CN"/>
          <w14:textFill>
            <w14:solidFill>
              <w14:schemeClr w14:val="tx1"/>
            </w14:solidFill>
          </w14:textFill>
        </w:rPr>
        <w:t>自收到发票且确认不存在扣除乙方款项情形之日起6个月内将</w:t>
      </w:r>
      <w:r>
        <w:rPr>
          <w:rFonts w:hint="eastAsia" w:ascii="宋体" w:hAnsi="宋体" w:cs="宋体"/>
          <w:color w:val="0000FF"/>
          <w:sz w:val="24"/>
          <w:szCs w:val="24"/>
          <w:highlight w:val="none"/>
          <w:lang w:val="en-US" w:eastAsia="zh-CN"/>
        </w:rPr>
        <w:t>该次结算价款</w:t>
      </w:r>
      <w:r>
        <w:rPr>
          <w:rFonts w:hint="eastAsia" w:ascii="宋体" w:hAnsi="宋体" w:cs="宋体"/>
          <w:color w:val="000000" w:themeColor="text1"/>
          <w:sz w:val="24"/>
          <w:szCs w:val="24"/>
          <w:highlight w:val="none"/>
          <w:lang w:val="en-US" w:eastAsia="zh-CN"/>
          <w14:textFill>
            <w14:solidFill>
              <w14:schemeClr w14:val="tx1"/>
            </w14:solidFill>
          </w14:textFill>
        </w:rPr>
        <w:t>一次性足额支付给乙方；如存在需扣除乙方款项情形，甲方扣除相应款项后将该次余款一次性支付给乙方。如因乙方未提供发票，甲方有权顺延付款期限，乙方自行承担相应责任。</w:t>
      </w:r>
    </w:p>
    <w:p>
      <w:pPr>
        <w:pStyle w:val="2"/>
        <w:rPr>
          <w:rFonts w:hint="default"/>
          <w:u w:val="none"/>
          <w:lang w:val="en-US" w:eastAsia="zh-CN"/>
        </w:rPr>
      </w:pPr>
      <w:r>
        <w:rPr>
          <w:rFonts w:hint="eastAsia" w:ascii="宋体" w:hAnsi="宋体" w:cs="宋体"/>
          <w:color w:val="000000" w:themeColor="text1"/>
          <w:sz w:val="24"/>
          <w:szCs w:val="24"/>
          <w:highlight w:val="none"/>
          <w:lang w:val="en-US" w:eastAsia="zh-CN"/>
          <w14:textFill>
            <w14:solidFill>
              <w14:schemeClr w14:val="tx1"/>
            </w14:solidFill>
          </w14:textFill>
        </w:rPr>
        <w:t>6.2 乙方指定</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none"/>
          <w:lang w:val="en-US" w:eastAsia="zh-CN"/>
          <w14:textFill>
            <w14:solidFill>
              <w14:schemeClr w14:val="tx1"/>
            </w14:solidFill>
          </w14:textFill>
        </w:rPr>
        <w:t>（联系电话</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none"/>
          <w:lang w:val="en-US" w:eastAsia="zh-CN"/>
          <w14:textFill>
            <w14:solidFill>
              <w14:schemeClr w14:val="tx1"/>
            </w14:solidFill>
          </w14:textFill>
        </w:rPr>
        <w:t>）与甲方办理结算、领款手续。</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cs="宋体"/>
          <w:color w:val="000000" w:themeColor="text1"/>
          <w:sz w:val="24"/>
          <w:szCs w:val="24"/>
          <w:highlight w:val="none"/>
          <w:lang w:val="en-US" w:eastAsia="zh-CN"/>
          <w14:textFill>
            <w14:solidFill>
              <w14:schemeClr w14:val="tx1"/>
            </w14:solidFill>
          </w14:textFill>
        </w:rPr>
        <w:t>3甲方通过银行转账方式向乙方支付价款，</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乙方指定收款银行账户的开户</w:t>
      </w:r>
      <w:r>
        <w:rPr>
          <w:rFonts w:hint="eastAsia" w:ascii="宋体" w:hAnsi="宋体" w:cs="宋体"/>
          <w:color w:val="000000" w:themeColor="text1"/>
          <w:sz w:val="24"/>
          <w:szCs w:val="24"/>
          <w:highlight w:val="none"/>
          <w:lang w:val="en-US" w:eastAsia="zh-CN"/>
          <w14:textFill>
            <w14:solidFill>
              <w14:schemeClr w14:val="tx1"/>
            </w14:solidFill>
          </w14:textFill>
        </w:rPr>
        <w:t>行</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cs="宋体"/>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户名</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账号：</w:t>
      </w:r>
      <w:r>
        <w:rPr>
          <w:rFonts w:hint="eastAsia" w:asciiTheme="minorEastAsia" w:hAnsiTheme="minorEastAsia" w:cstheme="minorEastAsia"/>
          <w:b w:val="0"/>
          <w:bCs/>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乙</w:t>
      </w:r>
      <w:r>
        <w:rPr>
          <w:rFonts w:hint="eastAsia" w:ascii="宋体" w:hAnsi="宋体" w:cs="宋体"/>
          <w:color w:val="000000" w:themeColor="text1"/>
          <w:sz w:val="24"/>
          <w:szCs w:val="24"/>
          <w:highlight w:val="none"/>
          <w:lang w:val="en-US" w:eastAsia="zh-CN"/>
          <w14:textFill>
            <w14:solidFill>
              <w14:schemeClr w14:val="tx1"/>
            </w14:solidFill>
          </w14:textFill>
        </w:rPr>
        <w:t>如乙方指定的办理结算、领款人员、收款账户等发生变化，应及时书面通知甲方；未及时通知，乙方自行承担相应的不利后果</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第七条 风险承担</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 本合同</w:t>
      </w:r>
      <w:r>
        <w:rPr>
          <w:rFonts w:hint="eastAsia" w:ascii="宋体" w:hAnsi="宋体" w:cs="宋体"/>
          <w:color w:val="0000FF"/>
          <w:sz w:val="24"/>
          <w:szCs w:val="24"/>
          <w:highlight w:val="none"/>
          <w:lang w:val="en-US" w:eastAsia="zh-CN"/>
        </w:rPr>
        <w:t>每批次</w:t>
      </w:r>
      <w:r>
        <w:rPr>
          <w:rFonts w:hint="eastAsia" w:ascii="宋体" w:hAnsi="宋体" w:eastAsia="宋体" w:cs="宋体"/>
          <w:color w:val="000000" w:themeColor="text1"/>
          <w:sz w:val="24"/>
          <w:szCs w:val="24"/>
          <w:highlight w:val="none"/>
          <w:lang w:val="en-US" w:eastAsia="zh-CN"/>
          <w14:textFill>
            <w14:solidFill>
              <w14:schemeClr w14:val="tx1"/>
            </w14:solidFill>
          </w14:textFill>
        </w:rPr>
        <w:t>货物毁损、丢失的风险自甲方在</w:t>
      </w:r>
      <w:r>
        <w:rPr>
          <w:rFonts w:hint="eastAsia" w:ascii="宋体" w:hAnsi="宋体" w:cs="宋体"/>
          <w:color w:val="0000FF"/>
          <w:sz w:val="24"/>
          <w:szCs w:val="24"/>
          <w:highlight w:val="none"/>
          <w:lang w:val="en-US" w:eastAsia="zh-CN"/>
        </w:rPr>
        <w:t>该批次到货</w:t>
      </w:r>
      <w:r>
        <w:rPr>
          <w:rFonts w:hint="eastAsia" w:ascii="宋体" w:hAnsi="宋体" w:eastAsia="宋体" w:cs="宋体"/>
          <w:color w:val="000000" w:themeColor="text1"/>
          <w:sz w:val="24"/>
          <w:szCs w:val="24"/>
          <w:highlight w:val="none"/>
          <w:lang w:val="en-US" w:eastAsia="zh-CN"/>
          <w14:textFill>
            <w14:solidFill>
              <w14:schemeClr w14:val="tx1"/>
            </w14:solidFill>
          </w14:textFill>
        </w:rPr>
        <w:t>验收报告单上签字确认合格后转移给甲方，此前货物的一切风险均由乙方承担。</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 如甲方因乙方货物、质保服务等原因涉及纠纷、诉讼或被处以行政处罚，由乙方承担甲方因纠纷、诉讼、罚款等造成的全部经济损失。</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第八条 廉洁条款</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2" w:firstLineChars="200"/>
        <w:jc w:val="both"/>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default" w:ascii="宋体" w:hAnsi="宋体" w:eastAsia="宋体" w:cs="宋体"/>
          <w:b/>
          <w:bCs/>
          <w:color w:val="000000" w:themeColor="text1"/>
          <w:sz w:val="24"/>
          <w:szCs w:val="24"/>
          <w:highlight w:val="none"/>
          <w:lang w:val="en-US" w:eastAsia="zh-CN"/>
          <w14:textFill>
            <w14:solidFill>
              <w14:schemeClr w14:val="tx1"/>
            </w14:solidFill>
          </w14:textFill>
        </w:rPr>
        <w:t xml:space="preserve">8.2 </w:t>
      </w:r>
      <w:r>
        <w:rPr>
          <w:rFonts w:hint="default" w:ascii="宋体" w:hAnsi="宋体" w:eastAsia="宋体" w:cs="宋体"/>
          <w:b/>
          <w:bCs/>
          <w:color w:val="000000" w:themeColor="text1"/>
          <w:sz w:val="24"/>
          <w:szCs w:val="24"/>
          <w:highlight w:val="none"/>
          <w:u w:val="single"/>
          <w:lang w:val="en-US" w:eastAsia="zh-CN"/>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第九条 保密条款</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9.1 本合同订立、履行、变更等产生的研究、商讨、交流等信息，履行本合同获悉的甲方商业秘密、运营信息、工作人员信息、患陪个人信息等，均属保密信息。</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9.2 乙方应对保密信息采取有效手段严格保密，不得用于非本合同之目的或向第三方泄露。如政府部门、法院或其他有权部门要求乙方提供保密信息，乙方应当立即向甲方通报。</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9.3 因乙方未履行本合同保密义务造成甲方或第三方损失的，由乙方承担全部赔偿责任。</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9.4 本合同保密条款在合同被认定无效、被撤销或终止、解除后仍然有效。</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第十条 </w:t>
      </w:r>
      <w:r>
        <w:rPr>
          <w:rFonts w:hint="default" w:ascii="宋体" w:hAnsi="宋体" w:eastAsia="宋体" w:cs="宋体"/>
          <w:b/>
          <w:bCs/>
          <w:color w:val="000000" w:themeColor="text1"/>
          <w:sz w:val="24"/>
          <w:highlight w:val="none"/>
          <w:lang w:val="en-US" w:eastAsia="zh-CN"/>
          <w14:textFill>
            <w14:solidFill>
              <w14:schemeClr w14:val="tx1"/>
            </w14:solidFill>
          </w14:textFill>
        </w:rPr>
        <w:t>通知</w:t>
      </w:r>
      <w:r>
        <w:rPr>
          <w:rFonts w:hint="eastAsia" w:ascii="宋体" w:hAnsi="宋体" w:eastAsia="宋体" w:cs="宋体"/>
          <w:b/>
          <w:bCs/>
          <w:color w:val="000000" w:themeColor="text1"/>
          <w:sz w:val="24"/>
          <w:highlight w:val="none"/>
          <w:lang w:val="en-US" w:eastAsia="zh-CN"/>
          <w14:textFill>
            <w14:solidFill>
              <w14:schemeClr w14:val="tx1"/>
            </w14:solidFill>
          </w14:textFill>
        </w:rPr>
        <w:t>与送达</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10.1 甲乙双方同意，与本合同有关的任何文书，应以书面方式按照本合同约定发送，书面方式包括手机短信、微信、书面函件、电子邮件等形式。</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10.2 双方确认的文书（包括未来可能发生的诉讼或仲裁活动中法院或仲裁机构的送达法律文书）送达地址：</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10.2.1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甲方的联系地址：</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娄底市中心医院（湖南省娄底市娄星区长青中街51号</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杨斯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13875424543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10.2.2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乙方的联系地址：</w:t>
      </w:r>
      <w:r>
        <w:rPr>
          <w:rFonts w:hint="eastAsia" w:ascii="宋体" w:hAnsi="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联系电话：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第十</w:t>
      </w:r>
      <w:r>
        <w:rPr>
          <w:rFonts w:hint="eastAsia" w:ascii="宋体" w:hAnsi="宋体" w:eastAsia="宋体" w:cs="宋体"/>
          <w:b/>
          <w:bCs/>
          <w:color w:val="000000" w:themeColor="text1"/>
          <w:sz w:val="24"/>
          <w:highlight w:val="none"/>
          <w:lang w:val="en-US" w:eastAsia="zh-CN"/>
          <w14:textFill>
            <w14:solidFill>
              <w14:schemeClr w14:val="tx1"/>
            </w14:solidFill>
          </w14:textFill>
        </w:rPr>
        <w:t>一</w:t>
      </w:r>
      <w:r>
        <w:rPr>
          <w:rFonts w:hint="eastAsia" w:ascii="宋体" w:hAnsi="宋体" w:eastAsia="宋体" w:cs="宋体"/>
          <w:b/>
          <w:bCs/>
          <w:color w:val="000000" w:themeColor="text1"/>
          <w:sz w:val="24"/>
          <w:highlight w:val="none"/>
          <w:lang w:eastAsia="zh-CN"/>
          <w14:textFill>
            <w14:solidFill>
              <w14:schemeClr w14:val="tx1"/>
            </w14:solidFill>
          </w14:textFill>
        </w:rPr>
        <w:t>条</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合同的变更、解除</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11.1 本合同经双方协商一致后可以变更，双方应另行签订补充协议。</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11.2 如甲方因政策变化等非自身主观原因不需要购买本合同全部货物，经书面通知乙方后可以提前终止本合同；如甲方因运营需要等原因不需要购买本合同部分货物，不需要购买的部分自动从采购内容中剔除。</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11.3 </w:t>
      </w:r>
      <w:r>
        <w:rPr>
          <w:rFonts w:hint="eastAsia" w:ascii="宋体" w:hAnsi="宋体" w:eastAsia="宋体" w:cs="宋体"/>
          <w:color w:val="000000" w:themeColor="text1"/>
          <w:sz w:val="24"/>
          <w:highlight w:val="none"/>
          <w14:textFill>
            <w14:solidFill>
              <w14:schemeClr w14:val="tx1"/>
            </w14:solidFill>
          </w14:textFill>
        </w:rPr>
        <w:t>乙方出现以下违约情形之一的，甲方有权拒绝支付任何价款并解除合同：</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.1 乙方</w:t>
      </w:r>
      <w:r>
        <w:rPr>
          <w:rFonts w:hint="eastAsia" w:ascii="宋体" w:hAnsi="宋体" w:eastAsia="宋体" w:cs="宋体"/>
          <w:color w:val="0000FF"/>
          <w:sz w:val="24"/>
          <w:highlight w:val="none"/>
          <w:lang w:eastAsia="zh-CN"/>
        </w:rPr>
        <w:t>未在本合同约定期限内供货</w:t>
      </w:r>
      <w:r>
        <w:rPr>
          <w:rFonts w:hint="eastAsia" w:ascii="宋体" w:hAnsi="宋体" w:eastAsia="宋体" w:cs="宋体"/>
          <w:color w:val="000000" w:themeColor="text1"/>
          <w:sz w:val="24"/>
          <w:highlight w:val="none"/>
          <w:lang w:eastAsia="zh-CN"/>
          <w14:textFill>
            <w14:solidFill>
              <w14:schemeClr w14:val="tx1"/>
            </w14:solidFill>
          </w14:textFill>
        </w:rPr>
        <w:t>且</w:t>
      </w:r>
      <w:r>
        <w:rPr>
          <w:rFonts w:hint="eastAsia" w:ascii="宋体" w:hAnsi="宋体" w:eastAsia="宋体" w:cs="宋体"/>
          <w:color w:val="000000" w:themeColor="text1"/>
          <w:sz w:val="24"/>
          <w:highlight w:val="none"/>
          <w14:textFill>
            <w14:solidFill>
              <w14:schemeClr w14:val="tx1"/>
            </w14:solidFill>
          </w14:textFill>
        </w:rPr>
        <w:t>逾期</w:t>
      </w:r>
      <w:r>
        <w:rPr>
          <w:rFonts w:hint="eastAsia" w:ascii="宋体" w:hAnsi="宋体" w:cs="宋体"/>
          <w:color w:val="000000" w:themeColor="text1"/>
          <w:sz w:val="24"/>
          <w:highlight w:val="none"/>
          <w:lang w:val="en-US" w:eastAsia="zh-CN"/>
          <w14:textFill>
            <w14:solidFill>
              <w14:schemeClr w14:val="tx1"/>
            </w14:solidFill>
          </w14:textFill>
        </w:rPr>
        <w:t>30</w:t>
      </w:r>
      <w:r>
        <w:rPr>
          <w:rFonts w:hint="eastAsia" w:ascii="宋体" w:hAnsi="宋体" w:eastAsia="宋体" w:cs="宋体"/>
          <w:color w:val="000000" w:themeColor="text1"/>
          <w:sz w:val="24"/>
          <w:highlight w:val="none"/>
          <w14:textFill>
            <w14:solidFill>
              <w14:schemeClr w14:val="tx1"/>
            </w14:solidFill>
          </w14:textFill>
        </w:rPr>
        <w:t>日</w:t>
      </w:r>
      <w:r>
        <w:rPr>
          <w:rFonts w:hint="eastAsia" w:ascii="宋体" w:hAnsi="宋体" w:eastAsia="宋体" w:cs="宋体"/>
          <w:color w:val="000000" w:themeColor="text1"/>
          <w:sz w:val="24"/>
          <w:highlight w:val="none"/>
          <w:lang w:eastAsia="zh-CN"/>
          <w14:textFill>
            <w14:solidFill>
              <w14:schemeClr w14:val="tx1"/>
            </w14:solidFill>
          </w14:textFill>
        </w:rPr>
        <w:t>以上时</w:t>
      </w:r>
      <w:r>
        <w:rPr>
          <w:rFonts w:hint="eastAsia" w:ascii="宋体" w:hAnsi="宋体" w:eastAsia="宋体" w:cs="宋体"/>
          <w:color w:val="000000" w:themeColor="text1"/>
          <w:sz w:val="24"/>
          <w:highlight w:val="none"/>
          <w14:textFill>
            <w14:solidFill>
              <w14:schemeClr w14:val="tx1"/>
            </w14:solidFill>
          </w14:textFill>
        </w:rPr>
        <w:t>；</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.2 乙方提供的</w:t>
      </w:r>
      <w:r>
        <w:rPr>
          <w:rFonts w:hint="eastAsia" w:ascii="宋体" w:hAnsi="宋体" w:eastAsia="宋体" w:cs="宋体"/>
          <w:color w:val="000000" w:themeColor="text1"/>
          <w:sz w:val="24"/>
          <w:highlight w:val="none"/>
          <w:lang w:eastAsia="zh-CN"/>
          <w14:textFill>
            <w14:solidFill>
              <w14:schemeClr w14:val="tx1"/>
            </w14:solidFill>
          </w14:textFill>
        </w:rPr>
        <w:t>货物</w:t>
      </w:r>
      <w:r>
        <w:rPr>
          <w:rFonts w:hint="eastAsia" w:ascii="宋体" w:hAnsi="宋体" w:eastAsia="宋体" w:cs="宋体"/>
          <w:color w:val="000000" w:themeColor="text1"/>
          <w:sz w:val="24"/>
          <w:highlight w:val="none"/>
          <w14:textFill>
            <w14:solidFill>
              <w14:schemeClr w14:val="tx1"/>
            </w14:solidFill>
          </w14:textFill>
        </w:rPr>
        <w:t>质量不符合国家标准、本合同标准或</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响应文件约定标准；</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.3 乙方将</w:t>
      </w:r>
      <w:r>
        <w:rPr>
          <w:rFonts w:hint="eastAsia" w:ascii="宋体" w:hAnsi="宋体" w:eastAsia="宋体" w:cs="宋体"/>
          <w:color w:val="000000" w:themeColor="text1"/>
          <w:sz w:val="24"/>
          <w:highlight w:val="none"/>
          <w:lang w:val="en-US" w:eastAsia="zh-CN"/>
          <w14:textFill>
            <w14:solidFill>
              <w14:schemeClr w14:val="tx1"/>
            </w14:solidFill>
          </w14:textFill>
        </w:rPr>
        <w:t>本合同权利义务全部或部分转让给</w:t>
      </w:r>
      <w:r>
        <w:rPr>
          <w:rFonts w:hint="eastAsia" w:ascii="宋体" w:hAnsi="宋体" w:eastAsia="宋体" w:cs="宋体"/>
          <w:color w:val="000000" w:themeColor="text1"/>
          <w:sz w:val="24"/>
          <w:highlight w:val="none"/>
          <w14:textFill>
            <w14:solidFill>
              <w14:schemeClr w14:val="tx1"/>
            </w14:solidFill>
          </w14:textFill>
        </w:rPr>
        <w:t>第三方；</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.4 其他根本违约的情形。</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eastAsia="宋体" w:cs="宋体"/>
          <w:b/>
          <w:bCs/>
          <w:color w:val="000000" w:themeColor="text1"/>
          <w:sz w:val="24"/>
          <w:highlight w:val="none"/>
          <w:lang w:eastAsia="zh-CN"/>
          <w14:textFill>
            <w14:solidFill>
              <w14:schemeClr w14:val="tx1"/>
            </w14:solidFill>
          </w14:textFill>
        </w:rPr>
        <w:t>十</w:t>
      </w:r>
      <w:r>
        <w:rPr>
          <w:rFonts w:hint="eastAsia" w:ascii="宋体" w:hAnsi="宋体" w:eastAsia="宋体" w:cs="宋体"/>
          <w:b/>
          <w:bCs/>
          <w:color w:val="000000" w:themeColor="text1"/>
          <w:sz w:val="24"/>
          <w:highlight w:val="none"/>
          <w:lang w:val="en-US" w:eastAsia="zh-CN"/>
          <w14:textFill>
            <w14:solidFill>
              <w14:schemeClr w14:val="tx1"/>
            </w14:solidFill>
          </w14:textFill>
        </w:rPr>
        <w:t>二</w:t>
      </w:r>
      <w:r>
        <w:rPr>
          <w:rFonts w:hint="eastAsia" w:ascii="宋体" w:hAnsi="宋体" w:eastAsia="宋体" w:cs="宋体"/>
          <w:b/>
          <w:bCs/>
          <w:color w:val="000000" w:themeColor="text1"/>
          <w:sz w:val="24"/>
          <w:highlight w:val="none"/>
          <w14:textFill>
            <w14:solidFill>
              <w14:schemeClr w14:val="tx1"/>
            </w14:solidFill>
          </w14:textFill>
        </w:rPr>
        <w:t>条 违约责任</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 xml:space="preserve">.1 </w:t>
      </w:r>
      <w:r>
        <w:rPr>
          <w:rFonts w:hint="eastAsia" w:ascii="宋体" w:hAnsi="宋体" w:eastAsia="宋体" w:cs="宋体"/>
          <w:color w:val="000000" w:themeColor="text1"/>
          <w:sz w:val="24"/>
          <w:highlight w:val="none"/>
          <w:lang w:eastAsia="zh-CN"/>
          <w14:textFill>
            <w14:solidFill>
              <w14:schemeClr w14:val="tx1"/>
            </w14:solidFill>
          </w14:textFill>
        </w:rPr>
        <w:t>甲方因</w:t>
      </w:r>
      <w:r>
        <w:rPr>
          <w:rFonts w:hint="eastAsia" w:ascii="宋体" w:hAnsi="宋体" w:eastAsia="宋体" w:cs="宋体"/>
          <w:color w:val="000000" w:themeColor="text1"/>
          <w:sz w:val="24"/>
          <w:highlight w:val="none"/>
          <w:lang w:val="en-US" w:eastAsia="zh-CN"/>
          <w14:textFill>
            <w14:solidFill>
              <w14:schemeClr w14:val="tx1"/>
            </w14:solidFill>
          </w14:textFill>
        </w:rPr>
        <w:t>11.2情形提前终止本合同或剔除部分采购内容均无须承担违约责任，乙方不得因此要求甲方予以任何经济赔偿或补偿。</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.2 如乙方未在本合同约定时间内将验收合格的</w:t>
      </w:r>
      <w:r>
        <w:rPr>
          <w:rFonts w:hint="eastAsia" w:ascii="宋体" w:hAnsi="宋体" w:eastAsia="宋体" w:cs="宋体"/>
          <w:color w:val="000000" w:themeColor="text1"/>
          <w:sz w:val="24"/>
          <w:highlight w:val="none"/>
          <w:lang w:val="en-US" w:eastAsia="zh-CN"/>
          <w14:textFill>
            <w14:solidFill>
              <w14:schemeClr w14:val="tx1"/>
            </w14:solidFill>
          </w14:textFill>
        </w:rPr>
        <w:t>货物</w:t>
      </w:r>
      <w:r>
        <w:rPr>
          <w:rFonts w:hint="eastAsia" w:ascii="宋体" w:hAnsi="宋体" w:eastAsia="宋体" w:cs="宋体"/>
          <w:color w:val="000000" w:themeColor="text1"/>
          <w:sz w:val="24"/>
          <w:highlight w:val="none"/>
          <w14:textFill>
            <w14:solidFill>
              <w14:schemeClr w14:val="tx1"/>
            </w14:solidFill>
          </w14:textFill>
        </w:rPr>
        <w:t>交付给甲方使用，除应赔偿甲方因此造成的损失外，每逾期一日，按</w:t>
      </w:r>
      <w:r>
        <w:rPr>
          <w:rFonts w:hint="eastAsia" w:ascii="宋体" w:hAnsi="宋体" w:eastAsia="宋体" w:cs="宋体"/>
          <w:color w:val="000000" w:themeColor="text1"/>
          <w:sz w:val="24"/>
          <w:highlight w:val="none"/>
          <w:u w:val="none"/>
          <w14:textFill>
            <w14:solidFill>
              <w14:schemeClr w14:val="tx1"/>
            </w14:solidFill>
          </w14:textFill>
        </w:rPr>
        <w:t>本合同约定</w:t>
      </w:r>
      <w:r>
        <w:rPr>
          <w:rFonts w:hint="eastAsia" w:ascii="宋体" w:hAnsi="宋体" w:cs="宋体"/>
          <w:color w:val="0000FF"/>
          <w:sz w:val="24"/>
          <w:highlight w:val="none"/>
          <w:u w:val="none"/>
          <w:lang w:val="en-US" w:eastAsia="zh-CN"/>
        </w:rPr>
        <w:t>暂定</w:t>
      </w:r>
      <w:r>
        <w:rPr>
          <w:rFonts w:hint="eastAsia" w:ascii="宋体" w:hAnsi="宋体" w:eastAsia="宋体" w:cs="宋体"/>
          <w:color w:val="000000" w:themeColor="text1"/>
          <w:sz w:val="24"/>
          <w:highlight w:val="none"/>
          <w:u w:val="none"/>
          <w14:textFill>
            <w14:solidFill>
              <w14:schemeClr w14:val="tx1"/>
            </w14:solidFill>
          </w14:textFill>
        </w:rPr>
        <w:t>总价款的</w:t>
      </w:r>
      <w:r>
        <w:rPr>
          <w:rFonts w:hint="eastAsia" w:ascii="宋体" w:hAnsi="宋体" w:eastAsia="宋体" w:cs="宋体"/>
          <w:color w:val="000000" w:themeColor="text1"/>
          <w:sz w:val="24"/>
          <w:highlight w:val="none"/>
          <w:u w:val="none"/>
          <w:lang w:eastAsia="zh-CN"/>
          <w14:textFill>
            <w14:solidFill>
              <w14:schemeClr w14:val="tx1"/>
            </w14:solidFill>
          </w14:textFill>
        </w:rPr>
        <w:t>千分之</w:t>
      </w:r>
      <w:r>
        <w:rPr>
          <w:rFonts w:hint="eastAsia" w:ascii="宋体" w:hAnsi="宋体" w:cs="宋体"/>
          <w:color w:val="0000FF"/>
          <w:sz w:val="24"/>
          <w:highlight w:val="none"/>
          <w:u w:val="none"/>
          <w:lang w:val="en-US" w:eastAsia="zh-CN"/>
        </w:rPr>
        <w:t>三</w:t>
      </w:r>
      <w:r>
        <w:rPr>
          <w:rFonts w:hint="eastAsia" w:ascii="宋体" w:hAnsi="宋体" w:cs="宋体"/>
          <w:color w:val="000000" w:themeColor="text1"/>
          <w:sz w:val="24"/>
          <w:highlight w:val="none"/>
          <w:lang w:eastAsia="zh-CN"/>
          <w14:textFill>
            <w14:solidFill>
              <w14:schemeClr w14:val="tx1"/>
            </w14:solidFill>
          </w14:textFill>
        </w:rPr>
        <w:t>的</w:t>
      </w:r>
      <w:r>
        <w:rPr>
          <w:rFonts w:hint="eastAsia" w:ascii="宋体" w:hAnsi="宋体" w:eastAsia="宋体" w:cs="宋体"/>
          <w:color w:val="000000" w:themeColor="text1"/>
          <w:sz w:val="24"/>
          <w:highlight w:val="none"/>
          <w:lang w:eastAsia="zh-CN"/>
          <w14:textFill>
            <w14:solidFill>
              <w14:schemeClr w14:val="tx1"/>
            </w14:solidFill>
          </w14:textFill>
        </w:rPr>
        <w:t>标准</w:t>
      </w:r>
      <w:r>
        <w:rPr>
          <w:rFonts w:hint="eastAsia" w:ascii="宋体" w:hAnsi="宋体" w:eastAsia="宋体" w:cs="宋体"/>
          <w:color w:val="000000" w:themeColor="text1"/>
          <w:sz w:val="24"/>
          <w:highlight w:val="none"/>
          <w14:textFill>
            <w14:solidFill>
              <w14:schemeClr w14:val="tx1"/>
            </w14:solidFill>
          </w14:textFill>
        </w:rPr>
        <w:t>向甲方支付违约金。</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.3 如乙方单方解除合同或甲方因</w:t>
      </w:r>
      <w:r>
        <w:rPr>
          <w:rFonts w:hint="eastAsia" w:ascii="宋体" w:hAnsi="宋体" w:eastAsia="宋体" w:cs="宋体"/>
          <w:color w:val="000000" w:themeColor="text1"/>
          <w:sz w:val="24"/>
          <w:highlight w:val="none"/>
          <w:lang w:val="en-US" w:eastAsia="zh-CN"/>
          <w14:textFill>
            <w14:solidFill>
              <w14:schemeClr w14:val="tx1"/>
            </w14:solidFill>
          </w14:textFill>
        </w:rPr>
        <w:t>11.3情形</w:t>
      </w:r>
      <w:r>
        <w:rPr>
          <w:rFonts w:hint="eastAsia" w:ascii="宋体" w:hAnsi="宋体" w:eastAsia="宋体" w:cs="宋体"/>
          <w:color w:val="000000" w:themeColor="text1"/>
          <w:sz w:val="24"/>
          <w:highlight w:val="none"/>
          <w14:textFill>
            <w14:solidFill>
              <w14:schemeClr w14:val="tx1"/>
            </w14:solidFill>
          </w14:textFill>
        </w:rPr>
        <w:t>解除合同，乙方应赔偿给甲方造成的全部经济损失，并按</w:t>
      </w:r>
      <w:r>
        <w:rPr>
          <w:rFonts w:hint="eastAsia" w:ascii="宋体" w:hAnsi="宋体" w:eastAsia="宋体" w:cs="宋体"/>
          <w:color w:val="000000" w:themeColor="text1"/>
          <w:sz w:val="24"/>
          <w:highlight w:val="none"/>
          <w:u w:val="none"/>
          <w14:textFill>
            <w14:solidFill>
              <w14:schemeClr w14:val="tx1"/>
            </w14:solidFill>
          </w14:textFill>
        </w:rPr>
        <w:t>本合同</w:t>
      </w:r>
      <w:r>
        <w:rPr>
          <w:rFonts w:hint="eastAsia" w:ascii="宋体" w:hAnsi="宋体" w:cs="宋体"/>
          <w:color w:val="0000FF"/>
          <w:sz w:val="24"/>
          <w:highlight w:val="none"/>
          <w:u w:val="none"/>
          <w:lang w:val="en-US" w:eastAsia="zh-CN"/>
        </w:rPr>
        <w:t>暂定</w:t>
      </w:r>
      <w:r>
        <w:rPr>
          <w:rFonts w:hint="eastAsia" w:ascii="宋体" w:hAnsi="宋体" w:eastAsia="宋体" w:cs="宋体"/>
          <w:color w:val="000000" w:themeColor="text1"/>
          <w:sz w:val="24"/>
          <w:highlight w:val="none"/>
          <w:u w:val="none"/>
          <w14:textFill>
            <w14:solidFill>
              <w14:schemeClr w14:val="tx1"/>
            </w14:solidFill>
          </w14:textFill>
        </w:rPr>
        <w:t>总价款30%</w:t>
      </w:r>
      <w:r>
        <w:rPr>
          <w:rFonts w:hint="eastAsia" w:ascii="宋体" w:hAnsi="宋体" w:cs="宋体"/>
          <w:color w:val="000000" w:themeColor="text1"/>
          <w:sz w:val="24"/>
          <w:highlight w:val="none"/>
          <w:u w:val="none"/>
          <w:lang w:eastAsia="zh-CN"/>
          <w14:textFill>
            <w14:solidFill>
              <w14:schemeClr w14:val="tx1"/>
            </w14:solidFill>
          </w14:textFill>
        </w:rPr>
        <w:t>的</w:t>
      </w:r>
      <w:r>
        <w:rPr>
          <w:rFonts w:hint="eastAsia" w:ascii="宋体" w:hAnsi="宋体" w:eastAsia="宋体" w:cs="宋体"/>
          <w:color w:val="000000" w:themeColor="text1"/>
          <w:sz w:val="24"/>
          <w:highlight w:val="none"/>
          <w14:textFill>
            <w14:solidFill>
              <w14:schemeClr w14:val="tx1"/>
            </w14:solidFill>
          </w14:textFill>
        </w:rPr>
        <w:t>标准</w:t>
      </w:r>
      <w:r>
        <w:rPr>
          <w:rFonts w:hint="eastAsia" w:ascii="宋体" w:hAnsi="宋体" w:eastAsia="宋体" w:cs="宋体"/>
          <w:color w:val="000000" w:themeColor="text1"/>
          <w:sz w:val="24"/>
          <w:highlight w:val="none"/>
          <w:lang w:val="en-US" w:eastAsia="zh-CN"/>
          <w14:textFill>
            <w14:solidFill>
              <w14:schemeClr w14:val="tx1"/>
            </w14:solidFill>
          </w14:textFill>
        </w:rPr>
        <w:t>向</w:t>
      </w:r>
      <w:r>
        <w:rPr>
          <w:rFonts w:hint="eastAsia" w:ascii="宋体" w:hAnsi="宋体" w:eastAsia="宋体" w:cs="宋体"/>
          <w:color w:val="000000" w:themeColor="text1"/>
          <w:sz w:val="24"/>
          <w:highlight w:val="none"/>
          <w14:textFill>
            <w14:solidFill>
              <w14:schemeClr w14:val="tx1"/>
            </w14:solidFill>
          </w14:textFill>
        </w:rPr>
        <w:t>甲方支付违约金。</w:t>
      </w:r>
    </w:p>
    <w:p>
      <w:pPr>
        <w:keepNext w:val="0"/>
        <w:keepLines w:val="0"/>
        <w:pageBreakBefore w:val="0"/>
        <w:widowControl w:val="0"/>
        <w:numPr>
          <w:ilvl w:val="0"/>
          <w:numId w:val="0"/>
        </w:numPr>
        <w:kinsoku/>
        <w:wordWrap w:val="0"/>
        <w:overflowPunct/>
        <w:topLinePunct/>
        <w:autoSpaceDE/>
        <w:autoSpaceDN/>
        <w:bidi w:val="0"/>
        <w:adjustRightInd/>
        <w:snapToGrid/>
        <w:spacing w:line="460" w:lineRule="exact"/>
        <w:ind w:left="0" w:leftChars="0" w:firstLine="482" w:firstLineChars="200"/>
        <w:jc w:val="both"/>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12.4 无论甲方在任意时候（不限于本合同履行期间）发现存在违反本合同廉洁条款的行为，乙方均须向甲方一次性支付惩罚性违约金</w:t>
      </w:r>
      <w:r>
        <w:rPr>
          <w:rFonts w:hint="eastAsia" w:ascii="宋体" w:hAnsi="宋体" w:cs="宋体"/>
          <w:b/>
          <w:bCs/>
          <w:color w:val="0000FF"/>
          <w:sz w:val="24"/>
          <w:szCs w:val="24"/>
          <w:highlight w:val="none"/>
          <w:u w:val="single"/>
          <w:lang w:val="en-US" w:eastAsia="zh-CN"/>
        </w:rPr>
        <w:t>27000.00</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元。如乙方除需承担违反廉洁条款的违约责任外，同时存在其他违约行为，乙方仍须就其他违约行为承担相应违约责任。</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2" w:firstLineChars="200"/>
        <w:textAlignment w:val="auto"/>
        <w:rPr>
          <w:rFonts w:hint="default" w:ascii="宋体" w:hAnsi="宋体" w:eastAsia="宋体" w:cs="宋体"/>
          <w:b/>
          <w:bCs/>
          <w:color w:val="000000" w:themeColor="text1"/>
          <w:sz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12.5 依据本合同约定乙方应支付给甲方的违约金，甲方有权在应支付给乙方的任意价款中直接予以扣除，如扣除部分不足，乙方应在接到甲方通知后3日内补足。</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cs="宋体"/>
          <w:b/>
          <w:bCs/>
          <w:color w:val="000000" w:themeColor="text1"/>
          <w:sz w:val="24"/>
          <w:highlight w:val="none"/>
          <w:lang w:val="en-US" w:eastAsia="zh-CN"/>
          <w14:textFill>
            <w14:solidFill>
              <w14:schemeClr w14:val="tx1"/>
            </w14:solidFill>
          </w14:textFill>
        </w:rPr>
        <w:t>十三</w:t>
      </w:r>
      <w:r>
        <w:rPr>
          <w:rFonts w:hint="eastAsia" w:ascii="宋体" w:hAnsi="宋体" w:eastAsia="宋体" w:cs="宋体"/>
          <w:b/>
          <w:bCs/>
          <w:color w:val="000000" w:themeColor="text1"/>
          <w:sz w:val="24"/>
          <w:highlight w:val="none"/>
          <w14:textFill>
            <w14:solidFill>
              <w14:schemeClr w14:val="tx1"/>
            </w14:solidFill>
          </w14:textFill>
        </w:rPr>
        <w:t>条 争议解决</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13.1 本合同适用中华人民共和国法律，并按其解释。</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13.2 </w:t>
      </w:r>
      <w:r>
        <w:rPr>
          <w:rFonts w:hint="eastAsia" w:ascii="宋体" w:hAnsi="宋体" w:eastAsia="宋体" w:cs="宋体"/>
          <w:color w:val="000000" w:themeColor="text1"/>
          <w:sz w:val="24"/>
          <w:highlight w:val="none"/>
          <w14:textFill>
            <w14:solidFill>
              <w14:schemeClr w14:val="tx1"/>
            </w14:solidFill>
          </w14:textFill>
        </w:rPr>
        <w:t>如双方在履行本合同过程中发生争议，双方应先协商解决，协商解决不成的，任一方均可向甲方所在地有管辖权的人民法院提起诉讼解决。</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第十</w:t>
      </w:r>
      <w:r>
        <w:rPr>
          <w:rFonts w:hint="eastAsia" w:ascii="宋体" w:hAnsi="宋体" w:cs="宋体"/>
          <w:b/>
          <w:bCs/>
          <w:color w:val="000000" w:themeColor="text1"/>
          <w:sz w:val="24"/>
          <w:highlight w:val="none"/>
          <w:lang w:val="en-US" w:eastAsia="zh-CN"/>
          <w14:textFill>
            <w14:solidFill>
              <w14:schemeClr w14:val="tx1"/>
            </w14:solidFill>
          </w14:textFill>
        </w:rPr>
        <w:t>四</w:t>
      </w:r>
      <w:r>
        <w:rPr>
          <w:rFonts w:hint="eastAsia" w:ascii="宋体" w:hAnsi="宋体" w:eastAsia="宋体" w:cs="宋体"/>
          <w:b/>
          <w:bCs/>
          <w:color w:val="000000" w:themeColor="text1"/>
          <w:sz w:val="24"/>
          <w:highlight w:val="none"/>
          <w14:textFill>
            <w14:solidFill>
              <w14:schemeClr w14:val="tx1"/>
            </w14:solidFill>
          </w14:textFill>
        </w:rPr>
        <w:t>条 附则</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 xml:space="preserve"> 乙方营业执照、</w:t>
      </w:r>
      <w:r>
        <w:rPr>
          <w:rFonts w:hint="eastAsia" w:ascii="宋体" w:hAnsi="宋体" w:eastAsia="宋体" w:cs="宋体"/>
          <w:color w:val="000000" w:themeColor="text1"/>
          <w:sz w:val="24"/>
          <w:highlight w:val="none"/>
          <w:lang w:val="en-US" w:eastAsia="zh-CN"/>
          <w14:textFill>
            <w14:solidFill>
              <w14:schemeClr w14:val="tx1"/>
            </w14:solidFill>
          </w14:textFill>
        </w:rPr>
        <w:t>法定代表人身份证明书、</w:t>
      </w:r>
      <w:r>
        <w:rPr>
          <w:rFonts w:hint="eastAsia" w:ascii="宋体" w:hAnsi="宋体" w:eastAsia="宋体" w:cs="宋体"/>
          <w:color w:val="000000" w:themeColor="text1"/>
          <w:sz w:val="24"/>
          <w:highlight w:val="none"/>
          <w14:textFill>
            <w14:solidFill>
              <w14:schemeClr w14:val="tx1"/>
            </w14:solidFill>
          </w14:textFill>
        </w:rPr>
        <w:t>授权委托文书、委托代理人身份证复印件等相关资质证明、乙方委派结算人员的授权委托书、受托人的身份证复印件、</w:t>
      </w:r>
      <w:r>
        <w:rPr>
          <w:rFonts w:hint="eastAsia" w:ascii="宋体" w:hAnsi="宋体" w:eastAsia="宋体" w:cs="宋体"/>
          <w:color w:val="000000" w:themeColor="text1"/>
          <w:sz w:val="24"/>
          <w:highlight w:val="none"/>
          <w:lang w:val="en-US" w:eastAsia="zh-CN"/>
          <w14:textFill>
            <w14:solidFill>
              <w14:schemeClr w14:val="tx1"/>
            </w14:solidFill>
          </w14:textFill>
        </w:rPr>
        <w:t>验收报告</w:t>
      </w:r>
      <w:r>
        <w:rPr>
          <w:rFonts w:hint="eastAsia" w:ascii="宋体" w:hAnsi="宋体" w:eastAsia="宋体" w:cs="宋体"/>
          <w:color w:val="000000" w:themeColor="text1"/>
          <w:sz w:val="24"/>
          <w:highlight w:val="none"/>
          <w14:textFill>
            <w14:solidFill>
              <w14:schemeClr w14:val="tx1"/>
            </w14:solidFill>
          </w14:textFill>
        </w:rPr>
        <w:t>单等作为本合同的附件。</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14.2 </w:t>
      </w:r>
      <w:r>
        <w:rPr>
          <w:rFonts w:hint="eastAsia" w:ascii="宋体" w:hAnsi="宋体" w:eastAsia="宋体" w:cs="宋体"/>
          <w:color w:val="000000" w:themeColor="text1"/>
          <w:sz w:val="24"/>
          <w:highlight w:val="none"/>
          <w14:textFill>
            <w14:solidFill>
              <w14:schemeClr w14:val="tx1"/>
            </w14:solidFill>
          </w14:textFill>
        </w:rPr>
        <w:t>本合同组成文件和优先解释顺序：</w:t>
      </w:r>
      <w:r>
        <w:rPr>
          <w:rFonts w:hint="eastAsia" w:ascii="宋体" w:hAnsi="宋体" w:eastAsia="宋体" w:cs="宋体"/>
          <w:color w:val="000000" w:themeColor="text1"/>
          <w:sz w:val="24"/>
          <w:highlight w:val="none"/>
          <w:lang w:eastAsia="zh-CN"/>
          <w14:textFill>
            <w14:solidFill>
              <w14:schemeClr w14:val="tx1"/>
            </w14:solidFill>
          </w14:textFill>
        </w:rPr>
        <w:t>乙方在履行本合同中作出的书面承诺；</w:t>
      </w:r>
      <w:r>
        <w:rPr>
          <w:rFonts w:hint="eastAsia" w:ascii="宋体" w:hAnsi="宋体" w:eastAsia="宋体" w:cs="宋体"/>
          <w:color w:val="000000" w:themeColor="text1"/>
          <w:sz w:val="24"/>
          <w:highlight w:val="none"/>
          <w14:textFill>
            <w14:solidFill>
              <w14:schemeClr w14:val="tx1"/>
            </w14:solidFill>
          </w14:textFill>
        </w:rPr>
        <w:t>本合同补充协议；本合同及附件；</w:t>
      </w:r>
      <w:r>
        <w:rPr>
          <w:rFonts w:hint="eastAsia" w:ascii="宋体" w:hAnsi="宋体" w:eastAsia="宋体" w:cs="宋体"/>
          <w:color w:val="000000" w:themeColor="text1"/>
          <w:sz w:val="24"/>
          <w:highlight w:val="none"/>
          <w:lang w:eastAsia="zh-CN"/>
          <w14:textFill>
            <w14:solidFill>
              <w14:schemeClr w14:val="tx1"/>
            </w14:solidFill>
          </w14:textFill>
        </w:rPr>
        <w:t>中标通知书</w:t>
      </w:r>
      <w:r>
        <w:rPr>
          <w:rFonts w:hint="eastAsia" w:ascii="宋体" w:hAnsi="宋体" w:eastAsia="宋体" w:cs="宋体"/>
          <w:color w:val="000000" w:themeColor="text1"/>
          <w:sz w:val="24"/>
          <w:highlight w:val="none"/>
          <w:lang w:val="en-US" w:eastAsia="zh-CN"/>
          <w14:textFill>
            <w14:solidFill>
              <w14:schemeClr w14:val="tx1"/>
            </w14:solidFill>
          </w14:textFill>
        </w:rPr>
        <w:t>/成交通知书/</w:t>
      </w:r>
      <w:r>
        <w:rPr>
          <w:rFonts w:hint="eastAsia" w:ascii="宋体" w:hAnsi="宋体" w:eastAsia="宋体" w:cs="宋体"/>
          <w:color w:val="000000" w:themeColor="text1"/>
          <w:sz w:val="24"/>
          <w:highlight w:val="none"/>
          <w14:textFill>
            <w14:solidFill>
              <w14:schemeClr w14:val="tx1"/>
            </w14:solidFill>
          </w14:textFill>
        </w:rPr>
        <w:t>议价结果公示</w:t>
      </w:r>
      <w:r>
        <w:rPr>
          <w:rFonts w:hint="eastAsia" w:ascii="宋体" w:hAnsi="宋体" w:eastAsia="宋体" w:cs="宋体"/>
          <w:color w:val="000000" w:themeColor="text1"/>
          <w:sz w:val="24"/>
          <w:highlight w:val="none"/>
          <w:lang w:val="en-US" w:eastAsia="zh-CN"/>
          <w14:textFill>
            <w14:solidFill>
              <w14:schemeClr w14:val="tx1"/>
            </w14:solidFill>
          </w14:textFill>
        </w:rPr>
        <w:t>/成交公告</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w:t>
      </w:r>
      <w:r>
        <w:rPr>
          <w:rFonts w:hint="eastAsia" w:ascii="宋体" w:hAnsi="宋体" w:eastAsia="宋体" w:cs="宋体"/>
          <w:color w:val="000000" w:themeColor="text1"/>
          <w:sz w:val="24"/>
          <w:highlight w:val="none"/>
          <w:lang w:eastAsia="zh-CN"/>
          <w14:textFill>
            <w14:solidFill>
              <w14:schemeClr w14:val="tx1"/>
            </w14:solidFill>
          </w14:textFill>
        </w:rPr>
        <w:t>招标文件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采购文件</w:t>
      </w:r>
      <w:r>
        <w:rPr>
          <w:rFonts w:hint="eastAsia" w:ascii="宋体" w:hAnsi="宋体" w:eastAsia="宋体" w:cs="宋体"/>
          <w:color w:val="000000" w:themeColor="text1"/>
          <w:sz w:val="24"/>
          <w:highlight w:val="none"/>
          <w:lang w:val="en-US" w:eastAsia="zh-CN"/>
          <w14:textFill>
            <w14:solidFill>
              <w14:schemeClr w14:val="tx1"/>
            </w14:solidFill>
          </w14:textFill>
        </w:rPr>
        <w:t>/采购需求</w:t>
      </w:r>
      <w:r>
        <w:rPr>
          <w:rFonts w:hint="eastAsia" w:ascii="宋体" w:hAnsi="宋体" w:eastAsia="宋体" w:cs="宋体"/>
          <w:color w:val="000000" w:themeColor="text1"/>
          <w:sz w:val="24"/>
          <w:highlight w:val="none"/>
          <w14:textFill>
            <w14:solidFill>
              <w14:schemeClr w14:val="tx1"/>
            </w14:solidFill>
          </w14:textFill>
        </w:rPr>
        <w:t>；其他与本合同有关的资料。</w:t>
      </w:r>
    </w:p>
    <w:p>
      <w:pPr>
        <w:keepNext w:val="0"/>
        <w:keepLines w:val="0"/>
        <w:pageBreakBefore w:val="0"/>
        <w:widowControl w:val="0"/>
        <w:kinsoku/>
        <w:wordWrap w:val="0"/>
        <w:overflowPunct/>
        <w:topLinePunct/>
        <w:autoSpaceDE/>
        <w:autoSpaceDN/>
        <w:bidi w:val="0"/>
        <w:adjustRightInd/>
        <w:snapToGrid/>
        <w:spacing w:line="460" w:lineRule="exact"/>
        <w:ind w:left="0" w:leftChars="0"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 xml:space="preserve"> 本合同一式伍份，甲方执肆份、乙方执壹份，自双方签字并盖章</w:t>
      </w:r>
      <w:r>
        <w:rPr>
          <w:rFonts w:hint="eastAsia" w:ascii="宋体" w:hAnsi="宋体" w:eastAsia="宋体" w:cs="宋体"/>
          <w:color w:val="000000" w:themeColor="text1"/>
          <w:sz w:val="24"/>
          <w:highlight w:val="none"/>
          <w:lang w:eastAsia="zh-CN"/>
          <w14:textFill>
            <w14:solidFill>
              <w14:schemeClr w14:val="tx1"/>
            </w14:solidFill>
          </w14:textFill>
        </w:rPr>
        <w:t>后</w:t>
      </w:r>
      <w:r>
        <w:rPr>
          <w:rFonts w:hint="eastAsia" w:ascii="宋体" w:hAnsi="宋体" w:eastAsia="宋体" w:cs="宋体"/>
          <w:color w:val="000000" w:themeColor="text1"/>
          <w:sz w:val="24"/>
          <w:highlight w:val="none"/>
          <w14:textFill>
            <w14:solidFill>
              <w14:schemeClr w14:val="tx1"/>
            </w14:solidFill>
          </w14:textFill>
        </w:rPr>
        <w:t>生效。</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ascii="宋体" w:hAnsi="宋体" w:eastAsia="宋体" w:cs="宋体"/>
          <w:color w:val="000000" w:themeColor="text1"/>
          <w:sz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left="6479" w:leftChars="228" w:hanging="6000" w:hangingChars="2500"/>
        <w:jc w:val="both"/>
        <w:textAlignment w:val="auto"/>
        <w:rPr>
          <w:rFonts w:hint="default" w:ascii="宋体" w:hAnsi="宋体" w:eastAsia="宋体" w:cs="宋体"/>
          <w:color w:val="000000" w:themeColor="text1"/>
          <w:sz w:val="24"/>
          <w:highlight w:val="none"/>
          <w:lang w:val="en-US"/>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甲方（盖章）：</w:t>
      </w:r>
      <w:r>
        <w:rPr>
          <w:rFonts w:hint="eastAsia" w:ascii="宋体" w:hAnsi="宋体" w:eastAsia="宋体" w:cs="宋体"/>
          <w:color w:val="000000" w:themeColor="text1"/>
          <w:sz w:val="24"/>
          <w:highlight w:val="none"/>
          <w14:textFill>
            <w14:solidFill>
              <w14:schemeClr w14:val="tx1"/>
            </w14:solidFill>
          </w14:textFill>
        </w:rPr>
        <w:t>娄底市中心医院</w:t>
      </w:r>
      <w:r>
        <w:rPr>
          <w:rFonts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乙方（盖章）</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法定代表人（签字）：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 xml:space="preserve">法定代表人（签字）：  </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000000" w:themeColor="text1"/>
          <w:sz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或</w:t>
      </w:r>
      <w:r>
        <w:rPr>
          <w:rFonts w:ascii="宋体" w:hAnsi="宋体" w:eastAsia="宋体" w:cs="宋体"/>
          <w:color w:val="000000" w:themeColor="text1"/>
          <w:sz w:val="24"/>
          <w:highlight w:val="none"/>
          <w14:textFill>
            <w14:solidFill>
              <w14:schemeClr w14:val="tx1"/>
            </w14:solidFill>
          </w14:textFill>
        </w:rPr>
        <w:t xml:space="preserve">委托代理人（签字）：        </w:t>
      </w:r>
      <w:r>
        <w:rPr>
          <w:rFonts w:hint="eastAsia" w:ascii="宋体" w:hAnsi="宋体" w:eastAsia="宋体" w:cs="宋体"/>
          <w:color w:val="000000" w:themeColor="text1"/>
          <w:sz w:val="24"/>
          <w:highlight w:val="none"/>
          <w14:textFill>
            <w14:solidFill>
              <w14:schemeClr w14:val="tx1"/>
            </w14:solidFill>
          </w14:textFill>
        </w:rPr>
        <w:t xml:space="preserve">      或</w:t>
      </w:r>
      <w:r>
        <w:rPr>
          <w:rFonts w:ascii="宋体" w:hAnsi="宋体" w:eastAsia="宋体" w:cs="宋体"/>
          <w:color w:val="000000" w:themeColor="text1"/>
          <w:sz w:val="24"/>
          <w:highlight w:val="none"/>
          <w14:textFill>
            <w14:solidFill>
              <w14:schemeClr w14:val="tx1"/>
            </w14:solidFill>
          </w14:textFill>
        </w:rPr>
        <w:t>委托代理人（签字）：</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pPr>
      <w:r>
        <w:rPr>
          <w:rFonts w:ascii="宋体" w:hAnsi="宋体" w:eastAsia="宋体" w:cs="宋体"/>
          <w:color w:val="000000" w:themeColor="text1"/>
          <w:sz w:val="24"/>
          <w:highlight w:val="none"/>
          <w14:textFill>
            <w14:solidFill>
              <w14:schemeClr w14:val="tx1"/>
            </w14:solidFill>
          </w14:textFill>
        </w:rPr>
        <w:t>合同签订地</w:t>
      </w:r>
      <w:r>
        <w:rPr>
          <w:rFonts w:hint="eastAsia" w:ascii="宋体" w:hAnsi="宋体" w:eastAsia="宋体" w:cs="宋体"/>
          <w:color w:val="000000" w:themeColor="text1"/>
          <w:sz w:val="24"/>
          <w:highlight w:val="none"/>
          <w14:textFill>
            <w14:solidFill>
              <w14:schemeClr w14:val="tx1"/>
            </w14:solidFill>
          </w14:textFill>
        </w:rPr>
        <w:t>履行地</w:t>
      </w:r>
      <w:r>
        <w:rPr>
          <w:rFonts w:ascii="宋体" w:hAnsi="宋体" w:eastAsia="宋体" w:cs="宋体"/>
          <w:color w:val="000000" w:themeColor="text1"/>
          <w:sz w:val="24"/>
          <w:highlight w:val="none"/>
          <w14:textFill>
            <w14:solidFill>
              <w14:schemeClr w14:val="tx1"/>
            </w14:solidFill>
          </w14:textFill>
        </w:rPr>
        <w:t xml:space="preserve">：娄底市娄星区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签订时间：</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日</w:t>
      </w:r>
    </w:p>
    <w:p>
      <w:pPr>
        <w:keepNext w:val="0"/>
        <w:keepLines w:val="0"/>
        <w:pageBreakBefore w:val="0"/>
        <w:widowControl w:val="0"/>
        <w:kinsoku/>
        <w:wordWrap/>
        <w:overflowPunct/>
        <w:topLinePunct w:val="0"/>
        <w:bidi w:val="0"/>
        <w:snapToGrid/>
        <w:spacing w:after="0" w:line="400" w:lineRule="exact"/>
        <w:ind w:firstLine="560" w:firstLineChars="200"/>
        <w:textAlignment w:val="auto"/>
        <w:rPr>
          <w:rFonts w:hint="eastAsia" w:ascii="仿宋_GB2312" w:hAnsi="仿宋" w:eastAsia="仿宋_GB2312" w:cs="仿宋_GB2312"/>
          <w:bCs/>
          <w:color w:val="auto"/>
          <w:kern w:val="0"/>
          <w:sz w:val="28"/>
          <w:szCs w:val="28"/>
        </w:rPr>
      </w:pPr>
      <w:r>
        <w:rPr>
          <w:rFonts w:hint="eastAsia" w:ascii="仿宋_GB2312" w:eastAsia="仿宋_GB2312" w:cs="仿宋_GB2312"/>
          <w:bCs/>
          <w:color w:val="auto"/>
          <w:kern w:val="0"/>
          <w:sz w:val="28"/>
          <w:szCs w:val="28"/>
        </w:rPr>
        <w:t xml:space="preserve"> </w:t>
      </w:r>
    </w:p>
    <w:p>
      <w:pPr>
        <w:rPr>
          <w:rFonts w:hint="eastAsia" w:ascii="仿宋" w:hAnsi="仿宋" w:eastAsia="仿宋" w:cs="仿宋"/>
          <w:sz w:val="28"/>
          <w:szCs w:val="28"/>
        </w:rPr>
      </w:pPr>
      <w:r>
        <w:rPr>
          <w:rFonts w:hint="eastAsia" w:ascii="仿宋" w:hAnsi="仿宋" w:eastAsia="仿宋" w:cs="仿宋"/>
          <w:sz w:val="28"/>
          <w:szCs w:val="28"/>
        </w:rPr>
        <w:br w:type="page"/>
      </w:r>
    </w:p>
    <w:p>
      <w:pPr>
        <w:rPr>
          <w:rFonts w:hint="default" w:ascii="宋体" w:hAnsi="宋体" w:eastAsia="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color w:val="auto"/>
          <w:sz w:val="44"/>
          <w:szCs w:val="44"/>
          <w:lang w:val="en-US" w:eastAsia="zh-CN"/>
        </w:rPr>
      </w:pPr>
      <w:r>
        <w:rPr>
          <w:rFonts w:hint="eastAsia" w:ascii="宋体" w:hAnsi="宋体" w:cs="宋体"/>
          <w:color w:val="auto"/>
          <w:sz w:val="44"/>
          <w:szCs w:val="44"/>
          <w:lang w:val="en-US" w:eastAsia="zh-CN"/>
        </w:rPr>
        <w:t>第三章</w:t>
      </w:r>
      <w:bookmarkStart w:id="1" w:name="_Toc16523573"/>
      <w:r>
        <w:rPr>
          <w:rFonts w:hint="eastAsia" w:ascii="宋体" w:hAnsi="宋体" w:cs="宋体"/>
          <w:color w:val="auto"/>
          <w:sz w:val="44"/>
          <w:szCs w:val="44"/>
          <w:lang w:val="en-US" w:eastAsia="zh-CN"/>
        </w:rPr>
        <w:t>评标方法及标准</w:t>
      </w:r>
      <w:bookmarkEnd w:id="1"/>
    </w:p>
    <w:p>
      <w:pPr>
        <w:jc w:val="center"/>
        <w:rPr>
          <w:rFonts w:hint="eastAsia" w:ascii="仿宋" w:hAnsi="仿宋" w:eastAsia="仿宋" w:cs="仿宋"/>
          <w:sz w:val="24"/>
          <w:szCs w:val="24"/>
        </w:rPr>
      </w:pPr>
    </w:p>
    <w:tbl>
      <w:tblPr>
        <w:tblStyle w:val="17"/>
        <w:tblW w:w="91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51"/>
        <w:gridCol w:w="1724"/>
        <w:gridCol w:w="65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47" w:hRule="atLeast"/>
          <w:jc w:val="center"/>
        </w:trPr>
        <w:tc>
          <w:tcPr>
            <w:tcW w:w="851" w:type="dxa"/>
            <w:noWrap w:val="0"/>
            <w:tcMar>
              <w:top w:w="0" w:type="dxa"/>
              <w:left w:w="108" w:type="dxa"/>
              <w:bottom w:w="0" w:type="dxa"/>
              <w:right w:w="108" w:type="dxa"/>
            </w:tcMar>
            <w:vAlign w:val="center"/>
          </w:tcPr>
          <w:p>
            <w:pPr>
              <w:adjustRightInd w:val="0"/>
              <w:snapToGrid w:val="0"/>
              <w:spacing w:line="360" w:lineRule="auto"/>
              <w:ind w:left="625" w:leftChars="1" w:hanging="623" w:hangingChars="297"/>
              <w:jc w:val="center"/>
              <w:rPr>
                <w:rFonts w:ascii="宋体" w:hAnsi="宋体" w:cs="宋体"/>
                <w:bCs/>
              </w:rPr>
            </w:pPr>
            <w:r>
              <w:rPr>
                <w:rFonts w:hint="eastAsia" w:ascii="宋体" w:hAnsi="宋体" w:cs="宋体"/>
                <w:bCs/>
              </w:rPr>
              <w:t>序号</w:t>
            </w:r>
          </w:p>
        </w:tc>
        <w:tc>
          <w:tcPr>
            <w:tcW w:w="1724" w:type="dxa"/>
            <w:noWrap w:val="0"/>
            <w:tcMar>
              <w:top w:w="0" w:type="dxa"/>
              <w:left w:w="108" w:type="dxa"/>
              <w:bottom w:w="0" w:type="dxa"/>
              <w:right w:w="108" w:type="dxa"/>
            </w:tcMar>
            <w:vAlign w:val="center"/>
          </w:tcPr>
          <w:p>
            <w:pPr>
              <w:adjustRightInd w:val="0"/>
              <w:snapToGrid w:val="0"/>
              <w:spacing w:line="240" w:lineRule="atLeast"/>
              <w:ind w:left="625" w:leftChars="1" w:hanging="623" w:hangingChars="297"/>
              <w:jc w:val="center"/>
              <w:rPr>
                <w:rFonts w:ascii="宋体" w:hAnsi="宋体" w:cs="宋体"/>
                <w:bCs/>
              </w:rPr>
            </w:pPr>
            <w:r>
              <w:rPr>
                <w:rFonts w:hint="eastAsia" w:ascii="宋体" w:hAnsi="宋体" w:cs="宋体"/>
                <w:bCs/>
              </w:rPr>
              <w:t>评审因素</w:t>
            </w:r>
          </w:p>
        </w:tc>
        <w:tc>
          <w:tcPr>
            <w:tcW w:w="6598" w:type="dxa"/>
            <w:noWrap w:val="0"/>
            <w:tcMar>
              <w:top w:w="0" w:type="dxa"/>
              <w:left w:w="108" w:type="dxa"/>
              <w:bottom w:w="0" w:type="dxa"/>
              <w:right w:w="108" w:type="dxa"/>
            </w:tcMar>
            <w:vAlign w:val="center"/>
          </w:tcPr>
          <w:p>
            <w:pPr>
              <w:adjustRightInd w:val="0"/>
              <w:snapToGrid w:val="0"/>
              <w:spacing w:line="360" w:lineRule="auto"/>
              <w:jc w:val="center"/>
              <w:rPr>
                <w:rFonts w:ascii="宋体" w:hAnsi="宋体" w:cs="宋体"/>
                <w:bCs/>
              </w:rPr>
            </w:pPr>
            <w:r>
              <w:rPr>
                <w:rFonts w:hint="eastAsia" w:ascii="宋体" w:hAnsi="宋体" w:cs="宋体"/>
                <w:bCs/>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14" w:hRule="atLeast"/>
          <w:jc w:val="center"/>
        </w:trPr>
        <w:tc>
          <w:tcPr>
            <w:tcW w:w="851" w:type="dxa"/>
            <w:noWrap w:val="0"/>
            <w:tcMar>
              <w:top w:w="0" w:type="dxa"/>
              <w:left w:w="108" w:type="dxa"/>
              <w:bottom w:w="0" w:type="dxa"/>
              <w:right w:w="108" w:type="dxa"/>
            </w:tcMar>
            <w:vAlign w:val="center"/>
          </w:tcPr>
          <w:p>
            <w:pPr>
              <w:widowControl/>
              <w:spacing w:line="320" w:lineRule="exact"/>
              <w:jc w:val="center"/>
              <w:rPr>
                <w:rFonts w:hint="eastAsia" w:ascii="宋体" w:hAnsi="宋体" w:eastAsia="宋体" w:cs="宋体"/>
                <w:bCs/>
                <w:lang w:eastAsia="zh-CN"/>
              </w:rPr>
            </w:pPr>
            <w:r>
              <w:rPr>
                <w:rFonts w:hint="eastAsia" w:ascii="宋体" w:hAnsi="宋体" w:cs="宋体"/>
                <w:bCs/>
                <w:lang w:val="en-US" w:eastAsia="zh-CN"/>
              </w:rPr>
              <w:t>价格</w:t>
            </w:r>
          </w:p>
        </w:tc>
        <w:tc>
          <w:tcPr>
            <w:tcW w:w="1724" w:type="dxa"/>
            <w:noWrap w:val="0"/>
            <w:tcMar>
              <w:top w:w="0" w:type="dxa"/>
              <w:left w:w="108" w:type="dxa"/>
              <w:bottom w:w="0" w:type="dxa"/>
              <w:right w:w="108" w:type="dxa"/>
            </w:tcMar>
            <w:vAlign w:val="center"/>
          </w:tcPr>
          <w:p>
            <w:pPr>
              <w:adjustRightInd w:val="0"/>
              <w:snapToGrid w:val="0"/>
              <w:spacing w:line="360" w:lineRule="auto"/>
              <w:jc w:val="center"/>
              <w:rPr>
                <w:rFonts w:hint="eastAsia" w:ascii="宋体" w:hAnsi="宋体" w:eastAsia="宋体" w:cs="宋体"/>
                <w:bCs/>
                <w:color w:val="auto"/>
                <w:lang w:eastAsia="zh-CN"/>
              </w:rPr>
            </w:pPr>
            <w:r>
              <w:rPr>
                <w:rFonts w:hint="eastAsia" w:ascii="宋体" w:hAnsi="宋体" w:cs="宋体"/>
                <w:bCs/>
                <w:color w:val="auto"/>
              </w:rPr>
              <w:t>报价</w:t>
            </w:r>
            <w:r>
              <w:rPr>
                <w:rFonts w:hint="eastAsia" w:ascii="宋体" w:hAnsi="宋体" w:cs="宋体"/>
                <w:bCs/>
                <w:color w:val="auto"/>
                <w:lang w:eastAsia="zh-CN"/>
              </w:rPr>
              <w:t>（</w:t>
            </w:r>
            <w:r>
              <w:rPr>
                <w:rFonts w:hint="eastAsia" w:ascii="宋体" w:hAnsi="宋体" w:cs="宋体"/>
                <w:bCs/>
                <w:color w:val="auto"/>
                <w:u w:val="none"/>
                <w:lang w:val="en-US" w:eastAsia="zh-CN"/>
              </w:rPr>
              <w:t>5</w:t>
            </w:r>
            <w:r>
              <w:rPr>
                <w:rFonts w:hint="eastAsia" w:ascii="宋体" w:hAnsi="宋体" w:cs="宋体"/>
                <w:bCs/>
                <w:color w:val="auto"/>
                <w:u w:val="none"/>
              </w:rPr>
              <w:t>0</w:t>
            </w:r>
            <w:r>
              <w:rPr>
                <w:rFonts w:hint="eastAsia" w:ascii="宋体" w:hAnsi="宋体" w:cs="宋体"/>
                <w:bCs/>
                <w:color w:val="auto"/>
              </w:rPr>
              <w:t>分</w:t>
            </w:r>
            <w:r>
              <w:rPr>
                <w:rFonts w:hint="eastAsia" w:ascii="宋体" w:hAnsi="宋体" w:cs="宋体"/>
                <w:bCs/>
                <w:color w:val="auto"/>
                <w:lang w:eastAsia="zh-CN"/>
              </w:rPr>
              <w:t>）</w:t>
            </w:r>
          </w:p>
        </w:tc>
        <w:tc>
          <w:tcPr>
            <w:tcW w:w="6598" w:type="dxa"/>
            <w:noWrap w:val="0"/>
            <w:tcMar>
              <w:top w:w="0" w:type="dxa"/>
              <w:left w:w="108" w:type="dxa"/>
              <w:bottom w:w="0" w:type="dxa"/>
              <w:right w:w="108" w:type="dxa"/>
            </w:tcMar>
            <w:vAlign w:val="center"/>
          </w:tcPr>
          <w:p>
            <w:pPr>
              <w:pStyle w:val="22"/>
              <w:ind w:left="0" w:leftChars="0" w:firstLine="0" w:firstLineChars="0"/>
              <w:rPr>
                <w:rFonts w:hint="eastAsia" w:ascii="宋体" w:hAnsi="宋体" w:eastAsia="宋体" w:cs="宋体"/>
                <w:bCs/>
                <w:color w:val="FF0000"/>
                <w:kern w:val="2"/>
                <w:sz w:val="21"/>
                <w:szCs w:val="21"/>
                <w:lang w:val="en-US" w:eastAsia="zh-CN" w:bidi="ar-SA"/>
              </w:rPr>
            </w:pPr>
            <w:r>
              <w:rPr>
                <w:rFonts w:hint="eastAsia" w:ascii="宋体" w:hAnsi="宋体" w:eastAsia="宋体" w:cs="宋体"/>
                <w:bCs/>
                <w:color w:val="FF0000"/>
                <w:kern w:val="2"/>
                <w:sz w:val="21"/>
                <w:szCs w:val="21"/>
                <w:lang w:val="en-US" w:eastAsia="zh-CN" w:bidi="ar-SA"/>
              </w:rPr>
              <w:t>满足招标文件要求且投标价格最低的投标报价为评标基准价，其价格分为满分。</w:t>
            </w:r>
          </w:p>
          <w:p>
            <w:pPr>
              <w:snapToGrid w:val="0"/>
              <w:spacing w:before="72" w:beforeLines="30" w:after="72" w:afterLines="30"/>
              <w:ind w:right="105" w:rightChars="50"/>
              <w:rPr>
                <w:rFonts w:ascii="宋体" w:hAnsi="宋体" w:cs="宋体"/>
                <w:bCs/>
                <w:color w:val="auto"/>
              </w:rPr>
            </w:pPr>
            <w:r>
              <w:rPr>
                <w:rFonts w:hint="eastAsia" w:ascii="宋体" w:hAnsi="宋体" w:cs="宋体"/>
                <w:bCs/>
                <w:color w:val="auto"/>
              </w:rPr>
              <w:t>凡总报价中有漏项、缺项、报价不全者</w:t>
            </w:r>
            <w:r>
              <w:rPr>
                <w:rFonts w:hint="eastAsia" w:ascii="宋体" w:hAnsi="宋体" w:cs="宋体"/>
                <w:bCs/>
                <w:color w:val="auto"/>
                <w:lang w:eastAsia="zh-CN"/>
              </w:rPr>
              <w:t>、</w:t>
            </w:r>
            <w:r>
              <w:rPr>
                <w:rFonts w:hint="eastAsia" w:ascii="宋体" w:hAnsi="宋体" w:cs="宋体"/>
                <w:bCs/>
                <w:color w:val="auto"/>
                <w:lang w:val="en-US" w:eastAsia="zh-CN"/>
              </w:rPr>
              <w:t>报价超限价者视为无效投标</w:t>
            </w:r>
            <w:r>
              <w:rPr>
                <w:rFonts w:hint="eastAsia" w:ascii="宋体" w:hAnsi="宋体" w:cs="宋体"/>
                <w:bCs/>
                <w:color w:val="auto"/>
              </w:rPr>
              <w:t>，不参与评标基准价的运算。</w:t>
            </w:r>
          </w:p>
          <w:p>
            <w:pPr>
              <w:snapToGrid w:val="0"/>
              <w:spacing w:before="72" w:beforeLines="30" w:after="72" w:afterLines="30"/>
              <w:ind w:right="105" w:rightChars="50"/>
              <w:rPr>
                <w:rFonts w:ascii="宋体" w:hAnsi="宋体" w:cs="宋体"/>
                <w:bCs/>
                <w:color w:val="auto"/>
              </w:rPr>
            </w:pPr>
            <w:r>
              <w:rPr>
                <w:rFonts w:hint="eastAsia" w:ascii="宋体" w:hAnsi="宋体" w:cs="宋体"/>
                <w:bCs/>
                <w:color w:val="auto"/>
              </w:rPr>
              <w:t>其他经评审合格的报价公式：</w:t>
            </w:r>
          </w:p>
          <w:p>
            <w:pPr>
              <w:snapToGrid w:val="0"/>
              <w:spacing w:before="72" w:beforeLines="30" w:after="72" w:afterLines="30"/>
              <w:ind w:right="105" w:rightChars="50"/>
              <w:rPr>
                <w:rFonts w:ascii="宋体" w:hAnsi="宋体" w:cs="宋体"/>
                <w:bCs/>
                <w:color w:val="auto"/>
              </w:rPr>
            </w:pPr>
            <w:r>
              <w:rPr>
                <w:rFonts w:hint="eastAsia" w:ascii="宋体" w:hAnsi="宋体" w:cs="宋体"/>
                <w:bCs/>
                <w:color w:val="FF0000"/>
              </w:rPr>
              <w:t>投标报价得分=(评标基准价/投标报价)</w:t>
            </w:r>
            <w:r>
              <w:rPr>
                <w:rFonts w:hint="eastAsia" w:ascii="宋体" w:hAnsi="宋体" w:cs="宋体"/>
                <w:bCs/>
                <w:color w:val="FF0000"/>
                <w:lang w:val="en-US" w:eastAsia="zh-CN"/>
              </w:rPr>
              <w:t>X50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760" w:hRule="atLeast"/>
          <w:jc w:val="center"/>
        </w:trPr>
        <w:tc>
          <w:tcPr>
            <w:tcW w:w="851" w:type="dxa"/>
            <w:vMerge w:val="restart"/>
            <w:noWrap w:val="0"/>
            <w:tcMar>
              <w:top w:w="0" w:type="dxa"/>
              <w:left w:w="108" w:type="dxa"/>
              <w:bottom w:w="0" w:type="dxa"/>
              <w:right w:w="108" w:type="dxa"/>
            </w:tcMar>
            <w:vAlign w:val="center"/>
          </w:tcPr>
          <w:p>
            <w:pPr>
              <w:widowControl/>
              <w:spacing w:line="320" w:lineRule="exact"/>
              <w:jc w:val="center"/>
              <w:rPr>
                <w:rFonts w:hint="default" w:ascii="宋体" w:hAnsi="宋体" w:eastAsia="宋体" w:cs="宋体"/>
                <w:bCs/>
                <w:lang w:val="en-US" w:eastAsia="zh-CN"/>
              </w:rPr>
            </w:pPr>
            <w:r>
              <w:rPr>
                <w:rFonts w:hint="eastAsia" w:ascii="宋体" w:hAnsi="宋体" w:cs="宋体"/>
                <w:bCs/>
                <w:lang w:val="en-US" w:eastAsia="zh-CN"/>
              </w:rPr>
              <w:t>商务</w:t>
            </w:r>
          </w:p>
        </w:tc>
        <w:tc>
          <w:tcPr>
            <w:tcW w:w="1724" w:type="dxa"/>
            <w:noWrap w:val="0"/>
            <w:tcMar>
              <w:top w:w="0" w:type="dxa"/>
              <w:left w:w="108" w:type="dxa"/>
              <w:bottom w:w="0" w:type="dxa"/>
              <w:right w:w="108" w:type="dxa"/>
            </w:tcMar>
            <w:vAlign w:val="center"/>
          </w:tcPr>
          <w:p>
            <w:pPr>
              <w:spacing w:line="320" w:lineRule="exact"/>
              <w:jc w:val="center"/>
              <w:rPr>
                <w:rFonts w:ascii="宋体" w:hAnsi="宋体" w:cs="宋体"/>
                <w:bCs/>
              </w:rPr>
            </w:pPr>
            <w:r>
              <w:rPr>
                <w:rFonts w:ascii="宋体" w:hAnsi="宋体" w:cs="宋体"/>
                <w:sz w:val="22"/>
                <w:szCs w:val="22"/>
              </w:rPr>
              <w:t>仓储实力</w:t>
            </w:r>
            <w:r>
              <w:rPr>
                <w:rFonts w:hint="eastAsia" w:ascii="宋体" w:hAnsi="宋体" w:cs="宋体"/>
                <w:bCs/>
              </w:rPr>
              <w:t>（1</w:t>
            </w:r>
            <w:r>
              <w:rPr>
                <w:rFonts w:hint="eastAsia" w:ascii="宋体" w:hAnsi="宋体" w:cs="宋体"/>
                <w:bCs/>
                <w:lang w:val="en-US" w:eastAsia="zh-CN"/>
              </w:rPr>
              <w:t>0</w:t>
            </w:r>
            <w:r>
              <w:rPr>
                <w:rFonts w:hint="eastAsia" w:ascii="宋体" w:hAnsi="宋体" w:cs="宋体"/>
                <w:bCs/>
              </w:rPr>
              <w:t>分）</w:t>
            </w:r>
          </w:p>
        </w:tc>
        <w:tc>
          <w:tcPr>
            <w:tcW w:w="6598" w:type="dxa"/>
            <w:noWrap w:val="0"/>
            <w:tcMar>
              <w:top w:w="0" w:type="dxa"/>
              <w:left w:w="108" w:type="dxa"/>
              <w:bottom w:w="0" w:type="dxa"/>
              <w:right w:w="108" w:type="dxa"/>
            </w:tcMar>
            <w:vAlign w:val="center"/>
          </w:tcPr>
          <w:p>
            <w:pPr>
              <w:pStyle w:val="2"/>
              <w:ind w:firstLine="0" w:firstLineChars="0"/>
              <w:rPr>
                <w:lang w:val="ru-RU"/>
              </w:rPr>
            </w:pPr>
            <w:r>
              <w:rPr>
                <w:lang w:val="ru-RU"/>
              </w:rPr>
              <w:t>供应商具备优质履约的储存及备货能力的得</w:t>
            </w:r>
            <w:r>
              <w:rPr>
                <w:rFonts w:hint="eastAsia"/>
                <w:lang w:val="en-US" w:eastAsia="zh-CN"/>
              </w:rPr>
              <w:t>10</w:t>
            </w:r>
            <w:r>
              <w:rPr>
                <w:lang w:val="ru-RU"/>
              </w:rPr>
              <w:t>分。</w:t>
            </w:r>
          </w:p>
          <w:p>
            <w:pPr>
              <w:adjustRightInd w:val="0"/>
              <w:snapToGrid w:val="0"/>
              <w:spacing w:line="400" w:lineRule="exact"/>
              <w:rPr>
                <w:lang w:val="ru-RU"/>
              </w:rPr>
            </w:pPr>
            <w:r>
              <w:rPr>
                <w:lang w:val="ru-RU"/>
              </w:rPr>
              <w:t>提供储存和备货场地的证明文件（如：</w:t>
            </w:r>
            <w:r>
              <w:rPr>
                <w:rFonts w:hint="eastAsia"/>
                <w:lang w:val="en-US" w:eastAsia="zh-CN"/>
              </w:rPr>
              <w:t>租赁</w:t>
            </w:r>
            <w:r>
              <w:rPr>
                <w:lang w:val="ru-RU"/>
              </w:rPr>
              <w:t>合同或所有权证明</w:t>
            </w:r>
            <w:r>
              <w:rPr>
                <w:rFonts w:hint="eastAsia"/>
                <w:lang w:val="ru-RU"/>
              </w:rPr>
              <w:t>，</w:t>
            </w:r>
            <w:r>
              <w:rPr>
                <w:rFonts w:hint="eastAsia"/>
              </w:rPr>
              <w:t>且证明文件的有效期应覆盖</w:t>
            </w:r>
            <w:r>
              <w:rPr>
                <w:rFonts w:hint="eastAsia"/>
                <w:lang w:val="en-US" w:eastAsia="zh-CN"/>
              </w:rPr>
              <w:t>开标日期，如合同有效期未能覆盖合同履行期，投标人须额外提供承诺函</w:t>
            </w:r>
            <w:r>
              <w:rPr>
                <w:lang w:val="ru-RU"/>
              </w:rPr>
              <w:t>）和场地照片并加盖公章，未提供或未按要求提供的不计分。</w:t>
            </w:r>
          </w:p>
          <w:p>
            <w:pPr>
              <w:adjustRightInd w:val="0"/>
              <w:snapToGrid w:val="0"/>
              <w:spacing w:line="400" w:lineRule="exact"/>
              <w:rPr>
                <w:rFonts w:hint="eastAsia"/>
                <w:lang w:eastAsia="zh-CN"/>
              </w:rPr>
            </w:pPr>
            <w:r>
              <w:rPr>
                <w:rFonts w:hint="eastAsia" w:ascii="宋体" w:hAnsi="宋体"/>
                <w:b/>
                <w:sz w:val="22"/>
                <w:szCs w:val="22"/>
              </w:rPr>
              <w:t>以上资料均须加盖供应商公章，未提供或未按要求提供的不计分</w:t>
            </w:r>
            <w:r>
              <w:rPr>
                <w:rFonts w:hint="eastAsia" w:ascii="宋体" w:hAnsi="宋体"/>
                <w:b/>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51" w:hRule="atLeast"/>
          <w:jc w:val="center"/>
        </w:trPr>
        <w:tc>
          <w:tcPr>
            <w:tcW w:w="851" w:type="dxa"/>
            <w:vMerge w:val="continue"/>
            <w:noWrap w:val="0"/>
            <w:tcMar>
              <w:top w:w="0" w:type="dxa"/>
              <w:left w:w="108" w:type="dxa"/>
              <w:bottom w:w="0" w:type="dxa"/>
              <w:right w:w="108" w:type="dxa"/>
            </w:tcMar>
            <w:vAlign w:val="center"/>
          </w:tcPr>
          <w:p>
            <w:pPr>
              <w:adjustRightInd w:val="0"/>
              <w:snapToGrid w:val="0"/>
              <w:spacing w:line="360" w:lineRule="auto"/>
              <w:jc w:val="center"/>
              <w:rPr>
                <w:rFonts w:ascii="宋体" w:hAnsi="宋体" w:cs="宋体"/>
                <w:bCs/>
              </w:rPr>
            </w:pPr>
          </w:p>
        </w:tc>
        <w:tc>
          <w:tcPr>
            <w:tcW w:w="1724" w:type="dxa"/>
            <w:noWrap w:val="0"/>
            <w:tcMar>
              <w:top w:w="0" w:type="dxa"/>
              <w:left w:w="108" w:type="dxa"/>
              <w:bottom w:w="0" w:type="dxa"/>
              <w:right w:w="108" w:type="dxa"/>
            </w:tcMar>
            <w:vAlign w:val="center"/>
          </w:tcPr>
          <w:p>
            <w:pPr>
              <w:spacing w:line="320" w:lineRule="exact"/>
              <w:jc w:val="center"/>
              <w:rPr>
                <w:rFonts w:ascii="宋体" w:hAnsi="宋体" w:cs="宋体"/>
                <w:bCs/>
              </w:rPr>
            </w:pPr>
            <w:r>
              <w:rPr>
                <w:rFonts w:hint="eastAsia" w:cs="宋体"/>
                <w:szCs w:val="21"/>
              </w:rPr>
              <w:t>配送实力</w:t>
            </w:r>
            <w:r>
              <w:rPr>
                <w:rFonts w:hint="eastAsia" w:ascii="宋体" w:hAnsi="宋体" w:cs="宋体"/>
                <w:bCs/>
                <w:color w:val="000000"/>
              </w:rPr>
              <w:t>（</w:t>
            </w:r>
            <w:r>
              <w:rPr>
                <w:rFonts w:hint="eastAsia" w:ascii="宋体" w:hAnsi="宋体" w:cs="宋体"/>
                <w:bCs/>
                <w:color w:val="000000"/>
                <w:lang w:val="en-US" w:eastAsia="zh-CN"/>
              </w:rPr>
              <w:t>10</w:t>
            </w:r>
            <w:r>
              <w:rPr>
                <w:rFonts w:hint="eastAsia" w:ascii="宋体" w:hAnsi="宋体" w:cs="宋体"/>
                <w:bCs/>
                <w:color w:val="000000"/>
              </w:rPr>
              <w:t>分）</w:t>
            </w:r>
          </w:p>
        </w:tc>
        <w:tc>
          <w:tcPr>
            <w:tcW w:w="6598" w:type="dxa"/>
            <w:noWrap w:val="0"/>
            <w:tcMar>
              <w:top w:w="0" w:type="dxa"/>
              <w:left w:w="108" w:type="dxa"/>
              <w:bottom w:w="0" w:type="dxa"/>
              <w:right w:w="108" w:type="dxa"/>
            </w:tcMar>
            <w:vAlign w:val="center"/>
          </w:tcPr>
          <w:p>
            <w:pPr>
              <w:adjustRightInd w:val="0"/>
              <w:snapToGrid w:val="0"/>
              <w:jc w:val="left"/>
              <w:rPr>
                <w:rFonts w:hint="eastAsia" w:ascii="宋体" w:hAnsi="宋体"/>
                <w:bCs/>
                <w:sz w:val="22"/>
                <w:szCs w:val="22"/>
              </w:rPr>
            </w:pPr>
            <w:r>
              <w:rPr>
                <w:rFonts w:hint="eastAsia" w:ascii="宋体" w:hAnsi="宋体"/>
                <w:bCs/>
                <w:sz w:val="22"/>
                <w:szCs w:val="22"/>
              </w:rPr>
              <w:t>供应商能提供优质的配送服务，具备能满足项目需求的运输配送的交通工具的计</w:t>
            </w:r>
            <w:r>
              <w:rPr>
                <w:rFonts w:hint="eastAsia" w:ascii="宋体" w:hAnsi="宋体"/>
                <w:bCs/>
                <w:sz w:val="22"/>
                <w:szCs w:val="22"/>
                <w:lang w:val="en-US" w:eastAsia="zh-CN"/>
              </w:rPr>
              <w:t>10</w:t>
            </w:r>
            <w:r>
              <w:rPr>
                <w:rFonts w:hint="eastAsia" w:ascii="宋体" w:hAnsi="宋体"/>
                <w:bCs/>
                <w:sz w:val="22"/>
                <w:szCs w:val="22"/>
              </w:rPr>
              <w:t>分。</w:t>
            </w:r>
          </w:p>
          <w:p>
            <w:pPr>
              <w:adjustRightInd w:val="0"/>
              <w:snapToGrid w:val="0"/>
              <w:jc w:val="left"/>
              <w:rPr>
                <w:rFonts w:hint="eastAsia" w:ascii="宋体" w:hAnsi="宋体"/>
                <w:bCs/>
                <w:sz w:val="22"/>
                <w:szCs w:val="22"/>
              </w:rPr>
            </w:pPr>
            <w:r>
              <w:rPr>
                <w:rFonts w:hint="eastAsia" w:ascii="宋体" w:hAnsi="宋体"/>
                <w:bCs/>
                <w:sz w:val="22"/>
                <w:szCs w:val="22"/>
              </w:rPr>
              <w:t>提供运输配送的交通工具证明文件（如：租赁的提供租赁合同及运输配送的交通工具证件或购买凭证、自有的提供运输配送的交通工具证件或购买凭证等）、运输配送的交通工具照片。</w:t>
            </w:r>
          </w:p>
          <w:p>
            <w:pPr>
              <w:pStyle w:val="22"/>
              <w:ind w:left="0" w:leftChars="0" w:firstLine="0" w:firstLineChars="0"/>
              <w:rPr>
                <w:rFonts w:hint="default" w:ascii="宋体" w:hAnsi="宋体" w:cs="宋体"/>
                <w:bCs/>
                <w:color w:val="FF0000"/>
                <w:lang w:val="en-US" w:eastAsia="zh-CN"/>
              </w:rPr>
            </w:pPr>
            <w:r>
              <w:rPr>
                <w:rFonts w:hint="eastAsia" w:ascii="宋体" w:hAnsi="宋体"/>
                <w:b/>
                <w:sz w:val="22"/>
                <w:szCs w:val="22"/>
              </w:rPr>
              <w:t>以上资料均须加盖供应商公章，未提供或未按要求提供的不计分</w:t>
            </w:r>
            <w:r>
              <w:rPr>
                <w:rFonts w:hint="eastAsia" w:ascii="宋体" w:hAnsi="宋体"/>
                <w:b/>
                <w:sz w:val="22"/>
                <w:szCs w:val="2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789" w:hRule="atLeast"/>
          <w:jc w:val="center"/>
        </w:trPr>
        <w:tc>
          <w:tcPr>
            <w:tcW w:w="851" w:type="dxa"/>
            <w:vMerge w:val="continue"/>
            <w:noWrap w:val="0"/>
            <w:tcMar>
              <w:top w:w="0" w:type="dxa"/>
              <w:left w:w="108" w:type="dxa"/>
              <w:bottom w:w="0" w:type="dxa"/>
              <w:right w:w="108" w:type="dxa"/>
            </w:tcMar>
            <w:vAlign w:val="center"/>
          </w:tcPr>
          <w:p>
            <w:pPr>
              <w:adjustRightInd w:val="0"/>
              <w:snapToGrid w:val="0"/>
              <w:spacing w:line="360" w:lineRule="auto"/>
              <w:jc w:val="center"/>
              <w:rPr>
                <w:rFonts w:ascii="宋体" w:hAnsi="宋体" w:cs="宋体"/>
                <w:bCs/>
              </w:rPr>
            </w:pPr>
          </w:p>
        </w:tc>
        <w:tc>
          <w:tcPr>
            <w:tcW w:w="1724" w:type="dxa"/>
            <w:noWrap w:val="0"/>
            <w:tcMar>
              <w:top w:w="0" w:type="dxa"/>
              <w:left w:w="108" w:type="dxa"/>
              <w:bottom w:w="0" w:type="dxa"/>
              <w:right w:w="108" w:type="dxa"/>
            </w:tcMar>
            <w:vAlign w:val="center"/>
          </w:tcPr>
          <w:p>
            <w:pPr>
              <w:pStyle w:val="9"/>
              <w:rPr>
                <w:rFonts w:ascii="宋体" w:hAnsi="宋体" w:cs="宋体"/>
                <w:bCs/>
              </w:rPr>
            </w:pPr>
            <w:r>
              <w:rPr>
                <w:rFonts w:hint="eastAsia" w:ascii="宋体" w:hAnsi="宋体" w:cs="宋体"/>
                <w:spacing w:val="-3"/>
                <w:sz w:val="22"/>
                <w:szCs w:val="22"/>
              </w:rPr>
              <w:t>业绩</w:t>
            </w:r>
            <w:r>
              <w:rPr>
                <w:rFonts w:hint="eastAsia" w:ascii="宋体" w:hAnsi="宋体" w:cs="宋体"/>
                <w:bCs/>
              </w:rPr>
              <w:t>（</w:t>
            </w:r>
            <w:r>
              <w:rPr>
                <w:rFonts w:hint="eastAsia" w:ascii="宋体" w:hAnsi="宋体" w:cs="宋体"/>
                <w:bCs/>
                <w:lang w:val="en-US" w:eastAsia="zh-CN"/>
              </w:rPr>
              <w:t>10</w:t>
            </w:r>
            <w:r>
              <w:rPr>
                <w:rFonts w:hint="eastAsia" w:ascii="宋体" w:hAnsi="宋体" w:cs="宋体"/>
                <w:bCs/>
              </w:rPr>
              <w:t>分）</w:t>
            </w:r>
          </w:p>
        </w:tc>
        <w:tc>
          <w:tcPr>
            <w:tcW w:w="6598" w:type="dxa"/>
            <w:noWrap w:val="0"/>
            <w:tcMar>
              <w:top w:w="0" w:type="dxa"/>
              <w:left w:w="108" w:type="dxa"/>
              <w:bottom w:w="0" w:type="dxa"/>
              <w:right w:w="108" w:type="dxa"/>
            </w:tcMar>
            <w:vAlign w:val="center"/>
          </w:tcPr>
          <w:p>
            <w:pPr>
              <w:adjustRightInd w:val="0"/>
              <w:snapToGrid w:val="0"/>
              <w:jc w:val="left"/>
              <w:rPr>
                <w:rFonts w:ascii="宋体" w:hAnsi="宋体"/>
                <w:bCs/>
                <w:sz w:val="22"/>
                <w:szCs w:val="22"/>
              </w:rPr>
            </w:pPr>
            <w:r>
              <w:rPr>
                <w:rFonts w:ascii="宋体" w:hAnsi="宋体"/>
                <w:bCs/>
                <w:sz w:val="22"/>
                <w:szCs w:val="22"/>
              </w:rPr>
              <w:t>供应商近三年（响应文件递交截止之日前36个月</w:t>
            </w:r>
            <w:r>
              <w:rPr>
                <w:rFonts w:hint="eastAsia" w:ascii="宋体" w:hAnsi="宋体"/>
                <w:bCs/>
                <w:sz w:val="22"/>
                <w:szCs w:val="22"/>
              </w:rPr>
              <w:t>，以合同签订时间为准</w:t>
            </w:r>
            <w:r>
              <w:rPr>
                <w:rFonts w:ascii="宋体" w:hAnsi="宋体"/>
                <w:bCs/>
                <w:sz w:val="22"/>
                <w:szCs w:val="22"/>
              </w:rPr>
              <w:t>）承接过</w:t>
            </w:r>
            <w:r>
              <w:rPr>
                <w:rFonts w:hint="eastAsia" w:ascii="宋体" w:hAnsi="宋体"/>
                <w:bCs/>
                <w:sz w:val="22"/>
                <w:szCs w:val="22"/>
                <w:lang w:val="en-US" w:eastAsia="zh-CN"/>
              </w:rPr>
              <w:t>类似消防器材</w:t>
            </w:r>
            <w:r>
              <w:rPr>
                <w:rFonts w:ascii="宋体" w:hAnsi="宋体"/>
                <w:bCs/>
                <w:sz w:val="22"/>
                <w:szCs w:val="22"/>
              </w:rPr>
              <w:t>项目业绩，每提供一份业绩计2分，最高计</w:t>
            </w:r>
            <w:r>
              <w:rPr>
                <w:rFonts w:hint="eastAsia" w:ascii="宋体" w:hAnsi="宋体"/>
                <w:bCs/>
                <w:sz w:val="22"/>
                <w:szCs w:val="22"/>
                <w:lang w:val="en-US" w:eastAsia="zh-CN"/>
              </w:rPr>
              <w:t>10</w:t>
            </w:r>
            <w:r>
              <w:rPr>
                <w:rFonts w:ascii="宋体" w:hAnsi="宋体"/>
                <w:bCs/>
                <w:sz w:val="22"/>
                <w:szCs w:val="22"/>
              </w:rPr>
              <w:t>分。</w:t>
            </w:r>
          </w:p>
          <w:p>
            <w:pPr>
              <w:pStyle w:val="2"/>
              <w:ind w:left="0" w:leftChars="0" w:firstLine="0" w:firstLineChars="0"/>
              <w:rPr>
                <w:rFonts w:hint="eastAsia" w:ascii="宋体" w:hAnsi="宋体" w:cs="宋体"/>
                <w:bCs/>
              </w:rPr>
            </w:pPr>
            <w:r>
              <w:rPr>
                <w:rFonts w:hint="eastAsia" w:ascii="宋体" w:hAnsi="宋体"/>
                <w:b/>
                <w:sz w:val="22"/>
                <w:szCs w:val="22"/>
              </w:rPr>
              <w:t>提供合同复印件</w:t>
            </w:r>
            <w:r>
              <w:rPr>
                <w:rFonts w:hint="eastAsia" w:ascii="宋体" w:hAnsi="宋体"/>
                <w:b/>
                <w:sz w:val="22"/>
                <w:szCs w:val="22"/>
                <w:lang w:val="en-US" w:eastAsia="zh-CN"/>
              </w:rPr>
              <w:t>或中标通知书复印件</w:t>
            </w:r>
            <w:r>
              <w:rPr>
                <w:rFonts w:hint="eastAsia" w:ascii="宋体" w:hAnsi="宋体"/>
                <w:b/>
                <w:sz w:val="22"/>
                <w:szCs w:val="22"/>
              </w:rPr>
              <w:t>并加盖供应商公章，未提供或者未按要求提供的不计分。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0" w:hRule="atLeast"/>
          <w:jc w:val="center"/>
        </w:trPr>
        <w:tc>
          <w:tcPr>
            <w:tcW w:w="851" w:type="dxa"/>
            <w:vMerge w:val="restart"/>
            <w:noWrap w:val="0"/>
            <w:vAlign w:val="center"/>
          </w:tcPr>
          <w:p>
            <w:pPr>
              <w:widowControl/>
              <w:rPr>
                <w:rFonts w:hint="default" w:ascii="宋体" w:hAnsi="宋体" w:eastAsia="宋体" w:cs="宋体"/>
                <w:bCs/>
                <w:lang w:val="en-US" w:eastAsia="zh-CN"/>
              </w:rPr>
            </w:pPr>
            <w:r>
              <w:rPr>
                <w:rFonts w:hint="eastAsia" w:ascii="宋体" w:hAnsi="宋体" w:cs="宋体"/>
                <w:bCs/>
                <w:lang w:val="en-US" w:eastAsia="zh-CN"/>
              </w:rPr>
              <w:t>技术</w:t>
            </w:r>
          </w:p>
        </w:tc>
        <w:tc>
          <w:tcPr>
            <w:tcW w:w="1724" w:type="dxa"/>
            <w:noWrap w:val="0"/>
            <w:tcMar>
              <w:top w:w="0" w:type="dxa"/>
              <w:left w:w="108" w:type="dxa"/>
              <w:bottom w:w="0" w:type="dxa"/>
              <w:right w:w="108" w:type="dxa"/>
            </w:tcMar>
            <w:vAlign w:val="center"/>
          </w:tcPr>
          <w:p>
            <w:pPr>
              <w:keepNext w:val="0"/>
              <w:keepLines w:val="0"/>
              <w:widowControl/>
              <w:suppressLineNumbers w:val="0"/>
              <w:jc w:val="center"/>
              <w:rPr>
                <w:rFonts w:hint="eastAsia" w:ascii="宋体" w:hAnsi="宋体" w:cs="宋体"/>
                <w:bCs/>
              </w:rPr>
            </w:pPr>
            <w:r>
              <w:rPr>
                <w:rFonts w:ascii="宋体" w:hAnsi="Calibri" w:cs="宋体"/>
                <w:kern w:val="0"/>
                <w:szCs w:val="21"/>
              </w:rPr>
              <w:t>项目服务管理方案</w:t>
            </w:r>
            <w:r>
              <w:rPr>
                <w:rFonts w:hint="eastAsia" w:ascii="宋体" w:hAnsi="宋体" w:eastAsia="宋体" w:cs="宋体"/>
                <w:color w:val="000000"/>
                <w:kern w:val="0"/>
                <w:sz w:val="21"/>
                <w:szCs w:val="21"/>
                <w:lang w:val="en-US" w:eastAsia="zh-CN" w:bidi="ar"/>
              </w:rPr>
              <w:t>（</w:t>
            </w:r>
            <w:r>
              <w:rPr>
                <w:rFonts w:hint="eastAsia" w:ascii="宋体" w:hAnsi="宋体" w:cs="宋体"/>
                <w:color w:val="000000"/>
                <w:kern w:val="0"/>
                <w:sz w:val="21"/>
                <w:szCs w:val="21"/>
                <w:lang w:val="en-US" w:eastAsia="zh-CN" w:bidi="ar"/>
              </w:rPr>
              <w:t>10</w:t>
            </w:r>
            <w:r>
              <w:rPr>
                <w:rFonts w:hint="eastAsia" w:ascii="宋体" w:hAnsi="宋体" w:eastAsia="宋体" w:cs="宋体"/>
                <w:color w:val="000000"/>
                <w:kern w:val="0"/>
                <w:sz w:val="21"/>
                <w:szCs w:val="21"/>
                <w:lang w:val="en-US" w:eastAsia="zh-CN" w:bidi="ar"/>
              </w:rPr>
              <w:t>分）</w:t>
            </w:r>
          </w:p>
        </w:tc>
        <w:tc>
          <w:tcPr>
            <w:tcW w:w="6598" w:type="dxa"/>
            <w:noWrap w:val="0"/>
            <w:tcMar>
              <w:top w:w="0" w:type="dxa"/>
              <w:left w:w="108" w:type="dxa"/>
              <w:bottom w:w="0" w:type="dxa"/>
              <w:right w:w="108" w:type="dxa"/>
            </w:tcMar>
            <w:vAlign w:val="center"/>
          </w:tcPr>
          <w:p>
            <w:pPr>
              <w:keepNext w:val="0"/>
              <w:keepLines w:val="0"/>
              <w:widowControl/>
              <w:suppressLineNumbers w:val="0"/>
              <w:jc w:val="left"/>
              <w:rPr>
                <w:rFonts w:hint="eastAsia" w:ascii="宋体" w:hAnsi="宋体" w:cs="宋体"/>
                <w:bCs/>
              </w:rPr>
            </w:pPr>
            <w:r>
              <w:rPr>
                <w:rFonts w:hint="eastAsia" w:ascii="宋体" w:hAnsi="宋体" w:cs="宋体"/>
                <w:kern w:val="0"/>
                <w:sz w:val="22"/>
                <w:szCs w:val="22"/>
                <w:lang w:bidi="ar"/>
              </w:rPr>
              <w:t>根据采购需求，供应商需提供针对本项目的</w:t>
            </w:r>
            <w:r>
              <w:rPr>
                <w:rFonts w:ascii="宋体" w:hAnsi="宋体" w:cs="宋体"/>
                <w:kern w:val="0"/>
                <w:sz w:val="22"/>
                <w:szCs w:val="22"/>
                <w:lang w:bidi="ar"/>
              </w:rPr>
              <w:t>项目服务管理方案</w:t>
            </w:r>
            <w:r>
              <w:rPr>
                <w:rFonts w:hint="eastAsia" w:ascii="宋体" w:hAnsi="宋体" w:cs="宋体"/>
                <w:kern w:val="0"/>
                <w:sz w:val="22"/>
                <w:szCs w:val="22"/>
                <w:lang w:bidi="ar"/>
              </w:rPr>
              <w:t>，包括但不限于①</w:t>
            </w:r>
            <w:r>
              <w:rPr>
                <w:rFonts w:ascii="宋体" w:hAnsi="宋体" w:cs="宋体"/>
                <w:kern w:val="0"/>
                <w:sz w:val="22"/>
                <w:szCs w:val="22"/>
                <w:lang w:bidi="ar"/>
              </w:rPr>
              <w:t>项目</w:t>
            </w:r>
            <w:r>
              <w:rPr>
                <w:rFonts w:hint="eastAsia" w:ascii="宋体" w:hAnsi="宋体" w:cs="宋体"/>
                <w:kern w:val="0"/>
                <w:sz w:val="22"/>
                <w:szCs w:val="22"/>
                <w:lang w:val="en-US" w:eastAsia="zh-CN" w:bidi="ar"/>
              </w:rPr>
              <w:t>整体</w:t>
            </w:r>
            <w:r>
              <w:rPr>
                <w:rFonts w:ascii="宋体" w:hAnsi="宋体" w:cs="宋体"/>
                <w:kern w:val="0"/>
                <w:sz w:val="22"/>
                <w:szCs w:val="22"/>
                <w:lang w:bidi="ar"/>
              </w:rPr>
              <w:t>服务流程、</w:t>
            </w:r>
            <w:r>
              <w:rPr>
                <w:rFonts w:hint="eastAsia" w:ascii="宋体" w:hAnsi="宋体" w:cs="宋体"/>
                <w:kern w:val="0"/>
                <w:sz w:val="22"/>
                <w:szCs w:val="22"/>
                <w:lang w:bidi="ar"/>
              </w:rPr>
              <w:t>②</w:t>
            </w:r>
            <w:r>
              <w:rPr>
                <w:rFonts w:hint="eastAsia" w:ascii="宋体" w:hAnsi="宋体" w:cs="宋体"/>
                <w:kern w:val="0"/>
                <w:sz w:val="22"/>
                <w:szCs w:val="22"/>
                <w:lang w:val="en-US" w:eastAsia="zh-CN" w:bidi="ar"/>
              </w:rPr>
              <w:t>内部</w:t>
            </w:r>
            <w:r>
              <w:rPr>
                <w:rFonts w:ascii="宋体" w:hAnsi="宋体" w:cs="宋体"/>
                <w:kern w:val="0"/>
                <w:sz w:val="22"/>
                <w:szCs w:val="22"/>
                <w:lang w:bidi="ar"/>
              </w:rPr>
              <w:t>人员管理制度、</w:t>
            </w:r>
            <w:r>
              <w:rPr>
                <w:rFonts w:hint="eastAsia" w:ascii="宋体" w:hAnsi="宋体" w:cs="宋体"/>
                <w:kern w:val="0"/>
                <w:sz w:val="22"/>
                <w:szCs w:val="22"/>
                <w:lang w:bidi="ar"/>
              </w:rPr>
              <w:t>③</w:t>
            </w:r>
            <w:r>
              <w:rPr>
                <w:rFonts w:ascii="宋体" w:hAnsi="宋体" w:cs="宋体"/>
                <w:kern w:val="0"/>
                <w:sz w:val="22"/>
                <w:szCs w:val="22"/>
                <w:lang w:bidi="ar"/>
              </w:rPr>
              <w:t>人员配备及安排</w:t>
            </w:r>
            <w:r>
              <w:rPr>
                <w:rFonts w:hint="eastAsia" w:ascii="宋体" w:hAnsi="宋体" w:cs="宋体"/>
                <w:kern w:val="0"/>
                <w:sz w:val="22"/>
                <w:szCs w:val="22"/>
                <w:lang w:eastAsia="zh-CN" w:bidi="ar"/>
              </w:rPr>
              <w:t>、</w:t>
            </w:r>
            <w:r>
              <w:rPr>
                <w:rFonts w:hint="eastAsia" w:ascii="宋体" w:hAnsi="宋体" w:eastAsia="宋体" w:cs="宋体"/>
                <w:color w:val="auto"/>
                <w:kern w:val="0"/>
                <w:sz w:val="21"/>
                <w:szCs w:val="21"/>
                <w:highlight w:val="none"/>
                <w:lang w:val="en-US" w:eastAsia="zh-CN" w:bidi="ar"/>
              </w:rPr>
              <w:t>④项目服务承诺、⑤应急响应处置</w:t>
            </w:r>
            <w:r>
              <w:rPr>
                <w:rFonts w:hint="eastAsia" w:ascii="宋体" w:hAnsi="宋体" w:cs="宋体"/>
                <w:kern w:val="0"/>
                <w:sz w:val="22"/>
                <w:szCs w:val="22"/>
                <w:lang w:bidi="ar"/>
              </w:rPr>
              <w:t>等内容，完全满足上述要求的计1</w:t>
            </w:r>
            <w:r>
              <w:rPr>
                <w:rFonts w:hint="eastAsia" w:ascii="宋体" w:hAnsi="宋体" w:cs="宋体"/>
                <w:kern w:val="0"/>
                <w:sz w:val="22"/>
                <w:szCs w:val="22"/>
                <w:lang w:val="en-US" w:eastAsia="zh-CN" w:bidi="ar"/>
              </w:rPr>
              <w:t>0</w:t>
            </w:r>
            <w:r>
              <w:rPr>
                <w:rFonts w:hint="eastAsia" w:ascii="宋体" w:hAnsi="宋体" w:cs="宋体"/>
                <w:kern w:val="0"/>
                <w:sz w:val="22"/>
                <w:szCs w:val="22"/>
                <w:lang w:bidi="ar"/>
              </w:rPr>
              <w:t xml:space="preserve">分，每有一处缺陷扣2分，扣完为止。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35" w:hRule="atLeast"/>
          <w:jc w:val="center"/>
        </w:trPr>
        <w:tc>
          <w:tcPr>
            <w:tcW w:w="851" w:type="dxa"/>
            <w:vMerge w:val="continue"/>
            <w:noWrap w:val="0"/>
            <w:vAlign w:val="center"/>
          </w:tcPr>
          <w:p>
            <w:pPr>
              <w:widowControl/>
              <w:rPr>
                <w:rFonts w:ascii="宋体" w:hAnsi="宋体" w:cs="宋体"/>
                <w:bCs/>
              </w:rPr>
            </w:pPr>
          </w:p>
        </w:tc>
        <w:tc>
          <w:tcPr>
            <w:tcW w:w="1724" w:type="dxa"/>
            <w:noWrap w:val="0"/>
            <w:tcMar>
              <w:top w:w="0" w:type="dxa"/>
              <w:left w:w="108" w:type="dxa"/>
              <w:bottom w:w="0" w:type="dxa"/>
              <w:right w:w="108" w:type="dxa"/>
            </w:tcMar>
            <w:vAlign w:val="center"/>
          </w:tcPr>
          <w:p>
            <w:pPr>
              <w:keepNext w:val="0"/>
              <w:keepLines w:val="0"/>
              <w:widowControl/>
              <w:suppressLineNumbers w:val="0"/>
              <w:jc w:val="center"/>
              <w:rPr>
                <w:rFonts w:hint="eastAsia" w:ascii="宋体" w:hAnsi="宋体" w:eastAsia="宋体" w:cs="宋体"/>
                <w:bCs/>
                <w:lang w:eastAsia="zh-CN"/>
              </w:rPr>
            </w:pPr>
            <w:r>
              <w:rPr>
                <w:rFonts w:hint="eastAsia" w:cs="宋体"/>
                <w:szCs w:val="21"/>
              </w:rPr>
              <w:t>供货及</w:t>
            </w:r>
            <w:r>
              <w:rPr>
                <w:rFonts w:cs="宋体"/>
                <w:szCs w:val="21"/>
              </w:rPr>
              <w:t>售后服务方案</w:t>
            </w:r>
            <w:r>
              <w:rPr>
                <w:rFonts w:hint="eastAsia" w:ascii="宋体" w:hAnsi="宋体" w:cs="宋体"/>
                <w:bCs/>
                <w:lang w:eastAsia="zh-CN"/>
              </w:rPr>
              <w:t>（</w:t>
            </w:r>
            <w:r>
              <w:rPr>
                <w:rFonts w:hint="eastAsia" w:ascii="宋体" w:hAnsi="宋体" w:cs="宋体"/>
                <w:bCs/>
                <w:lang w:val="en-US" w:eastAsia="zh-CN"/>
              </w:rPr>
              <w:t>10分</w:t>
            </w:r>
            <w:r>
              <w:rPr>
                <w:rFonts w:hint="eastAsia" w:ascii="宋体" w:hAnsi="宋体" w:cs="宋体"/>
                <w:bCs/>
                <w:lang w:eastAsia="zh-CN"/>
              </w:rPr>
              <w:t>）</w:t>
            </w:r>
          </w:p>
        </w:tc>
        <w:tc>
          <w:tcPr>
            <w:tcW w:w="6598" w:type="dxa"/>
            <w:noWrap w:val="0"/>
            <w:tcMar>
              <w:top w:w="0" w:type="dxa"/>
              <w:left w:w="108" w:type="dxa"/>
              <w:bottom w:w="0" w:type="dxa"/>
              <w:right w:w="108" w:type="dxa"/>
            </w:tcMar>
            <w:vAlign w:val="center"/>
          </w:tcPr>
          <w:p>
            <w:pPr>
              <w:keepNext w:val="0"/>
              <w:keepLines w:val="0"/>
              <w:widowControl/>
              <w:suppressLineNumbers w:val="0"/>
              <w:jc w:val="left"/>
              <w:rPr>
                <w:rFonts w:hint="default"/>
                <w:lang w:val="en-US"/>
              </w:rPr>
            </w:pPr>
            <w:r>
              <w:rPr>
                <w:rFonts w:hint="eastAsia" w:ascii="宋体" w:hAnsi="宋体" w:cs="宋体"/>
                <w:kern w:val="0"/>
                <w:sz w:val="22"/>
                <w:szCs w:val="22"/>
                <w:lang w:bidi="ar"/>
              </w:rPr>
              <w:t>根据采购需求，供应商需提供针对本项目的</w:t>
            </w:r>
            <w:r>
              <w:rPr>
                <w:rFonts w:ascii="宋体" w:hAnsi="宋体" w:cs="宋体"/>
                <w:kern w:val="0"/>
                <w:sz w:val="22"/>
                <w:szCs w:val="22"/>
                <w:lang w:bidi="ar"/>
              </w:rPr>
              <w:t>售后服务及退换货方案</w:t>
            </w:r>
            <w:r>
              <w:rPr>
                <w:rFonts w:hint="eastAsia" w:ascii="宋体" w:hAnsi="宋体" w:cs="宋体"/>
                <w:kern w:val="0"/>
                <w:sz w:val="22"/>
                <w:szCs w:val="22"/>
                <w:lang w:bidi="ar"/>
              </w:rPr>
              <w:t>，包括但不限于①</w:t>
            </w:r>
            <w:r>
              <w:rPr>
                <w:rFonts w:ascii="宋体" w:hAnsi="宋体" w:cs="宋体"/>
                <w:kern w:val="0"/>
                <w:sz w:val="22"/>
                <w:szCs w:val="22"/>
                <w:lang w:bidi="ar"/>
              </w:rPr>
              <w:t>进货及采购的管理、</w:t>
            </w:r>
            <w:r>
              <w:rPr>
                <w:rFonts w:hint="eastAsia" w:ascii="宋体" w:hAnsi="宋体" w:cs="宋体"/>
                <w:kern w:val="0"/>
                <w:sz w:val="22"/>
                <w:szCs w:val="22"/>
                <w:lang w:bidi="ar"/>
              </w:rPr>
              <w:t>②商品及服务</w:t>
            </w:r>
            <w:r>
              <w:rPr>
                <w:rFonts w:ascii="宋体" w:hAnsi="宋体" w:cs="宋体"/>
                <w:kern w:val="0"/>
                <w:sz w:val="22"/>
                <w:szCs w:val="22"/>
                <w:lang w:bidi="ar"/>
              </w:rPr>
              <w:t>质量保障</w:t>
            </w:r>
            <w:r>
              <w:rPr>
                <w:rFonts w:hint="eastAsia" w:ascii="宋体" w:hAnsi="宋体" w:cs="宋体"/>
                <w:kern w:val="0"/>
                <w:sz w:val="22"/>
                <w:szCs w:val="22"/>
                <w:lang w:eastAsia="zh-CN" w:bidi="ar"/>
              </w:rPr>
              <w:t>、</w:t>
            </w:r>
            <w:r>
              <w:rPr>
                <w:rFonts w:hint="eastAsia" w:ascii="宋体" w:hAnsi="宋体" w:cs="宋体"/>
                <w:kern w:val="0"/>
                <w:sz w:val="22"/>
                <w:szCs w:val="22"/>
                <w:lang w:bidi="ar"/>
              </w:rPr>
              <w:t>③</w:t>
            </w:r>
            <w:r>
              <w:rPr>
                <w:rFonts w:ascii="宋体" w:hAnsi="宋体" w:cs="宋体"/>
                <w:kern w:val="0"/>
                <w:sz w:val="22"/>
                <w:szCs w:val="22"/>
                <w:lang w:bidi="ar"/>
              </w:rPr>
              <w:t>供货及配送安全保障</w:t>
            </w:r>
            <w:r>
              <w:rPr>
                <w:rFonts w:hint="eastAsia" w:ascii="宋体" w:hAnsi="宋体" w:cs="宋体"/>
                <w:kern w:val="0"/>
                <w:sz w:val="22"/>
                <w:szCs w:val="22"/>
                <w:lang w:val="en-US" w:eastAsia="zh-CN" w:bidi="ar"/>
              </w:rPr>
              <w:t>服务</w:t>
            </w:r>
            <w:r>
              <w:rPr>
                <w:rFonts w:hint="eastAsia" w:ascii="宋体" w:hAnsi="宋体" w:cs="宋体"/>
                <w:kern w:val="0"/>
                <w:sz w:val="22"/>
                <w:szCs w:val="22"/>
                <w:lang w:eastAsia="zh-CN" w:bidi="ar"/>
              </w:rPr>
              <w:t>、</w:t>
            </w:r>
            <w:r>
              <w:rPr>
                <w:rFonts w:hint="eastAsia" w:ascii="宋体" w:hAnsi="宋体" w:cs="宋体"/>
                <w:kern w:val="0"/>
                <w:sz w:val="22"/>
                <w:szCs w:val="22"/>
                <w:lang w:bidi="ar"/>
              </w:rPr>
              <w:t>④</w:t>
            </w:r>
            <w:r>
              <w:rPr>
                <w:rFonts w:ascii="宋体" w:hAnsi="宋体" w:cs="宋体"/>
                <w:kern w:val="0"/>
                <w:sz w:val="22"/>
                <w:szCs w:val="22"/>
                <w:lang w:bidi="ar"/>
              </w:rPr>
              <w:t>售后服务、</w:t>
            </w:r>
            <w:r>
              <w:rPr>
                <w:rFonts w:hint="eastAsia" w:ascii="宋体" w:hAnsi="宋体" w:cs="宋体"/>
                <w:kern w:val="0"/>
                <w:sz w:val="22"/>
                <w:szCs w:val="22"/>
                <w:lang w:val="en-US" w:eastAsia="zh-CN" w:bidi="ar"/>
              </w:rPr>
              <w:t>⑤</w:t>
            </w:r>
            <w:r>
              <w:rPr>
                <w:rFonts w:ascii="宋体" w:hAnsi="宋体" w:cs="宋体"/>
                <w:kern w:val="0"/>
                <w:sz w:val="22"/>
                <w:szCs w:val="22"/>
                <w:lang w:bidi="ar"/>
              </w:rPr>
              <w:t>退换货流程及响应时间等</w:t>
            </w:r>
            <w:r>
              <w:rPr>
                <w:rFonts w:hint="eastAsia" w:ascii="宋体" w:hAnsi="宋体" w:cs="宋体"/>
                <w:kern w:val="0"/>
                <w:sz w:val="22"/>
                <w:szCs w:val="22"/>
                <w:lang w:bidi="ar"/>
              </w:rPr>
              <w:t>内容，完全满足上述要求的计1</w:t>
            </w:r>
            <w:r>
              <w:rPr>
                <w:rFonts w:hint="eastAsia" w:ascii="宋体" w:hAnsi="宋体" w:cs="宋体"/>
                <w:kern w:val="0"/>
                <w:sz w:val="22"/>
                <w:szCs w:val="22"/>
                <w:lang w:val="en-US" w:eastAsia="zh-CN" w:bidi="ar"/>
              </w:rPr>
              <w:t>0</w:t>
            </w:r>
            <w:r>
              <w:rPr>
                <w:rFonts w:hint="eastAsia" w:ascii="宋体" w:hAnsi="宋体" w:cs="宋体"/>
                <w:kern w:val="0"/>
                <w:sz w:val="22"/>
                <w:szCs w:val="22"/>
                <w:lang w:bidi="ar"/>
              </w:rPr>
              <w:t xml:space="preserve">分，每有一处缺陷扣2分，扣完为止。 </w:t>
            </w:r>
          </w:p>
        </w:tc>
      </w:tr>
    </w:tbl>
    <w:p>
      <w:pPr>
        <w:jc w:val="center"/>
        <w:rPr>
          <w:rFonts w:hint="eastAsia" w:ascii="仿宋" w:hAnsi="仿宋" w:eastAsia="仿宋" w:cs="仿宋"/>
          <w:sz w:val="24"/>
          <w:szCs w:val="24"/>
        </w:rPr>
      </w:pPr>
      <w:r>
        <w:rPr>
          <w:rFonts w:hint="eastAsia" w:ascii="仿宋" w:hAnsi="仿宋" w:eastAsia="仿宋" w:cs="仿宋"/>
          <w:sz w:val="24"/>
          <w:szCs w:val="24"/>
        </w:rPr>
        <w:br w:type="page"/>
      </w:r>
    </w:p>
    <w:p>
      <w:pPr>
        <w:jc w:val="center"/>
        <w:rPr>
          <w:rFonts w:hint="eastAsia" w:ascii="仿宋" w:hAnsi="仿宋" w:eastAsia="仿宋" w:cs="仿宋"/>
          <w:sz w:val="24"/>
          <w:szCs w:val="24"/>
        </w:rPr>
      </w:pPr>
    </w:p>
    <w:p>
      <w:pPr>
        <w:pStyle w:val="4"/>
        <w:numPr>
          <w:ilvl w:val="0"/>
          <w:numId w:val="0"/>
        </w:numPr>
        <w:spacing w:line="240" w:lineRule="auto"/>
        <w:ind w:left="2940" w:leftChars="0"/>
        <w:jc w:val="both"/>
        <w:rPr>
          <w:rFonts w:hint="eastAsia" w:ascii="宋体" w:hAnsi="宋体" w:cs="宋体"/>
          <w:color w:val="auto"/>
          <w:sz w:val="30"/>
          <w:szCs w:val="30"/>
        </w:rPr>
      </w:pPr>
      <w:bookmarkStart w:id="2" w:name="_Toc16523574"/>
      <w:r>
        <w:rPr>
          <w:rFonts w:hint="eastAsia" w:ascii="宋体" w:hAnsi="宋体" w:cs="宋体"/>
          <w:color w:val="auto"/>
          <w:sz w:val="30"/>
          <w:szCs w:val="30"/>
          <w:lang w:val="en-US" w:eastAsia="zh-CN"/>
        </w:rPr>
        <w:t xml:space="preserve">第三章   </w:t>
      </w:r>
      <w:r>
        <w:rPr>
          <w:rFonts w:hint="eastAsia" w:ascii="宋体" w:hAnsi="宋体" w:cs="宋体"/>
          <w:color w:val="auto"/>
          <w:sz w:val="30"/>
          <w:szCs w:val="30"/>
        </w:rPr>
        <w:t>投标文件的格式</w:t>
      </w:r>
    </w:p>
    <w:p>
      <w:pPr>
        <w:pStyle w:val="4"/>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pPr>
        <w:rPr>
          <w:rFonts w:hint="eastAsia" w:ascii="宋体" w:hAnsi="宋体" w:cs="宋体"/>
          <w:color w:val="auto"/>
        </w:rPr>
      </w:pPr>
    </w:p>
    <w:bookmarkEnd w:id="2"/>
    <w:p>
      <w:pPr>
        <w:rPr>
          <w:rFonts w:hint="eastAsia"/>
          <w:color w:val="auto"/>
        </w:rPr>
      </w:pPr>
    </w:p>
    <w:p>
      <w:pPr>
        <w:jc w:val="center"/>
        <w:rPr>
          <w:b/>
          <w:color w:val="auto"/>
          <w:sz w:val="24"/>
        </w:rPr>
      </w:pPr>
      <w:r>
        <w:rPr>
          <w:b/>
          <w:color w:val="auto"/>
          <w:sz w:val="28"/>
          <w:szCs w:val="28"/>
        </w:rPr>
        <w:t>第一部分、开标一览表</w:t>
      </w:r>
    </w:p>
    <w:p>
      <w:pPr>
        <w:jc w:val="center"/>
        <w:rPr>
          <w:b/>
          <w:color w:val="auto"/>
          <w:sz w:val="24"/>
        </w:rPr>
      </w:pPr>
    </w:p>
    <w:p>
      <w:pPr>
        <w:jc w:val="center"/>
        <w:rPr>
          <w:rFonts w:hint="eastAsia" w:eastAsia="宋体"/>
          <w:b/>
          <w:color w:val="auto"/>
          <w:sz w:val="24"/>
          <w:lang w:eastAsia="zh-CN"/>
        </w:rPr>
      </w:pPr>
      <w:r>
        <w:rPr>
          <w:rFonts w:hint="eastAsia"/>
          <w:b/>
          <w:color w:val="auto"/>
          <w:sz w:val="24"/>
          <w:lang w:eastAsia="zh-CN"/>
        </w:rPr>
        <w:t>注：此项内容需包含投标商品名称、数量、品牌、型号、单价、总价、等信息</w:t>
      </w:r>
    </w:p>
    <w:p>
      <w:pPr>
        <w:pStyle w:val="24"/>
        <w:rPr>
          <w:color w:val="auto"/>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cs="宋体"/>
          <w:b/>
          <w:color w:val="auto"/>
          <w:sz w:val="28"/>
          <w:szCs w:val="28"/>
        </w:rPr>
      </w:pPr>
    </w:p>
    <w:p>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pPr>
        <w:pStyle w:val="2"/>
        <w:rPr>
          <w:rFonts w:hint="eastAsia"/>
          <w:lang w:eastAsia="zh-CN"/>
        </w:rPr>
      </w:pPr>
    </w:p>
    <w:p>
      <w:pPr>
        <w:adjustRightInd w:val="0"/>
        <w:snapToGrid w:val="0"/>
        <w:spacing w:line="360" w:lineRule="auto"/>
        <w:jc w:val="center"/>
        <w:rPr>
          <w:rFonts w:hint="eastAsia" w:ascii="宋体" w:hAnsi="宋体" w:cs="宋体"/>
          <w:b/>
          <w:color w:val="auto"/>
          <w:sz w:val="24"/>
          <w:szCs w:val="20"/>
        </w:rPr>
      </w:pPr>
    </w:p>
    <w:p>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pPr>
        <w:adjustRightInd w:val="0"/>
        <w:snapToGrid w:val="0"/>
        <w:spacing w:line="360" w:lineRule="auto"/>
        <w:rPr>
          <w:rFonts w:hint="eastAsia" w:ascii="宋体" w:hAnsi="宋体" w:cs="宋体"/>
          <w:b/>
          <w:color w:val="auto"/>
          <w:sz w:val="28"/>
          <w:szCs w:val="28"/>
        </w:rPr>
      </w:pPr>
    </w:p>
    <w:p>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pPr>
        <w:adjustRightInd w:val="0"/>
        <w:snapToGrid w:val="0"/>
        <w:spacing w:line="360" w:lineRule="auto"/>
        <w:ind w:firstLine="480" w:firstLineChars="200"/>
        <w:rPr>
          <w:rFonts w:hint="eastAsia" w:ascii="宋体" w:hAnsi="宋体" w:cs="宋体"/>
          <w:color w:val="auto"/>
          <w:sz w:val="24"/>
        </w:rPr>
      </w:pPr>
    </w:p>
    <w:tbl>
      <w:tblPr>
        <w:tblStyle w:val="17"/>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7" w:hRule="atLeast"/>
        </w:trPr>
        <w:tc>
          <w:tcPr>
            <w:tcW w:w="8278" w:type="dxa"/>
            <w:noWrap w:val="0"/>
            <w:vAlign w:val="center"/>
          </w:tcPr>
          <w:p>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pPr>
        <w:adjustRightInd w:val="0"/>
        <w:snapToGrid w:val="0"/>
        <w:spacing w:line="360" w:lineRule="auto"/>
        <w:rPr>
          <w:rFonts w:hint="eastAsia" w:ascii="宋体" w:hAnsi="宋体" w:cs="宋体"/>
          <w:color w:val="auto"/>
          <w:sz w:val="24"/>
        </w:rPr>
      </w:pPr>
    </w:p>
    <w:tbl>
      <w:tblPr>
        <w:tblStyle w:val="17"/>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97" w:hRule="atLeast"/>
        </w:trPr>
        <w:tc>
          <w:tcPr>
            <w:tcW w:w="8278" w:type="dxa"/>
            <w:noWrap w:val="0"/>
            <w:vAlign w:val="center"/>
          </w:tcPr>
          <w:p>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pPr>
        <w:adjustRightInd w:val="0"/>
        <w:snapToGrid w:val="0"/>
        <w:spacing w:line="360" w:lineRule="auto"/>
        <w:rPr>
          <w:rFonts w:hint="eastAsia" w:ascii="宋体" w:hAnsi="宋体" w:cs="宋体"/>
          <w:color w:val="auto"/>
          <w:sz w:val="24"/>
        </w:rPr>
      </w:pPr>
    </w:p>
    <w:p>
      <w:pPr>
        <w:adjustRightInd w:val="0"/>
        <w:snapToGrid w:val="0"/>
        <w:spacing w:line="360" w:lineRule="auto"/>
        <w:rPr>
          <w:rFonts w:hint="eastAsia" w:ascii="宋体" w:hAnsi="宋体" w:cs="宋体"/>
          <w:color w:val="auto"/>
          <w:sz w:val="24"/>
        </w:rPr>
      </w:pPr>
    </w:p>
    <w:p>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pPr>
        <w:adjustRightInd w:val="0"/>
        <w:snapToGrid w:val="0"/>
        <w:spacing w:line="360" w:lineRule="auto"/>
        <w:rPr>
          <w:rFonts w:hint="eastAsia" w:ascii="宋体" w:hAnsi="宋体" w:cs="宋体"/>
          <w:b/>
          <w:color w:val="auto"/>
          <w:sz w:val="28"/>
          <w:szCs w:val="28"/>
        </w:rPr>
      </w:pPr>
    </w:p>
    <w:p>
      <w:pPr>
        <w:adjustRightInd w:val="0"/>
        <w:snapToGrid w:val="0"/>
        <w:spacing w:line="360" w:lineRule="auto"/>
        <w:jc w:val="center"/>
        <w:rPr>
          <w:rFonts w:hint="eastAsia" w:ascii="宋体" w:hAnsi="宋体" w:cs="宋体"/>
          <w:color w:val="auto"/>
          <w:sz w:val="24"/>
        </w:rPr>
      </w:pPr>
      <w:r>
        <w:rPr>
          <w:rFonts w:hint="eastAsia" w:ascii="宋体" w:hAnsi="宋体" w:cs="宋体"/>
          <w:b/>
          <w:color w:val="auto"/>
          <w:sz w:val="24"/>
          <w:szCs w:val="20"/>
        </w:rPr>
        <w:t>二、投标人资格声明</w:t>
      </w:r>
    </w:p>
    <w:p>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五、我单位具备法律、行政法规规定的其他条件。</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pPr>
        <w:adjustRightInd w:val="0"/>
        <w:snapToGrid w:val="0"/>
        <w:spacing w:before="120" w:beforeLines="50" w:line="360" w:lineRule="auto"/>
        <w:ind w:firstLine="480" w:firstLineChars="200"/>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投标人名称（盖单位公章）：</w:t>
      </w:r>
    </w:p>
    <w:p>
      <w:pPr>
        <w:widowControl/>
        <w:adjustRightInd w:val="0"/>
        <w:snapToGrid w:val="0"/>
        <w:spacing w:before="120" w:beforeLines="50" w:line="360" w:lineRule="auto"/>
        <w:jc w:val="left"/>
        <w:rPr>
          <w:rFonts w:hint="eastAsia" w:ascii="宋体" w:hAnsi="宋体" w:cs="宋体"/>
          <w:b/>
          <w:bCs/>
          <w:color w:val="auto"/>
          <w:kern w:val="0"/>
          <w:sz w:val="24"/>
        </w:rPr>
      </w:pPr>
      <w:r>
        <w:rPr>
          <w:rFonts w:hint="eastAsia" w:ascii="宋体" w:hAnsi="宋体" w:cs="宋体"/>
          <w:color w:val="auto"/>
          <w:sz w:val="24"/>
        </w:rPr>
        <w:t>法定代表人或委托代理人（签字）：</w:t>
      </w:r>
    </w:p>
    <w:p>
      <w:pPr>
        <w:widowControl/>
        <w:adjustRightInd w:val="0"/>
        <w:snapToGrid w:val="0"/>
        <w:spacing w:before="120" w:beforeLines="50" w:line="360" w:lineRule="auto"/>
        <w:jc w:val="left"/>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pPr>
        <w:adjustRightInd w:val="0"/>
        <w:snapToGrid w:val="0"/>
        <w:spacing w:line="360" w:lineRule="auto"/>
        <w:jc w:val="center"/>
        <w:rPr>
          <w:rFonts w:hint="eastAsia" w:ascii="宋体" w:hAnsi="宋体" w:cs="宋体"/>
          <w:b/>
          <w:color w:val="auto"/>
          <w:sz w:val="24"/>
          <w:szCs w:val="20"/>
        </w:rPr>
      </w:pPr>
    </w:p>
    <w:p>
      <w:pPr>
        <w:adjustRightInd w:val="0"/>
        <w:snapToGrid w:val="0"/>
        <w:spacing w:line="360" w:lineRule="auto"/>
        <w:rPr>
          <w:rFonts w:hint="eastAsia" w:ascii="宋体" w:hAnsi="宋体" w:cs="宋体"/>
          <w:b/>
          <w:color w:val="auto"/>
          <w:sz w:val="24"/>
          <w:szCs w:val="20"/>
        </w:rPr>
      </w:pPr>
    </w:p>
    <w:p>
      <w:pPr>
        <w:adjustRightInd w:val="0"/>
        <w:snapToGrid w:val="0"/>
        <w:spacing w:line="360" w:lineRule="auto"/>
        <w:rPr>
          <w:rFonts w:hint="eastAsia" w:ascii="宋体" w:hAnsi="宋体" w:cs="宋体"/>
          <w:b/>
          <w:color w:val="auto"/>
          <w:sz w:val="24"/>
          <w:szCs w:val="20"/>
        </w:rPr>
      </w:pPr>
    </w:p>
    <w:p>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pPr>
        <w:adjustRightInd w:val="0"/>
        <w:snapToGrid w:val="0"/>
        <w:spacing w:line="360" w:lineRule="auto"/>
        <w:jc w:val="center"/>
        <w:rPr>
          <w:rFonts w:hint="eastAsia" w:ascii="宋体" w:hAnsi="宋体" w:cs="宋体"/>
          <w:b/>
          <w:color w:val="auto"/>
          <w:sz w:val="24"/>
          <w:szCs w:val="20"/>
        </w:rPr>
      </w:pPr>
    </w:p>
    <w:p>
      <w:pPr>
        <w:pStyle w:val="5"/>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pPr>
        <w:jc w:val="left"/>
        <w:rPr>
          <w:rFonts w:hint="eastAsia" w:ascii="宋体" w:hAnsi="宋体" w:eastAsia="宋体" w:cs="Times New Roman"/>
          <w:b w:val="0"/>
          <w:bCs w:val="0"/>
          <w:color w:val="auto"/>
          <w:kern w:val="2"/>
          <w:sz w:val="24"/>
          <w:szCs w:val="24"/>
          <w:lang w:val="en-US" w:eastAsia="zh-CN" w:bidi="ar-SA"/>
        </w:rPr>
      </w:pPr>
    </w:p>
    <w:p>
      <w:pPr>
        <w:jc w:val="left"/>
        <w:rPr>
          <w:rFonts w:hint="eastAsia" w:ascii="宋体" w:hAnsi="宋体" w:eastAsia="宋体" w:cs="Times New Roman"/>
          <w:b w:val="0"/>
          <w:bCs w:val="0"/>
          <w:color w:val="auto"/>
          <w:kern w:val="2"/>
          <w:sz w:val="24"/>
          <w:szCs w:val="24"/>
          <w:lang w:val="en-US" w:eastAsia="zh-CN" w:bidi="ar-SA"/>
        </w:rPr>
      </w:pPr>
    </w:p>
    <w:p>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3" w:name="_Toc486424819"/>
      <w:bookmarkStart w:id="4" w:name="_Toc476514128"/>
    </w:p>
    <w:p>
      <w:pPr>
        <w:pStyle w:val="2"/>
        <w:rPr>
          <w:rFonts w:hint="eastAsia"/>
          <w:lang w:eastAsia="zh-CN"/>
        </w:rPr>
      </w:pPr>
    </w:p>
    <w:p>
      <w:pPr>
        <w:spacing w:before="120" w:beforeLines="50" w:after="120" w:afterLines="50" w:line="276" w:lineRule="auto"/>
        <w:jc w:val="center"/>
        <w:rPr>
          <w:b/>
          <w:color w:val="auto"/>
          <w:sz w:val="24"/>
        </w:rPr>
      </w:pPr>
      <w:r>
        <w:rPr>
          <w:b/>
          <w:color w:val="auto"/>
          <w:sz w:val="24"/>
        </w:rPr>
        <w:t>采购需求响应/偏离表</w:t>
      </w:r>
    </w:p>
    <w:p>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7"/>
        <w:tblW w:w="8357"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4" w:hRule="atLeast"/>
          <w:jc w:val="center"/>
        </w:trPr>
        <w:tc>
          <w:tcPr>
            <w:tcW w:w="627" w:type="dxa"/>
            <w:noWrap w:val="0"/>
            <w:vAlign w:val="center"/>
          </w:tcPr>
          <w:p>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pPr>
              <w:adjustRightInd w:val="0"/>
              <w:snapToGrid w:val="0"/>
              <w:spacing w:before="50" w:line="360" w:lineRule="auto"/>
              <w:jc w:val="center"/>
              <w:rPr>
                <w:color w:val="auto"/>
              </w:rPr>
            </w:pPr>
            <w:r>
              <w:rPr>
                <w:color w:val="auto"/>
              </w:rPr>
              <w:t>投标文件应答</w:t>
            </w:r>
          </w:p>
        </w:tc>
        <w:tc>
          <w:tcPr>
            <w:tcW w:w="1513" w:type="dxa"/>
            <w:noWrap w:val="0"/>
            <w:vAlign w:val="center"/>
          </w:tcPr>
          <w:p>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pPr>
              <w:adjustRightInd w:val="0"/>
              <w:snapToGrid w:val="0"/>
              <w:spacing w:before="50" w:line="360" w:lineRule="auto"/>
              <w:ind w:left="-88" w:leftChars="-42"/>
              <w:jc w:val="center"/>
              <w:rPr>
                <w:color w:val="auto"/>
                <w:szCs w:val="21"/>
              </w:rPr>
            </w:pPr>
            <w:r>
              <w:rPr>
                <w:color w:val="auto"/>
                <w:szCs w:val="21"/>
              </w:rPr>
              <w:t>偏离说明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27" w:type="dxa"/>
            <w:noWrap w:val="0"/>
            <w:vAlign w:val="center"/>
          </w:tcPr>
          <w:p>
            <w:pPr>
              <w:adjustRightInd w:val="0"/>
              <w:snapToGrid w:val="0"/>
              <w:spacing w:before="50" w:line="360" w:lineRule="auto"/>
              <w:ind w:left="-88" w:leftChars="-42"/>
              <w:jc w:val="center"/>
              <w:rPr>
                <w:color w:val="auto"/>
                <w:szCs w:val="21"/>
              </w:rPr>
            </w:pPr>
          </w:p>
        </w:tc>
        <w:tc>
          <w:tcPr>
            <w:tcW w:w="1877" w:type="dxa"/>
            <w:noWrap w:val="0"/>
            <w:vAlign w:val="center"/>
          </w:tcPr>
          <w:p>
            <w:pPr>
              <w:adjustRightInd w:val="0"/>
              <w:snapToGrid w:val="0"/>
              <w:spacing w:before="50" w:line="360" w:lineRule="auto"/>
              <w:ind w:left="-88" w:leftChars="-42"/>
              <w:jc w:val="center"/>
              <w:rPr>
                <w:color w:val="auto"/>
                <w:szCs w:val="21"/>
              </w:rPr>
            </w:pPr>
          </w:p>
        </w:tc>
        <w:tc>
          <w:tcPr>
            <w:tcW w:w="1671" w:type="dxa"/>
            <w:noWrap w:val="0"/>
            <w:vAlign w:val="center"/>
          </w:tcPr>
          <w:p>
            <w:pPr>
              <w:adjustRightInd w:val="0"/>
              <w:snapToGrid w:val="0"/>
              <w:spacing w:before="50" w:line="360" w:lineRule="auto"/>
              <w:ind w:left="-88" w:leftChars="-42"/>
              <w:jc w:val="center"/>
              <w:rPr>
                <w:color w:val="auto"/>
                <w:szCs w:val="21"/>
              </w:rPr>
            </w:pPr>
          </w:p>
        </w:tc>
        <w:tc>
          <w:tcPr>
            <w:tcW w:w="1608" w:type="dxa"/>
            <w:noWrap w:val="0"/>
            <w:vAlign w:val="center"/>
          </w:tcPr>
          <w:p>
            <w:pPr>
              <w:adjustRightInd w:val="0"/>
              <w:snapToGrid w:val="0"/>
              <w:spacing w:before="50" w:line="360" w:lineRule="auto"/>
              <w:ind w:left="-88" w:leftChars="-42"/>
              <w:jc w:val="center"/>
              <w:rPr>
                <w:color w:val="auto"/>
                <w:szCs w:val="21"/>
              </w:rPr>
            </w:pPr>
          </w:p>
        </w:tc>
        <w:tc>
          <w:tcPr>
            <w:tcW w:w="1513" w:type="dxa"/>
            <w:noWrap w:val="0"/>
            <w:vAlign w:val="center"/>
          </w:tcPr>
          <w:p>
            <w:pPr>
              <w:adjustRightInd w:val="0"/>
              <w:snapToGrid w:val="0"/>
              <w:spacing w:before="50" w:line="360" w:lineRule="auto"/>
              <w:ind w:left="-88" w:leftChars="-42"/>
              <w:jc w:val="center"/>
              <w:rPr>
                <w:color w:val="auto"/>
                <w:szCs w:val="21"/>
              </w:rPr>
            </w:pPr>
          </w:p>
        </w:tc>
        <w:tc>
          <w:tcPr>
            <w:tcW w:w="1061" w:type="dxa"/>
            <w:noWrap w:val="0"/>
            <w:vAlign w:val="center"/>
          </w:tcPr>
          <w:p>
            <w:pPr>
              <w:adjustRightInd w:val="0"/>
              <w:snapToGrid w:val="0"/>
              <w:spacing w:before="50" w:line="360" w:lineRule="auto"/>
              <w:ind w:left="-88" w:leftChars="-42"/>
              <w:jc w:val="center"/>
              <w:rPr>
                <w:color w:val="auto"/>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27" w:type="dxa"/>
            <w:noWrap w:val="0"/>
            <w:vAlign w:val="center"/>
          </w:tcPr>
          <w:p>
            <w:pPr>
              <w:adjustRightInd w:val="0"/>
              <w:snapToGrid w:val="0"/>
              <w:spacing w:before="50" w:line="360" w:lineRule="auto"/>
              <w:ind w:left="-88" w:leftChars="-42"/>
              <w:jc w:val="center"/>
              <w:rPr>
                <w:color w:val="auto"/>
                <w:szCs w:val="21"/>
              </w:rPr>
            </w:pPr>
          </w:p>
        </w:tc>
        <w:tc>
          <w:tcPr>
            <w:tcW w:w="1877" w:type="dxa"/>
            <w:noWrap w:val="0"/>
            <w:vAlign w:val="center"/>
          </w:tcPr>
          <w:p>
            <w:pPr>
              <w:adjustRightInd w:val="0"/>
              <w:snapToGrid w:val="0"/>
              <w:spacing w:before="50" w:line="360" w:lineRule="auto"/>
              <w:ind w:left="-88" w:leftChars="-42"/>
              <w:jc w:val="center"/>
              <w:rPr>
                <w:color w:val="auto"/>
                <w:szCs w:val="21"/>
              </w:rPr>
            </w:pPr>
          </w:p>
        </w:tc>
        <w:tc>
          <w:tcPr>
            <w:tcW w:w="1671" w:type="dxa"/>
            <w:noWrap w:val="0"/>
            <w:vAlign w:val="center"/>
          </w:tcPr>
          <w:p>
            <w:pPr>
              <w:adjustRightInd w:val="0"/>
              <w:snapToGrid w:val="0"/>
              <w:spacing w:before="50" w:line="360" w:lineRule="auto"/>
              <w:ind w:left="-88" w:leftChars="-42"/>
              <w:jc w:val="center"/>
              <w:rPr>
                <w:color w:val="auto"/>
                <w:szCs w:val="21"/>
              </w:rPr>
            </w:pPr>
          </w:p>
        </w:tc>
        <w:tc>
          <w:tcPr>
            <w:tcW w:w="1608" w:type="dxa"/>
            <w:noWrap w:val="0"/>
            <w:vAlign w:val="center"/>
          </w:tcPr>
          <w:p>
            <w:pPr>
              <w:adjustRightInd w:val="0"/>
              <w:snapToGrid w:val="0"/>
              <w:spacing w:before="50" w:line="360" w:lineRule="auto"/>
              <w:ind w:left="-88" w:leftChars="-42"/>
              <w:jc w:val="center"/>
              <w:rPr>
                <w:color w:val="auto"/>
                <w:szCs w:val="21"/>
              </w:rPr>
            </w:pPr>
          </w:p>
        </w:tc>
        <w:tc>
          <w:tcPr>
            <w:tcW w:w="1513" w:type="dxa"/>
            <w:noWrap w:val="0"/>
            <w:vAlign w:val="center"/>
          </w:tcPr>
          <w:p>
            <w:pPr>
              <w:adjustRightInd w:val="0"/>
              <w:snapToGrid w:val="0"/>
              <w:spacing w:before="50" w:line="360" w:lineRule="auto"/>
              <w:ind w:left="-88" w:leftChars="-42"/>
              <w:jc w:val="center"/>
              <w:rPr>
                <w:color w:val="auto"/>
                <w:szCs w:val="21"/>
              </w:rPr>
            </w:pPr>
          </w:p>
        </w:tc>
        <w:tc>
          <w:tcPr>
            <w:tcW w:w="1061" w:type="dxa"/>
            <w:noWrap w:val="0"/>
            <w:vAlign w:val="center"/>
          </w:tcPr>
          <w:p>
            <w:pPr>
              <w:adjustRightInd w:val="0"/>
              <w:snapToGrid w:val="0"/>
              <w:spacing w:before="50" w:line="360" w:lineRule="auto"/>
              <w:ind w:left="-88" w:leftChars="-42"/>
              <w:jc w:val="center"/>
              <w:rPr>
                <w:color w:val="auto"/>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627" w:type="dxa"/>
            <w:noWrap w:val="0"/>
            <w:vAlign w:val="center"/>
          </w:tcPr>
          <w:p>
            <w:pPr>
              <w:adjustRightInd w:val="0"/>
              <w:snapToGrid w:val="0"/>
              <w:spacing w:before="50" w:line="360" w:lineRule="auto"/>
              <w:ind w:left="-88" w:leftChars="-42"/>
              <w:jc w:val="center"/>
              <w:rPr>
                <w:color w:val="auto"/>
                <w:szCs w:val="21"/>
              </w:rPr>
            </w:pPr>
          </w:p>
        </w:tc>
        <w:tc>
          <w:tcPr>
            <w:tcW w:w="1877" w:type="dxa"/>
            <w:noWrap w:val="0"/>
            <w:vAlign w:val="center"/>
          </w:tcPr>
          <w:p>
            <w:pPr>
              <w:adjustRightInd w:val="0"/>
              <w:snapToGrid w:val="0"/>
              <w:spacing w:before="50" w:line="360" w:lineRule="auto"/>
              <w:ind w:left="-88" w:leftChars="-42"/>
              <w:jc w:val="center"/>
              <w:rPr>
                <w:color w:val="auto"/>
                <w:szCs w:val="21"/>
              </w:rPr>
            </w:pPr>
          </w:p>
        </w:tc>
        <w:tc>
          <w:tcPr>
            <w:tcW w:w="1671" w:type="dxa"/>
            <w:noWrap w:val="0"/>
            <w:vAlign w:val="center"/>
          </w:tcPr>
          <w:p>
            <w:pPr>
              <w:adjustRightInd w:val="0"/>
              <w:snapToGrid w:val="0"/>
              <w:spacing w:before="50" w:line="360" w:lineRule="auto"/>
              <w:ind w:left="-88" w:leftChars="-42"/>
              <w:jc w:val="center"/>
              <w:rPr>
                <w:color w:val="auto"/>
                <w:szCs w:val="21"/>
              </w:rPr>
            </w:pPr>
          </w:p>
        </w:tc>
        <w:tc>
          <w:tcPr>
            <w:tcW w:w="1608" w:type="dxa"/>
            <w:noWrap w:val="0"/>
            <w:vAlign w:val="center"/>
          </w:tcPr>
          <w:p>
            <w:pPr>
              <w:adjustRightInd w:val="0"/>
              <w:snapToGrid w:val="0"/>
              <w:spacing w:before="50" w:line="360" w:lineRule="auto"/>
              <w:ind w:left="-88" w:leftChars="-42"/>
              <w:jc w:val="center"/>
              <w:rPr>
                <w:color w:val="auto"/>
                <w:szCs w:val="21"/>
              </w:rPr>
            </w:pPr>
          </w:p>
        </w:tc>
        <w:tc>
          <w:tcPr>
            <w:tcW w:w="1513" w:type="dxa"/>
            <w:noWrap w:val="0"/>
            <w:vAlign w:val="center"/>
          </w:tcPr>
          <w:p>
            <w:pPr>
              <w:adjustRightInd w:val="0"/>
              <w:snapToGrid w:val="0"/>
              <w:spacing w:before="50" w:line="360" w:lineRule="auto"/>
              <w:ind w:left="-88" w:leftChars="-42"/>
              <w:jc w:val="center"/>
              <w:rPr>
                <w:color w:val="auto"/>
                <w:szCs w:val="21"/>
              </w:rPr>
            </w:pPr>
          </w:p>
        </w:tc>
        <w:tc>
          <w:tcPr>
            <w:tcW w:w="1061" w:type="dxa"/>
            <w:noWrap w:val="0"/>
            <w:vAlign w:val="center"/>
          </w:tcPr>
          <w:p>
            <w:pPr>
              <w:adjustRightInd w:val="0"/>
              <w:snapToGrid w:val="0"/>
              <w:spacing w:before="50" w:line="360" w:lineRule="auto"/>
              <w:ind w:left="-88" w:leftChars="-42"/>
              <w:jc w:val="center"/>
              <w:rPr>
                <w:color w:val="auto"/>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05" w:hRule="atLeast"/>
          <w:jc w:val="center"/>
        </w:trPr>
        <w:tc>
          <w:tcPr>
            <w:tcW w:w="8357" w:type="dxa"/>
            <w:gridSpan w:val="6"/>
            <w:noWrap w:val="0"/>
            <w:vAlign w:val="center"/>
          </w:tcPr>
          <w:p>
            <w:pPr>
              <w:rPr>
                <w:b/>
                <w:color w:val="auto"/>
              </w:rPr>
            </w:pPr>
          </w:p>
        </w:tc>
      </w:tr>
    </w:tbl>
    <w:p>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3"/>
    <w:bookmarkEnd w:id="4"/>
    <w:p>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本项目为综合评分法，所有参数必须在响应表中逐条应答。</w:t>
      </w:r>
    </w:p>
    <w:p>
      <w:pPr>
        <w:pStyle w:val="24"/>
        <w:rPr>
          <w:color w:val="auto"/>
        </w:rPr>
      </w:pPr>
    </w:p>
    <w:p>
      <w:pPr>
        <w:pStyle w:val="2"/>
        <w:rPr>
          <w:rFonts w:hint="eastAsia"/>
          <w:lang w:eastAsia="zh-CN"/>
        </w:rPr>
      </w:pPr>
    </w:p>
    <w:p/>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ascii="仿宋_GB2312" w:eastAsia="仿宋_GB2312"/>
        <w:bCs/>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abstractNum w:abstractNumId="1">
    <w:nsid w:val="EB67FE42"/>
    <w:multiLevelType w:val="singleLevel"/>
    <w:tmpl w:val="EB67FE4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5E0DC3"/>
    <w:rsid w:val="00AE556A"/>
    <w:rsid w:val="01350E35"/>
    <w:rsid w:val="0232271D"/>
    <w:rsid w:val="02390242"/>
    <w:rsid w:val="025934DA"/>
    <w:rsid w:val="02E75D9A"/>
    <w:rsid w:val="03E43FAE"/>
    <w:rsid w:val="041E4F48"/>
    <w:rsid w:val="04653F41"/>
    <w:rsid w:val="04681C26"/>
    <w:rsid w:val="048850CC"/>
    <w:rsid w:val="04B72FC8"/>
    <w:rsid w:val="04F57A38"/>
    <w:rsid w:val="050719CA"/>
    <w:rsid w:val="0537187E"/>
    <w:rsid w:val="056336CF"/>
    <w:rsid w:val="05A10F52"/>
    <w:rsid w:val="06934BAA"/>
    <w:rsid w:val="06E91EC4"/>
    <w:rsid w:val="0714138F"/>
    <w:rsid w:val="072C3CBA"/>
    <w:rsid w:val="07415BA6"/>
    <w:rsid w:val="07583825"/>
    <w:rsid w:val="086F75C9"/>
    <w:rsid w:val="09C0303A"/>
    <w:rsid w:val="0A3F4F3C"/>
    <w:rsid w:val="0A510573"/>
    <w:rsid w:val="0A6D3244"/>
    <w:rsid w:val="0A8A74D4"/>
    <w:rsid w:val="0B29404E"/>
    <w:rsid w:val="0CAD77BD"/>
    <w:rsid w:val="0D330BC5"/>
    <w:rsid w:val="0E331420"/>
    <w:rsid w:val="0EDD1643"/>
    <w:rsid w:val="0FB9029C"/>
    <w:rsid w:val="101C646B"/>
    <w:rsid w:val="10897B23"/>
    <w:rsid w:val="10914EF9"/>
    <w:rsid w:val="10B8663C"/>
    <w:rsid w:val="11627514"/>
    <w:rsid w:val="12080B62"/>
    <w:rsid w:val="12994AC5"/>
    <w:rsid w:val="129F447F"/>
    <w:rsid w:val="12A43942"/>
    <w:rsid w:val="12C86253"/>
    <w:rsid w:val="1424680F"/>
    <w:rsid w:val="143947E8"/>
    <w:rsid w:val="14E40477"/>
    <w:rsid w:val="15060AC8"/>
    <w:rsid w:val="15125EAE"/>
    <w:rsid w:val="1516564F"/>
    <w:rsid w:val="15675A4C"/>
    <w:rsid w:val="17F91BB8"/>
    <w:rsid w:val="17FF6068"/>
    <w:rsid w:val="193E7D91"/>
    <w:rsid w:val="1943608F"/>
    <w:rsid w:val="197D5C29"/>
    <w:rsid w:val="19C171E1"/>
    <w:rsid w:val="19E40286"/>
    <w:rsid w:val="19E91315"/>
    <w:rsid w:val="1AF56B46"/>
    <w:rsid w:val="1C795D39"/>
    <w:rsid w:val="1C995471"/>
    <w:rsid w:val="1CDB42B8"/>
    <w:rsid w:val="1CE412C7"/>
    <w:rsid w:val="1D5071B5"/>
    <w:rsid w:val="1DD7486D"/>
    <w:rsid w:val="1E79119D"/>
    <w:rsid w:val="1EE2244B"/>
    <w:rsid w:val="1F334F58"/>
    <w:rsid w:val="1F796B24"/>
    <w:rsid w:val="1FC602A8"/>
    <w:rsid w:val="1FE73549"/>
    <w:rsid w:val="200250EF"/>
    <w:rsid w:val="2038045E"/>
    <w:rsid w:val="20AF0900"/>
    <w:rsid w:val="20B41DA7"/>
    <w:rsid w:val="20DF1949"/>
    <w:rsid w:val="21C61C7A"/>
    <w:rsid w:val="237801C2"/>
    <w:rsid w:val="2383771E"/>
    <w:rsid w:val="23F374DB"/>
    <w:rsid w:val="24881A32"/>
    <w:rsid w:val="25266F96"/>
    <w:rsid w:val="267547DF"/>
    <w:rsid w:val="272B6E6C"/>
    <w:rsid w:val="2750680E"/>
    <w:rsid w:val="27CF2BB7"/>
    <w:rsid w:val="28E81B29"/>
    <w:rsid w:val="28FD390A"/>
    <w:rsid w:val="29266E1A"/>
    <w:rsid w:val="29B45A41"/>
    <w:rsid w:val="2A174DA9"/>
    <w:rsid w:val="2AB010A8"/>
    <w:rsid w:val="2AC66F99"/>
    <w:rsid w:val="2BF350CF"/>
    <w:rsid w:val="2C0A2E19"/>
    <w:rsid w:val="2C7642D0"/>
    <w:rsid w:val="2CC97A35"/>
    <w:rsid w:val="2CDC672B"/>
    <w:rsid w:val="2DA97544"/>
    <w:rsid w:val="2DD77C64"/>
    <w:rsid w:val="2DDA1E78"/>
    <w:rsid w:val="2DE00B8C"/>
    <w:rsid w:val="2EAC037F"/>
    <w:rsid w:val="2EB67A5C"/>
    <w:rsid w:val="302741D2"/>
    <w:rsid w:val="308B184D"/>
    <w:rsid w:val="309C1E01"/>
    <w:rsid w:val="30BB11DD"/>
    <w:rsid w:val="31F17CD1"/>
    <w:rsid w:val="324F4D43"/>
    <w:rsid w:val="32A84AE9"/>
    <w:rsid w:val="33384C93"/>
    <w:rsid w:val="340F06E9"/>
    <w:rsid w:val="34754AFE"/>
    <w:rsid w:val="34C12F54"/>
    <w:rsid w:val="353E2C20"/>
    <w:rsid w:val="358F0CD2"/>
    <w:rsid w:val="361110A5"/>
    <w:rsid w:val="362C6900"/>
    <w:rsid w:val="365754A7"/>
    <w:rsid w:val="366241E2"/>
    <w:rsid w:val="36B66AAC"/>
    <w:rsid w:val="36E47928"/>
    <w:rsid w:val="372F7378"/>
    <w:rsid w:val="37BA0809"/>
    <w:rsid w:val="38ED2343"/>
    <w:rsid w:val="38FF7404"/>
    <w:rsid w:val="39264AD8"/>
    <w:rsid w:val="395064D7"/>
    <w:rsid w:val="397348CD"/>
    <w:rsid w:val="3A315C04"/>
    <w:rsid w:val="3A8E0AB7"/>
    <w:rsid w:val="3A994AB7"/>
    <w:rsid w:val="3B3B544D"/>
    <w:rsid w:val="3B654F2B"/>
    <w:rsid w:val="3BB72BAE"/>
    <w:rsid w:val="3BBA2C40"/>
    <w:rsid w:val="3BFC7D2B"/>
    <w:rsid w:val="3C771243"/>
    <w:rsid w:val="3C7C799C"/>
    <w:rsid w:val="3C8A61A4"/>
    <w:rsid w:val="3D5E17FF"/>
    <w:rsid w:val="3DF93413"/>
    <w:rsid w:val="3DFD1951"/>
    <w:rsid w:val="3E1F0DA4"/>
    <w:rsid w:val="3E584E51"/>
    <w:rsid w:val="3E6E70D5"/>
    <w:rsid w:val="3EBE1ADE"/>
    <w:rsid w:val="403B4B34"/>
    <w:rsid w:val="40B32632"/>
    <w:rsid w:val="4140452A"/>
    <w:rsid w:val="414D7889"/>
    <w:rsid w:val="41BB0BAE"/>
    <w:rsid w:val="425629F5"/>
    <w:rsid w:val="4284152B"/>
    <w:rsid w:val="429A4992"/>
    <w:rsid w:val="435B161D"/>
    <w:rsid w:val="43B25DAC"/>
    <w:rsid w:val="44771DFD"/>
    <w:rsid w:val="45D569C3"/>
    <w:rsid w:val="470E0B3B"/>
    <w:rsid w:val="4791030F"/>
    <w:rsid w:val="479B74B7"/>
    <w:rsid w:val="48735221"/>
    <w:rsid w:val="48DB6397"/>
    <w:rsid w:val="497A0E45"/>
    <w:rsid w:val="49E92B05"/>
    <w:rsid w:val="4A354E62"/>
    <w:rsid w:val="4AEE1A11"/>
    <w:rsid w:val="4B7F39F4"/>
    <w:rsid w:val="4BAE646F"/>
    <w:rsid w:val="4C2067C9"/>
    <w:rsid w:val="4C4D6AA3"/>
    <w:rsid w:val="4CAC1559"/>
    <w:rsid w:val="4D754257"/>
    <w:rsid w:val="4DCD6AB3"/>
    <w:rsid w:val="4EE7662F"/>
    <w:rsid w:val="50216DCD"/>
    <w:rsid w:val="50540C20"/>
    <w:rsid w:val="506258C6"/>
    <w:rsid w:val="51AC28BD"/>
    <w:rsid w:val="52183ACC"/>
    <w:rsid w:val="521E2A7F"/>
    <w:rsid w:val="53B55872"/>
    <w:rsid w:val="53F40027"/>
    <w:rsid w:val="54065CB8"/>
    <w:rsid w:val="544055F2"/>
    <w:rsid w:val="54930851"/>
    <w:rsid w:val="54AD4386"/>
    <w:rsid w:val="553B2530"/>
    <w:rsid w:val="55875942"/>
    <w:rsid w:val="55D8243C"/>
    <w:rsid w:val="56551179"/>
    <w:rsid w:val="581A7C72"/>
    <w:rsid w:val="583A4BD7"/>
    <w:rsid w:val="59C02DAD"/>
    <w:rsid w:val="59C51B68"/>
    <w:rsid w:val="59C74B1F"/>
    <w:rsid w:val="5A886F59"/>
    <w:rsid w:val="5BEF7E34"/>
    <w:rsid w:val="5C702F0F"/>
    <w:rsid w:val="5DB23133"/>
    <w:rsid w:val="5E486315"/>
    <w:rsid w:val="604D5946"/>
    <w:rsid w:val="611B6B1B"/>
    <w:rsid w:val="62C222C2"/>
    <w:rsid w:val="632D7C40"/>
    <w:rsid w:val="64133D6A"/>
    <w:rsid w:val="64245572"/>
    <w:rsid w:val="651E34F7"/>
    <w:rsid w:val="656E4858"/>
    <w:rsid w:val="66103185"/>
    <w:rsid w:val="66C30AF5"/>
    <w:rsid w:val="672737CD"/>
    <w:rsid w:val="678E4F5D"/>
    <w:rsid w:val="67F3562A"/>
    <w:rsid w:val="680E122C"/>
    <w:rsid w:val="685B4601"/>
    <w:rsid w:val="6916761B"/>
    <w:rsid w:val="69E01866"/>
    <w:rsid w:val="69EC3F9D"/>
    <w:rsid w:val="6A4E1D63"/>
    <w:rsid w:val="6AA026F2"/>
    <w:rsid w:val="6ACA059E"/>
    <w:rsid w:val="6AF33D24"/>
    <w:rsid w:val="6B592423"/>
    <w:rsid w:val="6C486FE4"/>
    <w:rsid w:val="6C575A1D"/>
    <w:rsid w:val="6CA409DF"/>
    <w:rsid w:val="6DE375E4"/>
    <w:rsid w:val="6E8E5287"/>
    <w:rsid w:val="6FAC3B48"/>
    <w:rsid w:val="6FAD463B"/>
    <w:rsid w:val="6FBE332C"/>
    <w:rsid w:val="70CE0BC9"/>
    <w:rsid w:val="711F5E39"/>
    <w:rsid w:val="71554367"/>
    <w:rsid w:val="71584067"/>
    <w:rsid w:val="71F045F5"/>
    <w:rsid w:val="71F26E91"/>
    <w:rsid w:val="72931CE4"/>
    <w:rsid w:val="73323386"/>
    <w:rsid w:val="735201FF"/>
    <w:rsid w:val="73714961"/>
    <w:rsid w:val="737B50A4"/>
    <w:rsid w:val="73A975A4"/>
    <w:rsid w:val="73F40E72"/>
    <w:rsid w:val="74370FDC"/>
    <w:rsid w:val="74566F5C"/>
    <w:rsid w:val="750117A8"/>
    <w:rsid w:val="755B2270"/>
    <w:rsid w:val="75DD41B7"/>
    <w:rsid w:val="75E27514"/>
    <w:rsid w:val="7612420D"/>
    <w:rsid w:val="76920D75"/>
    <w:rsid w:val="76C47877"/>
    <w:rsid w:val="77423DFF"/>
    <w:rsid w:val="783B5EA9"/>
    <w:rsid w:val="79EB699D"/>
    <w:rsid w:val="79F871CC"/>
    <w:rsid w:val="7A2C650E"/>
    <w:rsid w:val="7AFF5E62"/>
    <w:rsid w:val="7B0620DE"/>
    <w:rsid w:val="7BBF44BB"/>
    <w:rsid w:val="7BF15CE4"/>
    <w:rsid w:val="7C2B0102"/>
    <w:rsid w:val="7C3A27E5"/>
    <w:rsid w:val="7C6774E4"/>
    <w:rsid w:val="7D9727DD"/>
    <w:rsid w:val="7DCB30EB"/>
    <w:rsid w:val="7E2F518C"/>
    <w:rsid w:val="7EFB4F6E"/>
    <w:rsid w:val="7F164138"/>
    <w:rsid w:val="7F1A5E95"/>
    <w:rsid w:val="7FFB0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5">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9">
    <w:name w:val="Default Paragraph Font"/>
    <w:semiHidden/>
    <w:qFormat/>
    <w:uiPriority w:val="0"/>
  </w:style>
  <w:style w:type="table" w:default="1" w:styleId="17">
    <w:name w:val="Normal Table"/>
    <w:semiHidden/>
    <w:qFormat/>
    <w:uiPriority w:val="0"/>
    <w:tblPr>
      <w:tblLayout w:type="fixed"/>
      <w:tblCellMar>
        <w:top w:w="0" w:type="dxa"/>
        <w:left w:w="108" w:type="dxa"/>
        <w:bottom w:w="0" w:type="dxa"/>
        <w:right w:w="108" w:type="dxa"/>
      </w:tblCellMar>
    </w:tblPr>
  </w:style>
  <w:style w:type="paragraph" w:customStyle="1" w:styleId="2">
    <w:name w:val="列出段落1"/>
    <w:basedOn w:val="3"/>
    <w:qFormat/>
    <w:uiPriority w:val="99"/>
    <w:pPr>
      <w:ind w:firstLine="420" w:firstLineChars="200"/>
    </w:pPr>
  </w:style>
  <w:style w:type="paragraph" w:customStyle="1" w:styleId="3">
    <w:name w:val="正文_10_4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Normal Indent"/>
    <w:basedOn w:val="1"/>
    <w:next w:val="7"/>
    <w:qFormat/>
    <w:uiPriority w:val="0"/>
    <w:pPr>
      <w:widowControl/>
      <w:ind w:firstLine="420"/>
      <w:jc w:val="left"/>
    </w:pPr>
    <w:rPr>
      <w:kern w:val="0"/>
      <w:sz w:val="20"/>
      <w:szCs w:val="20"/>
    </w:rPr>
  </w:style>
  <w:style w:type="paragraph" w:customStyle="1" w:styleId="7">
    <w:name w:val="Default"/>
    <w:next w:val="8"/>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8">
    <w:name w:val="Intense Quote"/>
    <w:next w:val="1"/>
    <w:qFormat/>
    <w:uiPriority w:val="0"/>
    <w:pPr>
      <w:wordWrap w:val="0"/>
      <w:spacing w:before="360" w:after="360" w:line="278" w:lineRule="auto"/>
      <w:ind w:left="950" w:right="950"/>
      <w:jc w:val="center"/>
    </w:pPr>
    <w:rPr>
      <w:rFonts w:ascii="Times New Roman" w:hAnsi="Times New Roman" w:eastAsia="宋体" w:cs="Times New Roman"/>
      <w:i/>
      <w:sz w:val="21"/>
      <w:lang w:val="en-US" w:eastAsia="zh-CN" w:bidi="ar-SA"/>
    </w:rPr>
  </w:style>
  <w:style w:type="paragraph" w:styleId="9">
    <w:name w:val="Body Text"/>
    <w:basedOn w:val="1"/>
    <w:next w:val="1"/>
    <w:qFormat/>
    <w:uiPriority w:val="0"/>
    <w:pPr>
      <w:spacing w:after="120"/>
    </w:pPr>
  </w:style>
  <w:style w:type="paragraph" w:styleId="10">
    <w:name w:val="Body Text Indent"/>
    <w:basedOn w:val="1"/>
    <w:next w:val="1"/>
    <w:qFormat/>
    <w:uiPriority w:val="99"/>
    <w:pPr>
      <w:spacing w:line="400" w:lineRule="exact"/>
      <w:ind w:left="630"/>
    </w:pPr>
    <w:rPr>
      <w:rFonts w:ascii="楷体_GB2312"/>
      <w:sz w:val="30"/>
      <w:szCs w:val="30"/>
    </w:rPr>
  </w:style>
  <w:style w:type="paragraph" w:styleId="11">
    <w:name w:val="Date"/>
    <w:basedOn w:val="1"/>
    <w:next w:val="1"/>
    <w:qFormat/>
    <w:uiPriority w:val="0"/>
    <w:rPr>
      <w:color w:val="000000"/>
      <w:kern w:val="0"/>
      <w:sz w:val="30"/>
    </w:rPr>
  </w:style>
  <w:style w:type="paragraph" w:styleId="12">
    <w:name w:val="footer"/>
    <w:basedOn w:val="1"/>
    <w:qFormat/>
    <w:uiPriority w:val="0"/>
    <w:pPr>
      <w:tabs>
        <w:tab w:val="center" w:pos="4153"/>
        <w:tab w:val="right" w:pos="8306"/>
      </w:tabs>
      <w:snapToGrid w:val="0"/>
      <w:jc w:val="left"/>
    </w:pPr>
    <w:rPr>
      <w:kern w:val="0"/>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Body Text 2"/>
    <w:basedOn w:val="1"/>
    <w:next w:val="9"/>
    <w:qFormat/>
    <w:uiPriority w:val="0"/>
    <w:pPr>
      <w:spacing w:after="120" w:line="480" w:lineRule="auto"/>
    </w:pPr>
  </w:style>
  <w:style w:type="paragraph" w:styleId="15">
    <w:name w:val="Normal (Web)"/>
    <w:basedOn w:val="1"/>
    <w:qFormat/>
    <w:uiPriority w:val="0"/>
    <w:rPr>
      <w:sz w:val="24"/>
    </w:rPr>
  </w:style>
  <w:style w:type="paragraph" w:styleId="16">
    <w:name w:val="Body Text First Indent 2"/>
    <w:basedOn w:val="10"/>
    <w:qFormat/>
    <w:uiPriority w:val="0"/>
    <w:pPr>
      <w:overflowPunct w:val="0"/>
      <w:adjustRightInd w:val="0"/>
      <w:spacing w:line="500" w:lineRule="exact"/>
      <w:ind w:firstLine="420" w:firstLineChars="200"/>
      <w:textAlignment w:val="baseline"/>
    </w:pPr>
    <w:rPr>
      <w:rFonts w:eastAsia="仿宋_GB2312"/>
      <w:kern w:val="28"/>
      <w:sz w:val="28"/>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20">
    <w:name w:val="Emphasis"/>
    <w:basedOn w:val="19"/>
    <w:qFormat/>
    <w:uiPriority w:val="20"/>
    <w:rPr>
      <w:i/>
    </w:rPr>
  </w:style>
  <w:style w:type="character" w:styleId="21">
    <w:name w:val="Hyperlink"/>
    <w:basedOn w:val="19"/>
    <w:qFormat/>
    <w:uiPriority w:val="0"/>
    <w:rPr>
      <w:color w:val="0000FF"/>
      <w:u w:val="single"/>
    </w:rPr>
  </w:style>
  <w:style w:type="paragraph" w:customStyle="1" w:styleId="22">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23">
    <w:name w:val="大标题"/>
    <w:basedOn w:val="1"/>
    <w:next w:val="16"/>
    <w:qFormat/>
    <w:uiPriority w:val="0"/>
    <w:pPr>
      <w:jc w:val="center"/>
    </w:pPr>
    <w:rPr>
      <w:rFonts w:ascii="Arial" w:hAnsi="Arial" w:eastAsia="宋体"/>
      <w:b/>
      <w:sz w:val="28"/>
      <w:szCs w:val="24"/>
    </w:rPr>
  </w:style>
  <w:style w:type="paragraph" w:customStyle="1" w:styleId="24">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25">
    <w:name w:val="List Paragraph"/>
    <w:basedOn w:val="1"/>
    <w:qFormat/>
    <w:uiPriority w:val="34"/>
    <w:pPr>
      <w:ind w:firstLine="420" w:firstLineChars="200"/>
    </w:pPr>
    <w:rPr>
      <w:rFonts w:ascii="Calibri" w:hAnsi="Calibri"/>
      <w:szCs w:val="22"/>
    </w:rPr>
  </w:style>
  <w:style w:type="paragraph" w:customStyle="1" w:styleId="26">
    <w:name w:val="BodyText1I2"/>
    <w:basedOn w:val="27"/>
    <w:qFormat/>
    <w:uiPriority w:val="0"/>
    <w:pPr>
      <w:ind w:firstLine="420"/>
      <w:jc w:val="left"/>
    </w:pPr>
    <w:rPr>
      <w:rFonts w:ascii="Calibri" w:hAnsi="Calibri"/>
      <w:kern w:val="0"/>
    </w:rPr>
  </w:style>
  <w:style w:type="paragraph" w:customStyle="1" w:styleId="27">
    <w:name w:val="BodyTextIndent"/>
    <w:basedOn w:val="1"/>
    <w:qFormat/>
    <w:uiPriority w:val="0"/>
    <w:pPr>
      <w:spacing w:after="120"/>
      <w:ind w:left="420" w:leftChars="200"/>
    </w:pPr>
  </w:style>
  <w:style w:type="paragraph" w:customStyle="1" w:styleId="28">
    <w:name w:val="正文缩进4格"/>
    <w:basedOn w:val="29"/>
    <w:qFormat/>
    <w:uiPriority w:val="0"/>
    <w:pPr>
      <w:ind w:left="2" w:firstLine="538" w:firstLineChars="192"/>
    </w:pPr>
    <w:rPr>
      <w:color w:val="0000FF"/>
      <w:sz w:val="28"/>
    </w:rPr>
  </w:style>
  <w:style w:type="paragraph" w:customStyle="1" w:styleId="29">
    <w:name w:val="正文缩进2格"/>
    <w:basedOn w:val="1"/>
    <w:next w:val="1"/>
    <w:qFormat/>
    <w:uiPriority w:val="0"/>
    <w:pPr>
      <w:suppressAutoHyphens/>
      <w:spacing w:line="600" w:lineRule="exact"/>
      <w:ind w:firstLine="639"/>
    </w:pPr>
    <w:rPr>
      <w:rFonts w:ascii="Times New Roman" w:hAnsi="Times New Roman" w:eastAsia="宋体" w:cs="Times New Roman"/>
      <w:kern w:val="0"/>
      <w:sz w:val="20"/>
      <w:szCs w:val="20"/>
    </w:rPr>
  </w:style>
  <w:style w:type="paragraph" w:customStyle="1" w:styleId="30">
    <w:name w:val="Normal_8"/>
    <w:qFormat/>
    <w:uiPriority w:val="0"/>
    <w:pPr>
      <w:spacing w:after="160" w:line="278" w:lineRule="auto"/>
    </w:pPr>
    <w:rPr>
      <w:rFonts w:ascii="Times New Roman" w:hAnsi="Times New Roman" w:eastAsia="Times New Roman" w:cs="Times New Roman"/>
      <w:kern w:val="0"/>
      <w:sz w:val="24"/>
      <w:szCs w:val="24"/>
      <w:lang w:val="en-US" w:eastAsia="zh-CN" w:bidi="ar-SA"/>
    </w:rPr>
  </w:style>
  <w:style w:type="paragraph" w:customStyle="1" w:styleId="31">
    <w:name w:val="列出段落11"/>
    <w:basedOn w:val="1"/>
    <w:qFormat/>
    <w:uiPriority w:val="0"/>
    <w:pPr>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10605</Words>
  <Characters>11025</Characters>
  <Lines>0</Lines>
  <Paragraphs>0</Paragraphs>
  <TotalTime>0</TotalTime>
  <ScaleCrop>false</ScaleCrop>
  <LinksUpToDate>false</LinksUpToDate>
  <CharactersWithSpaces>11967</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2023-07-17T09:45:00Z</dcterms:created>
  <dc:creator>是小豹子</dc:creator>
  <cp:lastModifiedBy>Administrator</cp:lastModifiedBy>
  <cp:lastPrinted>2026-05-15T07:02:00Z</cp:lastPrinted>
  <dcterms:modified xsi:type="dcterms:W3CDTF">2026-10-09T01:54:21Z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3505A2AB25E048A4A9B0E6A6741CA1BA_11</vt:lpwstr>
  </property>
  <property fmtid="{D5CDD505-2E9C-101B-9397-08002B2CF9AE}" pid="4" name="KSOTemplateDocerSaveRecord">
    <vt:lpwstr>eyJoZGlkIjoiOWU3YmMxNGQ0NDE0NTRiYjQ3MWFkZjk1MWM2MTc2NWEiLCJ1c2VySWQiOiI0NDIzNjcyODQifQ==</vt:lpwstr>
  </property>
</Properties>
</file>