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4D2AB">
      <w:pPr>
        <w:pStyle w:val="6"/>
        <w:snapToGrid w:val="0"/>
        <w:jc w:val="center"/>
        <w:rPr>
          <w:rFonts w:hint="eastAsia" w:ascii="Arial" w:hAnsi="Arial" w:eastAsia="方正小标宋简体" w:cs="Arial"/>
          <w:color w:val="auto"/>
          <w:sz w:val="72"/>
          <w:szCs w:val="72"/>
          <w:lang w:eastAsia="zh-CN"/>
        </w:rPr>
      </w:pPr>
      <w:bookmarkStart w:id="0" w:name="_Toc16523570"/>
    </w:p>
    <w:p w14:paraId="624C34B6">
      <w:pPr>
        <w:pStyle w:val="6"/>
        <w:snapToGrid w:val="0"/>
        <w:jc w:val="center"/>
        <w:rPr>
          <w:rFonts w:hint="eastAsia" w:ascii="Arial" w:hAnsi="Arial" w:eastAsia="方正小标宋简体" w:cs="Arial"/>
          <w:sz w:val="72"/>
          <w:szCs w:val="72"/>
        </w:rPr>
      </w:pPr>
      <w:r>
        <w:rPr>
          <w:rFonts w:hint="eastAsia" w:ascii="Arial" w:hAnsi="Arial" w:eastAsia="方正小标宋简体" w:cs="Arial"/>
          <w:sz w:val="72"/>
          <w:szCs w:val="72"/>
        </w:rPr>
        <w:t>娄底市中心医院</w:t>
      </w:r>
    </w:p>
    <w:p w14:paraId="5D37DAB4">
      <w:pPr>
        <w:pStyle w:val="6"/>
        <w:snapToGrid w:val="0"/>
        <w:jc w:val="center"/>
        <w:rPr>
          <w:rFonts w:hint="eastAsia" w:ascii="Arial" w:hAnsi="Arial" w:eastAsia="方正小标宋简体" w:cs="Arial"/>
          <w:sz w:val="72"/>
          <w:szCs w:val="72"/>
        </w:rPr>
      </w:pPr>
    </w:p>
    <w:p w14:paraId="16E58BC0">
      <w:pPr>
        <w:pStyle w:val="6"/>
        <w:snapToGrid w:val="0"/>
        <w:jc w:val="center"/>
        <w:rPr>
          <w:rFonts w:hint="eastAsia" w:ascii="Arial" w:hAnsi="Arial" w:eastAsia="方正小标宋简体" w:cs="Arial"/>
          <w:sz w:val="72"/>
          <w:szCs w:val="72"/>
        </w:rPr>
      </w:pPr>
    </w:p>
    <w:p w14:paraId="7D3C3256">
      <w:pPr>
        <w:pStyle w:val="6"/>
        <w:snapToGrid w:val="0"/>
        <w:jc w:val="center"/>
        <w:rPr>
          <w:rFonts w:hint="eastAsia" w:ascii="Arial" w:hAnsi="Arial" w:eastAsia="方正小标宋简体" w:cs="Arial"/>
          <w:sz w:val="72"/>
          <w:szCs w:val="72"/>
        </w:rPr>
      </w:pPr>
    </w:p>
    <w:p w14:paraId="11608FC0">
      <w:pPr>
        <w:pStyle w:val="6"/>
        <w:snapToGrid w:val="0"/>
        <w:jc w:val="center"/>
        <w:rPr>
          <w:rFonts w:ascii="Arial" w:hAnsi="Arial" w:eastAsia="方正小标宋简体" w:cs="Arial"/>
          <w:sz w:val="36"/>
          <w:szCs w:val="36"/>
        </w:rPr>
      </w:pPr>
      <w:r>
        <w:rPr>
          <w:rFonts w:hint="eastAsia" w:ascii="Arial" w:hAnsi="Arial" w:eastAsia="方正小标宋简体" w:cs="Arial"/>
          <w:sz w:val="72"/>
          <w:szCs w:val="72"/>
          <w:lang w:val="en-US" w:eastAsia="zh-CN"/>
        </w:rPr>
        <w:t>采购</w:t>
      </w:r>
      <w:r>
        <w:rPr>
          <w:rFonts w:ascii="Arial" w:hAnsi="Arial" w:eastAsia="方正小标宋简体" w:cs="Arial"/>
          <w:sz w:val="72"/>
          <w:szCs w:val="72"/>
        </w:rPr>
        <w:t>文件</w:t>
      </w:r>
    </w:p>
    <w:p w14:paraId="33524D07">
      <w:pPr>
        <w:pStyle w:val="6"/>
        <w:snapToGrid w:val="0"/>
        <w:jc w:val="center"/>
        <w:rPr>
          <w:rFonts w:ascii="Arial" w:hAnsi="Arial" w:cs="Arial"/>
          <w:sz w:val="32"/>
          <w:szCs w:val="32"/>
        </w:rPr>
      </w:pPr>
    </w:p>
    <w:p w14:paraId="46311545">
      <w:pPr>
        <w:pStyle w:val="18"/>
        <w:rPr>
          <w:rFonts w:ascii="Arial" w:hAnsi="Arial" w:cs="Arial"/>
          <w:sz w:val="32"/>
          <w:szCs w:val="32"/>
        </w:rPr>
      </w:pPr>
    </w:p>
    <w:p w14:paraId="5F00027D">
      <w:pPr>
        <w:pStyle w:val="14"/>
        <w:rPr>
          <w:rFonts w:ascii="Arial" w:hAnsi="Arial" w:cs="Arial"/>
          <w:sz w:val="32"/>
          <w:szCs w:val="32"/>
        </w:rPr>
      </w:pPr>
    </w:p>
    <w:p w14:paraId="790E99FE">
      <w:pPr>
        <w:pStyle w:val="14"/>
        <w:rPr>
          <w:rFonts w:ascii="Arial" w:hAnsi="Arial" w:cs="Arial"/>
          <w:sz w:val="32"/>
          <w:szCs w:val="32"/>
        </w:rPr>
      </w:pPr>
    </w:p>
    <w:p w14:paraId="6D6CF557">
      <w:pPr>
        <w:pStyle w:val="14"/>
        <w:rPr>
          <w:rFonts w:ascii="Arial" w:hAnsi="Arial" w:cs="Arial"/>
          <w:sz w:val="32"/>
          <w:szCs w:val="32"/>
        </w:rPr>
      </w:pPr>
    </w:p>
    <w:p w14:paraId="77BABE1C">
      <w:pPr>
        <w:pStyle w:val="14"/>
        <w:rPr>
          <w:rFonts w:ascii="Arial" w:hAnsi="Arial" w:cs="Arial"/>
          <w:sz w:val="32"/>
          <w:szCs w:val="32"/>
        </w:rPr>
      </w:pPr>
    </w:p>
    <w:p w14:paraId="1C0FB295">
      <w:pPr>
        <w:pStyle w:val="14"/>
        <w:rPr>
          <w:rFonts w:ascii="Arial" w:hAnsi="Arial" w:cs="Arial"/>
          <w:sz w:val="32"/>
          <w:szCs w:val="32"/>
        </w:rPr>
      </w:pPr>
    </w:p>
    <w:p w14:paraId="4C96CB97">
      <w:pPr>
        <w:pStyle w:val="14"/>
        <w:rPr>
          <w:rFonts w:ascii="Arial" w:hAnsi="Arial" w:cs="Arial"/>
          <w:sz w:val="32"/>
          <w:szCs w:val="32"/>
        </w:rPr>
      </w:pPr>
    </w:p>
    <w:p w14:paraId="1825AAC5">
      <w:pPr>
        <w:pStyle w:val="14"/>
        <w:rPr>
          <w:rFonts w:ascii="Arial" w:hAnsi="Arial" w:cs="Arial"/>
          <w:sz w:val="32"/>
          <w:szCs w:val="32"/>
        </w:rPr>
      </w:pPr>
    </w:p>
    <w:p w14:paraId="1B92FFA5">
      <w:pPr>
        <w:pStyle w:val="6"/>
        <w:snapToGrid w:val="0"/>
        <w:jc w:val="center"/>
        <w:rPr>
          <w:rFonts w:ascii="Arial" w:hAnsi="Arial" w:cs="Arial"/>
          <w:sz w:val="32"/>
          <w:szCs w:val="32"/>
        </w:rPr>
      </w:pPr>
    </w:p>
    <w:p w14:paraId="3EB4A47A">
      <w:pPr>
        <w:pStyle w:val="6"/>
        <w:snapToGrid w:val="0"/>
        <w:jc w:val="center"/>
        <w:rPr>
          <w:rFonts w:ascii="Arial" w:hAnsi="Arial" w:cs="Arial"/>
          <w:sz w:val="32"/>
          <w:szCs w:val="32"/>
        </w:rPr>
      </w:pPr>
    </w:p>
    <w:p w14:paraId="487767A3">
      <w:pPr>
        <w:spacing w:line="360" w:lineRule="auto"/>
        <w:rPr>
          <w:rFonts w:hint="eastAsia"/>
          <w:bCs/>
          <w:sz w:val="32"/>
          <w:szCs w:val="32"/>
        </w:rPr>
      </w:pPr>
    </w:p>
    <w:p w14:paraId="4FD265F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120" w:beforeAutospacing="0" w:after="0" w:afterAutospacing="0" w:line="27" w:lineRule="atLeast"/>
        <w:ind w:left="0" w:right="0"/>
        <w:jc w:val="center"/>
        <w:rPr>
          <w:rFonts w:hint="eastAsia"/>
          <w:bCs/>
          <w:sz w:val="32"/>
          <w:szCs w:val="32"/>
        </w:rPr>
      </w:pPr>
      <w:r>
        <w:rPr>
          <w:rFonts w:hint="eastAsia"/>
          <w:bCs/>
          <w:sz w:val="32"/>
          <w:szCs w:val="32"/>
        </w:rPr>
        <w:t>项目名称：</w:t>
      </w:r>
      <w:r>
        <w:rPr>
          <w:rFonts w:hint="eastAsia"/>
          <w:bCs/>
          <w:sz w:val="32"/>
          <w:szCs w:val="32"/>
          <w:lang w:val="en-US" w:eastAsia="zh-CN"/>
        </w:rPr>
        <w:t>娄底市中心医院设备科医疗器械采购项目</w:t>
      </w:r>
    </w:p>
    <w:p w14:paraId="5CF2881B">
      <w:pPr>
        <w:jc w:val="center"/>
        <w:rPr>
          <w:rFonts w:hint="default" w:ascii="Times New Roman" w:hAnsi="Times New Roman" w:eastAsia="宋体" w:cs="Times New Roman"/>
          <w:b/>
          <w:bCs/>
          <w:kern w:val="44"/>
          <w:sz w:val="32"/>
          <w:szCs w:val="32"/>
          <w:lang w:val="en-US" w:eastAsia="zh-CN" w:bidi="ar-SA"/>
        </w:rPr>
      </w:pPr>
      <w:r>
        <w:rPr>
          <w:rFonts w:hint="eastAsia" w:cs="Times New Roman"/>
          <w:b/>
          <w:bCs/>
          <w:kern w:val="44"/>
          <w:sz w:val="32"/>
          <w:szCs w:val="32"/>
          <w:lang w:val="en-US" w:eastAsia="zh-CN" w:bidi="ar-SA"/>
        </w:rPr>
        <w:t>（酸碱度检测仪+中频治疗仪 医院公开挂网</w:t>
      </w:r>
      <w:r>
        <w:rPr>
          <w:rFonts w:hint="eastAsia" w:ascii="Times New Roman" w:hAnsi="Times New Roman" w:eastAsia="宋体" w:cs="Times New Roman"/>
          <w:b/>
          <w:bCs/>
          <w:kern w:val="44"/>
          <w:sz w:val="32"/>
          <w:szCs w:val="32"/>
          <w:lang w:val="en-US" w:eastAsia="zh-CN" w:bidi="ar-SA"/>
        </w:rPr>
        <w:t>）</w:t>
      </w:r>
    </w:p>
    <w:p w14:paraId="1ABFAA6B">
      <w:pPr>
        <w:spacing w:line="320" w:lineRule="exact"/>
        <w:jc w:val="left"/>
        <w:rPr>
          <w:sz w:val="24"/>
        </w:rPr>
      </w:pPr>
    </w:p>
    <w:p w14:paraId="770B0BB9">
      <w:pPr>
        <w:spacing w:line="320" w:lineRule="exact"/>
        <w:ind w:firstLine="3520" w:firstLineChars="1100"/>
        <w:jc w:val="both"/>
        <w:rPr>
          <w:rFonts w:hint="eastAsia" w:ascii="宋体" w:hAnsi="宋体" w:cs="宋体"/>
          <w:bCs/>
          <w:sz w:val="32"/>
          <w:szCs w:val="32"/>
        </w:rPr>
      </w:pPr>
      <w:r>
        <w:rPr>
          <w:rFonts w:hint="eastAsia" w:ascii="宋体" w:hAnsi="宋体" w:cs="宋体"/>
          <w:bCs/>
          <w:sz w:val="32"/>
          <w:szCs w:val="32"/>
        </w:rPr>
        <w:t>二〇二</w:t>
      </w:r>
      <w:r>
        <w:rPr>
          <w:rFonts w:hint="eastAsia" w:ascii="宋体" w:hAnsi="宋体" w:cs="宋体"/>
          <w:bCs/>
          <w:sz w:val="32"/>
          <w:szCs w:val="32"/>
          <w:lang w:eastAsia="zh-CN"/>
        </w:rPr>
        <w:t>六</w:t>
      </w:r>
      <w:r>
        <w:rPr>
          <w:rFonts w:hint="eastAsia" w:ascii="宋体" w:hAnsi="宋体" w:cs="宋体"/>
          <w:bCs/>
          <w:sz w:val="32"/>
          <w:szCs w:val="32"/>
        </w:rPr>
        <w:t>年</w:t>
      </w:r>
      <w:r>
        <w:rPr>
          <w:rFonts w:hint="eastAsia" w:ascii="宋体" w:hAnsi="宋体" w:cs="宋体"/>
          <w:bCs/>
          <w:sz w:val="32"/>
          <w:szCs w:val="32"/>
          <w:lang w:eastAsia="zh-CN"/>
        </w:rPr>
        <w:t>十</w:t>
      </w:r>
      <w:r>
        <w:rPr>
          <w:rFonts w:hint="eastAsia" w:ascii="宋体" w:hAnsi="宋体" w:cs="宋体"/>
          <w:bCs/>
          <w:sz w:val="32"/>
          <w:szCs w:val="32"/>
        </w:rPr>
        <w:t>月</w:t>
      </w:r>
    </w:p>
    <w:p w14:paraId="4F5472A4">
      <w:pPr>
        <w:pStyle w:val="2"/>
        <w:numPr>
          <w:ilvl w:val="0"/>
          <w:numId w:val="0"/>
        </w:numPr>
        <w:spacing w:line="240" w:lineRule="auto"/>
        <w:ind w:leftChars="0"/>
        <w:jc w:val="center"/>
        <w:rPr>
          <w:rFonts w:hint="eastAsia" w:ascii="宋体" w:hAnsi="宋体" w:cs="宋体"/>
          <w:color w:val="auto"/>
          <w:sz w:val="44"/>
          <w:szCs w:val="44"/>
          <w:lang w:val="en-US" w:eastAsia="zh-CN"/>
        </w:rPr>
      </w:pPr>
    </w:p>
    <w:p w14:paraId="2CC6C485">
      <w:pPr>
        <w:pStyle w:val="2"/>
        <w:numPr>
          <w:ilvl w:val="0"/>
          <w:numId w:val="0"/>
        </w:numPr>
        <w:spacing w:line="240" w:lineRule="auto"/>
        <w:ind w:leftChars="0"/>
        <w:jc w:val="center"/>
        <w:rPr>
          <w:rFonts w:hint="eastAsia"/>
          <w:b/>
          <w:bCs w:val="0"/>
          <w:color w:val="auto"/>
          <w:sz w:val="44"/>
          <w:szCs w:val="44"/>
        </w:rPr>
      </w:pPr>
      <w:r>
        <w:rPr>
          <w:rFonts w:hint="eastAsia" w:ascii="宋体" w:hAnsi="宋体" w:cs="宋体"/>
          <w:color w:val="auto"/>
          <w:sz w:val="44"/>
          <w:szCs w:val="44"/>
          <w:lang w:val="en-US" w:eastAsia="zh-CN"/>
        </w:rPr>
        <w:t xml:space="preserve">第一章 </w:t>
      </w:r>
      <w:r>
        <w:rPr>
          <w:rFonts w:hint="eastAsia" w:ascii="宋体" w:hAnsi="宋体" w:cs="宋体"/>
          <w:color w:val="auto"/>
          <w:sz w:val="44"/>
          <w:szCs w:val="44"/>
        </w:rPr>
        <w:t>投标邀请</w:t>
      </w:r>
    </w:p>
    <w:p w14:paraId="7ADCF26A">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u w:val="single"/>
          <w:lang w:val="en-US" w:eastAsia="zh-CN"/>
        </w:rPr>
        <w:t>酸碱度检测仪+中频治疗仪</w:t>
      </w:r>
      <w:r>
        <w:rPr>
          <w:rFonts w:hint="eastAsia" w:asciiTheme="minorEastAsia" w:hAnsiTheme="minorEastAsia" w:eastAsiaTheme="minorEastAsia" w:cstheme="minorEastAsia"/>
          <w:bCs/>
          <w:color w:val="auto"/>
          <w:sz w:val="24"/>
          <w:szCs w:val="24"/>
          <w:u w:val="none"/>
          <w:lang w:val="en-US" w:eastAsia="zh-CN"/>
        </w:rPr>
        <w:t>项目</w:t>
      </w:r>
      <w:r>
        <w:rPr>
          <w:rFonts w:hint="eastAsia" w:asciiTheme="minorEastAsia" w:hAnsiTheme="minorEastAsia" w:eastAsiaTheme="minorEastAsia" w:cstheme="minorEastAsia"/>
          <w:bCs/>
          <w:color w:val="auto"/>
          <w:sz w:val="24"/>
          <w:szCs w:val="24"/>
          <w:lang w:val="en-US" w:eastAsia="zh-CN"/>
        </w:rPr>
        <w:t>进行医院公开挂网，将事项公告如下：</w:t>
      </w:r>
    </w:p>
    <w:p w14:paraId="435321EC">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一、项目信息</w:t>
      </w:r>
    </w:p>
    <w:p w14:paraId="7CA5D6D3">
      <w:pPr>
        <w:pStyle w:val="6"/>
        <w:numPr>
          <w:ilvl w:val="0"/>
          <w:numId w:val="0"/>
        </w:numPr>
        <w:tabs>
          <w:tab w:val="left" w:pos="312"/>
        </w:tabs>
        <w:snapToGrid w:val="0"/>
        <w:spacing w:line="480" w:lineRule="auto"/>
        <w:ind w:firstLine="480" w:firstLineChars="200"/>
        <w:rPr>
          <w:rFonts w:hint="eastAsia" w:asciiTheme="minorEastAsia" w:hAnsiTheme="minorEastAsia" w:eastAsiaTheme="minorEastAsia" w:cstheme="minorEastAsia"/>
          <w:b w:val="0"/>
          <w:bCs/>
          <w:color w:val="auto"/>
          <w:sz w:val="24"/>
          <w:szCs w:val="24"/>
          <w:lang w:val="en-US" w:eastAsia="zh-CN"/>
        </w:rPr>
      </w:pPr>
      <w:r>
        <w:rPr>
          <w:rFonts w:hint="eastAsia" w:asciiTheme="minorEastAsia" w:hAnsiTheme="minorEastAsia" w:eastAsiaTheme="minorEastAsia" w:cstheme="minorEastAsia"/>
          <w:b w:val="0"/>
          <w:bCs/>
          <w:color w:val="auto"/>
          <w:sz w:val="24"/>
          <w:szCs w:val="24"/>
          <w:lang w:val="en-US" w:eastAsia="zh-CN"/>
        </w:rPr>
        <w:t>项目名称：</w:t>
      </w:r>
      <w:r>
        <w:rPr>
          <w:rFonts w:hint="eastAsia" w:asciiTheme="minorEastAsia" w:hAnsiTheme="minorEastAsia" w:eastAsiaTheme="minorEastAsia" w:cstheme="minorEastAsia"/>
          <w:b w:val="0"/>
          <w:bCs/>
          <w:color w:val="auto"/>
          <w:sz w:val="24"/>
          <w:szCs w:val="24"/>
          <w:u w:val="single"/>
          <w:lang w:val="en-US" w:eastAsia="zh-CN"/>
        </w:rPr>
        <w:t>酸碱度检测仪+中频治疗仪</w:t>
      </w:r>
      <w:r>
        <w:rPr>
          <w:rFonts w:hint="eastAsia" w:asciiTheme="minorEastAsia" w:hAnsiTheme="minorEastAsia" w:eastAsiaTheme="minorEastAsia" w:cstheme="minorEastAsia"/>
          <w:b w:val="0"/>
          <w:bCs/>
          <w:color w:val="auto"/>
          <w:sz w:val="24"/>
          <w:szCs w:val="24"/>
          <w:lang w:val="en-US" w:eastAsia="zh-CN"/>
        </w:rPr>
        <w:t>项目</w:t>
      </w:r>
    </w:p>
    <w:p w14:paraId="0AC8FEC7">
      <w:pPr>
        <w:pStyle w:val="6"/>
        <w:keepNext w:val="0"/>
        <w:keepLines w:val="0"/>
        <w:pageBreakBefore w:val="0"/>
        <w:widowControl w:val="0"/>
        <w:numPr>
          <w:ilvl w:val="0"/>
          <w:numId w:val="1"/>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采购方式</w:t>
      </w:r>
    </w:p>
    <w:bookmarkEnd w:id="0"/>
    <w:p w14:paraId="76DBA799">
      <w:pPr>
        <w:pStyle w:val="6"/>
        <w:keepNext w:val="0"/>
        <w:keepLines w:val="0"/>
        <w:pageBreakBefore w:val="0"/>
        <w:widowControl w:val="0"/>
        <w:numPr>
          <w:ilvl w:val="0"/>
          <w:numId w:val="2"/>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bidi="ar-SA"/>
        </w:rPr>
        <w:t>医院公开挂网</w:t>
      </w:r>
      <w:r>
        <w:rPr>
          <w:rFonts w:hint="eastAsia" w:asciiTheme="minorEastAsia" w:hAnsiTheme="minorEastAsia" w:eastAsiaTheme="minorEastAsia" w:cstheme="minorEastAsia"/>
          <w:bCs/>
          <w:color w:val="auto"/>
          <w:sz w:val="24"/>
          <w:szCs w:val="24"/>
          <w:lang w:val="en-US" w:eastAsia="zh-CN"/>
        </w:rPr>
        <w:t>，按招标文件评分规则进行评审，以评审结果排序，综合评分得分相同的，按投标报价由低到高顺序排列，得分且投标报价相同的，按技术指标优劣顺序排列。</w:t>
      </w:r>
    </w:p>
    <w:p w14:paraId="03E8934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三、投标人资格要求</w:t>
      </w:r>
    </w:p>
    <w:p w14:paraId="441EE8E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1、投标人的基本资格条件：投标人必须是在中华人民共和国境内注册登记的法人、其他组织或者自然人，且应当符合《政府采购法》第二十二条第一款的规定；</w:t>
      </w:r>
    </w:p>
    <w:p w14:paraId="36F0DAC1">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2、参加政府采购活动近3年内，在经营活动中没有重大违法记录；</w:t>
      </w:r>
    </w:p>
    <w:p w14:paraId="6F9616B7">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3、投标人未列入经营异常名录和未列入严重违法失信企业名单（黑名单），投标人企业法人代表未被列入失信被执行人名单；</w:t>
      </w:r>
    </w:p>
    <w:p w14:paraId="6BDAE6C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720" w:firstLineChars="3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投标人在“信用中国”（www.creditchina.gov.cn）、中国政府采购网（www.ccgp.gov.cn）等网站，未被列入“失信被执行人”、“重大税收违法案件当事人名单”、“政府采购严重违法失信行为记录名单”；</w:t>
      </w:r>
    </w:p>
    <w:p w14:paraId="75AB0138">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4、本项目不接受联合体投标，不得分包、转包；</w:t>
      </w:r>
    </w:p>
    <w:p w14:paraId="649BD8DC">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5、单位负责人为同一人或者存在直接控股、管理关系的不同投标人，不得参加本次采购活动；</w:t>
      </w:r>
    </w:p>
    <w:p w14:paraId="12B84378">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四、投标截止时间、开标时间及地点：</w:t>
      </w:r>
    </w:p>
    <w:p w14:paraId="6E28611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1、投标截止时间、开标时间：见医院官网公开挂网表</w:t>
      </w:r>
    </w:p>
    <w:p w14:paraId="0808AD5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default"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2、开标地点;娄底市中心医院</w:t>
      </w:r>
    </w:p>
    <w:p w14:paraId="3644DD88">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五、采购人地址和联系方法：</w:t>
      </w:r>
    </w:p>
    <w:p w14:paraId="049FFAA9">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1、采购人名称：娄底市中心医院</w:t>
      </w:r>
    </w:p>
    <w:p w14:paraId="2AB872F8">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2、联系人及联系方式：孙沁忍 16673869902</w:t>
      </w:r>
    </w:p>
    <w:p w14:paraId="31227066">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3、采购人地址：娄底市长青中街51号</w:t>
      </w:r>
    </w:p>
    <w:p w14:paraId="782700B0">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六、投标须知</w:t>
      </w:r>
    </w:p>
    <w:p w14:paraId="6D91642B">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1、否决投标的情形：</w:t>
      </w:r>
    </w:p>
    <w:p w14:paraId="2FF6EB10">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1.1、投标人以他人名义投标、串通投标、以行贿手段谋取中标的；</w:t>
      </w:r>
    </w:p>
    <w:p w14:paraId="593D58A5">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1.2、资格评审时，投标人资格条件不符合国家有关规定或者文件要求的，或者拒不按照要求对投标文件进行澄清、说明或补正，或者其说明补正无法证明其为合格投标人的；</w:t>
      </w:r>
    </w:p>
    <w:p w14:paraId="40CF2CE4">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1.3、评标委员会认定投标人以低于成本报价竞标的；</w:t>
      </w:r>
    </w:p>
    <w:p w14:paraId="6F5CB30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1.4、投标人未按照要求出席开标会的；</w:t>
      </w:r>
    </w:p>
    <w:p w14:paraId="679CC0C3">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1.5、投标报价有错误的，评标委员会将要求投标人作出书面澄清说明和确认，投标人拒不作出澄清说明和确认的；</w:t>
      </w:r>
    </w:p>
    <w:p w14:paraId="364AE9C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1.6、投标文件存在弄虚作假或者隐瞒事实，或者未按照文件要求如实提供有关情况和文件，以及证明资料且对投标人有利的，应当否决其投标。被列为中标候选人的，应当取消其中标候选人资格。</w:t>
      </w:r>
    </w:p>
    <w:p w14:paraId="26A7334E">
      <w:pPr>
        <w:pStyle w:val="18"/>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b w:val="0"/>
          <w:bCs/>
          <w:color w:val="FF0000"/>
          <w:sz w:val="24"/>
          <w:szCs w:val="24"/>
          <w:lang w:val="en-US" w:eastAsia="zh-CN" w:bidi="ar-SA"/>
        </w:rPr>
      </w:pPr>
      <w:r>
        <w:rPr>
          <w:rFonts w:hint="eastAsia" w:asciiTheme="minorEastAsia" w:hAnsiTheme="minorEastAsia" w:eastAsiaTheme="minorEastAsia" w:cstheme="minorEastAsia"/>
          <w:b w:val="0"/>
          <w:bCs/>
          <w:color w:val="FF0000"/>
          <w:sz w:val="24"/>
          <w:szCs w:val="24"/>
          <w:lang w:val="en-US" w:eastAsia="zh-CN" w:bidi="ar-SA"/>
        </w:rPr>
        <w:t>1.7、技术参数负偏离大于5条的。</w:t>
      </w:r>
    </w:p>
    <w:p w14:paraId="731CB78F">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2、有下列情形之一的，采购人将重新挂网采购：</w:t>
      </w:r>
    </w:p>
    <w:p w14:paraId="093FC2CB">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2.1、投标截止时间止，投标人少于3家的；</w:t>
      </w:r>
    </w:p>
    <w:p w14:paraId="11432665">
      <w:pPr>
        <w:pStyle w:val="6"/>
        <w:keepNext w:val="0"/>
        <w:keepLines w:val="0"/>
        <w:pageBreakBefore w:val="0"/>
        <w:widowControl w:val="0"/>
        <w:numPr>
          <w:ilvl w:val="0"/>
          <w:numId w:val="0"/>
        </w:numPr>
        <w:tabs>
          <w:tab w:val="left" w:pos="312"/>
        </w:tabs>
        <w:kinsoku/>
        <w:wordWrap/>
        <w:overflowPunct/>
        <w:topLinePunct w:val="0"/>
        <w:autoSpaceDE w:val="0"/>
        <w:autoSpaceDN w:val="0"/>
        <w:bidi w:val="0"/>
        <w:adjustRightInd w:val="0"/>
        <w:snapToGrid w:val="0"/>
        <w:spacing w:line="360" w:lineRule="auto"/>
        <w:ind w:firstLine="480" w:firstLineChars="200"/>
        <w:textAlignment w:val="auto"/>
        <w:rPr>
          <w:rFonts w:hint="eastAsia" w:asciiTheme="minorEastAsia" w:hAnsiTheme="minorEastAsia" w:eastAsiaTheme="minorEastAsia" w:cstheme="minorEastAsia"/>
          <w:bCs/>
          <w:color w:val="auto"/>
          <w:sz w:val="24"/>
          <w:szCs w:val="24"/>
          <w:lang w:val="en-US" w:eastAsia="zh-CN"/>
        </w:rPr>
      </w:pPr>
      <w:r>
        <w:rPr>
          <w:rFonts w:hint="eastAsia" w:asciiTheme="minorEastAsia" w:hAnsiTheme="minorEastAsia" w:eastAsiaTheme="minorEastAsia" w:cstheme="minorEastAsia"/>
          <w:bCs/>
          <w:color w:val="auto"/>
          <w:sz w:val="24"/>
          <w:szCs w:val="24"/>
          <w:lang w:val="en-US" w:eastAsia="zh-CN"/>
        </w:rPr>
        <w:t>2.2、经评标委员会评审后，符合资格审查的投标人少于3家的。</w:t>
      </w:r>
    </w:p>
    <w:p w14:paraId="1D69A94E">
      <w:pPr>
        <w:pStyle w:val="18"/>
        <w:rPr>
          <w:rFonts w:hint="eastAsia"/>
          <w:lang w:val="en-US" w:eastAsia="zh-CN"/>
        </w:rPr>
      </w:pPr>
    </w:p>
    <w:p w14:paraId="687E9235">
      <w:pPr>
        <w:pStyle w:val="18"/>
        <w:jc w:val="both"/>
        <w:rPr>
          <w:rFonts w:hint="default"/>
          <w:lang w:val="en-US" w:eastAsia="zh-CN"/>
        </w:rPr>
      </w:pPr>
    </w:p>
    <w:p w14:paraId="7AECD5DA">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13042EC1">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p>
    <w:p w14:paraId="433AFCCD">
      <w:pPr>
        <w:rPr>
          <w:rFonts w:hint="eastAsia" w:ascii="宋体" w:hAnsi="宋体" w:cs="宋体"/>
          <w:b/>
          <w:bCs/>
          <w:color w:val="auto"/>
          <w:sz w:val="44"/>
          <w:szCs w:val="44"/>
          <w:lang w:val="en-US" w:eastAsia="zh-CN"/>
        </w:rPr>
      </w:pPr>
    </w:p>
    <w:p w14:paraId="3F1EFC05">
      <w:pPr>
        <w:rPr>
          <w:rFonts w:hint="eastAsia"/>
          <w:lang w:val="en-US" w:eastAsia="zh-CN"/>
        </w:rPr>
      </w:pPr>
    </w:p>
    <w:p w14:paraId="7DFCDC16">
      <w:pPr>
        <w:pStyle w:val="6"/>
        <w:numPr>
          <w:ilvl w:val="0"/>
          <w:numId w:val="0"/>
        </w:numPr>
        <w:tabs>
          <w:tab w:val="left" w:pos="312"/>
        </w:tabs>
        <w:snapToGrid w:val="0"/>
        <w:spacing w:line="480" w:lineRule="auto"/>
        <w:jc w:val="center"/>
        <w:rPr>
          <w:rFonts w:hint="eastAsia" w:ascii="宋体" w:hAnsi="宋体" w:cs="宋体"/>
          <w:b/>
          <w:bCs/>
          <w:color w:val="auto"/>
          <w:sz w:val="44"/>
          <w:szCs w:val="44"/>
          <w:lang w:val="en-US" w:eastAsia="zh-CN"/>
        </w:rPr>
      </w:pPr>
      <w:r>
        <w:rPr>
          <w:rFonts w:hint="eastAsia" w:ascii="宋体" w:hAnsi="宋体" w:cs="宋体"/>
          <w:b/>
          <w:bCs/>
          <w:color w:val="auto"/>
          <w:sz w:val="44"/>
          <w:szCs w:val="44"/>
          <w:lang w:val="en-US" w:eastAsia="zh-CN"/>
        </w:rPr>
        <w:t>第二章采购需求</w:t>
      </w:r>
    </w:p>
    <w:p w14:paraId="0DE823E3">
      <w:pPr>
        <w:keepNext w:val="0"/>
        <w:keepLines w:val="0"/>
        <w:pageBreakBefore w:val="0"/>
        <w:kinsoku/>
        <w:wordWrap/>
        <w:overflowPunct/>
        <w:topLinePunct w:val="0"/>
        <w:autoSpaceDE/>
        <w:autoSpaceDN/>
        <w:bidi w:val="0"/>
        <w:adjustRightInd/>
        <w:snapToGrid/>
        <w:spacing w:line="360" w:lineRule="auto"/>
        <w:ind w:firstLine="560" w:firstLineChars="200"/>
        <w:rPr>
          <w:rFonts w:hint="eastAsia" w:ascii="黑体" w:hAnsi="黑体" w:eastAsia="黑体" w:cs="黑体"/>
          <w:bCs/>
          <w:color w:val="auto"/>
          <w:kern w:val="0"/>
          <w:sz w:val="28"/>
          <w:szCs w:val="28"/>
          <w:lang w:val="en-US" w:eastAsia="zh-CN" w:bidi="ar-SA"/>
        </w:rPr>
      </w:pPr>
      <w:r>
        <w:rPr>
          <w:rFonts w:hint="eastAsia" w:ascii="黑体" w:hAnsi="黑体" w:eastAsia="黑体" w:cs="黑体"/>
          <w:bCs/>
          <w:color w:val="auto"/>
          <w:kern w:val="0"/>
          <w:sz w:val="28"/>
          <w:szCs w:val="28"/>
          <w:lang w:val="en-US" w:eastAsia="zh-CN" w:bidi="ar-SA"/>
        </w:rPr>
        <w:t>一、采购清单、采购项目交付或者实施的时间和地点</w:t>
      </w:r>
    </w:p>
    <w:p w14:paraId="72D2BF8C">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1.采购项目</w:t>
      </w:r>
    </w:p>
    <w:tbl>
      <w:tblPr>
        <w:tblStyle w:val="15"/>
        <w:tblW w:w="9689"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15" w:type="dxa"/>
          <w:left w:w="15" w:type="dxa"/>
          <w:bottom w:w="15" w:type="dxa"/>
          <w:right w:w="15" w:type="dxa"/>
        </w:tblCellMar>
      </w:tblPr>
      <w:tblGrid>
        <w:gridCol w:w="958"/>
        <w:gridCol w:w="2534"/>
        <w:gridCol w:w="1501"/>
        <w:gridCol w:w="2310"/>
        <w:gridCol w:w="2386"/>
      </w:tblGrid>
      <w:tr w14:paraId="20CC542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570"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44330983">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序号</w:t>
            </w:r>
          </w:p>
        </w:tc>
        <w:tc>
          <w:tcPr>
            <w:tcW w:w="2534"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7B60DE4">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lang w:val="en-US" w:eastAsia="zh-CN"/>
              </w:rPr>
              <w:t>设备</w:t>
            </w:r>
            <w:r>
              <w:rPr>
                <w:rFonts w:hint="eastAsia" w:asciiTheme="minorEastAsia" w:hAnsiTheme="minorEastAsia" w:eastAsiaTheme="minorEastAsia" w:cstheme="minorEastAsia"/>
                <w:kern w:val="2"/>
                <w:sz w:val="24"/>
                <w:szCs w:val="24"/>
              </w:rPr>
              <w:t>名称</w:t>
            </w:r>
          </w:p>
        </w:tc>
        <w:tc>
          <w:tcPr>
            <w:tcW w:w="150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8002AC1">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数量</w:t>
            </w:r>
            <w:r>
              <w:rPr>
                <w:rFonts w:hint="eastAsia" w:asciiTheme="minorEastAsia" w:hAnsiTheme="minorEastAsia" w:eastAsiaTheme="minorEastAsia" w:cstheme="minorEastAsia"/>
                <w:sz w:val="24"/>
                <w:szCs w:val="24"/>
              </w:rPr>
              <w:t>(台/套)</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252226A3">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rPr>
            </w:pPr>
            <w:r>
              <w:rPr>
                <w:rFonts w:hint="eastAsia" w:asciiTheme="minorEastAsia" w:hAnsiTheme="minorEastAsia" w:eastAsiaTheme="minorEastAsia" w:cstheme="minorEastAsia"/>
                <w:kern w:val="2"/>
                <w:sz w:val="24"/>
                <w:szCs w:val="24"/>
              </w:rPr>
              <w:t>预算</w:t>
            </w:r>
            <w:r>
              <w:rPr>
                <w:rFonts w:hint="eastAsia" w:asciiTheme="minorEastAsia" w:hAnsiTheme="minorEastAsia" w:eastAsiaTheme="minorEastAsia" w:cstheme="minorEastAsia"/>
                <w:kern w:val="2"/>
                <w:sz w:val="24"/>
                <w:szCs w:val="24"/>
                <w:lang w:eastAsia="zh-CN"/>
              </w:rPr>
              <w:t>总</w:t>
            </w:r>
            <w:r>
              <w:rPr>
                <w:rFonts w:hint="eastAsia" w:asciiTheme="minorEastAsia" w:hAnsiTheme="minorEastAsia" w:eastAsiaTheme="minorEastAsia" w:cstheme="minorEastAsia"/>
                <w:kern w:val="2"/>
                <w:sz w:val="24"/>
                <w:szCs w:val="24"/>
              </w:rPr>
              <w:t>价（万元）</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77B7E320">
            <w:pPr>
              <w:pStyle w:val="1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是否允许进口产品</w:t>
            </w:r>
          </w:p>
        </w:tc>
      </w:tr>
      <w:tr w14:paraId="4C6A9AF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51"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0E6B9F1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534"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679EF7F">
            <w:pPr>
              <w:pStyle w:val="13"/>
              <w:keepNext w:val="0"/>
              <w:keepLines w:val="0"/>
              <w:widowControl/>
              <w:suppressLineNumbers w:val="0"/>
              <w:spacing w:before="0" w:beforeAutospacing="0" w:after="0" w:afterAutospacing="0"/>
              <w:ind w:left="0" w:right="0" w:firstLine="0"/>
              <w:rPr>
                <w:rFonts w:hint="eastAsia" w:asciiTheme="minorEastAsia" w:hAnsiTheme="minorEastAsia" w:eastAsiaTheme="minorEastAsia" w:cstheme="minorEastAsia"/>
                <w:kern w:val="2"/>
                <w:sz w:val="24"/>
                <w:szCs w:val="24"/>
                <w:lang w:val="en-US" w:eastAsia="zh-CN"/>
              </w:rPr>
            </w:pPr>
            <w:r>
              <w:rPr>
                <w:rFonts w:hint="eastAsia" w:eastAsiaTheme="minorEastAsia"/>
                <w:lang w:eastAsia="zh-CN"/>
              </w:rPr>
              <w:t>酸碱度检测仪</w:t>
            </w:r>
          </w:p>
        </w:tc>
        <w:tc>
          <w:tcPr>
            <w:tcW w:w="150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187CC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default" w:asciiTheme="minorEastAsia" w:hAnsiTheme="minorEastAsia" w:eastAsiaTheme="minorEastAsia" w:cstheme="minorEastAsia"/>
                <w:kern w:val="2"/>
                <w:sz w:val="24"/>
                <w:szCs w:val="24"/>
                <w:lang w:val="en-US" w:eastAsia="zh-CN"/>
              </w:rPr>
              <w:t>1</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0C6B593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12.5</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5425AB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bidi="ar-SA"/>
              </w:rPr>
            </w:pPr>
            <w:r>
              <w:rPr>
                <w:rFonts w:hint="eastAsia" w:asciiTheme="minorEastAsia" w:hAnsiTheme="minorEastAsia" w:eastAsiaTheme="minorEastAsia" w:cstheme="minorEastAsia"/>
                <w:kern w:val="2"/>
                <w:sz w:val="24"/>
                <w:szCs w:val="24"/>
                <w:lang w:val="en-US" w:eastAsia="zh-CN"/>
              </w:rPr>
              <w:t>否</w:t>
            </w:r>
          </w:p>
        </w:tc>
      </w:tr>
      <w:tr w14:paraId="3B29E48D">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51"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7B35B5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2</w:t>
            </w:r>
          </w:p>
        </w:tc>
        <w:tc>
          <w:tcPr>
            <w:tcW w:w="2534"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442D99F6">
            <w:pPr>
              <w:pStyle w:val="13"/>
              <w:keepNext w:val="0"/>
              <w:keepLines w:val="0"/>
              <w:widowControl/>
              <w:suppressLineNumbers w:val="0"/>
              <w:spacing w:before="0" w:beforeAutospacing="0" w:after="0" w:afterAutospacing="0"/>
              <w:ind w:left="0" w:right="0" w:firstLine="0"/>
              <w:rPr>
                <w:rFonts w:hint="eastAsia" w:eastAsiaTheme="minorEastAsia"/>
                <w:lang w:eastAsia="zh-CN"/>
              </w:rPr>
            </w:pPr>
            <w:r>
              <w:rPr>
                <w:rFonts w:hint="eastAsia" w:eastAsiaTheme="minorEastAsia"/>
                <w:lang w:eastAsia="zh-CN"/>
              </w:rPr>
              <w:t>中频治疗仪</w:t>
            </w:r>
          </w:p>
        </w:tc>
        <w:tc>
          <w:tcPr>
            <w:tcW w:w="150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3F84D7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1</w:t>
            </w:r>
          </w:p>
        </w:tc>
        <w:tc>
          <w:tcPr>
            <w:tcW w:w="2310"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0BE9D48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9.5</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67045F8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否</w:t>
            </w:r>
          </w:p>
        </w:tc>
      </w:tr>
      <w:tr w14:paraId="6D0E59C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15" w:type="dxa"/>
            <w:left w:w="15" w:type="dxa"/>
            <w:bottom w:w="15" w:type="dxa"/>
            <w:right w:w="15" w:type="dxa"/>
          </w:tblCellMar>
        </w:tblPrEx>
        <w:trPr>
          <w:trHeight w:val="651" w:hRule="atLeast"/>
          <w:jc w:val="center"/>
        </w:trPr>
        <w:tc>
          <w:tcPr>
            <w:tcW w:w="958"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525C91A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rPr>
            </w:pPr>
          </w:p>
        </w:tc>
        <w:tc>
          <w:tcPr>
            <w:tcW w:w="2534"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60D76193">
            <w:pPr>
              <w:pStyle w:val="13"/>
              <w:keepNext w:val="0"/>
              <w:keepLines w:val="0"/>
              <w:widowControl/>
              <w:suppressLineNumbers w:val="0"/>
              <w:spacing w:before="0" w:beforeAutospacing="0" w:after="0" w:afterAutospacing="0"/>
              <w:ind w:left="0" w:right="0" w:firstLine="0"/>
              <w:rPr>
                <w:rFonts w:hint="eastAsia" w:eastAsiaTheme="minorEastAsia"/>
                <w:lang w:eastAsia="zh-CN"/>
              </w:rPr>
            </w:pPr>
          </w:p>
        </w:tc>
        <w:tc>
          <w:tcPr>
            <w:tcW w:w="1501" w:type="dxa"/>
            <w:tcBorders>
              <w:top w:val="single" w:color="000000" w:sz="6" w:space="0"/>
              <w:left w:val="single" w:color="000000" w:sz="6" w:space="0"/>
              <w:bottom w:val="single" w:color="000000" w:sz="6" w:space="0"/>
              <w:right w:val="single" w:color="000000" w:sz="6" w:space="0"/>
            </w:tcBorders>
            <w:shd w:val="clear" w:color="auto" w:fill="auto"/>
            <w:tcMar>
              <w:top w:w="75" w:type="dxa"/>
              <w:left w:w="150" w:type="dxa"/>
              <w:bottom w:w="75" w:type="dxa"/>
              <w:right w:w="150" w:type="dxa"/>
            </w:tcMar>
            <w:vAlign w:val="center"/>
          </w:tcPr>
          <w:p w14:paraId="7B3DD2B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合计</w:t>
            </w:r>
          </w:p>
        </w:tc>
        <w:tc>
          <w:tcPr>
            <w:tcW w:w="2310" w:type="dxa"/>
            <w:tcBorders>
              <w:top w:val="single" w:color="000000" w:sz="6" w:space="0"/>
              <w:left w:val="single" w:color="000000" w:sz="6" w:space="0"/>
              <w:right w:val="single" w:color="auto" w:sz="4" w:space="0"/>
            </w:tcBorders>
            <w:shd w:val="clear" w:color="auto" w:fill="auto"/>
            <w:tcMar>
              <w:top w:w="75" w:type="dxa"/>
              <w:left w:w="150" w:type="dxa"/>
              <w:bottom w:w="75" w:type="dxa"/>
              <w:right w:w="150" w:type="dxa"/>
            </w:tcMar>
            <w:vAlign w:val="center"/>
          </w:tcPr>
          <w:p w14:paraId="0690785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default" w:asciiTheme="minorEastAsia" w:hAnsiTheme="minorEastAsia" w:eastAsiaTheme="minorEastAsia" w:cstheme="minorEastAsia"/>
                <w:kern w:val="2"/>
                <w:sz w:val="24"/>
                <w:szCs w:val="24"/>
                <w:lang w:val="en-US" w:eastAsia="zh-CN"/>
              </w:rPr>
            </w:pPr>
            <w:r>
              <w:rPr>
                <w:rFonts w:hint="eastAsia" w:asciiTheme="minorEastAsia" w:hAnsiTheme="minorEastAsia" w:eastAsiaTheme="minorEastAsia" w:cstheme="minorEastAsia"/>
                <w:kern w:val="2"/>
                <w:sz w:val="24"/>
                <w:szCs w:val="24"/>
                <w:lang w:val="en-US" w:eastAsia="zh-CN"/>
              </w:rPr>
              <w:t>22</w:t>
            </w:r>
          </w:p>
        </w:tc>
        <w:tc>
          <w:tcPr>
            <w:tcW w:w="2386" w:type="dxa"/>
            <w:tcBorders>
              <w:top w:val="single" w:color="000000" w:sz="6" w:space="0"/>
              <w:left w:val="single" w:color="000000" w:sz="6" w:space="0"/>
              <w:bottom w:val="single" w:color="000000" w:sz="6" w:space="0"/>
              <w:right w:val="single" w:color="auto" w:sz="4" w:space="0"/>
            </w:tcBorders>
            <w:shd w:val="clear" w:color="auto" w:fill="auto"/>
            <w:tcMar>
              <w:top w:w="75" w:type="dxa"/>
              <w:left w:w="150" w:type="dxa"/>
              <w:bottom w:w="75" w:type="dxa"/>
              <w:right w:w="150" w:type="dxa"/>
            </w:tcMar>
            <w:vAlign w:val="center"/>
          </w:tcPr>
          <w:p w14:paraId="7975CE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center"/>
              <w:textAlignment w:val="auto"/>
              <w:rPr>
                <w:rFonts w:hint="eastAsia" w:asciiTheme="minorEastAsia" w:hAnsiTheme="minorEastAsia" w:eastAsiaTheme="minorEastAsia" w:cstheme="minorEastAsia"/>
                <w:kern w:val="2"/>
                <w:sz w:val="24"/>
                <w:szCs w:val="24"/>
                <w:lang w:val="en-US" w:eastAsia="zh-CN"/>
              </w:rPr>
            </w:pPr>
          </w:p>
        </w:tc>
      </w:tr>
    </w:tbl>
    <w:p w14:paraId="2A594301">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p>
    <w:p w14:paraId="336CF4AB">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2、服务时间：双方签订合同时具体约定。</w:t>
      </w:r>
    </w:p>
    <w:p w14:paraId="72701C18">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3、服务地点：娄底市中心医院。</w:t>
      </w:r>
    </w:p>
    <w:p w14:paraId="33970FE5">
      <w:pPr>
        <w:keepNext w:val="0"/>
        <w:keepLines w:val="0"/>
        <w:pageBreakBefore w:val="0"/>
        <w:kinsoku/>
        <w:wordWrap/>
        <w:overflowPunct/>
        <w:topLinePunct w:val="0"/>
        <w:autoSpaceDE/>
        <w:autoSpaceDN/>
        <w:bidi w:val="0"/>
        <w:adjustRightInd/>
        <w:snapToGrid/>
        <w:spacing w:line="480" w:lineRule="exact"/>
        <w:ind w:firstLine="560" w:firstLineChars="200"/>
        <w:textAlignment w:val="auto"/>
        <w:rPr>
          <w:rFonts w:hint="eastAsia" w:ascii="黑体" w:hAnsi="黑体" w:eastAsia="黑体" w:cs="黑体"/>
          <w:bCs/>
          <w:color w:val="auto"/>
          <w:kern w:val="0"/>
          <w:sz w:val="28"/>
          <w:szCs w:val="28"/>
          <w:lang w:val="en-US" w:eastAsia="zh-CN" w:bidi="ar-SA"/>
        </w:rPr>
      </w:pPr>
      <w:r>
        <w:rPr>
          <w:rFonts w:hint="eastAsia" w:ascii="黑体" w:hAnsi="黑体" w:eastAsia="黑体" w:cs="黑体"/>
          <w:bCs/>
          <w:color w:val="auto"/>
          <w:kern w:val="0"/>
          <w:sz w:val="28"/>
          <w:szCs w:val="28"/>
          <w:lang w:val="en-US" w:eastAsia="zh-CN" w:bidi="ar-SA"/>
        </w:rPr>
        <w:t>二、项目内容及要求</w:t>
      </w:r>
    </w:p>
    <w:p w14:paraId="7091B6BD">
      <w:pPr>
        <w:pStyle w:val="22"/>
        <w:ind w:firstLine="240" w:firstLineChars="100"/>
        <w:jc w:val="left"/>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（一）酸碱度检测仪技术参数</w:t>
      </w:r>
    </w:p>
    <w:p w14:paraId="53D67ADF">
      <w:pPr>
        <w:numPr>
          <w:ilvl w:val="0"/>
          <w:numId w:val="0"/>
        </w:numPr>
        <w:snapToGrid w:val="0"/>
        <w:spacing w:line="400" w:lineRule="exact"/>
        <w:ind w:left="420" w:left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▲1、用于24小时动态PH和阻抗监测；</w:t>
      </w:r>
    </w:p>
    <w:p w14:paraId="0CC5BFE6">
      <w:pPr>
        <w:numPr>
          <w:ilvl w:val="0"/>
          <w:numId w:val="0"/>
        </w:numPr>
        <w:snapToGrid w:val="0"/>
        <w:spacing w:line="400" w:lineRule="exact"/>
        <w:ind w:left="420" w:left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▲2、阻抗和PH监测在同一根导管上完成；</w:t>
      </w:r>
    </w:p>
    <w:p w14:paraId="2B23C526">
      <w:pPr>
        <w:numPr>
          <w:ilvl w:val="0"/>
          <w:numId w:val="0"/>
        </w:numPr>
        <w:snapToGrid w:val="0"/>
        <w:spacing w:line="400" w:lineRule="exact"/>
        <w:ind w:left="420" w:leftChars="0"/>
        <w:rPr>
          <w:rFonts w:hint="eastAsia" w:ascii="宋体" w:hAnsi="宋体" w:eastAsia="宋体"/>
          <w:color w:val="auto"/>
          <w:sz w:val="24"/>
          <w:szCs w:val="24"/>
          <w:lang w:eastAsia="zh-CN"/>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3、</w:t>
      </w:r>
      <w:r>
        <w:rPr>
          <w:rFonts w:hint="eastAsia" w:ascii="宋体" w:hAnsi="宋体"/>
          <w:color w:val="auto"/>
          <w:sz w:val="24"/>
          <w:szCs w:val="24"/>
        </w:rPr>
        <w:t>阻抗支持通道数：</w:t>
      </w:r>
      <w:r>
        <w:rPr>
          <w:rFonts w:hint="eastAsia" w:ascii="宋体" w:hAnsi="宋体"/>
          <w:color w:val="auto"/>
          <w:sz w:val="24"/>
          <w:szCs w:val="24"/>
          <w:lang w:eastAsia="zh-CN"/>
        </w:rPr>
        <w:t>不小于</w:t>
      </w:r>
      <w:r>
        <w:rPr>
          <w:rFonts w:hint="eastAsia" w:ascii="宋体" w:hAnsi="宋体"/>
          <w:color w:val="auto"/>
          <w:sz w:val="24"/>
          <w:szCs w:val="24"/>
        </w:rPr>
        <w:t>6个</w:t>
      </w:r>
      <w:r>
        <w:rPr>
          <w:rFonts w:hint="eastAsia" w:ascii="宋体" w:hAnsi="宋体"/>
          <w:color w:val="auto"/>
          <w:sz w:val="24"/>
          <w:szCs w:val="24"/>
          <w:lang w:eastAsia="zh-CN"/>
        </w:rPr>
        <w:t>，</w:t>
      </w:r>
      <w:r>
        <w:rPr>
          <w:rFonts w:hint="eastAsia" w:ascii="宋体" w:hAnsi="宋体"/>
          <w:color w:val="auto"/>
          <w:sz w:val="24"/>
          <w:szCs w:val="24"/>
        </w:rPr>
        <w:t>阻抗传感器</w:t>
      </w:r>
      <w:r>
        <w:rPr>
          <w:rFonts w:hint="eastAsia" w:ascii="宋体" w:hAnsi="宋体"/>
          <w:color w:val="auto"/>
          <w:sz w:val="24"/>
          <w:szCs w:val="24"/>
          <w:lang w:eastAsia="zh-CN"/>
        </w:rPr>
        <w:t>：不小于</w:t>
      </w:r>
      <w:r>
        <w:rPr>
          <w:rFonts w:hint="eastAsia" w:ascii="宋体" w:hAnsi="宋体"/>
          <w:color w:val="auto"/>
          <w:sz w:val="24"/>
          <w:szCs w:val="24"/>
        </w:rPr>
        <w:t>8个</w:t>
      </w:r>
      <w:r>
        <w:rPr>
          <w:rFonts w:hint="eastAsia" w:ascii="宋体" w:hAnsi="宋体"/>
          <w:color w:val="auto"/>
          <w:sz w:val="24"/>
          <w:szCs w:val="24"/>
          <w:lang w:eastAsia="zh-CN"/>
        </w:rPr>
        <w:t>；</w:t>
      </w:r>
    </w:p>
    <w:p w14:paraId="233E7E18">
      <w:pPr>
        <w:numPr>
          <w:ilvl w:val="0"/>
          <w:numId w:val="0"/>
        </w:numPr>
        <w:snapToGrid w:val="0"/>
        <w:spacing w:line="400" w:lineRule="exact"/>
        <w:ind w:left="420" w:leftChars="0"/>
        <w:rPr>
          <w:rFonts w:hint="eastAsia" w:ascii="宋体" w:hAnsi="宋体"/>
          <w:color w:val="auto"/>
          <w:sz w:val="24"/>
          <w:szCs w:val="24"/>
        </w:rPr>
      </w:pPr>
      <w:r>
        <w:rPr>
          <w:rFonts w:hint="eastAsia" w:ascii="宋体" w:hAnsi="宋体"/>
          <w:color w:val="auto"/>
          <w:sz w:val="24"/>
          <w:szCs w:val="24"/>
          <w:lang w:val="en-US" w:eastAsia="zh-CN"/>
        </w:rPr>
        <w:t>4、</w:t>
      </w:r>
      <w:r>
        <w:rPr>
          <w:rFonts w:hint="eastAsia" w:ascii="宋体" w:hAnsi="宋体"/>
          <w:color w:val="auto"/>
          <w:sz w:val="24"/>
          <w:szCs w:val="24"/>
        </w:rPr>
        <w:t>pH传感器数量：</w:t>
      </w:r>
      <w:r>
        <w:rPr>
          <w:rFonts w:hint="eastAsia" w:ascii="宋体" w:hAnsi="宋体"/>
          <w:color w:val="auto"/>
          <w:sz w:val="24"/>
          <w:szCs w:val="24"/>
          <w:lang w:eastAsia="zh-CN"/>
        </w:rPr>
        <w:t>不小于</w:t>
      </w:r>
      <w:r>
        <w:rPr>
          <w:rFonts w:hint="eastAsia" w:ascii="宋体" w:hAnsi="宋体"/>
          <w:color w:val="auto"/>
          <w:sz w:val="24"/>
          <w:szCs w:val="24"/>
        </w:rPr>
        <w:t>2通道</w:t>
      </w:r>
    </w:p>
    <w:p w14:paraId="53576CC4">
      <w:pPr>
        <w:numPr>
          <w:ilvl w:val="0"/>
          <w:numId w:val="0"/>
        </w:numPr>
        <w:snapToGrid w:val="0"/>
        <w:spacing w:line="400" w:lineRule="exact"/>
        <w:ind w:left="420" w:left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5、电极导管直径：≤2.1mm；</w:t>
      </w:r>
    </w:p>
    <w:p w14:paraId="195FE7B2">
      <w:pPr>
        <w:numPr>
          <w:ilvl w:val="0"/>
          <w:numId w:val="0"/>
        </w:num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▲6、导管</w:t>
      </w:r>
      <w:r>
        <w:rPr>
          <w:rFonts w:hint="default" w:asciiTheme="minorEastAsia" w:hAnsiTheme="minorEastAsia" w:eastAsiaTheme="minorEastAsia" w:cstheme="minorEastAsia"/>
          <w:bCs/>
          <w:color w:val="auto"/>
          <w:kern w:val="0"/>
          <w:sz w:val="24"/>
          <w:szCs w:val="24"/>
          <w:lang w:val="en-US" w:eastAsia="zh-CN" w:bidi="ar-SA"/>
        </w:rPr>
        <w:t>pH</w:t>
      </w:r>
      <w:r>
        <w:rPr>
          <w:rFonts w:hint="eastAsia" w:asciiTheme="minorEastAsia" w:hAnsiTheme="minorEastAsia" w:eastAsiaTheme="minorEastAsia" w:cstheme="minorEastAsia"/>
          <w:bCs/>
          <w:color w:val="auto"/>
          <w:kern w:val="0"/>
          <w:sz w:val="24"/>
          <w:szCs w:val="24"/>
          <w:lang w:val="en-US" w:eastAsia="zh-CN" w:bidi="ar-SA"/>
        </w:rPr>
        <w:t>测量范围：</w:t>
      </w:r>
      <w:r>
        <w:rPr>
          <w:rFonts w:hint="default" w:asciiTheme="minorEastAsia" w:hAnsiTheme="minorEastAsia" w:eastAsiaTheme="minorEastAsia" w:cstheme="minorEastAsia"/>
          <w:bCs/>
          <w:color w:val="auto"/>
          <w:kern w:val="0"/>
          <w:sz w:val="24"/>
          <w:szCs w:val="24"/>
          <w:lang w:val="en-US" w:eastAsia="zh-CN" w:bidi="ar-SA"/>
        </w:rPr>
        <w:t xml:space="preserve">1.0 </w:t>
      </w:r>
      <w:r>
        <w:rPr>
          <w:rFonts w:hint="eastAsia" w:asciiTheme="minorEastAsia" w:hAnsiTheme="minorEastAsia" w:eastAsiaTheme="minorEastAsia" w:cstheme="minorEastAsia"/>
          <w:bCs/>
          <w:color w:val="auto"/>
          <w:kern w:val="0"/>
          <w:sz w:val="24"/>
          <w:szCs w:val="24"/>
          <w:lang w:val="en-US" w:eastAsia="zh-CN" w:bidi="ar-SA"/>
        </w:rPr>
        <w:t>~</w:t>
      </w:r>
      <w:r>
        <w:rPr>
          <w:rFonts w:hint="default" w:asciiTheme="minorEastAsia" w:hAnsiTheme="minorEastAsia" w:eastAsiaTheme="minorEastAsia" w:cstheme="minorEastAsia"/>
          <w:bCs/>
          <w:color w:val="auto"/>
          <w:kern w:val="0"/>
          <w:sz w:val="24"/>
          <w:szCs w:val="24"/>
          <w:lang w:val="en-US" w:eastAsia="zh-CN" w:bidi="ar-SA"/>
        </w:rPr>
        <w:t xml:space="preserve"> 9.0</w:t>
      </w:r>
      <w:r>
        <w:rPr>
          <w:rFonts w:hint="eastAsia" w:asciiTheme="minorEastAsia" w:hAnsiTheme="minorEastAsia" w:eastAsiaTheme="minorEastAsia" w:cstheme="minorEastAsia"/>
          <w:bCs/>
          <w:color w:val="auto"/>
          <w:kern w:val="0"/>
          <w:sz w:val="24"/>
          <w:szCs w:val="24"/>
          <w:lang w:val="en-US" w:eastAsia="zh-CN" w:bidi="ar-SA"/>
        </w:rPr>
        <w:t>，≤±0.5pH；</w:t>
      </w:r>
    </w:p>
    <w:p w14:paraId="43B31DBC">
      <w:pPr>
        <w:numPr>
          <w:ilvl w:val="0"/>
          <w:numId w:val="0"/>
        </w:numPr>
        <w:spacing w:line="360" w:lineRule="auto"/>
        <w:ind w:firstLine="480" w:firstLineChars="20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7、导管pH测量精确度：</w:t>
      </w:r>
      <w:r>
        <w:rPr>
          <w:rFonts w:hint="default" w:asciiTheme="minorEastAsia" w:hAnsiTheme="minorEastAsia" w:eastAsiaTheme="minorEastAsia" w:cstheme="minorEastAsia"/>
          <w:bCs/>
          <w:color w:val="auto"/>
          <w:kern w:val="0"/>
          <w:sz w:val="24"/>
          <w:szCs w:val="24"/>
          <w:lang w:val="en-US" w:eastAsia="zh-CN" w:bidi="ar-SA"/>
        </w:rPr>
        <w:t>5</w:t>
      </w:r>
      <w:r>
        <w:rPr>
          <w:rFonts w:hint="eastAsia" w:asciiTheme="minorEastAsia" w:hAnsiTheme="minorEastAsia" w:eastAsiaTheme="minorEastAsia" w:cstheme="minorEastAsia"/>
          <w:bCs/>
          <w:color w:val="auto"/>
          <w:kern w:val="0"/>
          <w:sz w:val="24"/>
          <w:szCs w:val="24"/>
          <w:lang w:val="en-US" w:eastAsia="zh-CN" w:bidi="ar-SA"/>
        </w:rPr>
        <w:t>℃</w:t>
      </w:r>
      <w:r>
        <w:rPr>
          <w:rFonts w:hint="default" w:asciiTheme="minorEastAsia" w:hAnsiTheme="minorEastAsia" w:eastAsiaTheme="minorEastAsia" w:cstheme="minorEastAsia"/>
          <w:bCs/>
          <w:color w:val="auto"/>
          <w:kern w:val="0"/>
          <w:sz w:val="24"/>
          <w:szCs w:val="24"/>
          <w:lang w:val="en-US" w:eastAsia="zh-CN" w:bidi="ar-SA"/>
        </w:rPr>
        <w:t>~40</w:t>
      </w:r>
      <w:r>
        <w:rPr>
          <w:rFonts w:hint="eastAsia" w:asciiTheme="minorEastAsia" w:hAnsiTheme="minorEastAsia" w:eastAsiaTheme="minorEastAsia" w:cstheme="minorEastAsia"/>
          <w:bCs/>
          <w:color w:val="auto"/>
          <w:kern w:val="0"/>
          <w:sz w:val="24"/>
          <w:szCs w:val="24"/>
          <w:lang w:val="en-US" w:eastAsia="zh-CN" w:bidi="ar-SA"/>
        </w:rPr>
        <w:t>℃范围内</w:t>
      </w:r>
      <w:r>
        <w:rPr>
          <w:rFonts w:hint="default" w:asciiTheme="minorEastAsia" w:hAnsiTheme="minorEastAsia" w:eastAsiaTheme="minorEastAsia" w:cstheme="minorEastAsia"/>
          <w:bCs/>
          <w:color w:val="auto"/>
          <w:kern w:val="0"/>
          <w:sz w:val="24"/>
          <w:szCs w:val="24"/>
          <w:lang w:val="en-US" w:eastAsia="zh-CN" w:bidi="ar-SA"/>
        </w:rPr>
        <w:t>±</w:t>
      </w:r>
      <w:r>
        <w:rPr>
          <w:rFonts w:hint="eastAsia" w:asciiTheme="minorEastAsia" w:hAnsiTheme="minorEastAsia" w:eastAsiaTheme="minorEastAsia" w:cstheme="minorEastAsia"/>
          <w:bCs/>
          <w:color w:val="auto"/>
          <w:kern w:val="0"/>
          <w:sz w:val="24"/>
          <w:szCs w:val="24"/>
          <w:lang w:val="en-US" w:eastAsia="zh-CN" w:bidi="ar-SA"/>
        </w:rPr>
        <w:t>0.5℃</w:t>
      </w:r>
    </w:p>
    <w:p w14:paraId="549ABAB4">
      <w:pPr>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8、蓝牙适配器：工作距离：</w:t>
      </w:r>
      <w:r>
        <w:rPr>
          <w:rFonts w:hint="default" w:asciiTheme="minorEastAsia" w:hAnsiTheme="minorEastAsia" w:eastAsiaTheme="minorEastAsia" w:cstheme="minorEastAsia"/>
          <w:bCs/>
          <w:color w:val="auto"/>
          <w:kern w:val="0"/>
          <w:sz w:val="24"/>
          <w:szCs w:val="24"/>
          <w:lang w:val="en-US" w:eastAsia="zh-CN" w:bidi="ar-SA"/>
        </w:rPr>
        <w:t>2</w:t>
      </w:r>
      <w:r>
        <w:rPr>
          <w:rFonts w:hint="eastAsia" w:asciiTheme="minorEastAsia" w:hAnsiTheme="minorEastAsia" w:eastAsiaTheme="minorEastAsia" w:cstheme="minorEastAsia"/>
          <w:bCs/>
          <w:color w:val="auto"/>
          <w:kern w:val="0"/>
          <w:sz w:val="24"/>
          <w:szCs w:val="24"/>
          <w:lang w:val="en-US" w:eastAsia="zh-CN" w:bidi="ar-SA"/>
        </w:rPr>
        <w:t>米范围内，保持和记录仪的蓝牙连接。</w:t>
      </w:r>
    </w:p>
    <w:p w14:paraId="17D22CF4">
      <w:pPr>
        <w:spacing w:line="360" w:lineRule="auto"/>
        <w:ind w:firstLine="480" w:firstLineChars="20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9、充电盒：充电中橙灯常亮，充满电蓝灯常亮。</w:t>
      </w:r>
    </w:p>
    <w:p w14:paraId="2550AE69">
      <w:pPr>
        <w:spacing w:line="360" w:lineRule="auto"/>
        <w:ind w:firstLine="48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10、记录仪连接：用U</w:t>
      </w:r>
      <w:r>
        <w:rPr>
          <w:rFonts w:hint="default" w:asciiTheme="minorEastAsia" w:hAnsiTheme="minorEastAsia" w:eastAsiaTheme="minorEastAsia" w:cstheme="minorEastAsia"/>
          <w:bCs/>
          <w:color w:val="auto"/>
          <w:kern w:val="0"/>
          <w:sz w:val="24"/>
          <w:szCs w:val="24"/>
          <w:lang w:val="en-US" w:eastAsia="zh-CN" w:bidi="ar-SA"/>
        </w:rPr>
        <w:t>SB</w:t>
      </w:r>
      <w:r>
        <w:rPr>
          <w:rFonts w:hint="eastAsia" w:asciiTheme="minorEastAsia" w:hAnsiTheme="minorEastAsia" w:eastAsiaTheme="minorEastAsia" w:cstheme="minorEastAsia"/>
          <w:bCs/>
          <w:color w:val="auto"/>
          <w:kern w:val="0"/>
          <w:sz w:val="24"/>
          <w:szCs w:val="24"/>
          <w:lang w:val="en-US" w:eastAsia="zh-CN" w:bidi="ar-SA"/>
        </w:rPr>
        <w:t>线连接记录仪，记录仪进入“数据传输”可以实现和电脑的连接。</w:t>
      </w:r>
    </w:p>
    <w:p w14:paraId="7B7CB98B">
      <w:pPr>
        <w:spacing w:line="360" w:lineRule="auto"/>
        <w:ind w:firstLine="48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11、检查前可录入受检者信息，并对阻抗-PH电极导管进行设置和调校；</w:t>
      </w:r>
    </w:p>
    <w:p w14:paraId="7E8B6657">
      <w:pPr>
        <w:numPr>
          <w:ilvl w:val="0"/>
          <w:numId w:val="0"/>
        </w:numPr>
        <w:snapToGrid w:val="0"/>
        <w:spacing w:line="400" w:lineRule="exact"/>
        <w:ind w:left="420" w:left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12、检查后对所得数据进行分析、诊断、出具报告等；</w:t>
      </w:r>
    </w:p>
    <w:p w14:paraId="45D6FA57">
      <w:pPr>
        <w:numPr>
          <w:ilvl w:val="0"/>
          <w:numId w:val="0"/>
        </w:numPr>
        <w:snapToGrid w:val="0"/>
        <w:spacing w:line="400" w:lineRule="exact"/>
        <w:ind w:left="420" w:left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13、向导式分析软件，指导整个操作步骤；</w:t>
      </w:r>
    </w:p>
    <w:p w14:paraId="53475910">
      <w:pPr>
        <w:numPr>
          <w:ilvl w:val="0"/>
          <w:numId w:val="0"/>
        </w:numPr>
        <w:snapToGrid w:val="0"/>
        <w:spacing w:line="400" w:lineRule="exact"/>
        <w:ind w:left="840" w:leftChars="0" w:hanging="420" w:firstLine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14、自动扫描和统计反流次数；</w:t>
      </w:r>
    </w:p>
    <w:p w14:paraId="087A0D7D">
      <w:pPr>
        <w:numPr>
          <w:ilvl w:val="0"/>
          <w:numId w:val="0"/>
        </w:numPr>
        <w:snapToGrid w:val="0"/>
        <w:spacing w:line="400" w:lineRule="exact"/>
        <w:ind w:left="840" w:leftChars="0" w:hanging="420" w:firstLine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15、支持SI,SSI,SAP等指数算法，当SI≥50%，SSI≥10%，SAP≥95%时考虑为异常；</w:t>
      </w:r>
    </w:p>
    <w:p w14:paraId="0BB6AB6B">
      <w:pPr>
        <w:numPr>
          <w:ilvl w:val="0"/>
          <w:numId w:val="0"/>
        </w:numPr>
        <w:snapToGrid w:val="0"/>
        <w:spacing w:line="400" w:lineRule="exact"/>
        <w:ind w:left="840" w:leftChars="0" w:hanging="420" w:firstLine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16、支持指定路径的数据库打开和备份；</w:t>
      </w:r>
    </w:p>
    <w:p w14:paraId="0BD9F6FA">
      <w:pPr>
        <w:numPr>
          <w:ilvl w:val="0"/>
          <w:numId w:val="0"/>
        </w:numPr>
        <w:snapToGrid w:val="0"/>
        <w:spacing w:line="400" w:lineRule="exact"/>
        <w:ind w:left="840" w:leftChars="0" w:hanging="420" w:firstLine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17、支持新病人数据库的导入和导出；</w:t>
      </w:r>
    </w:p>
    <w:p w14:paraId="4C437E95">
      <w:pPr>
        <w:numPr>
          <w:ilvl w:val="0"/>
          <w:numId w:val="0"/>
        </w:numPr>
        <w:snapToGrid w:val="0"/>
        <w:spacing w:line="400" w:lineRule="exact"/>
        <w:ind w:left="840" w:leftChars="0" w:hanging="420" w:firstLine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18、支持PH临床评分和症状分析；</w:t>
      </w:r>
    </w:p>
    <w:p w14:paraId="1D70D7AF">
      <w:pPr>
        <w:numPr>
          <w:ilvl w:val="0"/>
          <w:numId w:val="0"/>
        </w:numPr>
        <w:snapToGrid w:val="0"/>
        <w:spacing w:line="400" w:lineRule="exact"/>
        <w:ind w:left="840" w:leftChars="0" w:hanging="420" w:firstLine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19、支持报告单另存为WORD和PDF格式并打印；</w:t>
      </w:r>
    </w:p>
    <w:p w14:paraId="38EB5858">
      <w:pPr>
        <w:numPr>
          <w:ilvl w:val="0"/>
          <w:numId w:val="0"/>
        </w:numPr>
        <w:snapToGrid w:val="0"/>
        <w:spacing w:line="400" w:lineRule="exact"/>
        <w:ind w:left="840" w:leftChars="0" w:hanging="420" w:firstLineChars="0"/>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20、可校对数据记录仪的日期和时间；</w:t>
      </w:r>
    </w:p>
    <w:p w14:paraId="2E43D950">
      <w:pPr>
        <w:ind w:firstLine="480" w:firstLineChars="200"/>
        <w:jc w:val="both"/>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21、配置清单</w:t>
      </w:r>
    </w:p>
    <w:tbl>
      <w:tblPr>
        <w:tblStyle w:val="15"/>
        <w:tblW w:w="49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
        <w:gridCol w:w="2681"/>
        <w:gridCol w:w="1314"/>
      </w:tblGrid>
      <w:tr w14:paraId="70DB1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976" w:type="dxa"/>
            <w:noWrap/>
            <w:vAlign w:val="top"/>
          </w:tcPr>
          <w:p w14:paraId="5C5218E2">
            <w:pPr>
              <w:widowControl/>
              <w:tabs>
                <w:tab w:val="left" w:pos="1790"/>
              </w:tabs>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序号</w:t>
            </w:r>
          </w:p>
        </w:tc>
        <w:tc>
          <w:tcPr>
            <w:tcW w:w="2681" w:type="dxa"/>
            <w:noWrap w:val="0"/>
            <w:vAlign w:val="top"/>
          </w:tcPr>
          <w:p w14:paraId="35559B94">
            <w:pPr>
              <w:widowControl/>
              <w:tabs>
                <w:tab w:val="left" w:pos="1790"/>
              </w:tabs>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产品名称</w:t>
            </w:r>
          </w:p>
        </w:tc>
        <w:tc>
          <w:tcPr>
            <w:tcW w:w="1314" w:type="dxa"/>
            <w:noWrap w:val="0"/>
            <w:vAlign w:val="top"/>
          </w:tcPr>
          <w:p w14:paraId="3E3BAC87">
            <w:pPr>
              <w:widowControl/>
              <w:tabs>
                <w:tab w:val="left" w:pos="1790"/>
              </w:tabs>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数量</w:t>
            </w:r>
          </w:p>
        </w:tc>
      </w:tr>
      <w:tr w14:paraId="2F04E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976" w:type="dxa"/>
            <w:noWrap/>
            <w:vAlign w:val="center"/>
          </w:tcPr>
          <w:p w14:paraId="2C6EC26A">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c>
          <w:tcPr>
            <w:tcW w:w="2681" w:type="dxa"/>
            <w:noWrap w:val="0"/>
            <w:vAlign w:val="top"/>
          </w:tcPr>
          <w:p w14:paraId="671E328F">
            <w:pPr>
              <w:widowControl/>
              <w:jc w:val="center"/>
              <w:textAlignment w:val="top"/>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酸碱度检测仪</w:t>
            </w:r>
          </w:p>
        </w:tc>
        <w:tc>
          <w:tcPr>
            <w:tcW w:w="1314" w:type="dxa"/>
            <w:noWrap w:val="0"/>
            <w:vAlign w:val="center"/>
          </w:tcPr>
          <w:p w14:paraId="1EBB4BF0">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50BE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976" w:type="dxa"/>
            <w:noWrap/>
            <w:vAlign w:val="center"/>
          </w:tcPr>
          <w:p w14:paraId="1BAA5F33">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p>
        </w:tc>
        <w:tc>
          <w:tcPr>
            <w:tcW w:w="2681" w:type="dxa"/>
            <w:noWrap w:val="0"/>
            <w:vAlign w:val="top"/>
          </w:tcPr>
          <w:p w14:paraId="2CBDD2E4">
            <w:pPr>
              <w:widowControl/>
              <w:jc w:val="center"/>
              <w:textAlignment w:val="top"/>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试管架</w:t>
            </w:r>
          </w:p>
        </w:tc>
        <w:tc>
          <w:tcPr>
            <w:tcW w:w="1314" w:type="dxa"/>
            <w:noWrap w:val="0"/>
            <w:vAlign w:val="center"/>
          </w:tcPr>
          <w:p w14:paraId="10B73CF1">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728F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976" w:type="dxa"/>
            <w:noWrap/>
            <w:vAlign w:val="center"/>
          </w:tcPr>
          <w:p w14:paraId="0D5FD465">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w:t>
            </w:r>
          </w:p>
        </w:tc>
        <w:tc>
          <w:tcPr>
            <w:tcW w:w="2681" w:type="dxa"/>
            <w:noWrap w:val="0"/>
            <w:vAlign w:val="top"/>
          </w:tcPr>
          <w:p w14:paraId="63202CCA">
            <w:pPr>
              <w:widowControl/>
              <w:jc w:val="center"/>
              <w:textAlignment w:val="top"/>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玻璃试管（带塞）</w:t>
            </w:r>
          </w:p>
        </w:tc>
        <w:tc>
          <w:tcPr>
            <w:tcW w:w="1314" w:type="dxa"/>
            <w:noWrap w:val="0"/>
            <w:vAlign w:val="center"/>
          </w:tcPr>
          <w:p w14:paraId="7192A1D5">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w:t>
            </w:r>
          </w:p>
        </w:tc>
      </w:tr>
      <w:tr w14:paraId="7D4CB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76" w:type="dxa"/>
            <w:noWrap/>
            <w:vAlign w:val="center"/>
          </w:tcPr>
          <w:p w14:paraId="0C366644">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w:t>
            </w:r>
          </w:p>
        </w:tc>
        <w:tc>
          <w:tcPr>
            <w:tcW w:w="2681" w:type="dxa"/>
            <w:noWrap w:val="0"/>
            <w:vAlign w:val="top"/>
          </w:tcPr>
          <w:p w14:paraId="68A9FD93">
            <w:pPr>
              <w:widowControl/>
              <w:jc w:val="center"/>
              <w:textAlignment w:val="top"/>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缓冲液</w:t>
            </w:r>
          </w:p>
        </w:tc>
        <w:tc>
          <w:tcPr>
            <w:tcW w:w="1314" w:type="dxa"/>
            <w:noWrap w:val="0"/>
            <w:vAlign w:val="center"/>
          </w:tcPr>
          <w:p w14:paraId="246B1203">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68C0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976" w:type="dxa"/>
            <w:noWrap/>
            <w:vAlign w:val="center"/>
          </w:tcPr>
          <w:p w14:paraId="65311896">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w:t>
            </w:r>
          </w:p>
        </w:tc>
        <w:tc>
          <w:tcPr>
            <w:tcW w:w="2681" w:type="dxa"/>
            <w:noWrap w:val="0"/>
            <w:vAlign w:val="top"/>
          </w:tcPr>
          <w:p w14:paraId="01E78079">
            <w:pPr>
              <w:widowControl/>
              <w:jc w:val="center"/>
              <w:textAlignment w:val="top"/>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缓冲液</w:t>
            </w:r>
          </w:p>
        </w:tc>
        <w:tc>
          <w:tcPr>
            <w:tcW w:w="1314" w:type="dxa"/>
            <w:noWrap w:val="0"/>
            <w:vAlign w:val="center"/>
          </w:tcPr>
          <w:p w14:paraId="4613C638">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18B1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976" w:type="dxa"/>
            <w:noWrap/>
            <w:vAlign w:val="center"/>
          </w:tcPr>
          <w:p w14:paraId="1E8D4BF1">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w:t>
            </w:r>
          </w:p>
        </w:tc>
        <w:tc>
          <w:tcPr>
            <w:tcW w:w="2681" w:type="dxa"/>
            <w:noWrap w:val="0"/>
            <w:vAlign w:val="top"/>
          </w:tcPr>
          <w:p w14:paraId="081A9C32">
            <w:pPr>
              <w:widowControl/>
              <w:jc w:val="center"/>
              <w:textAlignment w:val="top"/>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记录仪背包</w:t>
            </w:r>
          </w:p>
        </w:tc>
        <w:tc>
          <w:tcPr>
            <w:tcW w:w="1314" w:type="dxa"/>
            <w:noWrap w:val="0"/>
            <w:vAlign w:val="center"/>
          </w:tcPr>
          <w:p w14:paraId="283CBB08">
            <w:pPr>
              <w:widowControl/>
              <w:jc w:val="center"/>
              <w:textAlignment w:val="top"/>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36168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76" w:type="dxa"/>
            <w:noWrap/>
            <w:vAlign w:val="center"/>
          </w:tcPr>
          <w:p w14:paraId="5F8E6C94">
            <w:pPr>
              <w:widowControl/>
              <w:ind w:firstLine="480" w:firstLineChars="200"/>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w:t>
            </w:r>
          </w:p>
        </w:tc>
        <w:tc>
          <w:tcPr>
            <w:tcW w:w="2681" w:type="dxa"/>
            <w:noWrap w:val="0"/>
            <w:vAlign w:val="center"/>
          </w:tcPr>
          <w:p w14:paraId="735CD136">
            <w:pPr>
              <w:widowControl/>
              <w:textAlignment w:val="top"/>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一次性使用pH电极导管</w:t>
            </w:r>
          </w:p>
        </w:tc>
        <w:tc>
          <w:tcPr>
            <w:tcW w:w="1314" w:type="dxa"/>
            <w:noWrap w:val="0"/>
            <w:vAlign w:val="center"/>
          </w:tcPr>
          <w:p w14:paraId="223251AB">
            <w:pPr>
              <w:widowControl/>
              <w:ind w:firstLine="480" w:firstLineChars="200"/>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p>
        </w:tc>
      </w:tr>
    </w:tbl>
    <w:p w14:paraId="305B38C5">
      <w:pPr>
        <w:ind w:firstLine="240" w:firstLineChars="100"/>
        <w:jc w:val="both"/>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22、耗材限价</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8"/>
        <w:gridCol w:w="1720"/>
        <w:gridCol w:w="2280"/>
        <w:gridCol w:w="3651"/>
      </w:tblGrid>
      <w:tr w14:paraId="26B13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868" w:type="dxa"/>
          </w:tcPr>
          <w:p w14:paraId="42E6D343">
            <w:pPr>
              <w:pStyle w:val="14"/>
              <w:ind w:left="0" w:leftChars="0" w:firstLine="0" w:firstLineChars="0"/>
              <w:jc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序号</w:t>
            </w:r>
          </w:p>
        </w:tc>
        <w:tc>
          <w:tcPr>
            <w:tcW w:w="1720" w:type="dxa"/>
          </w:tcPr>
          <w:p w14:paraId="72AE8C0C">
            <w:pPr>
              <w:pStyle w:val="14"/>
              <w:ind w:left="0" w:leftChars="0" w:firstLine="240" w:firstLineChars="100"/>
              <w:jc w:val="both"/>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耗材名称</w:t>
            </w:r>
          </w:p>
        </w:tc>
        <w:tc>
          <w:tcPr>
            <w:tcW w:w="2280" w:type="dxa"/>
          </w:tcPr>
          <w:p w14:paraId="4A472EB3">
            <w:pPr>
              <w:pStyle w:val="14"/>
              <w:ind w:left="0" w:leftChars="0" w:firstLine="0" w:firstLineChars="0"/>
              <w:jc w:val="center"/>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最高限价（元/个）</w:t>
            </w:r>
          </w:p>
        </w:tc>
        <w:tc>
          <w:tcPr>
            <w:tcW w:w="3651" w:type="dxa"/>
          </w:tcPr>
          <w:p w14:paraId="4F312CC1">
            <w:pPr>
              <w:pStyle w:val="14"/>
              <w:ind w:left="0" w:leftChars="0" w:firstLine="0" w:firstLineChars="0"/>
              <w:jc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备注</w:t>
            </w:r>
          </w:p>
        </w:tc>
      </w:tr>
      <w:tr w14:paraId="0AE7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68" w:type="dxa"/>
          </w:tcPr>
          <w:p w14:paraId="2A93A56A">
            <w:pPr>
              <w:pStyle w:val="14"/>
              <w:ind w:left="0" w:leftChars="0" w:firstLine="0" w:firstLineChars="0"/>
              <w:jc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c>
          <w:tcPr>
            <w:tcW w:w="1720" w:type="dxa"/>
          </w:tcPr>
          <w:p w14:paraId="76240867">
            <w:pPr>
              <w:pStyle w:val="14"/>
              <w:ind w:left="0" w:leftChars="0" w:firstLine="0" w:firstLineChars="0"/>
              <w:jc w:val="both"/>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一次性使用PH电极导管</w:t>
            </w:r>
          </w:p>
        </w:tc>
        <w:tc>
          <w:tcPr>
            <w:tcW w:w="2280" w:type="dxa"/>
          </w:tcPr>
          <w:p w14:paraId="51E8EC7C">
            <w:pPr>
              <w:pStyle w:val="14"/>
              <w:jc w:val="both"/>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950</w:t>
            </w:r>
          </w:p>
        </w:tc>
        <w:tc>
          <w:tcPr>
            <w:tcW w:w="3651" w:type="dxa"/>
          </w:tcPr>
          <w:p w14:paraId="1F3664BA">
            <w:pPr>
              <w:pStyle w:val="14"/>
              <w:ind w:left="0" w:leftChars="0" w:firstLine="0" w:firstLineChars="0"/>
              <w:jc w:val="both"/>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sz w:val="24"/>
                <w:szCs w:val="24"/>
                <w:vertAlign w:val="baseline"/>
                <w:lang w:val="en-US" w:eastAsia="zh-CN"/>
              </w:rPr>
              <w:t>耗材供货期限为3年，配送期间耗材价格不得高于湖南省药品和医用耗材招采管理子系统中标价。</w:t>
            </w:r>
          </w:p>
        </w:tc>
      </w:tr>
    </w:tbl>
    <w:p w14:paraId="56FCC77F">
      <w:pPr>
        <w:pStyle w:val="14"/>
        <w:ind w:left="0" w:leftChars="0" w:firstLine="0" w:firstLineChars="0"/>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 xml:space="preserve">  </w:t>
      </w:r>
    </w:p>
    <w:p w14:paraId="596E89D3">
      <w:pPr>
        <w:pStyle w:val="22"/>
        <w:ind w:firstLine="0" w:firstLineChars="0"/>
        <w:jc w:val="left"/>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（二）中频治疗仪技术参数</w:t>
      </w:r>
    </w:p>
    <w:p w14:paraId="488C543D">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▲1、输出波形：方波（单、双向）；</w:t>
      </w:r>
    </w:p>
    <w:p w14:paraId="2E08C5B8">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2、工作频率：双向波1kHz ~ 5kHz （±10%）；</w:t>
      </w:r>
    </w:p>
    <w:p w14:paraId="2C01BCCF">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单向波1kHz ~ 10kHz （±10%）；</w:t>
      </w:r>
    </w:p>
    <w:p w14:paraId="2BFF8F9F">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3、输出电流：在500Ω负载电阻下为0.10 mA～9.50 mA（±10%）；</w:t>
      </w:r>
    </w:p>
    <w:p w14:paraId="3EDA4766">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输出范围内连续可调 ，调节步长0.05mA；</w:t>
      </w:r>
    </w:p>
    <w:p w14:paraId="45EA9300">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4、输出电流稳定度：不同负载下的输出电流变化率应不大于10%；</w:t>
      </w:r>
    </w:p>
    <w:p w14:paraId="41533056">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★5、脉冲波宽：0.02 ms～0.15 ms（±10%）；</w:t>
      </w:r>
    </w:p>
    <w:p w14:paraId="72A20581">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6、工作方式：连续运行；</w:t>
      </w:r>
    </w:p>
    <w:p w14:paraId="04B5FC1D">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7、调制频率：0~ 100Hz（±5%）；</w:t>
      </w:r>
    </w:p>
    <w:p w14:paraId="08B0E4C1">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8、载波频率和调制波形：</w:t>
      </w:r>
    </w:p>
    <w:p w14:paraId="04D52E71">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8.1载波频率为1kHz、2kHz、3kHz、4kHz、5kHz的方波；</w:t>
      </w:r>
    </w:p>
    <w:p w14:paraId="23028D89">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▲8.2调制波形可设置为方波，三角波，等幅波，指数波，正弦波等波形。 </w:t>
      </w:r>
    </w:p>
    <w:p w14:paraId="3D68FC5F">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8.3调幅度：峰值调幅度范围：20~60V（±10%）。</w:t>
      </w:r>
    </w:p>
    <w:p w14:paraId="36CB4D00">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9、配置要求：</w:t>
      </w:r>
    </w:p>
    <w:p w14:paraId="154F4189">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（1）移动式推车.</w:t>
      </w:r>
    </w:p>
    <w:p w14:paraId="32727577">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▲（2）治疗仪主机终端数量大于等于8个。</w:t>
      </w:r>
    </w:p>
    <w:p w14:paraId="77109C1B">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（3）信息管理功能：信息管理功能包含对用户录入信息和用户使用设备进行治疗的记录数据的显示、汇总和生成pdf格式文件</w:t>
      </w:r>
    </w:p>
    <w:p w14:paraId="392F3626">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 TEA管理软件功能</w:t>
      </w:r>
    </w:p>
    <w:p w14:paraId="67769511">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1）蓝牙配对和连接；</w:t>
      </w:r>
    </w:p>
    <w:p w14:paraId="5AAFAC82">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2）处方参数的导入；</w:t>
      </w:r>
    </w:p>
    <w:p w14:paraId="6E9E1858">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3）治疗过程的TEA管理软件端控制；</w:t>
      </w:r>
    </w:p>
    <w:p w14:paraId="192ED54D">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4）治疗记录数据的获得；</w:t>
      </w:r>
    </w:p>
    <w:p w14:paraId="05E0C625">
      <w:pPr>
        <w:numPr>
          <w:ilvl w:val="0"/>
          <w:numId w:val="0"/>
        </w:numPr>
        <w:snapToGrid w:val="0"/>
        <w:spacing w:line="400" w:lineRule="exact"/>
        <w:ind w:left="420" w:leftChars="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5）设备登记，即对设备疗程的限定。</w:t>
      </w:r>
    </w:p>
    <w:p w14:paraId="715B66F5">
      <w:pPr>
        <w:ind w:firstLine="480" w:firstLineChars="200"/>
        <w:jc w:val="both"/>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10、配置清单</w:t>
      </w:r>
    </w:p>
    <w:tbl>
      <w:tblPr>
        <w:tblStyle w:val="15"/>
        <w:tblW w:w="5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8"/>
        <w:gridCol w:w="2672"/>
        <w:gridCol w:w="1178"/>
      </w:tblGrid>
      <w:tr w14:paraId="16E5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2118" w:type="dxa"/>
            <w:noWrap/>
            <w:vAlign w:val="top"/>
          </w:tcPr>
          <w:p w14:paraId="29D6A899">
            <w:pPr>
              <w:widowControl/>
              <w:tabs>
                <w:tab w:val="left" w:pos="1790"/>
              </w:tabs>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序号</w:t>
            </w:r>
          </w:p>
        </w:tc>
        <w:tc>
          <w:tcPr>
            <w:tcW w:w="2672" w:type="dxa"/>
            <w:noWrap w:val="0"/>
            <w:vAlign w:val="top"/>
          </w:tcPr>
          <w:p w14:paraId="6FD319BA">
            <w:pPr>
              <w:widowControl/>
              <w:tabs>
                <w:tab w:val="left" w:pos="1790"/>
              </w:tabs>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产品名称</w:t>
            </w:r>
          </w:p>
        </w:tc>
        <w:tc>
          <w:tcPr>
            <w:tcW w:w="1178" w:type="dxa"/>
            <w:noWrap w:val="0"/>
            <w:vAlign w:val="top"/>
          </w:tcPr>
          <w:p w14:paraId="5E2DAD13">
            <w:pPr>
              <w:widowControl/>
              <w:tabs>
                <w:tab w:val="left" w:pos="1790"/>
              </w:tabs>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数量</w:t>
            </w:r>
          </w:p>
        </w:tc>
      </w:tr>
      <w:tr w14:paraId="0BC0C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118" w:type="dxa"/>
            <w:noWrap/>
            <w:vAlign w:val="center"/>
          </w:tcPr>
          <w:p w14:paraId="36361495">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c>
          <w:tcPr>
            <w:tcW w:w="2672" w:type="dxa"/>
            <w:noWrap w:val="0"/>
            <w:vAlign w:val="center"/>
          </w:tcPr>
          <w:p w14:paraId="4AA81487">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推车</w:t>
            </w:r>
          </w:p>
        </w:tc>
        <w:tc>
          <w:tcPr>
            <w:tcW w:w="1178" w:type="dxa"/>
            <w:noWrap w:val="0"/>
            <w:vAlign w:val="center"/>
          </w:tcPr>
          <w:p w14:paraId="4DFB79EC">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0081D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118" w:type="dxa"/>
            <w:noWrap/>
            <w:vAlign w:val="center"/>
          </w:tcPr>
          <w:p w14:paraId="34533035">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w:t>
            </w:r>
          </w:p>
        </w:tc>
        <w:tc>
          <w:tcPr>
            <w:tcW w:w="2672" w:type="dxa"/>
            <w:noWrap w:val="0"/>
            <w:vAlign w:val="center"/>
          </w:tcPr>
          <w:p w14:paraId="6212ACD1">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中频治疗仪</w:t>
            </w:r>
          </w:p>
        </w:tc>
        <w:tc>
          <w:tcPr>
            <w:tcW w:w="1178" w:type="dxa"/>
            <w:noWrap w:val="0"/>
            <w:vAlign w:val="center"/>
          </w:tcPr>
          <w:p w14:paraId="7123C54F">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w:t>
            </w:r>
          </w:p>
        </w:tc>
      </w:tr>
      <w:tr w14:paraId="5486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118" w:type="dxa"/>
            <w:noWrap/>
            <w:vAlign w:val="center"/>
          </w:tcPr>
          <w:p w14:paraId="736F184F">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w:t>
            </w:r>
          </w:p>
        </w:tc>
        <w:tc>
          <w:tcPr>
            <w:tcW w:w="2672" w:type="dxa"/>
            <w:noWrap w:val="0"/>
            <w:vAlign w:val="center"/>
          </w:tcPr>
          <w:p w14:paraId="50B0AB59">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辅助配件类</w:t>
            </w:r>
          </w:p>
        </w:tc>
        <w:tc>
          <w:tcPr>
            <w:tcW w:w="1178" w:type="dxa"/>
            <w:noWrap w:val="0"/>
            <w:vAlign w:val="center"/>
          </w:tcPr>
          <w:p w14:paraId="687C62DC">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56390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118" w:type="dxa"/>
            <w:noWrap/>
            <w:vAlign w:val="center"/>
          </w:tcPr>
          <w:p w14:paraId="65E6598B">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w:t>
            </w:r>
          </w:p>
        </w:tc>
        <w:tc>
          <w:tcPr>
            <w:tcW w:w="2672" w:type="dxa"/>
            <w:noWrap w:val="0"/>
            <w:vAlign w:val="center"/>
          </w:tcPr>
          <w:p w14:paraId="7CBD78C0">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平板电脑</w:t>
            </w:r>
          </w:p>
        </w:tc>
        <w:tc>
          <w:tcPr>
            <w:tcW w:w="1178" w:type="dxa"/>
            <w:noWrap w:val="0"/>
            <w:vAlign w:val="center"/>
          </w:tcPr>
          <w:p w14:paraId="79E3DFE4">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674E9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118" w:type="dxa"/>
            <w:noWrap/>
            <w:vAlign w:val="center"/>
          </w:tcPr>
          <w:p w14:paraId="7C8A6731">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w:t>
            </w:r>
          </w:p>
        </w:tc>
        <w:tc>
          <w:tcPr>
            <w:tcW w:w="2672" w:type="dxa"/>
            <w:noWrap w:val="0"/>
            <w:vAlign w:val="center"/>
          </w:tcPr>
          <w:p w14:paraId="29765244">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打印机</w:t>
            </w:r>
          </w:p>
        </w:tc>
        <w:tc>
          <w:tcPr>
            <w:tcW w:w="1178" w:type="dxa"/>
            <w:noWrap w:val="0"/>
            <w:vAlign w:val="center"/>
          </w:tcPr>
          <w:p w14:paraId="17258A73">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761E7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 w:hRule="atLeast"/>
          <w:jc w:val="center"/>
        </w:trPr>
        <w:tc>
          <w:tcPr>
            <w:tcW w:w="2118" w:type="dxa"/>
            <w:noWrap/>
            <w:vAlign w:val="center"/>
          </w:tcPr>
          <w:p w14:paraId="16334A1E">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w:t>
            </w:r>
          </w:p>
        </w:tc>
        <w:tc>
          <w:tcPr>
            <w:tcW w:w="2672" w:type="dxa"/>
            <w:noWrap w:val="0"/>
            <w:vAlign w:val="center"/>
          </w:tcPr>
          <w:p w14:paraId="72EF0135">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扫码枪</w:t>
            </w:r>
          </w:p>
        </w:tc>
        <w:tc>
          <w:tcPr>
            <w:tcW w:w="1178" w:type="dxa"/>
            <w:noWrap w:val="0"/>
            <w:vAlign w:val="center"/>
          </w:tcPr>
          <w:p w14:paraId="3407B861">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7185B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118" w:type="dxa"/>
            <w:noWrap/>
            <w:vAlign w:val="center"/>
          </w:tcPr>
          <w:p w14:paraId="1CE64749">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w:t>
            </w:r>
          </w:p>
        </w:tc>
        <w:tc>
          <w:tcPr>
            <w:tcW w:w="2672" w:type="dxa"/>
            <w:noWrap w:val="0"/>
            <w:vAlign w:val="center"/>
          </w:tcPr>
          <w:p w14:paraId="35438758">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鼠标</w:t>
            </w:r>
          </w:p>
        </w:tc>
        <w:tc>
          <w:tcPr>
            <w:tcW w:w="1178" w:type="dxa"/>
            <w:noWrap w:val="0"/>
            <w:vAlign w:val="center"/>
          </w:tcPr>
          <w:p w14:paraId="7BCFB3E1">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43ADE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2118" w:type="dxa"/>
            <w:noWrap/>
            <w:vAlign w:val="center"/>
          </w:tcPr>
          <w:p w14:paraId="131CD267">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w:t>
            </w:r>
          </w:p>
        </w:tc>
        <w:tc>
          <w:tcPr>
            <w:tcW w:w="2672" w:type="dxa"/>
            <w:noWrap w:val="0"/>
            <w:vAlign w:val="center"/>
          </w:tcPr>
          <w:p w14:paraId="3269E341">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键盘</w:t>
            </w:r>
          </w:p>
        </w:tc>
        <w:tc>
          <w:tcPr>
            <w:tcW w:w="1178" w:type="dxa"/>
            <w:noWrap w:val="0"/>
            <w:vAlign w:val="center"/>
          </w:tcPr>
          <w:p w14:paraId="6F34FCA8">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r>
      <w:tr w14:paraId="2A20A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118" w:type="dxa"/>
            <w:noWrap/>
            <w:vAlign w:val="center"/>
          </w:tcPr>
          <w:p w14:paraId="17D922E1">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w:t>
            </w:r>
          </w:p>
        </w:tc>
        <w:tc>
          <w:tcPr>
            <w:tcW w:w="2672" w:type="dxa"/>
            <w:noWrap w:val="0"/>
            <w:vAlign w:val="center"/>
          </w:tcPr>
          <w:p w14:paraId="1C12C841">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中频治疗仪绑带</w:t>
            </w:r>
          </w:p>
        </w:tc>
        <w:tc>
          <w:tcPr>
            <w:tcW w:w="1178" w:type="dxa"/>
            <w:noWrap w:val="0"/>
            <w:vAlign w:val="center"/>
          </w:tcPr>
          <w:p w14:paraId="2BDB4E0A">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20</w:t>
            </w:r>
          </w:p>
        </w:tc>
      </w:tr>
      <w:tr w14:paraId="07F0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2118" w:type="dxa"/>
            <w:noWrap/>
            <w:vAlign w:val="center"/>
          </w:tcPr>
          <w:p w14:paraId="42657F0B">
            <w:pPr>
              <w:widowControl/>
              <w:jc w:val="center"/>
              <w:textAlignment w:val="center"/>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w:t>
            </w:r>
          </w:p>
        </w:tc>
        <w:tc>
          <w:tcPr>
            <w:tcW w:w="2672" w:type="dxa"/>
            <w:noWrap w:val="0"/>
            <w:vAlign w:val="center"/>
          </w:tcPr>
          <w:p w14:paraId="5D29093D">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拉绳袋子</w:t>
            </w:r>
          </w:p>
        </w:tc>
        <w:tc>
          <w:tcPr>
            <w:tcW w:w="1178" w:type="dxa"/>
            <w:noWrap w:val="0"/>
            <w:vAlign w:val="center"/>
          </w:tcPr>
          <w:p w14:paraId="7A064AD5">
            <w:pPr>
              <w:widowControl/>
              <w:jc w:val="center"/>
              <w:textAlignment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w:t>
            </w:r>
          </w:p>
        </w:tc>
      </w:tr>
      <w:tr w14:paraId="76F01D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400" w:hRule="atLeast"/>
          <w:jc w:val="center"/>
        </w:trPr>
        <w:tc>
          <w:tcPr>
            <w:tcW w:w="2118" w:type="dxa"/>
            <w:tcBorders>
              <w:top w:val="single" w:color="000000" w:sz="4" w:space="0"/>
              <w:left w:val="single" w:color="000000" w:sz="4" w:space="0"/>
              <w:bottom w:val="single" w:color="000000" w:sz="4" w:space="0"/>
              <w:right w:val="single" w:color="000000" w:sz="4" w:space="0"/>
            </w:tcBorders>
            <w:noWrap w:val="0"/>
            <w:vAlign w:val="center"/>
          </w:tcPr>
          <w:p w14:paraId="15FE457E">
            <w:pPr>
              <w:widowControl/>
              <w:jc w:val="center"/>
              <w:textAlignment w:val="center"/>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11</w:t>
            </w:r>
          </w:p>
        </w:tc>
        <w:tc>
          <w:tcPr>
            <w:tcW w:w="2672" w:type="dxa"/>
            <w:tcBorders>
              <w:top w:val="single" w:color="000000" w:sz="4" w:space="0"/>
              <w:left w:val="single" w:color="000000" w:sz="4" w:space="0"/>
              <w:bottom w:val="single" w:color="000000" w:sz="4" w:space="0"/>
              <w:right w:val="single" w:color="000000" w:sz="4" w:space="0"/>
            </w:tcBorders>
            <w:noWrap/>
            <w:vAlign w:val="center"/>
          </w:tcPr>
          <w:p w14:paraId="1E607E7F">
            <w:pPr>
              <w:jc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电极片</w:t>
            </w:r>
          </w:p>
        </w:tc>
        <w:tc>
          <w:tcPr>
            <w:tcW w:w="1178" w:type="dxa"/>
            <w:tcBorders>
              <w:top w:val="single" w:color="000000" w:sz="4" w:space="0"/>
              <w:left w:val="single" w:color="000000" w:sz="4" w:space="0"/>
              <w:bottom w:val="single" w:color="000000" w:sz="4" w:space="0"/>
              <w:right w:val="single" w:color="000000" w:sz="4" w:space="0"/>
            </w:tcBorders>
            <w:noWrap w:val="0"/>
            <w:vAlign w:val="center"/>
          </w:tcPr>
          <w:p w14:paraId="629E8118">
            <w:pPr>
              <w:widowControl/>
              <w:jc w:val="center"/>
              <w:textAlignment w:val="center"/>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w:t>
            </w:r>
          </w:p>
        </w:tc>
      </w:tr>
    </w:tbl>
    <w:p w14:paraId="612992BD">
      <w:pPr>
        <w:numPr>
          <w:ilvl w:val="0"/>
          <w:numId w:val="0"/>
        </w:numPr>
        <w:ind w:firstLine="480" w:firstLineChars="200"/>
        <w:rPr>
          <w:rFonts w:hint="eastAsia" w:asciiTheme="minorEastAsia" w:hAnsiTheme="minorEastAsia" w:eastAsiaTheme="minorEastAsia" w:cstheme="minorEastAsia"/>
          <w:bCs/>
          <w:color w:val="auto"/>
          <w:kern w:val="0"/>
          <w:sz w:val="24"/>
          <w:szCs w:val="24"/>
          <w:lang w:val="en-US" w:eastAsia="zh-CN" w:bidi="ar-SA"/>
        </w:rPr>
      </w:pPr>
    </w:p>
    <w:p w14:paraId="320E33C0">
      <w:pPr>
        <w:jc w:val="both"/>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11、耗材限价</w:t>
      </w:r>
    </w:p>
    <w:tbl>
      <w:tblPr>
        <w:tblStyle w:val="16"/>
        <w:tblW w:w="94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1710"/>
        <w:gridCol w:w="855"/>
        <w:gridCol w:w="1230"/>
        <w:gridCol w:w="4845"/>
      </w:tblGrid>
      <w:tr w14:paraId="2BE1B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tcPr>
          <w:p w14:paraId="60CE534C">
            <w:pPr>
              <w:pStyle w:val="14"/>
              <w:ind w:left="0" w:leftChars="0" w:firstLine="0" w:firstLineChars="0"/>
              <w:jc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序号</w:t>
            </w:r>
          </w:p>
        </w:tc>
        <w:tc>
          <w:tcPr>
            <w:tcW w:w="1710" w:type="dxa"/>
          </w:tcPr>
          <w:p w14:paraId="263224B3">
            <w:pPr>
              <w:pStyle w:val="14"/>
              <w:ind w:left="0" w:leftChars="0" w:firstLine="0" w:firstLineChars="0"/>
              <w:jc w:val="both"/>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耗材名称</w:t>
            </w:r>
          </w:p>
        </w:tc>
        <w:tc>
          <w:tcPr>
            <w:tcW w:w="855" w:type="dxa"/>
          </w:tcPr>
          <w:p w14:paraId="083FC7F8">
            <w:pPr>
              <w:pStyle w:val="14"/>
              <w:ind w:left="0" w:leftChars="0" w:firstLine="0" w:firstLineChars="0"/>
              <w:jc w:val="both"/>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规格型号</w:t>
            </w:r>
          </w:p>
        </w:tc>
        <w:tc>
          <w:tcPr>
            <w:tcW w:w="1230" w:type="dxa"/>
          </w:tcPr>
          <w:p w14:paraId="1E979CC8">
            <w:pPr>
              <w:pStyle w:val="14"/>
              <w:ind w:left="0" w:leftChars="0" w:firstLine="0" w:firstLineChars="0"/>
              <w:jc w:val="center"/>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最高限价（元）</w:t>
            </w:r>
          </w:p>
        </w:tc>
        <w:tc>
          <w:tcPr>
            <w:tcW w:w="4845" w:type="dxa"/>
            <w:vAlign w:val="top"/>
          </w:tcPr>
          <w:p w14:paraId="67628711">
            <w:pPr>
              <w:pStyle w:val="14"/>
              <w:ind w:left="0" w:leftChars="0" w:firstLine="0" w:firstLineChars="0"/>
              <w:jc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备注</w:t>
            </w:r>
          </w:p>
        </w:tc>
      </w:tr>
      <w:tr w14:paraId="30AE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9" w:type="dxa"/>
          </w:tcPr>
          <w:p w14:paraId="1C5997E3">
            <w:pPr>
              <w:pStyle w:val="14"/>
              <w:ind w:left="0" w:leftChars="0" w:firstLine="0" w:firstLineChars="0"/>
              <w:jc w:val="center"/>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w:t>
            </w:r>
          </w:p>
        </w:tc>
        <w:tc>
          <w:tcPr>
            <w:tcW w:w="1710" w:type="dxa"/>
          </w:tcPr>
          <w:p w14:paraId="4369C7CD">
            <w:pPr>
              <w:pStyle w:val="14"/>
              <w:ind w:left="0" w:leftChars="0" w:firstLine="0" w:firstLineChars="0"/>
              <w:jc w:val="center"/>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神经和肌肉刺激器用体表电极</w:t>
            </w:r>
          </w:p>
        </w:tc>
        <w:tc>
          <w:tcPr>
            <w:tcW w:w="855" w:type="dxa"/>
          </w:tcPr>
          <w:p w14:paraId="2A02B0A6">
            <w:pPr>
              <w:pStyle w:val="14"/>
              <w:ind w:left="0" w:leftChars="0" w:firstLine="0" w:firstLineChars="0"/>
              <w:jc w:val="center"/>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4片/包</w:t>
            </w:r>
          </w:p>
        </w:tc>
        <w:tc>
          <w:tcPr>
            <w:tcW w:w="1230" w:type="dxa"/>
          </w:tcPr>
          <w:p w14:paraId="1FC1D264">
            <w:pPr>
              <w:pStyle w:val="14"/>
              <w:ind w:left="0" w:leftChars="0" w:firstLine="0" w:firstLineChars="0"/>
              <w:jc w:val="both"/>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30元</w:t>
            </w:r>
            <w:bookmarkStart w:id="5" w:name="_GoBack"/>
            <w:bookmarkEnd w:id="5"/>
            <w:r>
              <w:rPr>
                <w:rFonts w:hint="eastAsia" w:asciiTheme="minorEastAsia" w:hAnsiTheme="minorEastAsia" w:eastAsiaTheme="minorEastAsia" w:cstheme="minorEastAsia"/>
                <w:bCs/>
                <w:color w:val="auto"/>
                <w:kern w:val="0"/>
                <w:sz w:val="24"/>
                <w:szCs w:val="24"/>
                <w:lang w:val="en-US" w:eastAsia="zh-CN" w:bidi="ar-SA"/>
              </w:rPr>
              <w:t>/包</w:t>
            </w:r>
          </w:p>
        </w:tc>
        <w:tc>
          <w:tcPr>
            <w:tcW w:w="4845" w:type="dxa"/>
            <w:shd w:val="clear" w:color="auto" w:fill="auto"/>
            <w:vAlign w:val="top"/>
          </w:tcPr>
          <w:p w14:paraId="0B9FB64C">
            <w:pPr>
              <w:pStyle w:val="14"/>
              <w:ind w:left="0" w:leftChars="0" w:firstLine="0" w:firstLineChars="0"/>
              <w:jc w:val="both"/>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color w:val="auto"/>
                <w:sz w:val="24"/>
                <w:szCs w:val="24"/>
                <w:vertAlign w:val="baseline"/>
                <w:lang w:val="en-US" w:eastAsia="zh-CN"/>
              </w:rPr>
              <w:t>耗材供货期限为3年，配送期间耗材价格不得高于湖南省药品和医用耗材招采管理子系统中标价。</w:t>
            </w:r>
          </w:p>
        </w:tc>
      </w:tr>
    </w:tbl>
    <w:p w14:paraId="589ECDFE">
      <w:pPr>
        <w:numPr>
          <w:ilvl w:val="0"/>
          <w:numId w:val="0"/>
        </w:numPr>
        <w:ind w:firstLine="480" w:firstLineChars="200"/>
        <w:rPr>
          <w:rFonts w:hint="eastAsia" w:asciiTheme="minorEastAsia" w:hAnsiTheme="minorEastAsia" w:eastAsiaTheme="minorEastAsia" w:cstheme="minorEastAsia"/>
          <w:bCs/>
          <w:color w:val="auto"/>
          <w:kern w:val="0"/>
          <w:sz w:val="24"/>
          <w:szCs w:val="24"/>
          <w:lang w:val="en-US" w:eastAsia="zh-CN" w:bidi="ar-SA"/>
        </w:rPr>
      </w:pPr>
    </w:p>
    <w:p w14:paraId="4B79679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（三）商务参数</w:t>
      </w:r>
      <w:r>
        <w:rPr>
          <w:rFonts w:hint="eastAsia" w:asciiTheme="minorEastAsia" w:hAnsiTheme="minorEastAsia" w:eastAsiaTheme="minorEastAsia" w:cstheme="minorEastAsia"/>
          <w:bCs/>
          <w:color w:val="auto"/>
          <w:kern w:val="0"/>
          <w:sz w:val="24"/>
          <w:szCs w:val="24"/>
          <w:lang w:val="en-US" w:eastAsia="zh-CN" w:bidi="ar-SA"/>
        </w:rPr>
        <w:cr/>
      </w:r>
      <w:r>
        <w:rPr>
          <w:rFonts w:hint="eastAsia" w:asciiTheme="minorEastAsia" w:hAnsiTheme="minorEastAsia" w:eastAsiaTheme="minorEastAsia" w:cstheme="minorEastAsia"/>
          <w:bCs/>
          <w:color w:val="auto"/>
          <w:kern w:val="0"/>
          <w:sz w:val="24"/>
          <w:szCs w:val="24"/>
          <w:lang w:val="en-US" w:eastAsia="zh-CN" w:bidi="ar-SA"/>
        </w:rPr>
        <w:t>★1、运输、装卸、培训、安装调试：由中标人负责承担，最终通过使用科室、设备科及相关部门确认验收交付使用。国产设备交付，设备必须为6个月内生产的产品；进口设备交付，设备必须为一年内生产的产品。</w:t>
      </w:r>
      <w:r>
        <w:rPr>
          <w:rFonts w:hint="eastAsia" w:asciiTheme="minorEastAsia" w:hAnsiTheme="minorEastAsia" w:eastAsiaTheme="minorEastAsia" w:cstheme="minorEastAsia"/>
          <w:bCs/>
          <w:color w:val="auto"/>
          <w:kern w:val="0"/>
          <w:sz w:val="24"/>
          <w:szCs w:val="24"/>
          <w:lang w:val="en-US" w:eastAsia="zh-CN" w:bidi="ar-SA"/>
        </w:rPr>
        <w:cr/>
      </w:r>
      <w:r>
        <w:rPr>
          <w:rFonts w:hint="eastAsia" w:asciiTheme="minorEastAsia" w:hAnsiTheme="minorEastAsia" w:eastAsiaTheme="minorEastAsia" w:cstheme="minorEastAsia"/>
          <w:bCs/>
          <w:color w:val="auto"/>
          <w:kern w:val="0"/>
          <w:sz w:val="24"/>
          <w:szCs w:val="24"/>
          <w:lang w:val="en-US" w:eastAsia="zh-CN" w:bidi="ar-SA"/>
        </w:rPr>
        <w:t>★2、交货时间：按合同约定的日期交货。</w:t>
      </w:r>
    </w:p>
    <w:p w14:paraId="7A73959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★3、交货地点：娄底市中心医院指定地点。</w:t>
      </w:r>
    </w:p>
    <w:p w14:paraId="0BB2990A">
      <w:pPr>
        <w:keepNext w:val="0"/>
        <w:keepLines w:val="0"/>
        <w:pageBreakBefore w:val="0"/>
        <w:widowControl/>
        <w:numPr>
          <w:ilvl w:val="0"/>
          <w:numId w:val="0"/>
        </w:numPr>
        <w:kinsoku/>
        <w:wordWrap/>
        <w:overflowPunct/>
        <w:topLinePunct w:val="0"/>
        <w:autoSpaceDE/>
        <w:autoSpaceDN/>
        <w:bidi w:val="0"/>
        <w:adjustRightInd w:val="0"/>
        <w:snapToGrid w:val="0"/>
        <w:spacing w:after="0" w:line="400" w:lineRule="exact"/>
        <w:ind w:leftChars="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★4、付款方式：设备验收合格后，供应商将发票交到娄底市中心医院后按程序支付货款90%（一般情况下4个月内支付、特殊情况下最多不超过6个月），甲方在设备验收合格且质保期届满后支付10%余款给乙方。</w:t>
      </w:r>
      <w:r>
        <w:rPr>
          <w:rFonts w:hint="eastAsia" w:asciiTheme="minorEastAsia" w:hAnsiTheme="minorEastAsia" w:eastAsiaTheme="minorEastAsia" w:cstheme="minorEastAsia"/>
          <w:bCs/>
          <w:color w:val="auto"/>
          <w:kern w:val="0"/>
          <w:sz w:val="24"/>
          <w:szCs w:val="24"/>
          <w:lang w:val="en-US" w:eastAsia="zh-CN" w:bidi="ar-SA"/>
        </w:rPr>
        <w:cr/>
      </w:r>
      <w:r>
        <w:rPr>
          <w:rFonts w:hint="eastAsia" w:asciiTheme="minorEastAsia" w:hAnsiTheme="minorEastAsia" w:eastAsiaTheme="minorEastAsia" w:cstheme="minorEastAsia"/>
          <w:bCs/>
          <w:color w:val="auto"/>
          <w:kern w:val="0"/>
          <w:sz w:val="24"/>
          <w:szCs w:val="24"/>
          <w:lang w:val="en-US" w:eastAsia="zh-CN" w:bidi="ar-SA"/>
        </w:rPr>
        <w:t>★5、质保与售后：整机保修3年，终身维修。验收时出具原厂售后质保承诺书，质保期内每年巡检一次，并提交巡检记录。</w:t>
      </w:r>
      <w:r>
        <w:rPr>
          <w:rFonts w:hint="eastAsia" w:asciiTheme="minorEastAsia" w:hAnsiTheme="minorEastAsia" w:eastAsiaTheme="minorEastAsia" w:cstheme="minorEastAsia"/>
          <w:bCs/>
          <w:color w:val="auto"/>
          <w:kern w:val="0"/>
          <w:sz w:val="24"/>
          <w:szCs w:val="24"/>
          <w:lang w:val="zh-CN" w:eastAsia="zh-CN" w:bidi="ar-SA"/>
        </w:rPr>
        <w:t>质保期内</w:t>
      </w:r>
      <w:r>
        <w:rPr>
          <w:rFonts w:hint="eastAsia" w:asciiTheme="minorEastAsia" w:hAnsiTheme="minorEastAsia" w:eastAsiaTheme="minorEastAsia" w:cstheme="minorEastAsia"/>
          <w:bCs/>
          <w:color w:val="auto"/>
          <w:kern w:val="0"/>
          <w:sz w:val="24"/>
          <w:szCs w:val="24"/>
          <w:lang w:val="en-US" w:eastAsia="zh-CN" w:bidi="ar-SA"/>
        </w:rPr>
        <w:t>出现故障，1小时响应，响应后24小时上门服务。</w:t>
      </w:r>
    </w:p>
    <w:p w14:paraId="584EE84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在投标文件中必须提供相关技术资料并加盖投标人公章（如技术参数、技术白皮书、说明书、彩页等），并在响应表中对技术参数中“★”、“▲”以及要求提供佐证材料的条款备注该条参数响应或正偏离的佐证资料所在页码。</w:t>
      </w:r>
    </w:p>
    <w:p w14:paraId="180698C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★7、设备如涉及网络接口费用，由中标人承担，采购人不再出具任何费用。</w:t>
      </w:r>
    </w:p>
    <w:p w14:paraId="067910B9">
      <w:pPr>
        <w:numPr>
          <w:ilvl w:val="0"/>
          <w:numId w:val="0"/>
        </w:numPr>
        <w:jc w:val="both"/>
        <w:rPr>
          <w:rFonts w:hint="eastAsia" w:asciiTheme="minorEastAsia" w:hAnsiTheme="minorEastAsia" w:eastAsiaTheme="minorEastAsia" w:cstheme="minorEastAsia"/>
          <w:bCs/>
          <w:color w:val="auto"/>
          <w:kern w:val="0"/>
          <w:sz w:val="24"/>
          <w:szCs w:val="24"/>
          <w:lang w:val="en-US" w:eastAsia="zh-CN" w:bidi="ar-SA"/>
        </w:rPr>
      </w:pPr>
    </w:p>
    <w:p w14:paraId="46A704C1">
      <w:pPr>
        <w:pStyle w:val="1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right="0"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三、标书要求</w:t>
      </w:r>
    </w:p>
    <w:p w14:paraId="25ED71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1、封面：需注明标的名称、投标文件、单位、时间；</w:t>
      </w:r>
    </w:p>
    <w:p w14:paraId="040BE2C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2、“三证合一”或“五证合一”营业执照，医疗器械经营许可证或医疗器械经营备案凭证（按法律规定提供证件）、生产厂家营业执照、生产许可证（如按法律规定需提供）、产品注册证（如按法律规定需提供）；</w:t>
      </w:r>
    </w:p>
    <w:p w14:paraId="241C0F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3、投标人身份证复印件；</w:t>
      </w:r>
    </w:p>
    <w:p w14:paraId="56F2FDD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4、如投标人不是法定代表人，须持法定代表人亲笔签名的授权委托书,并提供法定代表人身份证明和法定代表人身份证复印件，同时要求法定代表人在身份证复印件上注明用途及签全名。</w:t>
      </w:r>
    </w:p>
    <w:p w14:paraId="3A6CE9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5、履行本项目所必需的资质证明；</w:t>
      </w:r>
    </w:p>
    <w:p w14:paraId="2DF147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6、针对此项目的技术、服务方案；</w:t>
      </w:r>
    </w:p>
    <w:p w14:paraId="09A42D9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7、投标人认为需提供的其他和评审有关的资料；</w:t>
      </w:r>
    </w:p>
    <w:p w14:paraId="79C9DCD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8、投标文件的每一页都必须加盖投标单位的公章；</w:t>
      </w:r>
    </w:p>
    <w:p w14:paraId="4A56033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9、投标文件参数响应表中必须标注响应项佐证材料所对应页面。</w:t>
      </w:r>
    </w:p>
    <w:p w14:paraId="1DEAF00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kern w:val="0"/>
          <w:sz w:val="24"/>
          <w:szCs w:val="24"/>
          <w:lang w:val="en-US" w:eastAsia="zh-CN" w:bidi="ar-SA"/>
        </w:rPr>
      </w:pPr>
      <w:r>
        <w:rPr>
          <w:rFonts w:hint="eastAsia" w:asciiTheme="minorEastAsia" w:hAnsiTheme="minorEastAsia" w:eastAsiaTheme="minorEastAsia" w:cstheme="minorEastAsia"/>
          <w:bCs/>
          <w:color w:val="auto"/>
          <w:kern w:val="0"/>
          <w:sz w:val="24"/>
          <w:szCs w:val="24"/>
          <w:lang w:val="en-US" w:eastAsia="zh-CN" w:bidi="ar-SA"/>
        </w:rPr>
        <w:t>10、所有资料均应编入投标文件，胶装并用纸质文件袋封好（一正一副），标书必须“A4规格纸张胶制（非打孔或夹装）装订成册，并编制总目录”,要求密封，否则视为符合性审查不合格，作无效投标处理，在开标现场验证时打开，采用现场开标的方式。</w:t>
      </w:r>
    </w:p>
    <w:p w14:paraId="25ED7C7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pPr>
      <w:r>
        <w:rPr>
          <w:rFonts w:hint="eastAsia" w:asciiTheme="minorEastAsia" w:hAnsiTheme="minorEastAsia" w:eastAsiaTheme="minorEastAsia" w:cstheme="minorEastAsia"/>
          <w:bCs/>
          <w:color w:val="auto"/>
          <w:kern w:val="0"/>
          <w:sz w:val="28"/>
          <w:szCs w:val="28"/>
          <w:lang w:val="en-US" w:eastAsia="zh-CN" w:bidi="ar-SA"/>
        </w:rPr>
        <w:t>四、合同</w:t>
      </w:r>
      <w:r>
        <w:rPr>
          <w:rFonts w:hint="eastAsia" w:ascii="宋体" w:hAnsi="宋体" w:eastAsia="宋体" w:cs="宋体"/>
          <w:b w:val="0"/>
          <w:bCs w:val="0"/>
          <w:color w:val="000000" w:themeColor="text1"/>
          <w:sz w:val="24"/>
          <w:szCs w:val="24"/>
          <w:highlight w:val="none"/>
          <w:lang w:val="en-US" w:eastAsia="zh-CN"/>
          <w14:textFill>
            <w14:solidFill>
              <w14:schemeClr w14:val="tx1"/>
            </w14:solidFill>
          </w14:textFill>
        </w:rPr>
        <w:t xml:space="preserve">  </w:t>
      </w:r>
    </w:p>
    <w:p w14:paraId="314121E1">
      <w:pPr>
        <w:keepNext w:val="0"/>
        <w:keepLines w:val="0"/>
        <w:pageBreakBefore w:val="0"/>
        <w:widowControl w:val="0"/>
        <w:kinsoku/>
        <w:wordWrap/>
        <w:overflowPunct/>
        <w:topLinePunct w:val="0"/>
        <w:autoSpaceDE/>
        <w:autoSpaceDN/>
        <w:bidi w:val="0"/>
        <w:adjustRightInd/>
        <w:snapToGrid/>
        <w:spacing w:line="520" w:lineRule="exact"/>
        <w:ind w:firstLine="6720" w:firstLineChars="2800"/>
        <w:textAlignment w:val="auto"/>
        <w:rPr>
          <w:rFonts w:hint="eastAsia" w:ascii="宋体" w:hAnsi="宋体" w:eastAsia="宋体" w:cs="宋体"/>
          <w:sz w:val="24"/>
        </w:rPr>
      </w:pPr>
      <w:r>
        <w:rPr>
          <w:rFonts w:hint="eastAsia" w:ascii="宋体" w:hAnsi="宋体" w:eastAsia="宋体" w:cs="宋体"/>
          <w:sz w:val="24"/>
        </w:rPr>
        <w:t>合同编号：</w:t>
      </w:r>
    </w:p>
    <w:p w14:paraId="5D31158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rPr>
      </w:pPr>
      <w:r>
        <w:rPr>
          <w:rFonts w:hint="eastAsia" w:ascii="黑体" w:hAnsi="黑体" w:eastAsia="黑体" w:cs="黑体"/>
          <w:sz w:val="44"/>
          <w:szCs w:val="44"/>
        </w:rPr>
        <w:t>医疗设备及专机专用耗材采购合同</w:t>
      </w:r>
    </w:p>
    <w:p w14:paraId="3BC104A0">
      <w:pPr>
        <w:spacing w:line="480" w:lineRule="exact"/>
        <w:rPr>
          <w:rFonts w:hint="eastAsia" w:ascii="宋体" w:hAnsi="宋体" w:eastAsia="宋体" w:cs="宋体"/>
          <w:b/>
          <w:bCs/>
          <w:sz w:val="24"/>
        </w:rPr>
      </w:pPr>
    </w:p>
    <w:p w14:paraId="6CD8F30C">
      <w:pPr>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宋体"/>
          <w:sz w:val="24"/>
        </w:rPr>
      </w:pPr>
      <w:r>
        <w:rPr>
          <w:rFonts w:hint="eastAsia" w:ascii="宋体" w:hAnsi="宋体" w:eastAsia="宋体" w:cs="宋体"/>
          <w:b/>
          <w:bCs/>
          <w:sz w:val="24"/>
        </w:rPr>
        <w:t>甲方（采购方）：</w:t>
      </w:r>
      <w:r>
        <w:rPr>
          <w:rFonts w:hint="eastAsia" w:ascii="宋体" w:hAnsi="宋体" w:eastAsia="宋体" w:cs="宋体"/>
          <w:sz w:val="24"/>
        </w:rPr>
        <w:t>娄底市中心医院</w:t>
      </w:r>
    </w:p>
    <w:p w14:paraId="0DDEF8CA">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法定代表人：杨吉军</w:t>
      </w:r>
    </w:p>
    <w:p w14:paraId="0B712F45">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统一社会信用代码：12431300447162073W</w:t>
      </w:r>
    </w:p>
    <w:p w14:paraId="152CF60B">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地址：湖南省娄底市娄星区长青中街51号</w:t>
      </w:r>
    </w:p>
    <w:p w14:paraId="31BF4D6B">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联系人：朱振宇</w:t>
      </w:r>
    </w:p>
    <w:p w14:paraId="41CBD69B">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联系电话：15673845559</w:t>
      </w:r>
    </w:p>
    <w:p w14:paraId="45214CC6">
      <w:pPr>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宋体"/>
          <w:b w:val="0"/>
          <w:bCs w:val="0"/>
          <w:sz w:val="24"/>
        </w:rPr>
      </w:pPr>
      <w:r>
        <w:rPr>
          <w:rFonts w:hint="eastAsia" w:ascii="宋体" w:hAnsi="宋体" w:eastAsia="宋体" w:cs="宋体"/>
          <w:b/>
          <w:bCs/>
          <w:sz w:val="24"/>
        </w:rPr>
        <w:t>乙方（供货方）：</w:t>
      </w:r>
    </w:p>
    <w:p w14:paraId="4CF03F64">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lang w:val="en-US" w:eastAsia="zh-CN"/>
        </w:rPr>
      </w:pPr>
      <w:r>
        <w:rPr>
          <w:rFonts w:hint="eastAsia" w:ascii="宋体" w:hAnsi="宋体" w:eastAsia="宋体" w:cs="宋体"/>
          <w:sz w:val="24"/>
        </w:rPr>
        <w:t>法定代表人：</w:t>
      </w:r>
    </w:p>
    <w:p w14:paraId="27F73BE9">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统一社会信用代码：</w:t>
      </w:r>
    </w:p>
    <w:p w14:paraId="71ADD327">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cs="宋体"/>
          <w:sz w:val="24"/>
        </w:rPr>
      </w:pPr>
      <w:r>
        <w:rPr>
          <w:rFonts w:hint="eastAsia" w:ascii="宋体" w:hAnsi="宋体" w:eastAsia="宋体" w:cs="宋体"/>
          <w:sz w:val="24"/>
        </w:rPr>
        <w:t>地址：</w:t>
      </w:r>
    </w:p>
    <w:p w14:paraId="23BC780A">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sz w:val="24"/>
          <w:lang w:val="en-US" w:eastAsia="zh-CN"/>
        </w:rPr>
      </w:pPr>
      <w:r>
        <w:rPr>
          <w:rFonts w:hint="eastAsia" w:ascii="宋体" w:hAnsi="宋体" w:eastAsia="宋体" w:cs="宋体"/>
          <w:sz w:val="24"/>
        </w:rPr>
        <w:t>联系人：</w:t>
      </w:r>
    </w:p>
    <w:p w14:paraId="20B24652">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联系电话：</w:t>
      </w:r>
    </w:p>
    <w:p w14:paraId="441CC307">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default" w:ascii="宋体" w:hAnsi="宋体" w:eastAsia="宋体" w:cs="宋体"/>
          <w:sz w:val="24"/>
          <w:lang w:val="en-US" w:eastAsia="zh-CN"/>
        </w:rPr>
      </w:pPr>
    </w:p>
    <w:p w14:paraId="175B41AB">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甲方通过</w:t>
      </w:r>
      <w:r>
        <w:rPr>
          <w:rFonts w:hint="eastAsia" w:ascii="宋体" w:hAnsi="宋体" w:eastAsia="宋体" w:cs="宋体"/>
          <w:color w:val="000000" w:themeColor="text1"/>
          <w:sz w:val="24"/>
          <w:u w:val="single"/>
          <w14:textFill>
            <w14:solidFill>
              <w14:schemeClr w14:val="tx1"/>
            </w14:solidFill>
          </w14:textFill>
        </w:rPr>
        <w:t>医院公开挂网</w:t>
      </w:r>
      <w:r>
        <w:rPr>
          <w:rFonts w:hint="eastAsia" w:ascii="宋体" w:hAnsi="宋体" w:eastAsia="宋体" w:cs="宋体"/>
          <w:color w:val="000000" w:themeColor="text1"/>
          <w:sz w:val="24"/>
          <w14:textFill>
            <w14:solidFill>
              <w14:schemeClr w14:val="tx1"/>
            </w14:solidFill>
          </w14:textFill>
        </w:rPr>
        <w:t>方式采购</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lang w:val="en-US" w:eastAsia="zh-CN"/>
          <w14:textFill>
            <w14:solidFill>
              <w14:schemeClr w14:val="tx1"/>
            </w14:solidFill>
          </w14:textFill>
        </w:rPr>
        <w:t>酸碱度检测仪</w:t>
      </w:r>
      <w:r>
        <w:rPr>
          <w:rFonts w:hint="eastAsia" w:ascii="宋体" w:hAnsi="宋体" w:eastAsia="宋体" w:cs="宋体"/>
          <w:color w:val="000000" w:themeColor="text1"/>
          <w:sz w:val="24"/>
          <w:u w:val="single"/>
          <w:lang w:val="en-US" w:eastAsia="zh-CN"/>
          <w14:textFill>
            <w14:solidFill>
              <w14:schemeClr w14:val="tx1"/>
            </w14:solidFill>
          </w14:textFill>
        </w:rPr>
        <w:t xml:space="preserve">+中频治疗仪 </w:t>
      </w:r>
      <w:r>
        <w:rPr>
          <w:rFonts w:hint="eastAsia" w:ascii="宋体" w:hAnsi="宋体" w:eastAsia="宋体" w:cs="宋体"/>
          <w:color w:val="000000" w:themeColor="text1"/>
          <w:sz w:val="24"/>
          <w14:textFill>
            <w14:solidFill>
              <w14:schemeClr w14:val="tx1"/>
            </w14:solidFill>
          </w14:textFill>
        </w:rPr>
        <w:t>，乙方为成交供应商。根据《中华人民共和国民法典》《中华人民共和国政府采购法》等相关法律规定，甲乙双方在采购项目确定的基础上，就采购</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u w:val="single"/>
          <w:lang w:val="en-US" w:eastAsia="zh-CN"/>
          <w14:textFill>
            <w14:solidFill>
              <w14:schemeClr w14:val="tx1"/>
            </w14:solidFill>
          </w14:textFill>
        </w:rPr>
        <w:t>酸碱度检测仪</w:t>
      </w:r>
      <w:r>
        <w:rPr>
          <w:rFonts w:hint="eastAsia" w:ascii="宋体" w:hAnsi="宋体" w:eastAsia="宋体" w:cs="宋体"/>
          <w:color w:val="000000" w:themeColor="text1"/>
          <w:sz w:val="24"/>
          <w:u w:val="single"/>
          <w:lang w:val="en-US" w:eastAsia="zh-CN"/>
          <w14:textFill>
            <w14:solidFill>
              <w14:schemeClr w14:val="tx1"/>
            </w14:solidFill>
          </w14:textFill>
        </w:rPr>
        <w:t xml:space="preserve">+中频治疗仪 </w:t>
      </w:r>
      <w:r>
        <w:rPr>
          <w:rFonts w:hint="eastAsia" w:ascii="宋体" w:hAnsi="宋体" w:eastAsia="宋体" w:cs="宋体"/>
          <w:color w:val="000000" w:themeColor="text1"/>
          <w:sz w:val="24"/>
          <w14:textFill>
            <w14:solidFill>
              <w14:schemeClr w14:val="tx1"/>
            </w14:solidFill>
          </w14:textFill>
        </w:rPr>
        <w:t>事宜平等、自愿、公平、诚信协商，达成一致，特订立本合同，以资共同遵守。</w:t>
      </w:r>
    </w:p>
    <w:p w14:paraId="378957AA">
      <w:pPr>
        <w:keepNext w:val="0"/>
        <w:keepLines w:val="0"/>
        <w:pageBreakBefore w:val="0"/>
        <w:widowControl w:val="0"/>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宋体"/>
          <w:b/>
          <w:bCs/>
          <w:sz w:val="24"/>
        </w:rPr>
      </w:pPr>
      <w:r>
        <w:rPr>
          <w:rFonts w:hint="eastAsia" w:ascii="宋体" w:hAnsi="宋体" w:eastAsia="宋体" w:cs="宋体"/>
          <w:b/>
          <w:bCs/>
          <w:sz w:val="24"/>
        </w:rPr>
        <w:t>第一条  采购内容</w:t>
      </w:r>
    </w:p>
    <w:p w14:paraId="6D8D08A8">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left="0" w:leftChars="0" w:firstLine="482" w:firstLineChars="200"/>
        <w:textAlignment w:val="auto"/>
        <w:rPr>
          <w:rFonts w:hint="eastAsia" w:ascii="宋体" w:hAnsi="宋体" w:eastAsia="宋体" w:cs="宋体"/>
          <w:b/>
          <w:bCs/>
          <w:sz w:val="24"/>
        </w:rPr>
      </w:pPr>
      <w:r>
        <w:rPr>
          <w:rFonts w:ascii="宋体" w:hAnsi="宋体" w:eastAsia="宋体" w:cs="宋体"/>
          <w:b/>
          <w:bCs/>
          <w:sz w:val="24"/>
        </w:rPr>
        <w:t>1.1</w:t>
      </w:r>
      <w:r>
        <w:rPr>
          <w:rFonts w:hint="eastAsia" w:ascii="宋体" w:hAnsi="宋体" w:eastAsia="宋体" w:cs="宋体"/>
          <w:b/>
          <w:bCs/>
          <w:sz w:val="24"/>
        </w:rPr>
        <w:t xml:space="preserve"> 采购设备</w:t>
      </w:r>
    </w:p>
    <w:p w14:paraId="092EB21F">
      <w:pPr>
        <w:keepNext w:val="0"/>
        <w:keepLines w:val="0"/>
        <w:pageBreakBefore w:val="0"/>
        <w:widowControl w:val="0"/>
        <w:kinsoku/>
        <w:wordWrap/>
        <w:overflowPunct/>
        <w:topLinePunct w:val="0"/>
        <w:autoSpaceDE/>
        <w:autoSpaceDN/>
        <w:bidi w:val="0"/>
        <w:adjustRightInd/>
        <w:snapToGrid/>
        <w:spacing w:line="480" w:lineRule="exact"/>
        <w:ind w:left="0" w:leftChars="0" w:firstLine="480" w:firstLineChars="200"/>
        <w:textAlignment w:val="auto"/>
        <w:rPr>
          <w:rFonts w:hint="eastAsia" w:ascii="宋体" w:hAnsi="宋体" w:eastAsia="宋体" w:cs="宋体"/>
          <w:sz w:val="24"/>
        </w:rPr>
      </w:pPr>
      <w:r>
        <w:rPr>
          <w:rFonts w:hint="eastAsia" w:ascii="宋体" w:hAnsi="宋体" w:eastAsia="宋体" w:cs="宋体"/>
          <w:sz w:val="24"/>
        </w:rPr>
        <w:t>1.1.1 设备名称、品牌、型号、价格</w:t>
      </w:r>
    </w:p>
    <w:tbl>
      <w:tblPr>
        <w:tblStyle w:val="15"/>
        <w:tblpPr w:leftFromText="180" w:rightFromText="180" w:vertAnchor="text" w:horzAnchor="page" w:tblpX="1779" w:tblpY="148"/>
        <w:tblOverlap w:val="never"/>
        <w:tblW w:w="87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6"/>
        <w:gridCol w:w="1500"/>
        <w:gridCol w:w="1457"/>
        <w:gridCol w:w="1320"/>
        <w:gridCol w:w="1377"/>
        <w:gridCol w:w="1388"/>
      </w:tblGrid>
      <w:tr w14:paraId="67862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726" w:type="dxa"/>
            <w:vAlign w:val="center"/>
          </w:tcPr>
          <w:p w14:paraId="4602A064">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设备名称</w:t>
            </w:r>
          </w:p>
        </w:tc>
        <w:tc>
          <w:tcPr>
            <w:tcW w:w="1500" w:type="dxa"/>
            <w:vAlign w:val="center"/>
          </w:tcPr>
          <w:p w14:paraId="764B0ED6">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品牌</w:t>
            </w:r>
          </w:p>
        </w:tc>
        <w:tc>
          <w:tcPr>
            <w:tcW w:w="1457" w:type="dxa"/>
            <w:vAlign w:val="center"/>
          </w:tcPr>
          <w:p w14:paraId="1290ABC8">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型号</w:t>
            </w:r>
          </w:p>
        </w:tc>
        <w:tc>
          <w:tcPr>
            <w:tcW w:w="1320" w:type="dxa"/>
            <w:vAlign w:val="center"/>
          </w:tcPr>
          <w:p w14:paraId="708BB1A2">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单价（元）</w:t>
            </w:r>
          </w:p>
        </w:tc>
        <w:tc>
          <w:tcPr>
            <w:tcW w:w="1377" w:type="dxa"/>
            <w:vAlign w:val="center"/>
          </w:tcPr>
          <w:p w14:paraId="7DDECC4A">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数量</w:t>
            </w:r>
          </w:p>
        </w:tc>
        <w:tc>
          <w:tcPr>
            <w:tcW w:w="1388" w:type="dxa"/>
            <w:vAlign w:val="center"/>
          </w:tcPr>
          <w:p w14:paraId="66AB36F0">
            <w:pPr>
              <w:widowControl/>
              <w:spacing w:line="480" w:lineRule="exact"/>
              <w:jc w:val="center"/>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金额（元）</w:t>
            </w:r>
          </w:p>
        </w:tc>
      </w:tr>
      <w:tr w14:paraId="3A5B6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726" w:type="dxa"/>
            <w:vAlign w:val="center"/>
          </w:tcPr>
          <w:p w14:paraId="6A5586C6">
            <w:pPr>
              <w:widowControl/>
              <w:spacing w:line="320" w:lineRule="exact"/>
              <w:rPr>
                <w:rFonts w:hint="eastAsia" w:ascii="宋体" w:hAnsi="宋体" w:eastAsia="宋体" w:cs="宋体"/>
                <w:color w:val="000000" w:themeColor="text1"/>
                <w:kern w:val="0"/>
                <w:sz w:val="18"/>
                <w:szCs w:val="18"/>
                <w:lang w:eastAsia="zh-CN"/>
                <w14:textFill>
                  <w14:solidFill>
                    <w14:schemeClr w14:val="tx1"/>
                  </w14:solidFill>
                </w14:textFill>
              </w:rPr>
            </w:pPr>
            <w:r>
              <w:rPr>
                <w:rFonts w:hint="eastAsia" w:ascii="宋体" w:hAnsi="宋体" w:cs="宋体"/>
                <w:color w:val="000000" w:themeColor="text1"/>
                <w:kern w:val="0"/>
                <w:sz w:val="18"/>
                <w:szCs w:val="18"/>
                <w:lang w:eastAsia="zh-CN"/>
                <w14:textFill>
                  <w14:solidFill>
                    <w14:schemeClr w14:val="tx1"/>
                  </w14:solidFill>
                </w14:textFill>
              </w:rPr>
              <w:t>酸碱度检测仪</w:t>
            </w:r>
          </w:p>
        </w:tc>
        <w:tc>
          <w:tcPr>
            <w:tcW w:w="1500" w:type="dxa"/>
            <w:vAlign w:val="center"/>
          </w:tcPr>
          <w:p w14:paraId="5EF679CA">
            <w:pPr>
              <w:widowControl/>
              <w:spacing w:line="320" w:lineRule="exact"/>
              <w:jc w:val="center"/>
              <w:rPr>
                <w:rFonts w:hint="eastAsia" w:ascii="宋体" w:hAnsi="宋体" w:eastAsia="宋体" w:cs="宋体"/>
                <w:color w:val="000000" w:themeColor="text1"/>
                <w:kern w:val="0"/>
                <w:sz w:val="18"/>
                <w:szCs w:val="18"/>
                <w14:textFill>
                  <w14:solidFill>
                    <w14:schemeClr w14:val="tx1"/>
                  </w14:solidFill>
                </w14:textFill>
              </w:rPr>
            </w:pPr>
          </w:p>
        </w:tc>
        <w:tc>
          <w:tcPr>
            <w:tcW w:w="1457" w:type="dxa"/>
            <w:vAlign w:val="center"/>
          </w:tcPr>
          <w:p w14:paraId="168D6375">
            <w:pPr>
              <w:widowControl/>
              <w:spacing w:line="320" w:lineRule="exact"/>
              <w:jc w:val="center"/>
              <w:rPr>
                <w:rFonts w:hint="eastAsia" w:ascii="宋体" w:hAnsi="宋体" w:eastAsia="宋体" w:cs="宋体"/>
                <w:color w:val="000000" w:themeColor="text1"/>
                <w:kern w:val="0"/>
                <w:sz w:val="18"/>
                <w:szCs w:val="18"/>
                <w14:textFill>
                  <w14:solidFill>
                    <w14:schemeClr w14:val="tx1"/>
                  </w14:solidFill>
                </w14:textFill>
              </w:rPr>
            </w:pPr>
          </w:p>
        </w:tc>
        <w:tc>
          <w:tcPr>
            <w:tcW w:w="1320" w:type="dxa"/>
            <w:vAlign w:val="center"/>
          </w:tcPr>
          <w:p w14:paraId="77DDB08C">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p>
        </w:tc>
        <w:tc>
          <w:tcPr>
            <w:tcW w:w="1377" w:type="dxa"/>
            <w:vAlign w:val="center"/>
          </w:tcPr>
          <w:p w14:paraId="32F97213">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eastAsia="宋体" w:cs="宋体"/>
                <w:color w:val="000000" w:themeColor="text1"/>
                <w:kern w:val="0"/>
                <w:sz w:val="18"/>
                <w:szCs w:val="18"/>
                <w:lang w:val="en-US" w:eastAsia="zh-CN"/>
                <w14:textFill>
                  <w14:solidFill>
                    <w14:schemeClr w14:val="tx1"/>
                  </w14:solidFill>
                </w14:textFill>
              </w:rPr>
              <w:t>1台</w:t>
            </w:r>
          </w:p>
        </w:tc>
        <w:tc>
          <w:tcPr>
            <w:tcW w:w="1388" w:type="dxa"/>
            <w:vAlign w:val="center"/>
          </w:tcPr>
          <w:p w14:paraId="7C0B4443">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p>
        </w:tc>
      </w:tr>
      <w:tr w14:paraId="5814C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726" w:type="dxa"/>
            <w:vAlign w:val="center"/>
          </w:tcPr>
          <w:p w14:paraId="4B21F140">
            <w:pPr>
              <w:widowControl/>
              <w:spacing w:line="320" w:lineRule="exact"/>
              <w:rPr>
                <w:rFonts w:hint="eastAsia" w:ascii="宋体" w:hAnsi="宋体" w:eastAsia="宋体" w:cs="宋体"/>
                <w:color w:val="000000" w:themeColor="text1"/>
                <w:kern w:val="0"/>
                <w:sz w:val="18"/>
                <w:szCs w:val="18"/>
                <w:lang w:eastAsia="zh-CN"/>
                <w14:textFill>
                  <w14:solidFill>
                    <w14:schemeClr w14:val="tx1"/>
                  </w14:solidFill>
                </w14:textFill>
              </w:rPr>
            </w:pPr>
            <w:r>
              <w:rPr>
                <w:rFonts w:hint="eastAsia" w:ascii="宋体" w:hAnsi="宋体" w:eastAsia="宋体" w:cs="宋体"/>
                <w:color w:val="000000" w:themeColor="text1"/>
                <w:kern w:val="0"/>
                <w:sz w:val="18"/>
                <w:szCs w:val="18"/>
                <w:lang w:eastAsia="zh-CN"/>
                <w14:textFill>
                  <w14:solidFill>
                    <w14:schemeClr w14:val="tx1"/>
                  </w14:solidFill>
                </w14:textFill>
              </w:rPr>
              <w:t>中频治疗仪</w:t>
            </w:r>
          </w:p>
        </w:tc>
        <w:tc>
          <w:tcPr>
            <w:tcW w:w="1500" w:type="dxa"/>
            <w:vAlign w:val="center"/>
          </w:tcPr>
          <w:p w14:paraId="08776A38">
            <w:pPr>
              <w:widowControl/>
              <w:spacing w:line="320" w:lineRule="exact"/>
              <w:jc w:val="center"/>
              <w:rPr>
                <w:rFonts w:hint="eastAsia" w:ascii="宋体" w:hAnsi="宋体" w:eastAsia="宋体" w:cs="宋体"/>
                <w:color w:val="000000" w:themeColor="text1"/>
                <w:kern w:val="0"/>
                <w:sz w:val="18"/>
                <w:szCs w:val="18"/>
                <w14:textFill>
                  <w14:solidFill>
                    <w14:schemeClr w14:val="tx1"/>
                  </w14:solidFill>
                </w14:textFill>
              </w:rPr>
            </w:pPr>
          </w:p>
        </w:tc>
        <w:tc>
          <w:tcPr>
            <w:tcW w:w="1457" w:type="dxa"/>
            <w:vAlign w:val="center"/>
          </w:tcPr>
          <w:p w14:paraId="5FB53BF3">
            <w:pPr>
              <w:widowControl/>
              <w:spacing w:line="320" w:lineRule="exact"/>
              <w:jc w:val="center"/>
              <w:rPr>
                <w:rFonts w:hint="eastAsia" w:ascii="宋体" w:hAnsi="宋体" w:eastAsia="宋体" w:cs="宋体"/>
                <w:color w:val="000000" w:themeColor="text1"/>
                <w:kern w:val="0"/>
                <w:sz w:val="18"/>
                <w:szCs w:val="18"/>
                <w14:textFill>
                  <w14:solidFill>
                    <w14:schemeClr w14:val="tx1"/>
                  </w14:solidFill>
                </w14:textFill>
              </w:rPr>
            </w:pPr>
          </w:p>
        </w:tc>
        <w:tc>
          <w:tcPr>
            <w:tcW w:w="1320" w:type="dxa"/>
            <w:vAlign w:val="center"/>
          </w:tcPr>
          <w:p w14:paraId="643D2359">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p>
        </w:tc>
        <w:tc>
          <w:tcPr>
            <w:tcW w:w="1377" w:type="dxa"/>
            <w:vAlign w:val="center"/>
          </w:tcPr>
          <w:p w14:paraId="6048F440">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r>
              <w:rPr>
                <w:rFonts w:hint="eastAsia" w:ascii="宋体" w:hAnsi="宋体" w:eastAsia="宋体" w:cs="宋体"/>
                <w:color w:val="000000" w:themeColor="text1"/>
                <w:kern w:val="0"/>
                <w:sz w:val="18"/>
                <w:szCs w:val="18"/>
                <w:lang w:val="en-US" w:eastAsia="zh-CN"/>
                <w14:textFill>
                  <w14:solidFill>
                    <w14:schemeClr w14:val="tx1"/>
                  </w14:solidFill>
                </w14:textFill>
              </w:rPr>
              <w:t>1台</w:t>
            </w:r>
          </w:p>
        </w:tc>
        <w:tc>
          <w:tcPr>
            <w:tcW w:w="1388" w:type="dxa"/>
            <w:vAlign w:val="center"/>
          </w:tcPr>
          <w:p w14:paraId="2DFD6BBB">
            <w:pPr>
              <w:widowControl/>
              <w:spacing w:line="320" w:lineRule="exact"/>
              <w:jc w:val="center"/>
              <w:rPr>
                <w:rFonts w:hint="default" w:ascii="宋体" w:hAnsi="宋体" w:eastAsia="宋体" w:cs="宋体"/>
                <w:color w:val="000000" w:themeColor="text1"/>
                <w:kern w:val="0"/>
                <w:sz w:val="18"/>
                <w:szCs w:val="18"/>
                <w:lang w:val="en-US" w:eastAsia="zh-CN"/>
                <w14:textFill>
                  <w14:solidFill>
                    <w14:schemeClr w14:val="tx1"/>
                  </w14:solidFill>
                </w14:textFill>
              </w:rPr>
            </w:pPr>
          </w:p>
        </w:tc>
      </w:tr>
      <w:tr w14:paraId="3D12B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8768" w:type="dxa"/>
            <w:gridSpan w:val="6"/>
          </w:tcPr>
          <w:p w14:paraId="11025C9A">
            <w:pPr>
              <w:widowControl/>
              <w:spacing w:line="480" w:lineRule="exact"/>
              <w:jc w:val="left"/>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合计价款金额（大写）：</w:t>
            </w:r>
            <w:r>
              <w:rPr>
                <w:rFonts w:hint="eastAsia" w:ascii="宋体" w:hAnsi="宋体" w:eastAsia="宋体" w:cs="宋体"/>
                <w:color w:val="000000" w:themeColor="text1"/>
                <w:kern w:val="0"/>
                <w:sz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u w:val="none"/>
                <w:lang w:val="en-US" w:eastAsia="zh-CN"/>
                <w14:textFill>
                  <w14:solidFill>
                    <w14:schemeClr w14:val="tx1"/>
                  </w14:solidFill>
                </w14:textFill>
              </w:rPr>
              <w:t>元整</w:t>
            </w:r>
            <w:r>
              <w:rPr>
                <w:rFonts w:hint="eastAsia" w:ascii="宋体" w:hAnsi="宋体" w:eastAsia="宋体" w:cs="宋体"/>
                <w:color w:val="000000" w:themeColor="text1"/>
                <w:kern w:val="0"/>
                <w:sz w:val="24"/>
                <w14:textFill>
                  <w14:solidFill>
                    <w14:schemeClr w14:val="tx1"/>
                  </w14:solidFill>
                </w14:textFill>
              </w:rPr>
              <w:t xml:space="preserve">      人民币（小写）：</w:t>
            </w:r>
            <w:r>
              <w:rPr>
                <w:rFonts w:hint="eastAsia" w:ascii="宋体" w:hAnsi="宋体" w:eastAsia="宋体" w:cs="宋体"/>
                <w:color w:val="000000" w:themeColor="text1"/>
                <w:kern w:val="0"/>
                <w:sz w:val="24"/>
                <w:u w:val="single"/>
                <w14:textFill>
                  <w14:solidFill>
                    <w14:schemeClr w14:val="tx1"/>
                  </w14:solidFill>
                </w14:textFill>
              </w:rPr>
              <w:t xml:space="preserve"> </w:t>
            </w:r>
            <w:r>
              <w:rPr>
                <w:rFonts w:hint="eastAsia" w:ascii="宋体" w:hAnsi="宋体" w:eastAsia="宋体" w:cs="宋体"/>
                <w:color w:val="000000" w:themeColor="text1"/>
                <w:kern w:val="0"/>
                <w:sz w:val="24"/>
                <w:u w:val="single"/>
                <w:lang w:val="en-US" w:eastAsia="zh-CN"/>
                <w14:textFill>
                  <w14:solidFill>
                    <w14:schemeClr w14:val="tx1"/>
                  </w14:solidFill>
                </w14:textFill>
              </w:rPr>
              <w:t xml:space="preserve">     </w:t>
            </w:r>
            <w:r>
              <w:rPr>
                <w:rFonts w:hint="eastAsia" w:ascii="宋体" w:hAnsi="宋体" w:eastAsia="宋体" w:cs="宋体"/>
                <w:color w:val="000000" w:themeColor="text1"/>
                <w:kern w:val="0"/>
                <w:sz w:val="24"/>
                <w14:textFill>
                  <w14:solidFill>
                    <w14:schemeClr w14:val="tx1"/>
                  </w14:solidFill>
                </w14:textFill>
              </w:rPr>
              <w:t>元</w:t>
            </w:r>
          </w:p>
        </w:tc>
      </w:tr>
    </w:tbl>
    <w:p w14:paraId="07991170">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w:t>
      </w:r>
    </w:p>
    <w:p w14:paraId="7F93D9B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p>
    <w:p w14:paraId="72063736">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p>
    <w:p w14:paraId="3C14583B">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p>
    <w:p w14:paraId="388459B5">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r>
        <w:rPr>
          <w:rFonts w:hint="eastAsia" w:ascii="宋体" w:hAnsi="宋体" w:eastAsia="宋体" w:cs="宋体"/>
          <w:sz w:val="24"/>
          <w:lang w:val="en-US" w:eastAsia="zh-CN"/>
        </w:rPr>
        <w:t>1</w:t>
      </w:r>
      <w:r>
        <w:rPr>
          <w:rFonts w:hint="eastAsia" w:ascii="宋体" w:hAnsi="宋体" w:eastAsia="宋体" w:cs="宋体"/>
          <w:sz w:val="24"/>
        </w:rPr>
        <w:t>.1.2 本合同约定价格为（</w:t>
      </w:r>
      <w:r>
        <w:rPr>
          <w:rFonts w:hint="eastAsia" w:ascii="宋体" w:hAnsi="宋体" w:eastAsia="宋体" w:cs="宋体"/>
          <w:sz w:val="24"/>
          <w:lang w:eastAsia="zh-CN"/>
        </w:rPr>
        <w:t>□</w:t>
      </w:r>
      <w:r>
        <w:rPr>
          <w:rFonts w:hint="eastAsia" w:ascii="宋体" w:hAnsi="宋体" w:eastAsia="宋体" w:cs="宋体"/>
          <w:sz w:val="24"/>
        </w:rPr>
        <w:t>固定总价</w:t>
      </w:r>
      <w:r>
        <w:rPr>
          <w:rFonts w:hint="eastAsia" w:ascii="宋体" w:hAnsi="宋体" w:eastAsia="宋体" w:cs="宋体"/>
          <w:sz w:val="24"/>
          <w:lang w:eastAsia="zh-CN"/>
        </w:rPr>
        <w:t>☑</w:t>
      </w:r>
      <w:r>
        <w:rPr>
          <w:rFonts w:hint="eastAsia" w:ascii="宋体" w:hAnsi="宋体" w:eastAsia="宋体" w:cs="宋体"/>
          <w:sz w:val="24"/>
        </w:rPr>
        <w:t>固定单价），不因物价、市场波动变更，约定价格包括且不限于设计费、材料费、人工费、安装费、包装费、运输费、装卸费、调试费、接口费、检测费、检验费、税费、保险费、售后服务费、附随服务费等在内所有费用。</w:t>
      </w:r>
    </w:p>
    <w:p w14:paraId="1E006648">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1.1.3 </w:t>
      </w:r>
      <w:r>
        <w:rPr>
          <w:rFonts w:hint="eastAsia" w:ascii="宋体" w:hAnsi="宋体" w:cs="宋体"/>
          <w:color w:val="000000" w:themeColor="text1"/>
          <w:sz w:val="24"/>
          <w14:textFill>
            <w14:solidFill>
              <w14:schemeClr w14:val="tx1"/>
            </w14:solidFill>
          </w14:textFill>
        </w:rPr>
        <w:t>□本合同设备无需与甲方使用的信息系统对接。</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本合同设备需要与甲方使用的信息系统对接，因对接产生的接口开发等乙方及第三方需要收取的全部费用均由乙方承担。</w:t>
      </w:r>
    </w:p>
    <w:p w14:paraId="3A4EA773">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eastAsia" w:ascii="宋体" w:hAnsi="宋体" w:eastAsia="宋体" w:cs="宋体"/>
          <w:b/>
          <w:bCs/>
          <w:sz w:val="24"/>
        </w:rPr>
      </w:pPr>
      <w:r>
        <w:rPr>
          <w:rFonts w:hint="eastAsia" w:ascii="宋体" w:hAnsi="宋体" w:eastAsia="宋体" w:cs="宋体"/>
          <w:b/>
          <w:bCs/>
          <w:sz w:val="24"/>
        </w:rPr>
        <w:t>1.2 设备专机专用耗材供应</w:t>
      </w:r>
    </w:p>
    <w:p w14:paraId="7705D743">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eastAsia" w:ascii="宋体" w:hAnsi="宋体" w:eastAsia="宋体" w:cs="宋体"/>
          <w:sz w:val="24"/>
        </w:rPr>
      </w:pPr>
      <w:r>
        <w:rPr>
          <w:rFonts w:hint="eastAsia" w:ascii="宋体" w:hAnsi="宋体" w:eastAsia="宋体" w:cs="宋体"/>
          <w:sz w:val="24"/>
        </w:rPr>
        <w:t>1.2.1 耗材名称、规格型号、编号、单价</w:t>
      </w:r>
    </w:p>
    <w:tbl>
      <w:tblPr>
        <w:tblStyle w:val="15"/>
        <w:tblpPr w:leftFromText="180" w:rightFromText="180" w:vertAnchor="text" w:horzAnchor="page" w:tblpX="1594" w:tblpY="340"/>
        <w:tblOverlap w:val="never"/>
        <w:tblW w:w="8877" w:type="dxa"/>
        <w:tblInd w:w="0" w:type="dxa"/>
        <w:tblLayout w:type="fixed"/>
        <w:tblCellMar>
          <w:top w:w="0" w:type="dxa"/>
          <w:left w:w="108" w:type="dxa"/>
          <w:bottom w:w="0" w:type="dxa"/>
          <w:right w:w="108" w:type="dxa"/>
        </w:tblCellMar>
      </w:tblPr>
      <w:tblGrid>
        <w:gridCol w:w="1992"/>
        <w:gridCol w:w="1621"/>
        <w:gridCol w:w="1621"/>
        <w:gridCol w:w="1540"/>
        <w:gridCol w:w="689"/>
        <w:gridCol w:w="1414"/>
      </w:tblGrid>
      <w:tr w14:paraId="4795C864">
        <w:tblPrEx>
          <w:tblCellMar>
            <w:top w:w="0" w:type="dxa"/>
            <w:left w:w="108" w:type="dxa"/>
            <w:bottom w:w="0" w:type="dxa"/>
            <w:right w:w="108" w:type="dxa"/>
          </w:tblCellMar>
        </w:tblPrEx>
        <w:trPr>
          <w:trHeight w:val="561" w:hRule="atLeast"/>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64A7">
            <w:pPr>
              <w:widowControl/>
              <w:spacing w:line="240" w:lineRule="auto"/>
              <w:jc w:val="center"/>
              <w:rPr>
                <w:rFonts w:hint="eastAsia" w:asciiTheme="minorEastAsia" w:hAnsiTheme="minorEastAsia" w:eastAsiaTheme="minorEastAsia" w:cstheme="minorEastAsia"/>
                <w:b/>
                <w:bCs/>
                <w:color w:val="000000" w:themeColor="text1"/>
                <w:kern w:val="0"/>
                <w:sz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lang w:val="en-US" w:eastAsia="zh-CN"/>
                <w14:textFill>
                  <w14:solidFill>
                    <w14:schemeClr w14:val="tx1"/>
                  </w14:solidFill>
                </w14:textFill>
              </w:rPr>
              <w:t>设备名称</w:t>
            </w:r>
          </w:p>
        </w:tc>
        <w:tc>
          <w:tcPr>
            <w:tcW w:w="1621" w:type="dxa"/>
            <w:tcBorders>
              <w:top w:val="single" w:color="auto" w:sz="4" w:space="0"/>
              <w:left w:val="single" w:color="000000" w:sz="4" w:space="0"/>
              <w:bottom w:val="single" w:color="000000" w:sz="4" w:space="0"/>
              <w:right w:val="single" w:color="auto" w:sz="4" w:space="0"/>
            </w:tcBorders>
            <w:shd w:val="clear" w:color="auto" w:fill="auto"/>
            <w:vAlign w:val="center"/>
          </w:tcPr>
          <w:p w14:paraId="2047F5A0">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专机专用</w:t>
            </w:r>
          </w:p>
          <w:p w14:paraId="37C384AC">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耗材名称</w:t>
            </w:r>
          </w:p>
        </w:tc>
        <w:tc>
          <w:tcPr>
            <w:tcW w:w="1621" w:type="dxa"/>
            <w:tcBorders>
              <w:top w:val="single" w:color="auto" w:sz="4" w:space="0"/>
              <w:left w:val="single" w:color="000000" w:sz="4" w:space="0"/>
              <w:bottom w:val="single" w:color="000000" w:sz="4" w:space="0"/>
              <w:right w:val="single" w:color="auto" w:sz="4" w:space="0"/>
            </w:tcBorders>
            <w:shd w:val="clear" w:color="auto" w:fill="auto"/>
            <w:vAlign w:val="center"/>
          </w:tcPr>
          <w:p w14:paraId="76AA6A86">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规格型号</w:t>
            </w:r>
          </w:p>
        </w:tc>
        <w:tc>
          <w:tcPr>
            <w:tcW w:w="1540" w:type="dxa"/>
            <w:tcBorders>
              <w:top w:val="single" w:color="auto" w:sz="4" w:space="0"/>
              <w:left w:val="single" w:color="auto" w:sz="4" w:space="0"/>
              <w:bottom w:val="single" w:color="000000" w:sz="4" w:space="0"/>
              <w:right w:val="single" w:color="000000" w:sz="4" w:space="0"/>
            </w:tcBorders>
            <w:shd w:val="clear" w:color="auto" w:fill="auto"/>
            <w:vAlign w:val="center"/>
          </w:tcPr>
          <w:p w14:paraId="4C150BE2">
            <w:pPr>
              <w:widowControl/>
              <w:spacing w:line="240" w:lineRule="auto"/>
              <w:jc w:val="center"/>
              <w:rPr>
                <w:rFonts w:hint="default" w:asciiTheme="minorEastAsia" w:hAnsiTheme="minorEastAsia" w:eastAsiaTheme="minorEastAsia" w:cstheme="minorEastAsia"/>
                <w:b/>
                <w:bCs/>
                <w:color w:val="000000" w:themeColor="text1"/>
                <w:kern w:val="0"/>
                <w:sz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lang w:val="en-US" w:eastAsia="zh-CN"/>
                <w14:textFill>
                  <w14:solidFill>
                    <w14:schemeClr w14:val="tx1"/>
                  </w14:solidFill>
                </w14:textFill>
              </w:rPr>
              <w:t>生产厂家</w:t>
            </w: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9A99">
            <w:pPr>
              <w:widowControl/>
              <w:spacing w:line="240" w:lineRule="auto"/>
              <w:jc w:val="center"/>
              <w:rPr>
                <w:rFonts w:hint="eastAsia" w:asciiTheme="minorEastAsia" w:hAnsiTheme="minorEastAsia" w:eastAsiaTheme="minorEastAsia" w:cstheme="minorEastAsia"/>
                <w:b/>
                <w:bCs/>
                <w:color w:val="000000" w:themeColor="text1"/>
                <w:kern w:val="0"/>
                <w:sz w:val="24"/>
                <w:lang w:val="en-US" w:eastAsia="zh-CN"/>
                <w14:textFill>
                  <w14:solidFill>
                    <w14:schemeClr w14:val="tx1"/>
                  </w14:solidFill>
                </w14:textFill>
              </w:rPr>
            </w:pPr>
            <w:r>
              <w:rPr>
                <w:rFonts w:hint="eastAsia" w:asciiTheme="minorEastAsia" w:hAnsiTheme="minorEastAsia" w:cstheme="minorEastAsia"/>
                <w:b/>
                <w:bCs/>
                <w:color w:val="000000" w:themeColor="text1"/>
                <w:kern w:val="0"/>
                <w:sz w:val="24"/>
                <w:lang w:val="en-US" w:eastAsia="zh-CN"/>
                <w14:textFill>
                  <w14:solidFill>
                    <w14:schemeClr w14:val="tx1"/>
                  </w14:solidFill>
                </w14:textFill>
              </w:rPr>
              <w:t>单位</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3E1D4">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单价</w:t>
            </w:r>
          </w:p>
          <w:p w14:paraId="7356C0D6">
            <w:pPr>
              <w:widowControl/>
              <w:spacing w:line="240" w:lineRule="auto"/>
              <w:jc w:val="center"/>
              <w:rPr>
                <w:rFonts w:hint="eastAsia" w:asciiTheme="minorEastAsia" w:hAnsiTheme="minorEastAsia" w:cstheme="minorEastAsia"/>
                <w:b/>
                <w:bCs/>
                <w:color w:val="000000" w:themeColor="text1"/>
                <w:kern w:val="0"/>
                <w:sz w:val="24"/>
                <w14:textFill>
                  <w14:solidFill>
                    <w14:schemeClr w14:val="tx1"/>
                  </w14:solidFill>
                </w14:textFill>
              </w:rPr>
            </w:pPr>
            <w:r>
              <w:rPr>
                <w:rFonts w:hint="eastAsia" w:asciiTheme="minorEastAsia" w:hAnsiTheme="minorEastAsia" w:cstheme="minorEastAsia"/>
                <w:b/>
                <w:bCs/>
                <w:color w:val="000000" w:themeColor="text1"/>
                <w:kern w:val="0"/>
                <w:sz w:val="24"/>
                <w14:textFill>
                  <w14:solidFill>
                    <w14:schemeClr w14:val="tx1"/>
                  </w14:solidFill>
                </w14:textFill>
              </w:rPr>
              <w:t>（元）</w:t>
            </w:r>
          </w:p>
        </w:tc>
      </w:tr>
      <w:tr w14:paraId="142B3049">
        <w:tblPrEx>
          <w:tblCellMar>
            <w:top w:w="0" w:type="dxa"/>
            <w:left w:w="108" w:type="dxa"/>
            <w:bottom w:w="0" w:type="dxa"/>
            <w:right w:w="108" w:type="dxa"/>
          </w:tblCellMar>
        </w:tblPrEx>
        <w:trPr>
          <w:trHeight w:val="540" w:hRule="atLeast"/>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3B79">
            <w:pPr>
              <w:spacing w:beforeLines="0" w:afterLines="0"/>
              <w:jc w:val="both"/>
              <w:rPr>
                <w:rFonts w:hint="eastAsia" w:ascii="宋体" w:hAnsi="宋体" w:eastAsiaTheme="minorEastAsia" w:cstheme="minorBidi"/>
                <w:color w:val="000000"/>
                <w:kern w:val="2"/>
                <w:sz w:val="18"/>
                <w:szCs w:val="18"/>
                <w:lang w:val="en-US" w:eastAsia="zh-CN" w:bidi="ar-SA"/>
              </w:rPr>
            </w:pPr>
            <w:r>
              <w:rPr>
                <w:rFonts w:hint="eastAsia" w:ascii="宋体" w:hAnsi="宋体" w:cs="宋体"/>
                <w:color w:val="000000" w:themeColor="text1"/>
                <w:kern w:val="0"/>
                <w:sz w:val="18"/>
                <w:szCs w:val="18"/>
                <w:lang w:eastAsia="zh-CN"/>
                <w14:textFill>
                  <w14:solidFill>
                    <w14:schemeClr w14:val="tx1"/>
                  </w14:solidFill>
                </w14:textFill>
              </w:rPr>
              <w:t>酸碱度检测仪</w:t>
            </w:r>
          </w:p>
        </w:tc>
        <w:tc>
          <w:tcPr>
            <w:tcW w:w="1621" w:type="dxa"/>
            <w:tcBorders>
              <w:top w:val="single" w:color="auto" w:sz="4" w:space="0"/>
              <w:left w:val="single" w:color="000000" w:sz="4" w:space="0"/>
              <w:bottom w:val="single" w:color="auto" w:sz="4" w:space="0"/>
              <w:right w:val="single" w:color="auto" w:sz="4" w:space="0"/>
            </w:tcBorders>
            <w:shd w:val="clear" w:color="auto" w:fill="auto"/>
            <w:vAlign w:val="center"/>
          </w:tcPr>
          <w:p w14:paraId="292504E3">
            <w:pPr>
              <w:spacing w:beforeLines="0" w:afterLines="0"/>
              <w:jc w:val="both"/>
              <w:rPr>
                <w:rFonts w:hint="eastAsia"/>
                <w:u w:val="none"/>
                <w:vertAlign w:val="baseline"/>
                <w:lang w:val="en-US" w:eastAsia="zh-CN"/>
              </w:rPr>
            </w:pPr>
            <w:r>
              <w:rPr>
                <w:rFonts w:hint="eastAsia"/>
                <w:u w:val="none"/>
                <w:vertAlign w:val="baseline"/>
                <w:lang w:val="en-US" w:eastAsia="zh-CN"/>
              </w:rPr>
              <w:t>一次性使用PH电极导管</w:t>
            </w:r>
          </w:p>
        </w:tc>
        <w:tc>
          <w:tcPr>
            <w:tcW w:w="1621" w:type="dxa"/>
            <w:tcBorders>
              <w:top w:val="single" w:color="auto" w:sz="4" w:space="0"/>
              <w:left w:val="single" w:color="000000" w:sz="4" w:space="0"/>
              <w:bottom w:val="single" w:color="auto" w:sz="4" w:space="0"/>
              <w:right w:val="single" w:color="auto" w:sz="4" w:space="0"/>
            </w:tcBorders>
            <w:shd w:val="clear" w:color="auto" w:fill="auto"/>
            <w:vAlign w:val="center"/>
          </w:tcPr>
          <w:p w14:paraId="3381CF91">
            <w:pPr>
              <w:spacing w:beforeLines="0" w:afterLines="0"/>
              <w:jc w:val="both"/>
              <w:rPr>
                <w:rFonts w:hint="eastAsia" w:ascii="宋体" w:hAnsi="宋体" w:eastAsiaTheme="minorEastAsia" w:cstheme="minorBidi"/>
                <w:color w:val="000000"/>
                <w:kern w:val="2"/>
                <w:sz w:val="18"/>
                <w:szCs w:val="18"/>
                <w:lang w:val="en-US" w:eastAsia="zh-CN" w:bidi="ar-SA"/>
              </w:rPr>
            </w:pPr>
          </w:p>
        </w:tc>
        <w:tc>
          <w:tcPr>
            <w:tcW w:w="1540" w:type="dxa"/>
            <w:tcBorders>
              <w:top w:val="single" w:color="auto" w:sz="4" w:space="0"/>
              <w:left w:val="single" w:color="auto" w:sz="4" w:space="0"/>
              <w:bottom w:val="single" w:color="auto" w:sz="4" w:space="0"/>
              <w:right w:val="single" w:color="000000" w:sz="4" w:space="0"/>
            </w:tcBorders>
            <w:shd w:val="clear" w:color="auto" w:fill="auto"/>
            <w:vAlign w:val="center"/>
          </w:tcPr>
          <w:p w14:paraId="1FFED373">
            <w:pPr>
              <w:spacing w:beforeLines="0" w:afterLines="0"/>
              <w:jc w:val="both"/>
              <w:rPr>
                <w:rFonts w:hint="eastAsia" w:ascii="宋体" w:hAnsi="宋体" w:eastAsiaTheme="minorEastAsia" w:cstheme="minorBidi"/>
                <w:color w:val="000000"/>
                <w:kern w:val="2"/>
                <w:sz w:val="18"/>
                <w:szCs w:val="18"/>
                <w:lang w:val="en-US" w:eastAsia="zh-CN" w:bidi="ar-SA"/>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752FE">
            <w:pPr>
              <w:spacing w:beforeLines="0" w:afterLines="0"/>
              <w:jc w:val="center"/>
              <w:rPr>
                <w:rFonts w:hint="default" w:ascii="宋体" w:hAnsi="宋体" w:eastAsiaTheme="minorEastAsia" w:cstheme="minorBidi"/>
                <w:color w:val="000000"/>
                <w:kern w:val="2"/>
                <w:sz w:val="18"/>
                <w:szCs w:val="18"/>
                <w:lang w:val="en-US" w:eastAsia="zh-CN" w:bidi="ar-SA"/>
              </w:rPr>
            </w:pPr>
            <w:r>
              <w:rPr>
                <w:rFonts w:hint="eastAsia" w:ascii="宋体" w:hAnsi="宋体" w:cstheme="minorBidi"/>
                <w:color w:val="000000"/>
                <w:kern w:val="2"/>
                <w:sz w:val="18"/>
                <w:szCs w:val="18"/>
                <w:lang w:val="en-US" w:eastAsia="zh-CN" w:bidi="ar-SA"/>
              </w:rPr>
              <w:t>个</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FE36C">
            <w:pPr>
              <w:spacing w:beforeLines="0" w:afterLines="0"/>
              <w:jc w:val="center"/>
              <w:rPr>
                <w:rFonts w:hint="eastAsia" w:ascii="宋体" w:hAnsi="宋体" w:eastAsiaTheme="minorEastAsia" w:cstheme="minorBidi"/>
                <w:color w:val="000000"/>
                <w:kern w:val="2"/>
                <w:sz w:val="18"/>
                <w:szCs w:val="18"/>
                <w:lang w:val="en-US" w:eastAsia="zh-CN" w:bidi="ar-SA"/>
              </w:rPr>
            </w:pPr>
          </w:p>
        </w:tc>
      </w:tr>
      <w:tr w14:paraId="5AA22D4A">
        <w:tblPrEx>
          <w:tblCellMar>
            <w:top w:w="0" w:type="dxa"/>
            <w:left w:w="108" w:type="dxa"/>
            <w:bottom w:w="0" w:type="dxa"/>
            <w:right w:w="108" w:type="dxa"/>
          </w:tblCellMar>
        </w:tblPrEx>
        <w:trPr>
          <w:trHeight w:val="540" w:hRule="atLeast"/>
        </w:trPr>
        <w:tc>
          <w:tcPr>
            <w:tcW w:w="19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D1357">
            <w:pPr>
              <w:spacing w:beforeLines="0" w:afterLines="0"/>
              <w:jc w:val="both"/>
              <w:rPr>
                <w:rFonts w:hint="eastAsia" w:ascii="宋体" w:hAnsi="宋体" w:eastAsia="宋体" w:cs="宋体"/>
                <w:color w:val="000000" w:themeColor="text1"/>
                <w:kern w:val="0"/>
                <w:sz w:val="18"/>
                <w:szCs w:val="18"/>
                <w:lang w:eastAsia="zh-CN"/>
                <w14:textFill>
                  <w14:solidFill>
                    <w14:schemeClr w14:val="tx1"/>
                  </w14:solidFill>
                </w14:textFill>
              </w:rPr>
            </w:pPr>
            <w:r>
              <w:rPr>
                <w:rFonts w:hint="eastAsia" w:ascii="宋体" w:hAnsi="宋体" w:eastAsia="宋体" w:cs="宋体"/>
                <w:color w:val="000000" w:themeColor="text1"/>
                <w:kern w:val="0"/>
                <w:sz w:val="18"/>
                <w:szCs w:val="18"/>
                <w:lang w:eastAsia="zh-CN"/>
                <w14:textFill>
                  <w14:solidFill>
                    <w14:schemeClr w14:val="tx1"/>
                  </w14:solidFill>
                </w14:textFill>
              </w:rPr>
              <w:t>中频治疗仪</w:t>
            </w:r>
          </w:p>
        </w:tc>
        <w:tc>
          <w:tcPr>
            <w:tcW w:w="1621" w:type="dxa"/>
            <w:tcBorders>
              <w:top w:val="single" w:color="auto" w:sz="4" w:space="0"/>
              <w:left w:val="single" w:color="000000" w:sz="4" w:space="0"/>
              <w:bottom w:val="single" w:color="auto" w:sz="4" w:space="0"/>
              <w:right w:val="single" w:color="auto" w:sz="4" w:space="0"/>
            </w:tcBorders>
            <w:shd w:val="clear" w:color="auto" w:fill="auto"/>
            <w:vAlign w:val="center"/>
          </w:tcPr>
          <w:p w14:paraId="1D331B6A">
            <w:pPr>
              <w:spacing w:beforeLines="0" w:afterLines="0"/>
              <w:jc w:val="both"/>
              <w:rPr>
                <w:rFonts w:hint="eastAsia"/>
                <w:u w:val="none"/>
                <w:vertAlign w:val="baseline"/>
                <w:lang w:val="en-US" w:eastAsia="zh-CN"/>
              </w:rPr>
            </w:pPr>
            <w:r>
              <w:rPr>
                <w:rFonts w:hint="eastAsia"/>
                <w:u w:val="none"/>
                <w:vertAlign w:val="baseline"/>
                <w:lang w:val="en-US" w:eastAsia="zh-CN"/>
              </w:rPr>
              <w:t>神经和肌肉刺激器用体表电极</w:t>
            </w:r>
          </w:p>
        </w:tc>
        <w:tc>
          <w:tcPr>
            <w:tcW w:w="1621" w:type="dxa"/>
            <w:tcBorders>
              <w:top w:val="single" w:color="auto" w:sz="4" w:space="0"/>
              <w:left w:val="single" w:color="000000" w:sz="4" w:space="0"/>
              <w:bottom w:val="single" w:color="auto" w:sz="4" w:space="0"/>
              <w:right w:val="single" w:color="auto" w:sz="4" w:space="0"/>
            </w:tcBorders>
            <w:shd w:val="clear" w:color="auto" w:fill="auto"/>
            <w:vAlign w:val="center"/>
          </w:tcPr>
          <w:p w14:paraId="2C385365">
            <w:pPr>
              <w:spacing w:beforeLines="0" w:afterLines="0"/>
              <w:jc w:val="both"/>
              <w:rPr>
                <w:rFonts w:hint="eastAsia" w:ascii="宋体" w:hAnsi="宋体" w:eastAsiaTheme="minorEastAsia" w:cstheme="minorBidi"/>
                <w:color w:val="000000"/>
                <w:kern w:val="2"/>
                <w:sz w:val="18"/>
                <w:szCs w:val="18"/>
                <w:lang w:val="en-US" w:eastAsia="zh-CN" w:bidi="ar-SA"/>
              </w:rPr>
            </w:pPr>
          </w:p>
        </w:tc>
        <w:tc>
          <w:tcPr>
            <w:tcW w:w="1540" w:type="dxa"/>
            <w:tcBorders>
              <w:top w:val="single" w:color="auto" w:sz="4" w:space="0"/>
              <w:left w:val="single" w:color="auto" w:sz="4" w:space="0"/>
              <w:bottom w:val="single" w:color="auto" w:sz="4" w:space="0"/>
              <w:right w:val="single" w:color="000000" w:sz="4" w:space="0"/>
            </w:tcBorders>
            <w:shd w:val="clear" w:color="auto" w:fill="auto"/>
            <w:vAlign w:val="center"/>
          </w:tcPr>
          <w:p w14:paraId="77F101D2">
            <w:pPr>
              <w:spacing w:beforeLines="0" w:afterLines="0"/>
              <w:jc w:val="both"/>
              <w:rPr>
                <w:rFonts w:hint="eastAsia" w:ascii="宋体" w:hAnsi="宋体" w:eastAsiaTheme="minorEastAsia" w:cstheme="minorBidi"/>
                <w:color w:val="000000"/>
                <w:kern w:val="2"/>
                <w:sz w:val="18"/>
                <w:szCs w:val="18"/>
                <w:lang w:val="en-US" w:eastAsia="zh-CN" w:bidi="ar-SA"/>
              </w:rPr>
            </w:pPr>
          </w:p>
        </w:tc>
        <w:tc>
          <w:tcPr>
            <w:tcW w:w="68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EDE1F">
            <w:pPr>
              <w:spacing w:beforeLines="0" w:afterLines="0"/>
              <w:jc w:val="center"/>
              <w:rPr>
                <w:rFonts w:hint="default" w:ascii="宋体" w:hAnsi="宋体" w:eastAsiaTheme="minorEastAsia" w:cstheme="minorBidi"/>
                <w:color w:val="000000"/>
                <w:kern w:val="2"/>
                <w:sz w:val="18"/>
                <w:szCs w:val="18"/>
                <w:lang w:val="en-US" w:eastAsia="zh-CN" w:bidi="ar-SA"/>
              </w:rPr>
            </w:pPr>
            <w:r>
              <w:rPr>
                <w:rFonts w:hint="eastAsia" w:ascii="宋体" w:hAnsi="宋体" w:cstheme="minorBidi"/>
                <w:color w:val="000000"/>
                <w:kern w:val="2"/>
                <w:sz w:val="18"/>
                <w:szCs w:val="18"/>
                <w:lang w:val="en-US" w:eastAsia="zh-CN" w:bidi="ar-SA"/>
              </w:rPr>
              <w:t>包</w:t>
            </w:r>
          </w:p>
        </w:tc>
        <w:tc>
          <w:tcPr>
            <w:tcW w:w="1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C26E">
            <w:pPr>
              <w:spacing w:beforeLines="0" w:afterLines="0"/>
              <w:jc w:val="center"/>
              <w:rPr>
                <w:rFonts w:hint="eastAsia" w:ascii="宋体" w:hAnsi="宋体" w:eastAsiaTheme="minorEastAsia" w:cstheme="minorBidi"/>
                <w:color w:val="000000"/>
                <w:kern w:val="2"/>
                <w:sz w:val="18"/>
                <w:szCs w:val="18"/>
                <w:lang w:val="en-US" w:eastAsia="zh-CN" w:bidi="ar-SA"/>
              </w:rPr>
            </w:pPr>
          </w:p>
        </w:tc>
      </w:tr>
    </w:tbl>
    <w:p w14:paraId="5BAE7AF4">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ascii="宋体" w:hAnsi="宋体" w:eastAsia="宋体" w:cs="宋体"/>
          <w:color w:val="000000" w:themeColor="text1"/>
          <w:sz w:val="24"/>
          <w14:textFill>
            <w14:solidFill>
              <w14:schemeClr w14:val="tx1"/>
            </w14:solidFill>
          </w14:textFill>
        </w:rPr>
      </w:pPr>
    </w:p>
    <w:p w14:paraId="397560A9">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highlight w:val="none"/>
        </w:rPr>
      </w:pPr>
      <w:r>
        <w:rPr>
          <w:rFonts w:ascii="宋体" w:hAnsi="宋体" w:eastAsia="宋体" w:cs="宋体"/>
          <w:color w:val="000000" w:themeColor="text1"/>
          <w:sz w:val="24"/>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.2  本合同专机专用耗材供货期限为</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3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年，自本合同设备经总体验收合格之日起算；供应期限内，如甲方停止使用</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u w:val="single"/>
          <w:lang w:val="en-US" w:eastAsia="zh-CN"/>
          <w14:textFill>
            <w14:solidFill>
              <w14:schemeClr w14:val="tx1"/>
            </w14:solidFill>
          </w14:textFill>
        </w:rPr>
        <w:t>酸碱度检测仪</w:t>
      </w:r>
      <w:r>
        <w:rPr>
          <w:rFonts w:hint="eastAsia" w:ascii="宋体" w:hAnsi="宋体" w:eastAsia="宋体" w:cs="宋体"/>
          <w:color w:val="000000" w:themeColor="text1"/>
          <w:sz w:val="24"/>
          <w:u w:val="single"/>
          <w:lang w:val="en-US" w:eastAsia="zh-CN"/>
          <w14:textFill>
            <w14:solidFill>
              <w14:schemeClr w14:val="tx1"/>
            </w14:solidFill>
          </w14:textFill>
        </w:rPr>
        <w:t>或中频</w:t>
      </w:r>
      <w:r>
        <w:rPr>
          <w:rFonts w:hint="eastAsia" w:ascii="宋体" w:hAnsi="宋体" w:eastAsia="宋体" w:cs="宋体"/>
          <w:color w:val="auto"/>
          <w:sz w:val="24"/>
          <w:highlight w:val="none"/>
          <w:u w:val="single"/>
          <w:lang w:val="en-US" w:eastAsia="zh-CN"/>
        </w:rPr>
        <w:t xml:space="preserve">治疗仪  </w:t>
      </w:r>
      <w:r>
        <w:rPr>
          <w:rFonts w:hint="eastAsia" w:ascii="宋体" w:hAnsi="宋体" w:eastAsia="宋体" w:cs="宋体"/>
          <w:color w:val="auto"/>
          <w:kern w:val="0"/>
          <w:sz w:val="24"/>
          <w:highlight w:val="none"/>
        </w:rPr>
        <w:t>设备，</w:t>
      </w:r>
      <w:r>
        <w:rPr>
          <w:rFonts w:hint="eastAsia" w:ascii="宋体" w:hAnsi="宋体" w:eastAsia="宋体" w:cs="宋体"/>
          <w:color w:val="auto"/>
          <w:kern w:val="0"/>
          <w:sz w:val="24"/>
          <w:highlight w:val="none"/>
          <w:lang w:val="en-US" w:eastAsia="zh-CN"/>
        </w:rPr>
        <w:t>相应</w:t>
      </w:r>
      <w:r>
        <w:rPr>
          <w:rFonts w:hint="eastAsia" w:ascii="宋体" w:hAnsi="宋体" w:eastAsia="宋体" w:cs="宋体"/>
          <w:color w:val="auto"/>
          <w:sz w:val="24"/>
          <w:highlight w:val="none"/>
        </w:rPr>
        <w:t>专机</w:t>
      </w:r>
      <w:r>
        <w:rPr>
          <w:rFonts w:hint="eastAsia" w:ascii="宋体" w:hAnsi="宋体" w:eastAsia="宋体" w:cs="宋体"/>
          <w:color w:val="auto"/>
          <w:kern w:val="0"/>
          <w:sz w:val="24"/>
          <w:highlight w:val="none"/>
        </w:rPr>
        <w:t xml:space="preserve">专用耗材供应自动终止。 </w:t>
      </w:r>
    </w:p>
    <w:p w14:paraId="0AB0D809">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highlight w:val="none"/>
        </w:rPr>
      </w:pPr>
      <w:r>
        <w:rPr>
          <w:rFonts w:hint="eastAsia" w:ascii="宋体" w:hAnsi="宋体" w:eastAsia="宋体" w:cs="宋体"/>
          <w:color w:val="auto"/>
          <w:sz w:val="24"/>
          <w:highlight w:val="none"/>
        </w:rPr>
        <w:t>1.2.3 本合同耗材约定价格包括但不限于材料费、运输费、包装费、装卸费、搬运费、附随服务费、税费、保险费等。</w:t>
      </w:r>
    </w:p>
    <w:p w14:paraId="28BDD48E">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1.2.4 本合同耗材供货期限内，如遇政府政策性或交易平台调价：调整后的价格低于本合同价格的，自调价之后发送的书面订单一律按调整后的价格执行；</w:t>
      </w:r>
      <w:r>
        <w:rPr>
          <w:rFonts w:hint="eastAsia" w:ascii="宋体" w:hAnsi="宋体" w:eastAsia="宋体" w:cs="宋体"/>
          <w:color w:val="000000" w:themeColor="text1"/>
          <w:sz w:val="24"/>
          <w:u w:val="single"/>
          <w14:textFill>
            <w14:solidFill>
              <w14:schemeClr w14:val="tx1"/>
            </w14:solidFill>
          </w14:textFill>
        </w:rPr>
        <w:t>调整后的价格高于本合同价格的，原则上按本合同约定价格执行，如乙方因特殊情况需要调整，应先书面通知甲方，经甲乙双方协商一致后按协商后的价格执行，如双方无法达成一致，甲方有权对该耗材公开遴选。</w:t>
      </w:r>
      <w:r>
        <w:rPr>
          <w:rFonts w:hint="eastAsia" w:ascii="宋体" w:hAnsi="宋体" w:eastAsia="宋体" w:cs="宋体"/>
          <w:b/>
          <w:bCs/>
          <w:color w:val="000000" w:themeColor="text1"/>
          <w:sz w:val="24"/>
          <w:u w:val="single"/>
          <w14:textFill>
            <w14:solidFill>
              <w14:schemeClr w14:val="tx1"/>
            </w14:solidFill>
          </w14:textFill>
        </w:rPr>
        <w:t>本合同约定的医用耗材集采后，甲方库存中剩余耗材均按新的集采价格进行结算。</w:t>
      </w:r>
    </w:p>
    <w:p w14:paraId="67051209">
      <w:pPr>
        <w:keepNext w:val="0"/>
        <w:keepLines w:val="0"/>
        <w:pageBreakBefore w:val="0"/>
        <w:widowControl w:val="0"/>
        <w:numPr>
          <w:ilvl w:val="1"/>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1.2.5 如无政府政策性或交易平台调价，甲方接受乙方对本合同约定价格进行下调，自乙方发出价格下调通知之日起，甲方发送的书面订单一律按下调后的价格执行。</w:t>
      </w:r>
    </w:p>
    <w:p w14:paraId="5453F3D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1.2.6 乙方承诺严格遵守法律法规、政策和甲方制度履行合同，接受甲方供应商管理考核，无条件配合甲方管理，包括但不限于配合甲方耗材HRP系统信息录入、赋码、耗材SPD配送管理等工作，因SPD配送产生的服务费用由乙方自行承担。</w:t>
      </w:r>
    </w:p>
    <w:p w14:paraId="175E17DA">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 xml:space="preserve">第二条  </w:t>
      </w:r>
      <w:r>
        <w:rPr>
          <w:rFonts w:ascii="宋体" w:hAnsi="宋体" w:eastAsia="宋体" w:cs="宋体"/>
          <w:b/>
          <w:bCs/>
          <w:sz w:val="24"/>
        </w:rPr>
        <w:t>交货时间、地点、运输及装卸</w:t>
      </w:r>
    </w:p>
    <w:p w14:paraId="068BDBE7">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2.1  设备</w:t>
      </w:r>
      <w:r>
        <w:rPr>
          <w:rFonts w:ascii="宋体" w:hAnsi="宋体" w:eastAsia="宋体" w:cs="宋体"/>
          <w:b/>
          <w:bCs/>
          <w:sz w:val="24"/>
        </w:rPr>
        <w:t>交货时间地点、运输及装卸</w:t>
      </w:r>
    </w:p>
    <w:p w14:paraId="561AC33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color w:val="000000" w:themeColor="text1"/>
          <w:sz w:val="24"/>
          <w14:textFill>
            <w14:solidFill>
              <w14:schemeClr w14:val="tx1"/>
            </w14:solidFill>
          </w14:textFill>
        </w:rPr>
        <w:t>2.1.1</w:t>
      </w:r>
      <w:r>
        <w:rPr>
          <w:rFonts w:ascii="宋体" w:hAnsi="宋体" w:eastAsia="宋体" w:cs="宋体"/>
          <w:color w:val="000000" w:themeColor="text1"/>
          <w:sz w:val="24"/>
          <w14:textFill>
            <w14:solidFill>
              <w14:schemeClr w14:val="tx1"/>
            </w14:solidFill>
          </w14:textFill>
        </w:rPr>
        <w:t>乙方应</w:t>
      </w:r>
      <w:r>
        <w:rPr>
          <w:rFonts w:hint="eastAsia" w:ascii="宋体" w:hAnsi="宋体" w:eastAsia="宋体" w:cs="宋体"/>
          <w:color w:val="000000" w:themeColor="text1"/>
          <w:sz w:val="24"/>
          <w14:textFill>
            <w14:solidFill>
              <w14:schemeClr w14:val="tx1"/>
            </w14:solidFill>
          </w14:textFill>
        </w:rPr>
        <w:t>在签订合同后</w:t>
      </w:r>
      <w:r>
        <w:rPr>
          <w:rFonts w:hint="eastAsia" w:ascii="宋体" w:hAnsi="宋体" w:eastAsia="宋体" w:cs="宋体"/>
          <w:color w:val="000000" w:themeColor="text1"/>
          <w:sz w:val="24"/>
          <w:u w:val="single"/>
          <w:lang w:val="en-US" w:eastAsia="zh-CN"/>
          <w14:textFill>
            <w14:solidFill>
              <w14:schemeClr w14:val="tx1"/>
            </w14:solidFill>
          </w14:textFill>
        </w:rPr>
        <w:t>7</w:t>
      </w:r>
      <w:r>
        <w:rPr>
          <w:rFonts w:hint="eastAsia" w:ascii="宋体" w:hAnsi="宋体" w:eastAsia="宋体" w:cs="宋体"/>
          <w:color w:val="000000" w:themeColor="text1"/>
          <w:sz w:val="24"/>
          <w14:textFill>
            <w14:solidFill>
              <w14:schemeClr w14:val="tx1"/>
            </w14:solidFill>
          </w14:textFill>
        </w:rPr>
        <w:t>个工作日内</w:t>
      </w:r>
      <w:r>
        <w:rPr>
          <w:rFonts w:ascii="宋体" w:hAnsi="宋体" w:eastAsia="宋体" w:cs="宋体"/>
          <w:color w:val="000000" w:themeColor="text1"/>
          <w:sz w:val="24"/>
          <w14:textFill>
            <w14:solidFill>
              <w14:schemeClr w14:val="tx1"/>
            </w14:solidFill>
          </w14:textFill>
        </w:rPr>
        <w:t>将设备运至</w:t>
      </w:r>
      <w:r>
        <w:rPr>
          <w:rFonts w:hint="eastAsia" w:ascii="宋体" w:hAnsi="宋体" w:eastAsia="宋体" w:cs="宋体"/>
          <w:color w:val="000000" w:themeColor="text1"/>
          <w:sz w:val="24"/>
          <w14:textFill>
            <w14:solidFill>
              <w14:schemeClr w14:val="tx1"/>
            </w14:solidFill>
          </w14:textFill>
        </w:rPr>
        <w:t>甲方指定交货</w:t>
      </w:r>
      <w:r>
        <w:rPr>
          <w:rFonts w:ascii="宋体" w:hAnsi="宋体" w:eastAsia="宋体" w:cs="宋体"/>
          <w:color w:val="000000" w:themeColor="text1"/>
          <w:sz w:val="24"/>
          <w14:textFill>
            <w14:solidFill>
              <w14:schemeClr w14:val="tx1"/>
            </w14:solidFill>
          </w14:textFill>
        </w:rPr>
        <w:t>地点，</w:t>
      </w:r>
      <w:r>
        <w:rPr>
          <w:rFonts w:hint="eastAsia" w:ascii="宋体" w:hAnsi="宋体" w:eastAsia="宋体" w:cs="宋体"/>
          <w:color w:val="000000" w:themeColor="text1"/>
          <w:sz w:val="24"/>
          <w14:textFill>
            <w14:solidFill>
              <w14:schemeClr w14:val="tx1"/>
            </w14:solidFill>
          </w14:textFill>
        </w:rPr>
        <w:t>并在设备到甲方指定交货</w:t>
      </w:r>
      <w:r>
        <w:rPr>
          <w:rFonts w:ascii="宋体" w:hAnsi="宋体" w:eastAsia="宋体" w:cs="宋体"/>
          <w:color w:val="000000" w:themeColor="text1"/>
          <w:sz w:val="24"/>
          <w14:textFill>
            <w14:solidFill>
              <w14:schemeClr w14:val="tx1"/>
            </w14:solidFill>
          </w14:textFill>
        </w:rPr>
        <w:t>地点</w:t>
      </w:r>
      <w:r>
        <w:rPr>
          <w:rFonts w:hint="eastAsia" w:ascii="宋体" w:hAnsi="宋体" w:eastAsia="宋体" w:cs="宋体"/>
          <w:color w:val="000000" w:themeColor="text1"/>
          <w:sz w:val="24"/>
          <w14:textFill>
            <w14:solidFill>
              <w14:schemeClr w14:val="tx1"/>
            </w14:solidFill>
          </w14:textFill>
        </w:rPr>
        <w:t>后</w:t>
      </w:r>
      <w:r>
        <w:rPr>
          <w:rFonts w:hint="eastAsia" w:ascii="宋体" w:hAnsi="宋体" w:eastAsia="宋体" w:cs="宋体"/>
          <w:color w:val="000000" w:themeColor="text1"/>
          <w:sz w:val="24"/>
          <w:u w:val="single"/>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个工作日内</w:t>
      </w:r>
      <w:r>
        <w:rPr>
          <w:rFonts w:ascii="宋体" w:hAnsi="宋体" w:eastAsia="宋体" w:cs="宋体"/>
          <w:color w:val="000000" w:themeColor="text1"/>
          <w:sz w:val="24"/>
          <w14:textFill>
            <w14:solidFill>
              <w14:schemeClr w14:val="tx1"/>
            </w14:solidFill>
          </w14:textFill>
        </w:rPr>
        <w:t>完成安装、调试，办理验收手续并交付甲方</w:t>
      </w:r>
      <w:r>
        <w:rPr>
          <w:rFonts w:ascii="宋体" w:hAnsi="宋体" w:eastAsia="宋体" w:cs="宋体"/>
          <w:sz w:val="24"/>
        </w:rPr>
        <w:t>使用。</w:t>
      </w:r>
    </w:p>
    <w:p w14:paraId="2C17543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ascii="宋体" w:hAnsi="宋体" w:eastAsia="宋体" w:cs="宋体"/>
          <w:sz w:val="24"/>
        </w:rPr>
        <w:t>2</w:t>
      </w:r>
      <w:r>
        <w:rPr>
          <w:rFonts w:hint="eastAsia" w:ascii="宋体" w:hAnsi="宋体" w:eastAsia="宋体" w:cs="宋体"/>
          <w:sz w:val="24"/>
        </w:rPr>
        <w:t>.1.2 甲方指定</w:t>
      </w:r>
      <w:r>
        <w:rPr>
          <w:rFonts w:ascii="宋体" w:hAnsi="宋体" w:eastAsia="宋体" w:cs="宋体"/>
          <w:sz w:val="24"/>
        </w:rPr>
        <w:t>交货地点：娄底市中心医院</w:t>
      </w:r>
      <w:r>
        <w:rPr>
          <w:rFonts w:hint="eastAsia" w:ascii="宋体" w:hAnsi="宋体" w:eastAsia="宋体" w:cs="宋体"/>
          <w:sz w:val="24"/>
        </w:rPr>
        <w:t>设备科</w:t>
      </w:r>
      <w:r>
        <w:rPr>
          <w:rFonts w:ascii="宋体" w:hAnsi="宋体" w:eastAsia="宋体" w:cs="宋体"/>
          <w:sz w:val="24"/>
        </w:rPr>
        <w:t>（湖南省娄底市</w:t>
      </w:r>
      <w:r>
        <w:rPr>
          <w:rFonts w:hint="eastAsia" w:ascii="宋体" w:hAnsi="宋体" w:eastAsia="宋体" w:cs="宋体"/>
          <w:sz w:val="24"/>
        </w:rPr>
        <w:t>娄星区</w:t>
      </w:r>
      <w:r>
        <w:rPr>
          <w:rFonts w:ascii="宋体" w:hAnsi="宋体" w:eastAsia="宋体" w:cs="宋体"/>
          <w:sz w:val="24"/>
        </w:rPr>
        <w:t xml:space="preserve">长青中街51号）。 </w:t>
      </w:r>
    </w:p>
    <w:p w14:paraId="7C72535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sz w:val="24"/>
        </w:rPr>
        <w:t xml:space="preserve">2.1.3  </w:t>
      </w:r>
      <w:r>
        <w:rPr>
          <w:rFonts w:ascii="宋体" w:hAnsi="宋体" w:eastAsia="宋体" w:cs="宋体"/>
          <w:sz w:val="24"/>
        </w:rPr>
        <w:t>运输及装卸：由乙方自备交通运输工具将设备运至合同约定地点，并负责设备装卸</w:t>
      </w:r>
      <w:r>
        <w:rPr>
          <w:rFonts w:hint="eastAsia" w:ascii="宋体" w:hAnsi="宋体" w:eastAsia="宋体" w:cs="宋体"/>
          <w:sz w:val="24"/>
        </w:rPr>
        <w:t>的人工及费用</w:t>
      </w:r>
      <w:r>
        <w:rPr>
          <w:rFonts w:ascii="宋体" w:hAnsi="宋体" w:eastAsia="宋体" w:cs="宋体"/>
          <w:sz w:val="24"/>
        </w:rPr>
        <w:t>。</w:t>
      </w:r>
    </w:p>
    <w:p w14:paraId="5AFE5FD4">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2.2 设备专机专用耗材交货时间地点、运输及装卸</w:t>
      </w:r>
    </w:p>
    <w:p w14:paraId="1E28656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2.2.1 交货时间：乙方自甲方发送专机专用耗材书面订单之日起</w:t>
      </w:r>
      <w:r>
        <w:rPr>
          <w:rFonts w:hint="eastAsia" w:ascii="宋体" w:hAnsi="宋体" w:eastAsia="宋体" w:cs="宋体"/>
          <w:color w:val="000000" w:themeColor="text1"/>
          <w:sz w:val="24"/>
          <w:u w:val="single"/>
          <w:lang w:val="en-US" w:eastAsia="zh-CN"/>
          <w14:textFill>
            <w14:solidFill>
              <w14:schemeClr w14:val="tx1"/>
            </w14:solidFill>
          </w14:textFill>
        </w:rPr>
        <w:t>5</w:t>
      </w:r>
      <w:r>
        <w:rPr>
          <w:rFonts w:hint="eastAsia" w:ascii="宋体" w:hAnsi="宋体" w:eastAsia="宋体" w:cs="宋体"/>
          <w:color w:val="000000" w:themeColor="text1"/>
          <w:sz w:val="24"/>
          <w14:textFill>
            <w14:solidFill>
              <w14:schemeClr w14:val="tx1"/>
            </w14:solidFill>
          </w14:textFill>
        </w:rPr>
        <w:t>日内，按书面订单要求将耗材送至甲方指定地点，非工作日、节假日正常执行。</w:t>
      </w:r>
    </w:p>
    <w:p w14:paraId="5F116BE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2.2.2 交货地点：娄底市中心医院设备科仓库，指定收货人：娄底市中心医院设备科仓库管理员。</w:t>
      </w:r>
    </w:p>
    <w:p w14:paraId="7929AE9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2.2.3 由乙方自备交通运输工具将耗材运至合同约定地点，并负责</w:t>
      </w:r>
      <w:r>
        <w:rPr>
          <w:rFonts w:hint="eastAsia" w:ascii="宋体" w:hAnsi="宋体" w:eastAsia="宋体" w:cs="宋体"/>
          <w:color w:val="000000" w:themeColor="text1"/>
          <w:sz w:val="24"/>
          <w:lang w:val="en-US" w:eastAsia="zh-CN"/>
          <w14:textFill>
            <w14:solidFill>
              <w14:schemeClr w14:val="tx1"/>
            </w14:solidFill>
          </w14:textFill>
        </w:rPr>
        <w:t>耗材</w:t>
      </w:r>
      <w:r>
        <w:rPr>
          <w:rFonts w:hint="eastAsia" w:ascii="宋体" w:hAnsi="宋体" w:eastAsia="宋体" w:cs="宋体"/>
          <w:color w:val="000000" w:themeColor="text1"/>
          <w:sz w:val="24"/>
          <w14:textFill>
            <w14:solidFill>
              <w14:schemeClr w14:val="tx1"/>
            </w14:solidFill>
          </w14:textFill>
        </w:rPr>
        <w:t>装卸的人工及费用。</w:t>
      </w:r>
    </w:p>
    <w:p w14:paraId="6084E302">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sz w:val="24"/>
        </w:rPr>
      </w:pPr>
      <w:r>
        <w:rPr>
          <w:rFonts w:hint="eastAsia" w:ascii="宋体" w:hAnsi="宋体" w:eastAsia="宋体" w:cs="宋体"/>
          <w:b/>
          <w:bCs/>
          <w:color w:val="000000" w:themeColor="text1"/>
          <w:sz w:val="24"/>
          <w14:textFill>
            <w14:solidFill>
              <w14:schemeClr w14:val="tx1"/>
            </w14:solidFill>
          </w14:textFill>
        </w:rPr>
        <w:t>第三条 质量标准、质量验收、包装要求</w:t>
      </w:r>
    </w:p>
    <w:p w14:paraId="470532D3">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3.1  设备质量标准、质量验收、包装要求</w:t>
      </w:r>
    </w:p>
    <w:p w14:paraId="6DDE873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sz w:val="24"/>
        </w:rPr>
        <w:t xml:space="preserve">3.1.1 </w:t>
      </w:r>
      <w:r>
        <w:rPr>
          <w:rFonts w:hint="eastAsia" w:ascii="宋体" w:hAnsi="宋体" w:eastAsia="宋体" w:cs="宋体"/>
          <w:color w:val="000000" w:themeColor="text1"/>
          <w:sz w:val="24"/>
          <w:szCs w:val="24"/>
          <w:highlight w:val="none"/>
          <w:lang w:val="en-US" w:eastAsia="zh-CN"/>
          <w14:textFill>
            <w14:solidFill>
              <w14:schemeClr w14:val="tx1"/>
            </w14:solidFill>
          </w14:textFill>
        </w:rPr>
        <w:t>乙方提供设备的质量、安装应符合或优于国家标准；如投标文件/响应文件中的技术参数和质量标准高于国家标准，则设备的技术参数和质量标准以投标文件/响应文件为准；如乙方应交付的设备属于国产设备，则应保证该设备为交付时起近6个月内生产的产品；如乙方应交付的设备属于进口设备，则应保证该设备为交付时起近一年内生产的产品。</w:t>
      </w:r>
    </w:p>
    <w:p w14:paraId="3460D46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sz w:val="24"/>
        </w:rPr>
        <w:t xml:space="preserve">3.1.2 设备质量验收：以本合同约定标准按以下方式进行验收： </w:t>
      </w:r>
    </w:p>
    <w:p w14:paraId="3FFCA8F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sz w:val="24"/>
        </w:rPr>
        <w:t>3.1.2.1 到货验收：乙方将设备运至指定交货地点后，应通知甲方，并向甲方提供厂家标准资料文件（进口设备需提供真实有效的海关报关单，其他设备需提供产品合格证）和原厂售后质保承诺书。甲方自接到乙方通知之日起</w:t>
      </w:r>
      <w:r>
        <w:rPr>
          <w:rFonts w:hint="eastAsia" w:ascii="宋体" w:hAnsi="宋体" w:eastAsia="宋体" w:cs="宋体"/>
          <w:sz w:val="24"/>
          <w:u w:val="single"/>
          <w:lang w:val="en-US" w:eastAsia="zh-CN"/>
        </w:rPr>
        <w:t>7</w:t>
      </w:r>
      <w:r>
        <w:rPr>
          <w:rFonts w:hint="eastAsia" w:ascii="宋体" w:hAnsi="宋体" w:eastAsia="宋体" w:cs="宋体"/>
          <w:sz w:val="24"/>
        </w:rPr>
        <w:t>日内组织人员对设备按合同约定及厂家出厂装箱单进行到货验收，经甲方验收合格后签署验收报告单，乙方方可进行现场拆包、安装、调试、培训。如经甲方验收不合格，乙方应在</w:t>
      </w:r>
      <w:r>
        <w:rPr>
          <w:rFonts w:hint="eastAsia" w:ascii="宋体" w:hAnsi="宋体" w:eastAsia="宋体" w:cs="宋体"/>
          <w:sz w:val="24"/>
          <w:u w:val="single"/>
          <w:lang w:val="en-US" w:eastAsia="zh-CN"/>
        </w:rPr>
        <w:t>7</w:t>
      </w:r>
      <w:r>
        <w:rPr>
          <w:rFonts w:hint="eastAsia" w:ascii="宋体" w:hAnsi="宋体" w:eastAsia="宋体" w:cs="宋体"/>
          <w:sz w:val="24"/>
        </w:rPr>
        <w:t>日内无条件予以更换。</w:t>
      </w:r>
    </w:p>
    <w:p w14:paraId="0FB9A60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3.1.2.2 设备总体验收：乙方将设备全部拆包、安装、调试后应及时通知甲方，甲方自接到乙方通知之日起</w:t>
      </w:r>
      <w:r>
        <w:rPr>
          <w:rFonts w:hint="eastAsia" w:ascii="宋体" w:hAnsi="宋体" w:eastAsia="宋体" w:cs="宋体"/>
          <w:color w:val="000000" w:themeColor="text1"/>
          <w:sz w:val="24"/>
          <w:u w:val="single"/>
          <w:lang w:val="en-US" w:eastAsia="zh-CN"/>
          <w14:textFill>
            <w14:solidFill>
              <w14:schemeClr w14:val="tx1"/>
            </w14:solidFill>
          </w14:textFill>
        </w:rPr>
        <w:t>7</w:t>
      </w:r>
      <w:r>
        <w:rPr>
          <w:rFonts w:hint="eastAsia" w:ascii="宋体" w:hAnsi="宋体" w:eastAsia="宋体" w:cs="宋体"/>
          <w:color w:val="000000" w:themeColor="text1"/>
          <w:sz w:val="24"/>
          <w14:textFill>
            <w14:solidFill>
              <w14:schemeClr w14:val="tx1"/>
            </w14:solidFill>
          </w14:textFill>
        </w:rPr>
        <w:t>日内自行组织或委托第三方进行总体验收，验收合格后签署总体验收报告单。如经甲方或第三方验收不合格，乙方应在</w:t>
      </w:r>
      <w:r>
        <w:rPr>
          <w:rFonts w:hint="eastAsia" w:ascii="宋体" w:hAnsi="宋体" w:eastAsia="宋体" w:cs="宋体"/>
          <w:color w:val="000000" w:themeColor="text1"/>
          <w:sz w:val="24"/>
          <w:u w:val="single"/>
          <w:lang w:val="en-US" w:eastAsia="zh-CN"/>
          <w14:textFill>
            <w14:solidFill>
              <w14:schemeClr w14:val="tx1"/>
            </w14:solidFill>
          </w14:textFill>
        </w:rPr>
        <w:t>7</w:t>
      </w:r>
      <w:r>
        <w:rPr>
          <w:rFonts w:hint="eastAsia" w:ascii="宋体" w:hAnsi="宋体" w:eastAsia="宋体" w:cs="宋体"/>
          <w:color w:val="000000" w:themeColor="text1"/>
          <w:sz w:val="24"/>
          <w14:textFill>
            <w14:solidFill>
              <w14:schemeClr w14:val="tx1"/>
            </w14:solidFill>
          </w14:textFill>
        </w:rPr>
        <w:t>日内无条件予以返工并承担所有费用。</w:t>
      </w:r>
    </w:p>
    <w:p w14:paraId="4CE05F7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color w:val="000000" w:themeColor="text1"/>
          <w:sz w:val="24"/>
          <w14:textFill>
            <w14:solidFill>
              <w14:schemeClr w14:val="tx1"/>
            </w14:solidFill>
          </w14:textFill>
        </w:rPr>
        <w:t>3.1.2.3 甲方验收时如发现乙方所交付、安装的设备不符合本</w:t>
      </w:r>
      <w:r>
        <w:rPr>
          <w:rFonts w:hint="eastAsia" w:ascii="宋体" w:hAnsi="宋体" w:eastAsia="宋体" w:cs="宋体"/>
          <w:sz w:val="24"/>
        </w:rPr>
        <w:t>合同约定，甲方应做出详尽的现场记录，由甲乙双方签署备忘录，该现场记录和备忘录作为乙方补交缺少部件、更换不符标准部件的有效依据，由此产生的一切经济损失由乙方承担。</w:t>
      </w:r>
    </w:p>
    <w:p w14:paraId="2413320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sz w:val="24"/>
        </w:rPr>
      </w:pPr>
      <w:r>
        <w:rPr>
          <w:rFonts w:hint="eastAsia" w:ascii="宋体" w:hAnsi="宋体" w:eastAsia="宋体" w:cs="宋体"/>
          <w:sz w:val="24"/>
        </w:rPr>
        <w:t>3.1.3 包装要求：乙方提供的设备必须为原厂包装，外包装到货时应保证完好无损，否则甲方有权拒绝收货，由此造成的延期交货违约责任和一切经济损失全部由乙方承担。</w:t>
      </w:r>
    </w:p>
    <w:p w14:paraId="137E7BB9">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3.2 专机专用耗材质量标准、质量验收、包装要求</w:t>
      </w:r>
    </w:p>
    <w:p w14:paraId="7DE1B46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FF"/>
          <w:sz w:val="24"/>
        </w:rPr>
      </w:pPr>
      <w:r>
        <w:rPr>
          <w:rFonts w:hint="eastAsia" w:ascii="宋体" w:hAnsi="宋体" w:eastAsia="宋体" w:cs="宋体"/>
          <w:sz w:val="24"/>
        </w:rPr>
        <w:t>3.2.1 国内生产的耗材应当符合国家质量标准和行业强制性标准；进口耗材须具备进口医用耗材注册证、批件，口岸药检所出具的检验报告书或注明“已抽样”的通关单；乙方送交的耗材均应提供相应合格证书。</w:t>
      </w:r>
    </w:p>
    <w:p w14:paraId="6605860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kern w:val="0"/>
          <w:sz w:val="24"/>
          <w14:textFill>
            <w14:solidFill>
              <w14:schemeClr w14:val="tx1"/>
            </w14:solidFill>
          </w14:textFill>
        </w:rPr>
      </w:pPr>
      <w:r>
        <w:rPr>
          <w:rFonts w:hint="eastAsia" w:ascii="宋体" w:hAnsi="宋体" w:eastAsia="宋体" w:cs="宋体"/>
          <w:sz w:val="24"/>
        </w:rPr>
        <w:t>3.2.2 耗材质量验收：甲方每次收到乙方提供耗材时，应组织人员对耗材的数量、包装、有效期等外观进行验收，乙方提供的耗材外观标准与中标（挂网）医用耗材目录品种信息和甲方书面订单要求相符的，甲方在乙方送货单上签字确认验收；乙方提供的医用耗材外观标准与中标（挂网）医用耗材目录品种信息、甲方订单要求不符的，</w:t>
      </w:r>
      <w:r>
        <w:rPr>
          <w:rFonts w:hint="eastAsia" w:ascii="宋体" w:hAnsi="宋体" w:eastAsia="宋体" w:cs="宋体"/>
          <w:color w:val="000000" w:themeColor="text1"/>
          <w:kern w:val="0"/>
          <w:sz w:val="24"/>
          <w14:textFill>
            <w14:solidFill>
              <w14:schemeClr w14:val="tx1"/>
            </w14:solidFill>
          </w14:textFill>
        </w:rPr>
        <w:t>甲方有权拒收。乙方应在甲方拒收之日起</w:t>
      </w:r>
      <w:r>
        <w:rPr>
          <w:rFonts w:hint="eastAsia" w:ascii="宋体" w:hAnsi="宋体" w:eastAsia="宋体" w:cs="宋体"/>
          <w:color w:val="000000" w:themeColor="text1"/>
          <w:kern w:val="0"/>
          <w:sz w:val="24"/>
          <w:u w:val="single"/>
          <w:lang w:val="en-US" w:eastAsia="zh-CN"/>
          <w14:textFill>
            <w14:solidFill>
              <w14:schemeClr w14:val="tx1"/>
            </w14:solidFill>
          </w14:textFill>
        </w:rPr>
        <w:t>3</w:t>
      </w:r>
      <w:r>
        <w:rPr>
          <w:rFonts w:hint="eastAsia" w:ascii="宋体" w:hAnsi="宋体" w:eastAsia="宋体" w:cs="宋体"/>
          <w:color w:val="000000" w:themeColor="text1"/>
          <w:kern w:val="0"/>
          <w:sz w:val="24"/>
          <w14:textFill>
            <w14:solidFill>
              <w14:schemeClr w14:val="tx1"/>
            </w14:solidFill>
          </w14:textFill>
        </w:rPr>
        <w:t>日内，向甲方更换合格的医用耗材。</w:t>
      </w:r>
    </w:p>
    <w:p w14:paraId="3D61B93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3.2.3 效期要求：乙方提供的耗材效期须在12个月以上，如乙方提供的医用耗材效期少于12个月的，甲方有权拒收，乙方应在甲方拒收之日起</w:t>
      </w:r>
      <w:r>
        <w:rPr>
          <w:rFonts w:hint="eastAsia" w:ascii="宋体" w:hAnsi="宋体" w:eastAsia="宋体" w:cs="宋体"/>
          <w:color w:val="000000" w:themeColor="text1"/>
          <w:sz w:val="24"/>
          <w:u w:val="single"/>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日内，向甲方更换符合效期要求的医用耗材。</w:t>
      </w:r>
    </w:p>
    <w:p w14:paraId="776B195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3.2.4 包装要求：医用耗材包装须与交易平台上中标（挂网）医用耗材的信息一致，包装为原产包装且应完全无损，如甲方对包装有特殊要求时，乙方应按甲方订单要求包装。</w:t>
      </w:r>
    </w:p>
    <w:p w14:paraId="1788D5CD">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第四条 安装、培训、通知等事项</w:t>
      </w:r>
    </w:p>
    <w:p w14:paraId="6936A18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4.1  甲方负责协调、处理与安装、调试有关事宜，为乙方创造良好的安装、调试环境。</w:t>
      </w:r>
    </w:p>
    <w:p w14:paraId="025D54A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4.2  甲方委派</w:t>
      </w:r>
      <w:r>
        <w:rPr>
          <w:rFonts w:hint="eastAsia" w:ascii="宋体" w:hAnsi="宋体" w:eastAsia="宋体" w:cs="宋体"/>
          <w:color w:val="000000" w:themeColor="text1"/>
          <w:sz w:val="24"/>
          <w:u w:val="single"/>
          <w14:textFill>
            <w14:solidFill>
              <w14:schemeClr w14:val="tx1"/>
            </w14:solidFill>
          </w14:textFill>
        </w:rPr>
        <w:t>邓时敏</w:t>
      </w:r>
      <w:r>
        <w:rPr>
          <w:rFonts w:hint="eastAsia" w:ascii="宋体" w:hAnsi="宋体" w:eastAsia="宋体" w:cs="宋体"/>
          <w:color w:val="000000" w:themeColor="text1"/>
          <w:sz w:val="24"/>
          <w:u w:val="single"/>
          <w:lang w:val="en-US" w:eastAsia="zh-CN"/>
          <w14:textFill>
            <w14:solidFill>
              <w14:schemeClr w14:val="tx1"/>
            </w14:solidFill>
          </w14:textFill>
        </w:rPr>
        <w:t>13723814432</w:t>
      </w:r>
      <w:r>
        <w:rPr>
          <w:rFonts w:hint="eastAsia" w:ascii="宋体" w:hAnsi="宋体" w:eastAsia="宋体" w:cs="宋体"/>
          <w:color w:val="000000" w:themeColor="text1"/>
          <w:sz w:val="24"/>
          <w14:textFill>
            <w14:solidFill>
              <w14:schemeClr w14:val="tx1"/>
            </w14:solidFill>
          </w14:textFill>
        </w:rPr>
        <w:t>作为代表，跟踪、检查安装、调试现场。</w:t>
      </w:r>
    </w:p>
    <w:p w14:paraId="3ACCBC5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4.3  乙方负责对甲方的操作人员进行免费培训。</w:t>
      </w:r>
    </w:p>
    <w:p w14:paraId="08BC5C5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4.4  乙方在安装、调试过程中应加强操作人员的安全教育，杜绝安全事故的发生。 </w:t>
      </w:r>
    </w:p>
    <w:p w14:paraId="29B6F025">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第五条 售后服务</w:t>
      </w:r>
    </w:p>
    <w:p w14:paraId="64206D3C">
      <w:pPr>
        <w:keepNext w:val="0"/>
        <w:keepLines w:val="0"/>
        <w:pageBreakBefore w:val="0"/>
        <w:widowControl w:val="0"/>
        <w:numPr>
          <w:ilvl w:val="255"/>
          <w:numId w:val="0"/>
        </w:numPr>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5.1 设备售后服务</w:t>
      </w:r>
    </w:p>
    <w:p w14:paraId="5F2B7B6F">
      <w:pPr>
        <w:keepNext w:val="0"/>
        <w:keepLines w:val="0"/>
        <w:pageBreakBefore w:val="0"/>
        <w:widowControl w:val="0"/>
        <w:numPr>
          <w:ilvl w:val="255"/>
          <w:numId w:val="0"/>
        </w:numPr>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5.1.1 本合同设备质保期为</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年，自甲方在总体验收报告单上签字确认合格之日起算。</w:t>
      </w:r>
    </w:p>
    <w:p w14:paraId="6B04259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5.1.2  乙方在质保期内免费提供设备维修、更换、保养、咨询等服务。如设备在质保期内出现质量问题，乙方应在接到甲方通知（包括电话通知）后</w:t>
      </w:r>
      <w:r>
        <w:rPr>
          <w:rFonts w:hint="eastAsia" w:ascii="宋体" w:hAnsi="宋体" w:eastAsia="宋体" w:cs="宋体"/>
          <w:color w:val="000000" w:themeColor="text1"/>
          <w:sz w:val="24"/>
          <w:u w:val="single"/>
          <w14:textFill>
            <w14:solidFill>
              <w14:schemeClr w14:val="tx1"/>
            </w14:solidFill>
          </w14:textFill>
        </w:rPr>
        <w:t>1</w:t>
      </w:r>
      <w:r>
        <w:rPr>
          <w:rFonts w:hint="eastAsia" w:ascii="宋体" w:hAnsi="宋体" w:eastAsia="宋体" w:cs="宋体"/>
          <w:color w:val="000000" w:themeColor="text1"/>
          <w:sz w:val="24"/>
          <w14:textFill>
            <w14:solidFill>
              <w14:schemeClr w14:val="tx1"/>
            </w14:solidFill>
          </w14:textFill>
        </w:rPr>
        <w:t>小时内响应，响应后</w:t>
      </w:r>
      <w:r>
        <w:rPr>
          <w:rFonts w:hint="eastAsia" w:ascii="宋体" w:hAnsi="宋体" w:eastAsia="宋体" w:cs="宋体"/>
          <w:color w:val="000000" w:themeColor="text1"/>
          <w:sz w:val="24"/>
          <w:u w:val="single"/>
          <w14:textFill>
            <w14:solidFill>
              <w14:schemeClr w14:val="tx1"/>
            </w14:solidFill>
          </w14:textFill>
        </w:rPr>
        <w:t>24</w:t>
      </w:r>
      <w:r>
        <w:rPr>
          <w:rFonts w:hint="eastAsia" w:ascii="宋体" w:hAnsi="宋体" w:eastAsia="宋体" w:cs="宋体"/>
          <w:color w:val="000000" w:themeColor="text1"/>
          <w:sz w:val="24"/>
          <w14:textFill>
            <w14:solidFill>
              <w14:schemeClr w14:val="tx1"/>
            </w14:solidFill>
          </w14:textFill>
        </w:rPr>
        <w:t>小时内赶到甲方提供服务，相关费用由乙方承担。如乙方不及时提供服务，甲方有权委托第三方提供维修、更换、保养、咨询等服务，由此产生的相关费用，甲方有权在应付款中扣除、不足部分由乙方另行补足，或要求乙方将第三方提供服务产生的相关费用直接支付给甲方。</w:t>
      </w:r>
    </w:p>
    <w:p w14:paraId="5FA2FFC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5.1.3  质保期内，乙方每年至少对设备进行一次巡检并向甲方提交巡检记录。</w:t>
      </w:r>
    </w:p>
    <w:p w14:paraId="62B134F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5.1.4  质保期届满后，如设备出现问题，乙方应在接到甲方通知（包括电话通知）24小时响应，响应后4小时上门服务，相关费用由甲方承担。</w:t>
      </w:r>
    </w:p>
    <w:p w14:paraId="2A63357C">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5.2 耗材售后服务</w:t>
      </w:r>
    </w:p>
    <w:p w14:paraId="23A868F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5.2.1 在乙方提供耗材的标识标注的有效期内，如出现质量问题，乙方应在接到甲方通知（包括电话通知）后1小时内响应，响应后24小时内赶到甲方提供更换服务，相关费用由乙方承担。</w:t>
      </w:r>
    </w:p>
    <w:p w14:paraId="179E2D4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5.2.2 乙方提供的耗材应为符合国家质量标准的合格产品且所有证件、手续合法齐全，如因产品质量原因或手续不齐不合法或未按要求储存、运输（冷链）、包装等给甲方造成损失和不良影响全部由乙方负责。</w:t>
      </w:r>
    </w:p>
    <w:p w14:paraId="54CF990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5.3 乙方须指派</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，电话：</w:t>
      </w:r>
      <w:r>
        <w:rPr>
          <w:rFonts w:hint="eastAsia" w:ascii="宋体" w:hAnsi="宋体" w:eastAsia="宋体" w:cs="宋体"/>
          <w:sz w:val="24"/>
          <w:u w:val="single"/>
          <w:lang w:val="en-US" w:eastAsia="zh-CN"/>
        </w:rPr>
        <w:t xml:space="preserve">        </w:t>
      </w:r>
      <w:r>
        <w:rPr>
          <w:rFonts w:hint="eastAsia" w:ascii="宋体" w:hAnsi="宋体" w:eastAsia="宋体" w:cs="宋体"/>
          <w:color w:val="000000" w:themeColor="text1"/>
          <w:sz w:val="24"/>
          <w14:textFill>
            <w14:solidFill>
              <w14:schemeClr w14:val="tx1"/>
            </w14:solidFill>
          </w14:textFill>
        </w:rPr>
        <w:t>，专门负责与甲方联系本合同售后服务事宜，如人员及联系电话发生变动，应及时通知甲方。</w:t>
      </w:r>
    </w:p>
    <w:p w14:paraId="563ED35A">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第六条 结算、付款方式</w:t>
      </w:r>
    </w:p>
    <w:p w14:paraId="463FDFEA">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sz w:val="24"/>
        </w:rPr>
      </w:pPr>
      <w:r>
        <w:rPr>
          <w:rFonts w:hint="eastAsia" w:ascii="宋体" w:hAnsi="宋体" w:eastAsia="宋体" w:cs="宋体"/>
          <w:b/>
          <w:bCs/>
          <w:sz w:val="24"/>
        </w:rPr>
        <w:t>6.1  设备结算</w:t>
      </w:r>
    </w:p>
    <w:p w14:paraId="59C4626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6.1.1 甲方在设备总体验收报告单上签字确认合格之日起4个月内，向乙方支付设备结算价款的90%；余款10%，甲方在质保期届满且不存在需被扣除情形之日起10个工作日内，免息支付给乙方。</w:t>
      </w:r>
    </w:p>
    <w:p w14:paraId="5C36AAC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6.1.2 乙方应在甲方首次支付设备货款前，向甲方提供以乙方自己名义开具的与设备结算价款对应的增值税普通发票，如乙方未及时提供发票，甲方有权顺延付款，由此产生的责任均由乙方自行承担。</w:t>
      </w:r>
    </w:p>
    <w:p w14:paraId="7233471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6.1.3 乙方开具的发票金额应与设备总体验收报告单内容一致，甲方不支付超出设备总体验收报告单内容以外的任何费用。</w:t>
      </w:r>
    </w:p>
    <w:p w14:paraId="5822CC4F">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6.2  耗材结算：</w:t>
      </w:r>
    </w:p>
    <w:p w14:paraId="6B6A6C6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耗材结算价款</w:t>
      </w:r>
      <w:r>
        <w:rPr>
          <w:rFonts w:ascii="宋体" w:hAnsi="宋体" w:eastAsia="宋体" w:cs="宋体"/>
          <w:color w:val="000000" w:themeColor="text1"/>
          <w:sz w:val="24"/>
          <w14:textFill>
            <w14:solidFill>
              <w14:schemeClr w14:val="tx1"/>
            </w14:solidFill>
          </w14:textFill>
        </w:rPr>
        <w:t>根据</w:t>
      </w:r>
      <w:r>
        <w:rPr>
          <w:rFonts w:hint="eastAsia" w:ascii="宋体" w:hAnsi="宋体" w:eastAsia="宋体" w:cs="宋体"/>
          <w:color w:val="000000" w:themeColor="text1"/>
          <w:sz w:val="24"/>
          <w14:textFill>
            <w14:solidFill>
              <w14:schemeClr w14:val="tx1"/>
            </w14:solidFill>
          </w14:textFill>
        </w:rPr>
        <w:t>甲方的</w:t>
      </w:r>
      <w:r>
        <w:rPr>
          <w:rFonts w:ascii="宋体" w:hAnsi="宋体" w:eastAsia="宋体" w:cs="宋体"/>
          <w:color w:val="000000" w:themeColor="text1"/>
          <w:sz w:val="24"/>
          <w14:textFill>
            <w14:solidFill>
              <w14:schemeClr w14:val="tx1"/>
            </w14:solidFill>
          </w14:textFill>
        </w:rPr>
        <w:t>书面订单、经甲方签字确认的乙方送货单按</w:t>
      </w:r>
      <w:r>
        <w:rPr>
          <w:rFonts w:hint="eastAsia" w:ascii="宋体" w:hAnsi="宋体" w:eastAsia="宋体" w:cs="宋体"/>
          <w:color w:val="000000" w:themeColor="text1"/>
          <w:sz w:val="24"/>
          <w:u w:val="single"/>
          <w:lang w:val="en-US" w:eastAsia="zh-CN"/>
          <w14:textFill>
            <w14:solidFill>
              <w14:schemeClr w14:val="tx1"/>
            </w14:solidFill>
          </w14:textFill>
        </w:rPr>
        <w:t>月</w:t>
      </w:r>
      <w:r>
        <w:rPr>
          <w:rFonts w:hint="eastAsia" w:ascii="宋体" w:hAnsi="宋体" w:eastAsia="宋体" w:cs="宋体"/>
          <w:color w:val="000000" w:themeColor="text1"/>
          <w:sz w:val="24"/>
          <w14:textFill>
            <w14:solidFill>
              <w14:schemeClr w14:val="tx1"/>
            </w14:solidFill>
          </w14:textFill>
        </w:rPr>
        <w:t>据实</w:t>
      </w:r>
      <w:r>
        <w:rPr>
          <w:rFonts w:ascii="宋体" w:hAnsi="宋体" w:eastAsia="宋体" w:cs="宋体"/>
          <w:color w:val="000000" w:themeColor="text1"/>
          <w:sz w:val="24"/>
          <w14:textFill>
            <w14:solidFill>
              <w14:schemeClr w14:val="tx1"/>
            </w14:solidFill>
          </w14:textFill>
        </w:rPr>
        <w:t>结算</w:t>
      </w:r>
      <w:r>
        <w:rPr>
          <w:rFonts w:hint="eastAsia" w:ascii="宋体" w:hAnsi="宋体" w:eastAsia="宋体" w:cs="宋体"/>
          <w:color w:val="000000" w:themeColor="text1"/>
          <w:sz w:val="24"/>
          <w14:textFill>
            <w14:solidFill>
              <w14:schemeClr w14:val="tx1"/>
            </w14:solidFill>
          </w14:textFill>
        </w:rPr>
        <w:t>，</w:t>
      </w:r>
      <w:r>
        <w:rPr>
          <w:rFonts w:ascii="宋体" w:hAnsi="宋体" w:eastAsia="宋体" w:cs="宋体"/>
          <w:color w:val="000000" w:themeColor="text1"/>
          <w:sz w:val="24"/>
          <w14:textFill>
            <w14:solidFill>
              <w14:schemeClr w14:val="tx1"/>
            </w14:solidFill>
          </w14:textFill>
        </w:rPr>
        <w:t>乙方应向甲方提供以乙方名义开具的与</w:t>
      </w:r>
      <w:r>
        <w:rPr>
          <w:rFonts w:hint="eastAsia" w:ascii="宋体" w:hAnsi="宋体" w:eastAsia="宋体" w:cs="宋体"/>
          <w:color w:val="000000" w:themeColor="text1"/>
          <w:sz w:val="24"/>
          <w14:textFill>
            <w14:solidFill>
              <w14:schemeClr w14:val="tx1"/>
            </w14:solidFill>
          </w14:textFill>
        </w:rPr>
        <w:t>该批次</w:t>
      </w:r>
      <w:r>
        <w:rPr>
          <w:rFonts w:ascii="宋体" w:hAnsi="宋体" w:eastAsia="宋体" w:cs="宋体"/>
          <w:color w:val="000000" w:themeColor="text1"/>
          <w:sz w:val="24"/>
          <w14:textFill>
            <w14:solidFill>
              <w14:schemeClr w14:val="tx1"/>
            </w14:solidFill>
          </w14:textFill>
        </w:rPr>
        <w:t>结算金额对应的增值税普通发票；如乙方未能及时提供符合约定的发票，甲方有权顺延付款期限</w:t>
      </w:r>
      <w:r>
        <w:rPr>
          <w:rFonts w:hint="eastAsia" w:ascii="宋体" w:hAnsi="宋体" w:eastAsia="宋体" w:cs="宋体"/>
          <w:color w:val="000000" w:themeColor="text1"/>
          <w:sz w:val="24"/>
          <w14:textFill>
            <w14:solidFill>
              <w14:schemeClr w14:val="tx1"/>
            </w14:solidFill>
          </w14:textFill>
        </w:rPr>
        <w:t>，由此产生的责任均由乙方自行承担</w:t>
      </w:r>
      <w:r>
        <w:rPr>
          <w:rFonts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甲方自收到乙方发票且财务入账后180日内（如遇特殊情况顺延）向乙方支付该批次结算价款</w:t>
      </w:r>
      <w:r>
        <w:rPr>
          <w:rFonts w:ascii="宋体" w:hAnsi="宋体" w:eastAsia="宋体" w:cs="宋体"/>
          <w:color w:val="000000" w:themeColor="text1"/>
          <w:sz w:val="24"/>
          <w14:textFill>
            <w14:solidFill>
              <w14:schemeClr w14:val="tx1"/>
            </w14:solidFill>
          </w14:textFill>
        </w:rPr>
        <w:t>。</w:t>
      </w:r>
    </w:p>
    <w:p w14:paraId="07A8223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6.3  乙方委派</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（联系电话：</w:t>
      </w:r>
      <w:r>
        <w:rPr>
          <w:rFonts w:hint="eastAsia" w:ascii="宋体" w:hAnsi="宋体" w:eastAsia="宋体" w:cs="宋体"/>
          <w:sz w:val="24"/>
          <w:u w:val="single"/>
          <w:lang w:val="en-US" w:eastAsia="zh-CN"/>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 与甲方办理结算手续。</w:t>
      </w:r>
    </w:p>
    <w:p w14:paraId="1E733DB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6.4  甲方通过银行转账方式向乙方指定银行账户支付设备和耗材结算价款，乙方指定账户：</w:t>
      </w:r>
    </w:p>
    <w:p w14:paraId="3E88535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u w:val="single"/>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开</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户</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名：</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eastAsia="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p>
    <w:p w14:paraId="50EED52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开户银行：</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p>
    <w:p w14:paraId="27022E1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color w:val="000000" w:themeColor="text1"/>
          <w:sz w:val="28"/>
          <w:szCs w:val="28"/>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账</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号：</w:t>
      </w:r>
      <w:r>
        <w:rPr>
          <w:rFonts w:hint="eastAsia" w:ascii="宋体" w:hAnsi="宋体"/>
          <w:color w:val="000000" w:themeColor="text1"/>
          <w:sz w:val="28"/>
          <w:szCs w:val="28"/>
          <w:u w:val="single"/>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p>
    <w:p w14:paraId="0D6B799B">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第七条 风险承担</w:t>
      </w:r>
    </w:p>
    <w:p w14:paraId="20E827DB">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7.1  乙方履行本合同过程中发生事故，包括但不限于在运输、装卸、安装及调试过程中发生事故，给甲方、乙方或第三方人身、财产造成的所有损失，均由乙方负责处理和承担全部法律责任、经济赔偿。</w:t>
      </w:r>
    </w:p>
    <w:p w14:paraId="02ECEA9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7.2  设备毁损、丢失的风险自甲方在设备总体验收报告单上签字确认合格后转移给甲方；医用耗材毁损、灭失的风险自甲方在供货单上签字验收之日起转移给甲方。</w:t>
      </w:r>
    </w:p>
    <w:p w14:paraId="53F6BA9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7.3  如耗材在有效期内出现质量问题，给甲方、乙方或第三方人身、财产造成的所有损失，均由乙方负责处理和承担全部法律责任、经济赔偿。</w:t>
      </w:r>
    </w:p>
    <w:p w14:paraId="5E60258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7.4  乙方确保本合同约定设备及耗材的权利均无瑕疵，包括所有权及知识产权等权利，否则由乙方承担全部法律责任和经济赔偿。</w:t>
      </w:r>
    </w:p>
    <w:p w14:paraId="4E9F1AA3">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第八条 廉洁条款</w:t>
      </w:r>
    </w:p>
    <w:p w14:paraId="6CF46F29">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8.1 乙方应严格遵守国家相关法律法规，涉及合同的有关业务活动必须坚持公开、公平、公正、诚信原则，不得为获取不正当利益，损害国家、集体和甲方利益。</w:t>
      </w:r>
    </w:p>
    <w:p w14:paraId="6CA2A9FA">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u w:val="single"/>
          <w14:textFill>
            <w14:solidFill>
              <w14:schemeClr w14:val="tx1"/>
            </w14:solidFill>
          </w14:textFill>
        </w:rPr>
      </w:pPr>
      <w:r>
        <w:rPr>
          <w:rFonts w:ascii="宋体" w:hAnsi="宋体" w:eastAsia="宋体" w:cs="宋体"/>
          <w:b/>
          <w:bCs/>
          <w:color w:val="000000" w:themeColor="text1"/>
          <w:sz w:val="24"/>
          <w14:textFill>
            <w14:solidFill>
              <w14:schemeClr w14:val="tx1"/>
            </w14:solidFill>
          </w14:textFill>
        </w:rPr>
        <w:t xml:space="preserve">8.2 </w:t>
      </w:r>
      <w:r>
        <w:rPr>
          <w:rFonts w:ascii="宋体" w:hAnsi="宋体" w:eastAsia="宋体" w:cs="宋体"/>
          <w:b/>
          <w:bCs/>
          <w:color w:val="000000" w:themeColor="text1"/>
          <w:sz w:val="24"/>
          <w:u w:val="single"/>
          <w14:textFill>
            <w14:solidFill>
              <w14:schemeClr w14:val="tx1"/>
            </w14:solidFill>
          </w14:textFill>
        </w:rPr>
        <w:t>乙方的任何人员（包括股东、管理人员、普通员工等）及与乙方本业务有关的任何人员（包括与乙方不存在劳动、劳务关系的人员），均不得对甲方工作人员或其亲友、关系人请客、送礼或赠送礼金、有价证券、贵重物品及给予回扣、好处费、感谢费等其他形式的好处，否则甲方有权要求乙方按本合同约定向甲方支付违反廉洁条款的惩罚性违约金。</w:t>
      </w:r>
    </w:p>
    <w:p w14:paraId="77516648">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第九条 保密条款</w:t>
      </w:r>
    </w:p>
    <w:p w14:paraId="62D76A3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9.1 本合同订立、履行、变更等产生的研究、商讨、交流等信息，履行本合同获悉的甲方商业秘密、运营信息、工作人员信息、患陪个人信息等，均属保密信息。</w:t>
      </w:r>
    </w:p>
    <w:p w14:paraId="4DB1951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9.2 乙方应对保密信息应当采取有效手段严格保密，不得用于非本合同之目的或向第三方泄露。如政府部门、法院或其他有权部门要求乙方提供保密信息，乙方应当立即向甲方通报。</w:t>
      </w:r>
    </w:p>
    <w:p w14:paraId="29078DD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9.3 因乙方未履行本合同保密义务造成甲方或第三方损失的，由乙方承担全部赔偿责任。</w:t>
      </w:r>
    </w:p>
    <w:p w14:paraId="03C69A6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9.4 本合同保密条款在合同被认定无效、被撤销或终止、解除后仍然有效。</w:t>
      </w:r>
    </w:p>
    <w:p w14:paraId="6AB7D90E">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 xml:space="preserve">第十条 </w:t>
      </w:r>
      <w:r>
        <w:rPr>
          <w:rFonts w:ascii="宋体" w:hAnsi="宋体" w:eastAsia="宋体" w:cs="宋体"/>
          <w:b/>
          <w:bCs/>
          <w:color w:val="000000" w:themeColor="text1"/>
          <w:sz w:val="24"/>
          <w14:textFill>
            <w14:solidFill>
              <w14:schemeClr w14:val="tx1"/>
            </w14:solidFill>
          </w14:textFill>
        </w:rPr>
        <w:t>通知</w:t>
      </w:r>
      <w:r>
        <w:rPr>
          <w:rFonts w:hint="eastAsia" w:ascii="宋体" w:hAnsi="宋体" w:eastAsia="宋体" w:cs="宋体"/>
          <w:b/>
          <w:bCs/>
          <w:color w:val="000000" w:themeColor="text1"/>
          <w:sz w:val="24"/>
          <w14:textFill>
            <w14:solidFill>
              <w14:schemeClr w14:val="tx1"/>
            </w14:solidFill>
          </w14:textFill>
        </w:rPr>
        <w:t>与送达</w:t>
      </w:r>
    </w:p>
    <w:p w14:paraId="320F1D31">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10.1 甲乙双方同意，与本合同有关的任何文书，应以书面方式按照本合同约定发送，书面方式包括手机短信、微信、书面函件、电子邮件等形式。</w:t>
      </w:r>
    </w:p>
    <w:p w14:paraId="5E5FDB92">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10.2 双方确认的文书（包括未来可能发生的诉讼或仲裁活动中法院或仲裁机构的送达法律文书）送达地址：</w:t>
      </w:r>
    </w:p>
    <w:p w14:paraId="33AC9BE4">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10.2.1 </w:t>
      </w:r>
      <w:r>
        <w:rPr>
          <w:rFonts w:ascii="宋体" w:hAnsi="宋体" w:eastAsia="宋体" w:cs="宋体"/>
          <w:color w:val="000000" w:themeColor="text1"/>
          <w:sz w:val="24"/>
          <w14:textFill>
            <w14:solidFill>
              <w14:schemeClr w14:val="tx1"/>
            </w14:solidFill>
          </w14:textFill>
        </w:rPr>
        <w:t>甲方的联系地址：</w:t>
      </w:r>
      <w:r>
        <w:rPr>
          <w:rFonts w:hint="eastAsia" w:ascii="宋体" w:hAnsi="宋体" w:eastAsia="宋体" w:cs="宋体"/>
          <w:color w:val="000000" w:themeColor="text1"/>
          <w:sz w:val="24"/>
          <w:u w:val="single"/>
          <w:lang w:val="en-US" w:eastAsia="zh-CN"/>
          <w14:textFill>
            <w14:solidFill>
              <w14:schemeClr w14:val="tx1"/>
            </w14:solidFill>
          </w14:textFill>
        </w:rPr>
        <w:t xml:space="preserve">娄底市娄星区长青中街51号 </w:t>
      </w:r>
      <w:r>
        <w:rPr>
          <w:rFonts w:ascii="宋体" w:hAnsi="宋体" w:eastAsia="宋体" w:cs="宋体"/>
          <w:color w:val="000000" w:themeColor="text1"/>
          <w:sz w:val="24"/>
          <w14:textFill>
            <w14:solidFill>
              <w14:schemeClr w14:val="tx1"/>
            </w14:solidFill>
          </w14:textFill>
        </w:rPr>
        <w:t>，联系人：</w:t>
      </w:r>
      <w:r>
        <w:rPr>
          <w:rFonts w:hint="eastAsia" w:ascii="宋体" w:hAnsi="宋体" w:eastAsia="宋体" w:cs="宋体"/>
          <w:color w:val="000000" w:themeColor="text1"/>
          <w:sz w:val="24"/>
          <w:u w:val="single"/>
          <w:lang w:val="en-US" w:eastAsia="zh-CN"/>
          <w14:textFill>
            <w14:solidFill>
              <w14:schemeClr w14:val="tx1"/>
            </w14:solidFill>
          </w14:textFill>
        </w:rPr>
        <w:t>彭春涛</w:t>
      </w:r>
      <w:r>
        <w:rPr>
          <w:rFonts w:ascii="宋体" w:hAnsi="宋体" w:eastAsia="宋体" w:cs="宋体"/>
          <w:color w:val="000000" w:themeColor="text1"/>
          <w:sz w:val="24"/>
          <w14:textFill>
            <w14:solidFill>
              <w14:schemeClr w14:val="tx1"/>
            </w14:solidFill>
          </w14:textFill>
        </w:rPr>
        <w:t>，联系电话：</w:t>
      </w:r>
      <w:r>
        <w:rPr>
          <w:rFonts w:hint="eastAsia" w:ascii="宋体" w:hAnsi="宋体" w:eastAsia="宋体" w:cs="宋体"/>
          <w:color w:val="000000" w:themeColor="text1"/>
          <w:sz w:val="24"/>
          <w:u w:val="single"/>
          <w:lang w:val="en-US" w:eastAsia="zh-CN"/>
          <w14:textFill>
            <w14:solidFill>
              <w14:schemeClr w14:val="tx1"/>
            </w14:solidFill>
          </w14:textFill>
        </w:rPr>
        <w:t>13027388172</w:t>
      </w:r>
      <w:r>
        <w:rPr>
          <w:rFonts w:ascii="宋体" w:hAnsi="宋体" w:eastAsia="宋体" w:cs="宋体"/>
          <w:color w:val="000000" w:themeColor="text1"/>
          <w:sz w:val="24"/>
          <w14:textFill>
            <w14:solidFill>
              <w14:schemeClr w14:val="tx1"/>
            </w14:solidFill>
          </w14:textFill>
        </w:rPr>
        <w:t>，邮箱地址</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u w:val="single"/>
          <w:lang w:val="en-US" w:eastAsia="zh-CN"/>
          <w14:textFill>
            <w14:solidFill>
              <w14:schemeClr w14:val="tx1"/>
            </w14:solidFill>
          </w14:textFill>
        </w:rPr>
        <w:t xml:space="preserve">721294732@qq.com </w:t>
      </w:r>
      <w:r>
        <w:rPr>
          <w:rFonts w:hint="eastAsia" w:ascii="宋体" w:hAnsi="宋体" w:eastAsia="宋体" w:cs="宋体"/>
          <w:color w:val="000000" w:themeColor="text1"/>
          <w:sz w:val="24"/>
          <w14:textFill>
            <w14:solidFill>
              <w14:schemeClr w14:val="tx1"/>
            </w14:solidFill>
          </w14:textFill>
        </w:rPr>
        <w:t>，</w:t>
      </w:r>
      <w:r>
        <w:rPr>
          <w:rFonts w:ascii="宋体" w:hAnsi="宋体" w:eastAsia="宋体" w:cs="宋体"/>
          <w:color w:val="000000" w:themeColor="text1"/>
          <w:sz w:val="24"/>
          <w14:textFill>
            <w14:solidFill>
              <w14:schemeClr w14:val="tx1"/>
            </w14:solidFill>
          </w14:textFill>
        </w:rPr>
        <w:t>或微信号</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u w:val="single"/>
          <w:lang w:val="en-US" w:eastAsia="zh-CN"/>
          <w14:textFill>
            <w14:solidFill>
              <w14:schemeClr w14:val="tx1"/>
            </w14:solidFill>
          </w14:textFill>
        </w:rPr>
        <w:t>13027388172</w:t>
      </w:r>
      <w:r>
        <w:rPr>
          <w:rFonts w:ascii="宋体" w:hAnsi="宋体" w:eastAsia="宋体" w:cs="宋体"/>
          <w:color w:val="000000" w:themeColor="text1"/>
          <w:sz w:val="24"/>
          <w14:textFill>
            <w14:solidFill>
              <w14:schemeClr w14:val="tx1"/>
            </w14:solidFill>
          </w14:textFill>
        </w:rPr>
        <w:t>。</w:t>
      </w:r>
    </w:p>
    <w:p w14:paraId="5829891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 xml:space="preserve">10.2.2 </w:t>
      </w:r>
      <w:r>
        <w:rPr>
          <w:rFonts w:ascii="宋体" w:hAnsi="宋体" w:eastAsia="宋体" w:cs="宋体"/>
          <w:color w:val="000000" w:themeColor="text1"/>
          <w:sz w:val="24"/>
          <w14:textFill>
            <w14:solidFill>
              <w14:schemeClr w14:val="tx1"/>
            </w14:solidFill>
          </w14:textFill>
        </w:rPr>
        <w:t>乙方的联系地址：</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，联系人：</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，联系电话：</w:t>
      </w:r>
      <w:r>
        <w:rPr>
          <w:rFonts w:hint="eastAsia" w:ascii="宋体" w:hAnsi="宋体" w:eastAsia="宋体" w:cs="宋体"/>
          <w:color w:val="000000" w:themeColor="text1"/>
          <w:sz w:val="24"/>
          <w:u w:val="single"/>
          <w14:textFill>
            <w14:solidFill>
              <w14:schemeClr w14:val="tx1"/>
            </w14:solidFill>
          </w14:textFill>
        </w:rPr>
        <w:t xml:space="preserve"> </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u w:val="single"/>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，邮箱地址</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w:t>
      </w:r>
      <w:r>
        <w:rPr>
          <w:rFonts w:ascii="宋体" w:hAnsi="宋体" w:eastAsia="宋体" w:cs="宋体"/>
          <w:color w:val="000000" w:themeColor="text1"/>
          <w:sz w:val="24"/>
          <w14:textFill>
            <w14:solidFill>
              <w14:schemeClr w14:val="tx1"/>
            </w14:solidFill>
          </w14:textFill>
        </w:rPr>
        <w:t>或微信号</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u w:val="single"/>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w:t>
      </w:r>
    </w:p>
    <w:p w14:paraId="2DD0D1B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10.3 上述通知应被视为在下列时间送达：以快递或专人发送的，在收件人签收之日或拒收之日；以挂号邮件发出的，在发出之日起7个工作日；以电子邮件发出的，在电子邮件进入收件方电子邮箱服务器之日。</w:t>
      </w:r>
    </w:p>
    <w:p w14:paraId="1DC80020">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10.4 以上地址和联系方式，任何一方发生变更应在变更之日起3日内通知对方。如未通知，一方按原地址送达的书面资料被退回的，退回之日视为送达之日。任何一方按照确认地址送到另一方的书面资料被拒绝签收导致邮件被退回的，退回之日视为送达之日。</w:t>
      </w:r>
    </w:p>
    <w:p w14:paraId="313FD4B2">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第十一条 合同的变更、解除</w:t>
      </w:r>
    </w:p>
    <w:p w14:paraId="11C9D9E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11.1 本合同经双方协商一致后可以变更，双方应另行签订补充协议。</w:t>
      </w:r>
    </w:p>
    <w:p w14:paraId="788ECC5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 乙方出现以下违约情形之一的，甲方有权拒绝支付任何价款并解除合同：</w:t>
      </w:r>
    </w:p>
    <w:p w14:paraId="40BEEBEC">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r>
        <w:rPr>
          <w:rFonts w:hint="eastAsia" w:ascii="宋体" w:hAnsi="宋体" w:eastAsia="宋体" w:cs="宋体"/>
          <w:color w:val="000000" w:themeColor="text1"/>
          <w:sz w:val="24"/>
          <w14:textFill>
            <w14:solidFill>
              <w14:schemeClr w14:val="tx1"/>
            </w14:solidFill>
          </w14:textFill>
        </w:rPr>
        <w:t>.2.1 乙方逾期</w:t>
      </w:r>
      <w:r>
        <w:rPr>
          <w:rFonts w:hint="eastAsia" w:ascii="宋体" w:hAnsi="宋体" w:eastAsia="宋体" w:cs="宋体"/>
          <w:color w:val="000000" w:themeColor="text1"/>
          <w:sz w:val="24"/>
          <w:u w:val="single"/>
          <w14:textFill>
            <w14:solidFill>
              <w14:schemeClr w14:val="tx1"/>
            </w14:solidFill>
          </w14:textFill>
        </w:rPr>
        <w:t>30</w:t>
      </w:r>
      <w:r>
        <w:rPr>
          <w:rFonts w:hint="eastAsia" w:ascii="宋体" w:hAnsi="宋体" w:eastAsia="宋体" w:cs="宋体"/>
          <w:color w:val="000000" w:themeColor="text1"/>
          <w:sz w:val="24"/>
          <w14:textFill>
            <w14:solidFill>
              <w14:schemeClr w14:val="tx1"/>
            </w14:solidFill>
          </w14:textFill>
        </w:rPr>
        <w:t>日仍不能供货。</w:t>
      </w:r>
    </w:p>
    <w:p w14:paraId="64B34518">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r>
        <w:rPr>
          <w:rFonts w:hint="eastAsia" w:ascii="宋体" w:hAnsi="宋体" w:eastAsia="宋体" w:cs="宋体"/>
          <w:color w:val="000000" w:themeColor="text1"/>
          <w:sz w:val="24"/>
          <w14:textFill>
            <w14:solidFill>
              <w14:schemeClr w14:val="tx1"/>
            </w14:solidFill>
          </w14:textFill>
        </w:rPr>
        <w:t>.2.2 乙方提供的设备、耗材质量不符合国家标准、本合同标准或响应文件约定标准。</w:t>
      </w:r>
    </w:p>
    <w:p w14:paraId="76C5E2F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11.2.3 乙方未在甲方订单规定的时间内提供耗材，经甲方催告3次以上后仍不能提供的；或耗材经甲方验收不合格或乙方提供的耗材在有效期内出现质量问题，经连续2次更换仍不合格的；或提供的耗材、证件手续不齐，甲方不能合法使用的。</w:t>
      </w:r>
    </w:p>
    <w:p w14:paraId="19B4EED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11.2.4 乙方供应的耗材被生产厂家取消配送权的；或乙方不配合耗材管理工作的，如不配合耗材HRP系统信息录入、赋码等、不配合耗材SPD配送管理、未向SPD配送公司交纳配送服务费等。</w:t>
      </w:r>
    </w:p>
    <w:p w14:paraId="1B9882BD">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11.2.5 乙方违反甲方制度的，或乙方经甲方供应商管理考核为不合格供应商的。</w:t>
      </w:r>
    </w:p>
    <w:p w14:paraId="1B7F5FB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11.2.6 乙方未经甲方设备科发出书面订单采购私自向甲方科室配送的。</w:t>
      </w:r>
    </w:p>
    <w:p w14:paraId="41DA23E8">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11.2.7 乙方将订单转包、分包给第三方。</w:t>
      </w:r>
    </w:p>
    <w:p w14:paraId="1E1DAA0D">
      <w:pPr>
        <w:keepNext w:val="0"/>
        <w:keepLines w:val="0"/>
        <w:pageBreakBefore w:val="0"/>
        <w:widowControl w:val="0"/>
        <w:kinsoku/>
        <w:wordWrap/>
        <w:overflowPunct/>
        <w:topLinePunct w:val="0"/>
        <w:autoSpaceDE w:val="0"/>
        <w:autoSpaceDN w:val="0"/>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11.2.8 乙方在本合同履行期间因违法行为被追究刑事责任的，或被予以吊销营业执照、取消资质等行政处罚，或乙方被接管、资金被冻结的。</w:t>
      </w:r>
    </w:p>
    <w:p w14:paraId="3DC42B6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11.2.9 其他根本违约的情形。</w:t>
      </w:r>
    </w:p>
    <w:p w14:paraId="36B77BF0">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第十二条 违约责任</w:t>
      </w:r>
    </w:p>
    <w:p w14:paraId="3976F56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.1 甲方因11.2情形提前终止本合同或剔除部分采购内容均无须承担违约责任，乙方不得因此要求甲方予以任何经济赔偿或补偿。</w:t>
      </w:r>
    </w:p>
    <w:p w14:paraId="6F7A3526">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.2 如乙方未在本合同约定时间内将验收合格的设备交付给甲方使用，除应赔偿甲方因此造成的损失外，每逾期一日，按本合同约定设备总价款的千分之一向甲方支付违约金。</w:t>
      </w:r>
    </w:p>
    <w:p w14:paraId="0DA1F66A">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r>
        <w:rPr>
          <w:rFonts w:hint="eastAsia" w:ascii="宋体" w:hAnsi="宋体" w:eastAsia="宋体" w:cs="宋体"/>
          <w:color w:val="000000" w:themeColor="text1"/>
          <w:sz w:val="24"/>
          <w14:textFill>
            <w14:solidFill>
              <w14:schemeClr w14:val="tx1"/>
            </w14:solidFill>
          </w14:textFill>
        </w:rPr>
        <w:t>.3 如乙方未在本合同约定时间内将验收合格的耗材交付给甲方使用，除应赔偿甲方因此造成的损失外，每逾期一日，按该批次耗材结算金额的百分之五向甲方支付违约金。</w:t>
      </w:r>
    </w:p>
    <w:p w14:paraId="74748C6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highlight w:val="none"/>
          <w:lang w:val="en-US" w:eastAsia="zh-CN"/>
        </w:rPr>
      </w:pPr>
      <w:r>
        <w:rPr>
          <w:rFonts w:hint="eastAsia" w:ascii="宋体" w:hAnsi="宋体" w:eastAsia="宋体" w:cs="宋体"/>
          <w:color w:val="000000" w:themeColor="text1"/>
          <w:sz w:val="24"/>
          <w14:textFill>
            <w14:solidFill>
              <w14:schemeClr w14:val="tx1"/>
            </w14:solidFill>
          </w14:textFill>
        </w:rPr>
        <w:t>12.4  如乙方单方解</w:t>
      </w:r>
      <w:r>
        <w:rPr>
          <w:rFonts w:hint="eastAsia" w:ascii="宋体" w:hAnsi="宋体" w:eastAsia="宋体" w:cs="宋体"/>
          <w:color w:val="auto"/>
          <w:sz w:val="24"/>
        </w:rPr>
        <w:t>除合同或甲方因</w:t>
      </w:r>
      <w:r>
        <w:rPr>
          <w:rFonts w:hint="eastAsia" w:ascii="宋体" w:hAnsi="宋体" w:eastAsia="宋体" w:cs="宋体"/>
          <w:color w:val="auto"/>
          <w:sz w:val="24"/>
          <w:lang w:val="en-US" w:eastAsia="zh-CN"/>
        </w:rPr>
        <w:t>11.2情形</w:t>
      </w:r>
      <w:r>
        <w:rPr>
          <w:rFonts w:hint="eastAsia" w:ascii="宋体" w:hAnsi="宋体" w:eastAsia="宋体" w:cs="宋体"/>
          <w:color w:val="auto"/>
          <w:sz w:val="24"/>
        </w:rPr>
        <w:t>解除合同，</w:t>
      </w:r>
      <w:r>
        <w:rPr>
          <w:rFonts w:hint="eastAsia" w:ascii="宋体" w:hAnsi="宋体" w:eastAsia="宋体" w:cs="宋体"/>
          <w:color w:val="auto"/>
          <w:sz w:val="24"/>
          <w:highlight w:val="none"/>
        </w:rPr>
        <w:t>乙方</w:t>
      </w:r>
      <w:r>
        <w:rPr>
          <w:rFonts w:hint="eastAsia" w:ascii="宋体" w:hAnsi="宋体" w:eastAsia="宋体" w:cs="宋体"/>
          <w:color w:val="auto"/>
          <w:sz w:val="24"/>
          <w:highlight w:val="none"/>
          <w:lang w:val="en-US" w:eastAsia="zh-CN"/>
        </w:rPr>
        <w:t>除</w:t>
      </w:r>
      <w:r>
        <w:rPr>
          <w:rFonts w:hint="eastAsia" w:ascii="宋体" w:hAnsi="宋体" w:eastAsia="宋体" w:cs="宋体"/>
          <w:color w:val="auto"/>
          <w:sz w:val="24"/>
          <w:highlight w:val="none"/>
        </w:rPr>
        <w:t>应赔偿给甲方造成的全部经济损失外</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还应向甲方支付违约金</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该违约金金额按以下较高者确定：（1）</w:t>
      </w:r>
      <w:r>
        <w:rPr>
          <w:rFonts w:hint="eastAsia" w:ascii="宋体" w:hAnsi="宋体" w:eastAsia="宋体" w:cs="宋体"/>
          <w:color w:val="auto"/>
          <w:sz w:val="24"/>
          <w:highlight w:val="none"/>
          <w:u w:val="single"/>
        </w:rPr>
        <w:t>10000.00</w:t>
      </w:r>
      <w:r>
        <w:rPr>
          <w:rFonts w:hint="eastAsia" w:ascii="宋体" w:hAnsi="宋体" w:eastAsia="宋体" w:cs="宋体"/>
          <w:color w:val="auto"/>
          <w:sz w:val="24"/>
          <w:highlight w:val="none"/>
        </w:rPr>
        <w:t>元</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按本合同约定</w:t>
      </w:r>
      <w:r>
        <w:rPr>
          <w:rFonts w:hint="eastAsia" w:ascii="宋体" w:hAnsi="宋体" w:eastAsia="宋体" w:cs="宋体"/>
          <w:color w:val="auto"/>
          <w:sz w:val="24"/>
          <w:highlight w:val="none"/>
        </w:rPr>
        <w:t>供货期限</w:t>
      </w:r>
      <w:r>
        <w:rPr>
          <w:rFonts w:hint="eastAsia" w:ascii="宋体" w:hAnsi="宋体" w:eastAsia="宋体" w:cs="宋体"/>
          <w:color w:val="auto"/>
          <w:sz w:val="24"/>
          <w:highlight w:val="none"/>
          <w:lang w:val="en-US" w:eastAsia="zh-CN"/>
        </w:rPr>
        <w:t>内耗材累计结算总金额</w:t>
      </w:r>
      <w:r>
        <w:rPr>
          <w:rFonts w:hint="eastAsia" w:ascii="宋体" w:hAnsi="宋体" w:eastAsia="宋体" w:cs="宋体"/>
          <w:color w:val="auto"/>
          <w:sz w:val="24"/>
          <w:highlight w:val="none"/>
          <w:u w:val="single"/>
          <w:lang w:val="en-US" w:eastAsia="zh-CN"/>
        </w:rPr>
        <w:t>10%</w:t>
      </w:r>
      <w:r>
        <w:rPr>
          <w:rFonts w:hint="eastAsia" w:ascii="宋体" w:hAnsi="宋体" w:eastAsia="宋体" w:cs="宋体"/>
          <w:color w:val="auto"/>
          <w:sz w:val="24"/>
          <w:highlight w:val="none"/>
          <w:u w:val="none"/>
          <w:lang w:val="en-US" w:eastAsia="zh-CN"/>
        </w:rPr>
        <w:t>计算的违约金金额。</w:t>
      </w:r>
    </w:p>
    <w:p w14:paraId="478913A6">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highlight w:val="none"/>
          <w:u w:val="single"/>
          <w14:textFill>
            <w14:solidFill>
              <w14:schemeClr w14:val="tx1"/>
            </w14:solidFill>
          </w14:textFill>
        </w:rPr>
      </w:pPr>
      <w:r>
        <w:rPr>
          <w:rFonts w:hint="eastAsia" w:ascii="宋体" w:hAnsi="宋体" w:eastAsia="宋体" w:cs="宋体"/>
          <w:b/>
          <w:bCs/>
          <w:color w:val="auto"/>
          <w:sz w:val="24"/>
          <w:highlight w:val="none"/>
          <w:u w:val="single"/>
        </w:rPr>
        <w:t>12.</w:t>
      </w:r>
      <w:r>
        <w:rPr>
          <w:rFonts w:hint="eastAsia" w:ascii="宋体" w:hAnsi="宋体" w:eastAsia="宋体" w:cs="宋体"/>
          <w:b/>
          <w:bCs/>
          <w:color w:val="auto"/>
          <w:sz w:val="24"/>
          <w:highlight w:val="none"/>
          <w:u w:val="single"/>
          <w:lang w:val="en-US" w:eastAsia="zh-CN"/>
        </w:rPr>
        <w:t>5</w:t>
      </w:r>
      <w:r>
        <w:rPr>
          <w:rFonts w:hint="eastAsia" w:ascii="宋体" w:hAnsi="宋体" w:eastAsia="宋体" w:cs="宋体"/>
          <w:b/>
          <w:bCs/>
          <w:color w:val="auto"/>
          <w:sz w:val="24"/>
          <w:highlight w:val="none"/>
          <w:u w:val="single"/>
        </w:rPr>
        <w:t xml:space="preserve"> 无论甲方在任意时候（不限于本合同履行期间）发现存在违反本合同廉洁条款及供应商考核管理制度约定的行为，</w:t>
      </w:r>
      <w:r>
        <w:rPr>
          <w:rFonts w:hint="eastAsia" w:ascii="宋体" w:hAnsi="宋体" w:eastAsia="宋体" w:cs="宋体"/>
          <w:b/>
          <w:bCs/>
          <w:color w:val="auto"/>
          <w:sz w:val="24"/>
          <w:highlight w:val="none"/>
          <w:u w:val="single"/>
          <w:lang w:val="en-US" w:eastAsia="zh-CN"/>
        </w:rPr>
        <w:t>乙方均须向甲方支付一次性惩罚性违约金，该违约金金额按以下较高者确定：（1）按本合同约定供货期限内耗材累计结算总金额10%计算的违约金金额；（2）根据《娄底市中心医院医疗器械供应商考核管理制度》规定计算的廉政违约金金额。</w:t>
      </w:r>
      <w:r>
        <w:rPr>
          <w:rFonts w:hint="eastAsia" w:ascii="宋体" w:hAnsi="宋体" w:eastAsia="宋体" w:cs="宋体"/>
          <w:b/>
          <w:bCs/>
          <w:color w:val="auto"/>
          <w:sz w:val="24"/>
          <w:szCs w:val="24"/>
          <w:highlight w:val="none"/>
          <w:u w:val="single"/>
          <w:lang w:val="en-US" w:eastAsia="zh-CN"/>
        </w:rPr>
        <w:t>如乙方除需承担违反廉洁条款及供应商考核管理制度的违约责任外，同时存在其他违约行为，乙方仍须就其他违约行为承担相应违约</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责任。</w:t>
      </w:r>
    </w:p>
    <w:p w14:paraId="6DAE435D">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u w:val="single"/>
          <w14:textFill>
            <w14:solidFill>
              <w14:schemeClr w14:val="tx1"/>
            </w14:solidFill>
          </w14:textFill>
        </w:rPr>
        <w:t>12.</w:t>
      </w:r>
      <w:r>
        <w:rPr>
          <w:rFonts w:hint="eastAsia" w:ascii="宋体" w:hAnsi="宋体" w:eastAsia="宋体" w:cs="宋体"/>
          <w:b/>
          <w:bCs/>
          <w:color w:val="000000" w:themeColor="text1"/>
          <w:sz w:val="24"/>
          <w:u w:val="single"/>
          <w:lang w:val="en-US" w:eastAsia="zh-CN"/>
          <w14:textFill>
            <w14:solidFill>
              <w14:schemeClr w14:val="tx1"/>
            </w14:solidFill>
          </w14:textFill>
        </w:rPr>
        <w:t>6</w:t>
      </w:r>
      <w:r>
        <w:rPr>
          <w:rFonts w:hint="eastAsia" w:ascii="宋体" w:hAnsi="宋体" w:eastAsia="宋体" w:cs="宋体"/>
          <w:b/>
          <w:bCs/>
          <w:color w:val="000000" w:themeColor="text1"/>
          <w:sz w:val="24"/>
          <w:u w:val="single"/>
          <w14:textFill>
            <w14:solidFill>
              <w14:schemeClr w14:val="tx1"/>
            </w14:solidFill>
          </w14:textFill>
        </w:rPr>
        <w:t xml:space="preserve"> 依据本合同约定乙方应支付给甲方的违约金，甲方有权在应支付给乙方的任意价款中直接予以扣除，如扣除部分不足，乙方应在接到甲方通知后3日内补足。</w:t>
      </w:r>
    </w:p>
    <w:p w14:paraId="40F0FDB3">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b/>
          <w:bCs/>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w:t>
      </w:r>
      <w:r>
        <w:rPr>
          <w:rFonts w:hint="eastAsia" w:ascii="宋体" w:hAnsi="宋体" w:cs="宋体"/>
          <w:b/>
          <w:bCs/>
          <w:color w:val="000000" w:themeColor="text1"/>
          <w:sz w:val="24"/>
          <w14:textFill>
            <w14:solidFill>
              <w14:schemeClr w14:val="tx1"/>
            </w14:solidFill>
          </w14:textFill>
        </w:rPr>
        <w:t>十三</w:t>
      </w:r>
      <w:r>
        <w:rPr>
          <w:rFonts w:hint="eastAsia" w:ascii="宋体" w:hAnsi="宋体" w:eastAsia="宋体" w:cs="宋体"/>
          <w:b/>
          <w:bCs/>
          <w:color w:val="000000" w:themeColor="text1"/>
          <w:sz w:val="24"/>
          <w14:textFill>
            <w14:solidFill>
              <w14:schemeClr w14:val="tx1"/>
            </w14:solidFill>
          </w14:textFill>
        </w:rPr>
        <w:t>条 争议解决</w:t>
      </w:r>
    </w:p>
    <w:p w14:paraId="3AF3DD15">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13.1 本合同适用中华人民共和国法律，并按其解释。</w:t>
      </w:r>
    </w:p>
    <w:p w14:paraId="2336ABA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13.2 如双方在履行本合同过程中发生争议，双方应先协商解决，协商解决不成的，任一方均可向甲方所在地有管辖权的人民法院提起诉讼解决。</w:t>
      </w:r>
    </w:p>
    <w:p w14:paraId="4329272A">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第十</w:t>
      </w:r>
      <w:r>
        <w:rPr>
          <w:rFonts w:hint="eastAsia" w:ascii="宋体" w:hAnsi="宋体" w:cs="宋体"/>
          <w:b/>
          <w:bCs/>
          <w:color w:val="000000" w:themeColor="text1"/>
          <w:sz w:val="24"/>
          <w14:textFill>
            <w14:solidFill>
              <w14:schemeClr w14:val="tx1"/>
            </w14:solidFill>
          </w14:textFill>
        </w:rPr>
        <w:t>四</w:t>
      </w:r>
      <w:r>
        <w:rPr>
          <w:rFonts w:hint="eastAsia" w:ascii="宋体" w:hAnsi="宋体" w:eastAsia="宋体" w:cs="宋体"/>
          <w:b/>
          <w:bCs/>
          <w:color w:val="000000" w:themeColor="text1"/>
          <w:sz w:val="24"/>
          <w14:textFill>
            <w14:solidFill>
              <w14:schemeClr w14:val="tx1"/>
            </w14:solidFill>
          </w14:textFill>
        </w:rPr>
        <w:t>条 附则</w:t>
      </w:r>
    </w:p>
    <w:p w14:paraId="259E056F">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rPr>
      </w:pPr>
      <w:r>
        <w:rPr>
          <w:rFonts w:hint="eastAsia" w:ascii="宋体" w:hAnsi="宋体" w:eastAsia="宋体" w:cs="宋体"/>
          <w:color w:val="auto"/>
          <w:sz w:val="24"/>
        </w:rPr>
        <w:t>1</w:t>
      </w:r>
      <w:r>
        <w:rPr>
          <w:rFonts w:hint="eastAsia" w:ascii="宋体" w:hAnsi="宋体" w:eastAsia="宋体"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1 甲方《娄底市中心医院医疗器械供应商考核管理制度》、</w:t>
      </w:r>
      <w:r>
        <w:rPr>
          <w:rFonts w:hint="eastAsia" w:ascii="宋体" w:hAnsi="宋体" w:eastAsia="宋体" w:cs="宋体"/>
          <w:color w:val="auto"/>
          <w:sz w:val="24"/>
          <w:lang w:eastAsia="zh-CN"/>
        </w:rPr>
        <w:t>乙方加盖公章的资质复印件、售后承诺等作为本合同附件。</w:t>
      </w:r>
    </w:p>
    <w:p w14:paraId="1B4B027E">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auto"/>
          <w:sz w:val="24"/>
        </w:rPr>
        <w:t>14.</w:t>
      </w:r>
      <w:r>
        <w:rPr>
          <w:rFonts w:hint="eastAsia" w:ascii="宋体" w:hAnsi="宋体" w:eastAsia="宋体" w:cs="宋体"/>
          <w:color w:val="auto"/>
          <w:sz w:val="24"/>
          <w:lang w:val="en-US" w:eastAsia="zh-CN"/>
        </w:rPr>
        <w:t>2</w:t>
      </w:r>
      <w:r>
        <w:rPr>
          <w:rFonts w:hint="eastAsia" w:ascii="宋体" w:hAnsi="宋体" w:eastAsia="宋体" w:cs="宋体"/>
          <w:color w:val="auto"/>
          <w:sz w:val="24"/>
        </w:rPr>
        <w:t xml:space="preserve"> 本合同组成文件和优先解释顺序：</w:t>
      </w:r>
      <w:r>
        <w:rPr>
          <w:rFonts w:hint="eastAsia" w:ascii="宋体" w:hAnsi="宋体" w:eastAsia="宋体" w:cs="宋体"/>
          <w:color w:val="auto"/>
          <w:sz w:val="24"/>
          <w:lang w:eastAsia="zh-CN"/>
        </w:rPr>
        <w:t>乙方在履行本合同中作</w:t>
      </w:r>
      <w:r>
        <w:rPr>
          <w:rFonts w:hint="eastAsia" w:ascii="宋体" w:hAnsi="宋体" w:eastAsia="宋体" w:cs="宋体"/>
          <w:color w:val="000000" w:themeColor="text1"/>
          <w:sz w:val="24"/>
          <w:lang w:eastAsia="zh-CN"/>
          <w14:textFill>
            <w14:solidFill>
              <w14:schemeClr w14:val="tx1"/>
            </w14:solidFill>
          </w14:textFill>
        </w:rPr>
        <w:t>出的书面承诺；</w:t>
      </w:r>
      <w:r>
        <w:rPr>
          <w:rFonts w:hint="eastAsia" w:ascii="宋体" w:hAnsi="宋体" w:eastAsia="宋体" w:cs="宋体"/>
          <w:color w:val="000000" w:themeColor="text1"/>
          <w:sz w:val="24"/>
          <w14:textFill>
            <w14:solidFill>
              <w14:schemeClr w14:val="tx1"/>
            </w14:solidFill>
          </w14:textFill>
        </w:rPr>
        <w:t>本合同补充协议；本合同及附件；</w:t>
      </w:r>
      <w:r>
        <w:rPr>
          <w:rFonts w:hint="eastAsia" w:ascii="宋体" w:hAnsi="宋体" w:eastAsia="宋体" w:cs="宋体"/>
          <w:color w:val="000000" w:themeColor="text1"/>
          <w:sz w:val="24"/>
          <w:lang w:eastAsia="zh-CN"/>
          <w14:textFill>
            <w14:solidFill>
              <w14:schemeClr w14:val="tx1"/>
            </w14:solidFill>
          </w14:textFill>
        </w:rPr>
        <w:t>中标通知书</w:t>
      </w:r>
      <w:r>
        <w:rPr>
          <w:rFonts w:hint="eastAsia" w:ascii="宋体" w:hAnsi="宋体" w:eastAsia="宋体" w:cs="宋体"/>
          <w:color w:val="000000" w:themeColor="text1"/>
          <w:sz w:val="24"/>
          <w:lang w:val="en-US" w:eastAsia="zh-CN"/>
          <w14:textFill>
            <w14:solidFill>
              <w14:schemeClr w14:val="tx1"/>
            </w14:solidFill>
          </w14:textFill>
        </w:rPr>
        <w:t>/成交通知书/</w:t>
      </w:r>
      <w:r>
        <w:rPr>
          <w:rFonts w:hint="eastAsia" w:ascii="宋体" w:hAnsi="宋体" w:eastAsia="宋体" w:cs="宋体"/>
          <w:color w:val="000000" w:themeColor="text1"/>
          <w:sz w:val="24"/>
          <w14:textFill>
            <w14:solidFill>
              <w14:schemeClr w14:val="tx1"/>
            </w14:solidFill>
          </w14:textFill>
        </w:rPr>
        <w:t>议价结果公示</w:t>
      </w:r>
      <w:r>
        <w:rPr>
          <w:rFonts w:hint="eastAsia" w:ascii="宋体" w:hAnsi="宋体" w:eastAsia="宋体" w:cs="宋体"/>
          <w:color w:val="000000" w:themeColor="text1"/>
          <w:sz w:val="24"/>
          <w:lang w:val="en-US" w:eastAsia="zh-CN"/>
          <w14:textFill>
            <w14:solidFill>
              <w14:schemeClr w14:val="tx1"/>
            </w14:solidFill>
          </w14:textFill>
        </w:rPr>
        <w:t>/成交公告</w:t>
      </w:r>
      <w:r>
        <w:rPr>
          <w:rFonts w:hint="eastAsia" w:ascii="宋体" w:hAnsi="宋体" w:eastAsia="宋体" w:cs="宋体"/>
          <w:color w:val="000000" w:themeColor="text1"/>
          <w:sz w:val="24"/>
          <w14:textFill>
            <w14:solidFill>
              <w14:schemeClr w14:val="tx1"/>
            </w14:solidFill>
          </w14:textFill>
        </w:rPr>
        <w:t>；</w:t>
      </w:r>
      <w:r>
        <w:rPr>
          <w:rFonts w:hint="eastAsia" w:ascii="宋体" w:hAnsi="宋体" w:eastAsia="宋体" w:cs="宋体"/>
          <w:color w:val="000000" w:themeColor="text1"/>
          <w:sz w:val="24"/>
          <w:lang w:eastAsia="zh-CN"/>
          <w14:textFill>
            <w14:solidFill>
              <w14:schemeClr w14:val="tx1"/>
            </w14:solidFill>
          </w14:textFill>
        </w:rPr>
        <w:t>投标文件</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响应文件；</w:t>
      </w:r>
      <w:r>
        <w:rPr>
          <w:rFonts w:hint="eastAsia" w:ascii="宋体" w:hAnsi="宋体" w:eastAsia="宋体" w:cs="宋体"/>
          <w:color w:val="000000" w:themeColor="text1"/>
          <w:sz w:val="24"/>
          <w:lang w:eastAsia="zh-CN"/>
          <w14:textFill>
            <w14:solidFill>
              <w14:schemeClr w14:val="tx1"/>
            </w14:solidFill>
          </w14:textFill>
        </w:rPr>
        <w:t>招标文件</w:t>
      </w:r>
      <w:r>
        <w:rPr>
          <w:rFonts w:hint="eastAsia" w:ascii="宋体" w:hAnsi="宋体" w:eastAsia="宋体" w:cs="宋体"/>
          <w:color w:val="000000" w:themeColor="text1"/>
          <w:sz w:val="24"/>
          <w:lang w:val="en-US"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采购文件</w:t>
      </w:r>
      <w:r>
        <w:rPr>
          <w:rFonts w:hint="eastAsia" w:ascii="宋体" w:hAnsi="宋体" w:eastAsia="宋体" w:cs="宋体"/>
          <w:color w:val="000000" w:themeColor="text1"/>
          <w:sz w:val="24"/>
          <w:lang w:val="en-US" w:eastAsia="zh-CN"/>
          <w14:textFill>
            <w14:solidFill>
              <w14:schemeClr w14:val="tx1"/>
            </w14:solidFill>
          </w14:textFill>
        </w:rPr>
        <w:t>/采购需求</w:t>
      </w:r>
      <w:r>
        <w:rPr>
          <w:rFonts w:hint="eastAsia" w:ascii="宋体" w:hAnsi="宋体" w:eastAsia="宋体" w:cs="宋体"/>
          <w:color w:val="000000" w:themeColor="text1"/>
          <w:sz w:val="24"/>
          <w14:textFill>
            <w14:solidFill>
              <w14:schemeClr w14:val="tx1"/>
            </w14:solidFill>
          </w14:textFill>
        </w:rPr>
        <w:t>；其他与本合同有关的资料。</w:t>
      </w:r>
    </w:p>
    <w:p w14:paraId="5AB35643">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14.</w:t>
      </w:r>
      <w:r>
        <w:rPr>
          <w:rFonts w:hint="eastAsia" w:ascii="宋体" w:hAnsi="宋体" w:eastAsia="宋体" w:cs="宋体"/>
          <w:color w:val="000000" w:themeColor="text1"/>
          <w:sz w:val="24"/>
          <w:lang w:val="en-US" w:eastAsia="zh-CN"/>
          <w14:textFill>
            <w14:solidFill>
              <w14:schemeClr w14:val="tx1"/>
            </w14:solidFill>
          </w14:textFill>
        </w:rPr>
        <w:t>3</w:t>
      </w:r>
      <w:r>
        <w:rPr>
          <w:rFonts w:hint="eastAsia" w:ascii="宋体" w:hAnsi="宋体" w:eastAsia="宋体" w:cs="宋体"/>
          <w:color w:val="000000" w:themeColor="text1"/>
          <w:sz w:val="24"/>
          <w14:textFill>
            <w14:solidFill>
              <w14:schemeClr w14:val="tx1"/>
            </w14:solidFill>
          </w14:textFill>
        </w:rPr>
        <w:t xml:space="preserve"> 本合同一式</w:t>
      </w:r>
      <w:r>
        <w:rPr>
          <w:rFonts w:hint="eastAsia" w:ascii="宋体" w:hAnsi="宋体" w:eastAsia="宋体" w:cs="宋体"/>
          <w:color w:val="000000" w:themeColor="text1"/>
          <w:sz w:val="24"/>
          <w:lang w:val="en-US" w:eastAsia="zh-CN"/>
          <w14:textFill>
            <w14:solidFill>
              <w14:schemeClr w14:val="tx1"/>
            </w14:solidFill>
          </w14:textFill>
        </w:rPr>
        <w:t>伍</w:t>
      </w:r>
      <w:r>
        <w:rPr>
          <w:rFonts w:hint="eastAsia" w:ascii="宋体" w:hAnsi="宋体" w:eastAsia="宋体" w:cs="宋体"/>
          <w:color w:val="000000" w:themeColor="text1"/>
          <w:sz w:val="24"/>
          <w14:textFill>
            <w14:solidFill>
              <w14:schemeClr w14:val="tx1"/>
            </w14:solidFill>
          </w14:textFill>
        </w:rPr>
        <w:t>份，甲方执肆份、乙方执壹份，自双方签字并盖章后生效。</w:t>
      </w:r>
    </w:p>
    <w:p w14:paraId="18644AF5">
      <w:pPr>
        <w:keepNext w:val="0"/>
        <w:keepLines w:val="0"/>
        <w:pageBreakBefore w:val="0"/>
        <w:widowControl w:val="0"/>
        <w:kinsoku/>
        <w:wordWrap/>
        <w:overflowPunct/>
        <w:topLinePunct w:val="0"/>
        <w:bidi w:val="0"/>
        <w:snapToGrid/>
        <w:spacing w:line="440" w:lineRule="exact"/>
        <w:ind w:firstLine="480" w:firstLineChars="200"/>
        <w:textAlignment w:val="auto"/>
        <w:rPr>
          <w:rFonts w:ascii="宋体" w:hAnsi="宋体" w:eastAsia="宋体" w:cs="宋体"/>
          <w:color w:val="000000" w:themeColor="text1"/>
          <w:sz w:val="24"/>
          <w14:textFill>
            <w14:solidFill>
              <w14:schemeClr w14:val="tx1"/>
            </w14:solidFill>
          </w14:textFill>
        </w:rPr>
      </w:pPr>
    </w:p>
    <w:p w14:paraId="35145729">
      <w:pPr>
        <w:keepNext w:val="0"/>
        <w:keepLines w:val="0"/>
        <w:pageBreakBefore w:val="0"/>
        <w:widowControl w:val="0"/>
        <w:kinsoku/>
        <w:wordWrap/>
        <w:overflowPunct/>
        <w:topLinePunct w:val="0"/>
        <w:bidi w:val="0"/>
        <w:snapToGrid/>
        <w:spacing w:line="520" w:lineRule="exact"/>
        <w:ind w:firstLine="0" w:firstLineChars="0"/>
        <w:textAlignment w:val="auto"/>
        <w:rPr>
          <w:rFonts w:hint="eastAsia" w:eastAsia="宋体"/>
          <w:color w:val="000000" w:themeColor="text1"/>
          <w:sz w:val="24"/>
          <w:lang w:val="en-US" w:eastAsia="zh-CN"/>
          <w14:textFill>
            <w14:solidFill>
              <w14:schemeClr w14:val="tx1"/>
            </w14:solidFill>
          </w14:textFill>
        </w:rPr>
      </w:pPr>
      <w:r>
        <w:rPr>
          <w:rFonts w:ascii="宋体" w:hAnsi="宋体" w:eastAsia="宋体" w:cs="宋体"/>
          <w:color w:val="000000" w:themeColor="text1"/>
          <w:sz w:val="24"/>
          <w14:textFill>
            <w14:solidFill>
              <w14:schemeClr w14:val="tx1"/>
            </w14:solidFill>
          </w14:textFill>
        </w:rPr>
        <w:t>甲方（盖章）：</w:t>
      </w:r>
      <w:r>
        <w:rPr>
          <w:rFonts w:hint="eastAsia" w:ascii="宋体" w:hAnsi="宋体" w:eastAsia="宋体" w:cs="宋体"/>
          <w:color w:val="000000" w:themeColor="text1"/>
          <w:sz w:val="24"/>
          <w14:textFill>
            <w14:solidFill>
              <w14:schemeClr w14:val="tx1"/>
            </w14:solidFill>
          </w14:textFill>
        </w:rPr>
        <w:t>娄底市中心医院</w:t>
      </w:r>
      <w:r>
        <w:rPr>
          <w:rFonts w:ascii="宋体" w:hAnsi="宋体" w:eastAsia="宋体" w:cs="宋体"/>
          <w:color w:val="000000" w:themeColor="text1"/>
          <w:sz w:val="24"/>
          <w14:textFill>
            <w14:solidFill>
              <w14:schemeClr w14:val="tx1"/>
            </w14:solidFill>
          </w14:textFill>
        </w:rPr>
        <w:t xml:space="preserve">    </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 xml:space="preserve"> 乙方（盖章）</w:t>
      </w:r>
      <w:r>
        <w:rPr>
          <w:rFonts w:hint="eastAsia" w:ascii="宋体" w:hAnsi="宋体" w:eastAsia="宋体" w:cs="宋体"/>
          <w:color w:val="000000" w:themeColor="text1"/>
          <w:sz w:val="24"/>
          <w14:textFill>
            <w14:solidFill>
              <w14:schemeClr w14:val="tx1"/>
            </w14:solidFill>
          </w14:textFill>
        </w:rPr>
        <w:t>：</w:t>
      </w:r>
      <w:r>
        <w:rPr>
          <w:rFonts w:hint="eastAsia" w:eastAsia="宋体"/>
          <w:color w:val="000000" w:themeColor="text1"/>
          <w:sz w:val="24"/>
          <w:lang w:val="en-US" w:eastAsia="zh-CN"/>
          <w14:textFill>
            <w14:solidFill>
              <w14:schemeClr w14:val="tx1"/>
            </w14:solidFill>
          </w14:textFill>
        </w:rPr>
        <w:t xml:space="preserve">  </w:t>
      </w:r>
    </w:p>
    <w:p w14:paraId="30F60C86">
      <w:pPr>
        <w:pStyle w:val="14"/>
        <w:keepNext w:val="0"/>
        <w:keepLines w:val="0"/>
        <w:pageBreakBefore w:val="0"/>
        <w:widowControl w:val="0"/>
        <w:kinsoku/>
        <w:wordWrap/>
        <w:overflowPunct/>
        <w:topLinePunct w:val="0"/>
        <w:bidi w:val="0"/>
        <w:snapToGrid/>
        <w:spacing w:line="520" w:lineRule="exact"/>
        <w:ind w:firstLine="0" w:firstLineChars="0"/>
        <w:textAlignment w:val="auto"/>
        <w:rPr>
          <w:rFonts w:hint="eastAsia" w:eastAsia="宋体"/>
          <w:color w:val="000000" w:themeColor="text1"/>
          <w:sz w:val="24"/>
          <w:lang w:val="en-US" w:eastAsia="zh-CN"/>
          <w14:textFill>
            <w14:solidFill>
              <w14:schemeClr w14:val="tx1"/>
            </w14:solidFill>
          </w14:textFill>
        </w:rPr>
      </w:pPr>
    </w:p>
    <w:p w14:paraId="43885106">
      <w:pPr>
        <w:keepNext w:val="0"/>
        <w:keepLines w:val="0"/>
        <w:pageBreakBefore w:val="0"/>
        <w:widowControl w:val="0"/>
        <w:kinsoku/>
        <w:wordWrap/>
        <w:overflowPunct/>
        <w:topLinePunct w:val="0"/>
        <w:bidi w:val="0"/>
        <w:snapToGrid/>
        <w:spacing w:line="520" w:lineRule="exact"/>
        <w:ind w:firstLine="0" w:firstLineChars="0"/>
        <w:textAlignment w:val="auto"/>
        <w:rPr>
          <w:rFonts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 xml:space="preserve">法定代表人（签字）：        </w:t>
      </w:r>
      <w:r>
        <w:rPr>
          <w:rFonts w:hint="eastAsia" w:ascii="宋体" w:hAnsi="宋体" w:eastAsia="宋体" w:cs="宋体"/>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 xml:space="preserve">法定代表人（签字）：  </w:t>
      </w:r>
    </w:p>
    <w:p w14:paraId="16320486">
      <w:pPr>
        <w:pStyle w:val="14"/>
        <w:keepNext w:val="0"/>
        <w:keepLines w:val="0"/>
        <w:pageBreakBefore w:val="0"/>
        <w:widowControl w:val="0"/>
        <w:kinsoku/>
        <w:wordWrap/>
        <w:overflowPunct/>
        <w:topLinePunct w:val="0"/>
        <w:bidi w:val="0"/>
        <w:snapToGrid/>
        <w:spacing w:line="520" w:lineRule="exact"/>
        <w:ind w:firstLine="0" w:firstLineChars="0"/>
        <w:textAlignment w:val="auto"/>
        <w:rPr>
          <w:rFonts w:ascii="宋体" w:hAnsi="宋体" w:eastAsia="宋体" w:cs="宋体"/>
          <w:color w:val="000000" w:themeColor="text1"/>
          <w:sz w:val="24"/>
          <w14:textFill>
            <w14:solidFill>
              <w14:schemeClr w14:val="tx1"/>
            </w14:solidFill>
          </w14:textFill>
        </w:rPr>
      </w:pPr>
    </w:p>
    <w:p w14:paraId="129CB034">
      <w:pPr>
        <w:keepNext w:val="0"/>
        <w:keepLines w:val="0"/>
        <w:pageBreakBefore w:val="0"/>
        <w:widowControl w:val="0"/>
        <w:kinsoku/>
        <w:wordWrap/>
        <w:overflowPunct/>
        <w:topLinePunct w:val="0"/>
        <w:bidi w:val="0"/>
        <w:snapToGrid/>
        <w:spacing w:line="520" w:lineRule="exact"/>
        <w:ind w:firstLine="0" w:firstLineChars="0"/>
        <w:textAlignment w:val="auto"/>
        <w:rPr>
          <w:rFonts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或</w:t>
      </w:r>
      <w:r>
        <w:rPr>
          <w:rFonts w:ascii="宋体" w:hAnsi="宋体" w:eastAsia="宋体" w:cs="宋体"/>
          <w:color w:val="000000" w:themeColor="text1"/>
          <w:sz w:val="24"/>
          <w14:textFill>
            <w14:solidFill>
              <w14:schemeClr w14:val="tx1"/>
            </w14:solidFill>
          </w14:textFill>
        </w:rPr>
        <w:t xml:space="preserve">委托代理人（签字）：        </w:t>
      </w:r>
      <w:r>
        <w:rPr>
          <w:rFonts w:hint="eastAsia" w:ascii="宋体" w:hAnsi="宋体" w:eastAsia="宋体" w:cs="宋体"/>
          <w:color w:val="000000" w:themeColor="text1"/>
          <w:sz w:val="24"/>
          <w14:textFill>
            <w14:solidFill>
              <w14:schemeClr w14:val="tx1"/>
            </w14:solidFill>
          </w14:textFill>
        </w:rPr>
        <w:t xml:space="preserve">      或</w:t>
      </w:r>
      <w:r>
        <w:rPr>
          <w:rFonts w:ascii="宋体" w:hAnsi="宋体" w:eastAsia="宋体" w:cs="宋体"/>
          <w:color w:val="000000" w:themeColor="text1"/>
          <w:sz w:val="24"/>
          <w14:textFill>
            <w14:solidFill>
              <w14:schemeClr w14:val="tx1"/>
            </w14:solidFill>
          </w14:textFill>
        </w:rPr>
        <w:t>委托代理人（签字）：</w:t>
      </w:r>
    </w:p>
    <w:p w14:paraId="0F438CB2">
      <w:pPr>
        <w:pStyle w:val="14"/>
        <w:keepNext w:val="0"/>
        <w:keepLines w:val="0"/>
        <w:pageBreakBefore w:val="0"/>
        <w:widowControl w:val="0"/>
        <w:kinsoku/>
        <w:wordWrap/>
        <w:overflowPunct/>
        <w:topLinePunct w:val="0"/>
        <w:bidi w:val="0"/>
        <w:snapToGrid/>
        <w:spacing w:line="520" w:lineRule="exact"/>
        <w:ind w:firstLine="0" w:firstLineChars="0"/>
        <w:textAlignment w:val="auto"/>
        <w:rPr>
          <w:rFonts w:ascii="宋体" w:hAnsi="宋体" w:eastAsia="宋体" w:cs="宋体"/>
          <w:color w:val="000000" w:themeColor="text1"/>
          <w:sz w:val="24"/>
          <w14:textFill>
            <w14:solidFill>
              <w14:schemeClr w14:val="tx1"/>
            </w14:solidFill>
          </w14:textFill>
        </w:rPr>
      </w:pPr>
    </w:p>
    <w:p w14:paraId="3B5C08D3">
      <w:pPr>
        <w:keepNext w:val="0"/>
        <w:keepLines w:val="0"/>
        <w:pageBreakBefore w:val="0"/>
        <w:widowControl w:val="0"/>
        <w:kinsoku/>
        <w:wordWrap/>
        <w:overflowPunct/>
        <w:topLinePunct w:val="0"/>
        <w:bidi w:val="0"/>
        <w:snapToGrid/>
        <w:spacing w:line="520" w:lineRule="exact"/>
        <w:ind w:firstLine="0" w:firstLineChars="0"/>
        <w:textAlignment w:val="auto"/>
        <w:rPr>
          <w:rFonts w:hint="eastAsia" w:ascii="宋体" w:hAnsi="宋体" w:eastAsia="宋体" w:cs="宋体"/>
          <w:color w:val="000000" w:themeColor="text1"/>
          <w:sz w:val="24"/>
          <w14:textFill>
            <w14:solidFill>
              <w14:schemeClr w14:val="tx1"/>
            </w14:solidFill>
          </w14:textFill>
        </w:rPr>
      </w:pPr>
      <w:r>
        <w:rPr>
          <w:rFonts w:ascii="宋体" w:hAnsi="宋体" w:eastAsia="宋体" w:cs="宋体"/>
          <w:color w:val="000000" w:themeColor="text1"/>
          <w:sz w:val="24"/>
          <w14:textFill>
            <w14:solidFill>
              <w14:schemeClr w14:val="tx1"/>
            </w14:solidFill>
          </w14:textFill>
        </w:rPr>
        <w:t>合同签订地</w:t>
      </w:r>
      <w:r>
        <w:rPr>
          <w:rFonts w:hint="eastAsia" w:ascii="宋体" w:hAnsi="宋体" w:eastAsia="宋体" w:cs="宋体"/>
          <w:color w:val="000000" w:themeColor="text1"/>
          <w:sz w:val="24"/>
          <w14:textFill>
            <w14:solidFill>
              <w14:schemeClr w14:val="tx1"/>
            </w14:solidFill>
          </w14:textFill>
        </w:rPr>
        <w:t>履行地</w:t>
      </w:r>
      <w:r>
        <w:rPr>
          <w:rFonts w:ascii="宋体" w:hAnsi="宋体" w:eastAsia="宋体" w:cs="宋体"/>
          <w:color w:val="000000" w:themeColor="text1"/>
          <w:sz w:val="24"/>
          <w14:textFill>
            <w14:solidFill>
              <w14:schemeClr w14:val="tx1"/>
            </w14:solidFill>
          </w14:textFill>
        </w:rPr>
        <w:t xml:space="preserve">：娄底市娄星区 </w:t>
      </w:r>
      <w:r>
        <w:rPr>
          <w:rFonts w:hint="eastAsia" w:ascii="宋体" w:hAnsi="宋体" w:eastAsia="宋体" w:cs="宋体"/>
          <w:color w:val="000000" w:themeColor="text1"/>
          <w:sz w:val="24"/>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签订时间：</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hint="eastAsia" w:ascii="宋体" w:hAnsi="宋体" w:eastAsia="宋体" w:cs="宋体"/>
          <w:color w:val="000000" w:themeColor="text1"/>
          <w:sz w:val="24"/>
          <w14:textFill>
            <w14:solidFill>
              <w14:schemeClr w14:val="tx1"/>
            </w14:solidFill>
          </w14:textFill>
        </w:rPr>
        <w:t xml:space="preserve"> </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年</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月</w:t>
      </w:r>
      <w:r>
        <w:rPr>
          <w:rFonts w:hint="eastAsia" w:ascii="宋体" w:hAnsi="宋体" w:eastAsia="宋体" w:cs="宋体"/>
          <w:color w:val="000000" w:themeColor="text1"/>
          <w:sz w:val="24"/>
          <w:lang w:val="en-US" w:eastAsia="zh-CN"/>
          <w14:textFill>
            <w14:solidFill>
              <w14:schemeClr w14:val="tx1"/>
            </w14:solidFill>
          </w14:textFill>
        </w:rPr>
        <w:t xml:space="preserve">  </w:t>
      </w:r>
      <w:r>
        <w:rPr>
          <w:rFonts w:ascii="宋体" w:hAnsi="宋体" w:eastAsia="宋体" w:cs="宋体"/>
          <w:color w:val="000000" w:themeColor="text1"/>
          <w:sz w:val="24"/>
          <w14:textFill>
            <w14:solidFill>
              <w14:schemeClr w14:val="tx1"/>
            </w14:solidFill>
          </w14:textFill>
        </w:rPr>
        <w:t>日</w:t>
      </w:r>
    </w:p>
    <w:p w14:paraId="18E2F7E1">
      <w:pPr>
        <w:spacing w:line="480" w:lineRule="exact"/>
        <w:rPr>
          <w:rFonts w:hint="eastAsia" w:ascii="黑体" w:hAnsi="黑体" w:eastAsia="黑体" w:cs="黑体"/>
          <w:sz w:val="32"/>
          <w:szCs w:val="32"/>
        </w:rPr>
      </w:pPr>
    </w:p>
    <w:p w14:paraId="3BF8961A">
      <w:pPr>
        <w:spacing w:line="480" w:lineRule="exact"/>
        <w:rPr>
          <w:rFonts w:hint="eastAsia" w:ascii="黑体" w:hAnsi="黑体" w:eastAsia="黑体" w:cs="黑体"/>
          <w:sz w:val="32"/>
          <w:szCs w:val="32"/>
        </w:rPr>
      </w:pPr>
    </w:p>
    <w:p w14:paraId="7884D0C3">
      <w:pPr>
        <w:spacing w:line="480" w:lineRule="exact"/>
        <w:rPr>
          <w:rFonts w:hint="eastAsia" w:ascii="黑体" w:hAnsi="黑体" w:eastAsia="黑体" w:cs="黑体"/>
          <w:sz w:val="32"/>
          <w:szCs w:val="32"/>
        </w:rPr>
      </w:pPr>
    </w:p>
    <w:p w14:paraId="6F2B6D3E">
      <w:pPr>
        <w:spacing w:line="480" w:lineRule="exact"/>
        <w:rPr>
          <w:rFonts w:hint="eastAsia" w:ascii="黑体" w:hAnsi="黑体" w:eastAsia="黑体" w:cs="黑体"/>
          <w:sz w:val="32"/>
          <w:szCs w:val="32"/>
        </w:rPr>
      </w:pPr>
    </w:p>
    <w:p w14:paraId="2CA3B433">
      <w:pPr>
        <w:spacing w:line="480" w:lineRule="exact"/>
        <w:rPr>
          <w:rFonts w:hint="eastAsia" w:ascii="黑体" w:hAnsi="黑体" w:eastAsia="黑体" w:cs="黑体"/>
          <w:sz w:val="32"/>
          <w:szCs w:val="32"/>
        </w:rPr>
      </w:pPr>
    </w:p>
    <w:p w14:paraId="20B7AE6B">
      <w:pPr>
        <w:spacing w:line="480" w:lineRule="exact"/>
        <w:rPr>
          <w:rFonts w:hint="eastAsia" w:ascii="黑体" w:hAnsi="黑体" w:eastAsia="黑体" w:cs="黑体"/>
          <w:sz w:val="32"/>
          <w:szCs w:val="32"/>
        </w:rPr>
      </w:pPr>
    </w:p>
    <w:p w14:paraId="764B8DD9">
      <w:pPr>
        <w:spacing w:line="480" w:lineRule="exact"/>
        <w:rPr>
          <w:rFonts w:hint="eastAsia" w:ascii="黑体" w:hAnsi="黑体" w:eastAsia="黑体" w:cs="黑体"/>
          <w:sz w:val="32"/>
          <w:szCs w:val="32"/>
        </w:rPr>
      </w:pPr>
    </w:p>
    <w:p w14:paraId="6B06F021">
      <w:pPr>
        <w:spacing w:line="480" w:lineRule="exact"/>
        <w:rPr>
          <w:rFonts w:hint="eastAsia" w:ascii="黑体" w:hAnsi="黑体" w:eastAsia="黑体" w:cs="黑体"/>
          <w:sz w:val="32"/>
          <w:szCs w:val="32"/>
        </w:rPr>
      </w:pPr>
      <w:r>
        <w:rPr>
          <w:rFonts w:ascii="宋体" w:hAnsi="宋体" w:eastAsia="宋体" w:cs="宋体"/>
          <w:sz w:val="24"/>
        </w:rPr>
        <w:drawing>
          <wp:anchor distT="0" distB="0" distL="114300" distR="114300" simplePos="0" relativeHeight="251659264" behindDoc="0" locked="0" layoutInCell="1" allowOverlap="1">
            <wp:simplePos x="0" y="0"/>
            <wp:positionH relativeFrom="column">
              <wp:posOffset>38100</wp:posOffset>
            </wp:positionH>
            <wp:positionV relativeFrom="paragraph">
              <wp:posOffset>377190</wp:posOffset>
            </wp:positionV>
            <wp:extent cx="5615305" cy="7988935"/>
            <wp:effectExtent l="0" t="0" r="4445" b="12065"/>
            <wp:wrapSquare wrapText="bothSides"/>
            <wp:docPr id="5" name="图片 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
                    <pic:cNvPicPr>
                      <a:picLocks noChangeAspect="1"/>
                    </pic:cNvPicPr>
                  </pic:nvPicPr>
                  <pic:blipFill>
                    <a:blip r:embed="rId7"/>
                    <a:stretch>
                      <a:fillRect/>
                    </a:stretch>
                  </pic:blipFill>
                  <pic:spPr>
                    <a:xfrm>
                      <a:off x="0" y="0"/>
                      <a:ext cx="5615305" cy="7988935"/>
                    </a:xfrm>
                    <a:prstGeom prst="rect">
                      <a:avLst/>
                    </a:prstGeom>
                  </pic:spPr>
                </pic:pic>
              </a:graphicData>
            </a:graphic>
          </wp:anchor>
        </w:drawing>
      </w:r>
      <w:r>
        <w:rPr>
          <w:rFonts w:hint="eastAsia" w:ascii="黑体" w:hAnsi="黑体" w:eastAsia="黑体" w:cs="黑体"/>
          <w:sz w:val="32"/>
          <w:szCs w:val="32"/>
        </w:rPr>
        <w:t>附件：</w:t>
      </w:r>
    </w:p>
    <w:p w14:paraId="227001E0">
      <w:pPr>
        <w:spacing w:line="480" w:lineRule="exact"/>
        <w:rPr>
          <w:rFonts w:hint="eastAsia" w:ascii="宋体" w:hAnsi="宋体" w:eastAsia="宋体" w:cs="宋体"/>
          <w:sz w:val="24"/>
        </w:rPr>
      </w:pPr>
    </w:p>
    <w:p w14:paraId="55002253">
      <w:pPr>
        <w:spacing w:line="480" w:lineRule="exact"/>
        <w:rPr>
          <w:rFonts w:hint="eastAsia" w:ascii="宋体" w:hAnsi="宋体" w:eastAsia="宋体" w:cs="宋体"/>
          <w:sz w:val="24"/>
        </w:rPr>
      </w:pPr>
    </w:p>
    <w:p w14:paraId="2848D38D">
      <w:pPr>
        <w:spacing w:line="480" w:lineRule="exact"/>
        <w:rPr>
          <w:rFonts w:hint="eastAsia" w:ascii="宋体" w:hAnsi="宋体" w:eastAsia="宋体" w:cs="宋体"/>
          <w:sz w:val="24"/>
        </w:rPr>
      </w:pPr>
    </w:p>
    <w:p w14:paraId="1609F11D">
      <w:pPr>
        <w:spacing w:line="480" w:lineRule="exact"/>
        <w:rPr>
          <w:rFonts w:hint="eastAsia" w:ascii="宋体" w:hAnsi="宋体" w:eastAsia="宋体" w:cs="宋体"/>
          <w:sz w:val="24"/>
        </w:rPr>
      </w:pPr>
    </w:p>
    <w:p w14:paraId="5531761F">
      <w:pPr>
        <w:spacing w:line="480" w:lineRule="exact"/>
        <w:rPr>
          <w:rFonts w:hint="eastAsia" w:ascii="宋体" w:hAnsi="宋体" w:eastAsia="宋体" w:cs="宋体"/>
          <w:sz w:val="24"/>
        </w:rPr>
      </w:pPr>
    </w:p>
    <w:p w14:paraId="1D5C0BF1">
      <w:pPr>
        <w:spacing w:line="480" w:lineRule="exact"/>
        <w:rPr>
          <w:rFonts w:hint="eastAsia" w:ascii="宋体" w:hAnsi="宋体" w:eastAsia="宋体" w:cs="宋体"/>
          <w:sz w:val="24"/>
        </w:rPr>
      </w:pPr>
    </w:p>
    <w:p w14:paraId="33EAFCC5">
      <w:pPr>
        <w:spacing w:line="480" w:lineRule="exact"/>
        <w:rPr>
          <w:rFonts w:hint="eastAsia" w:ascii="宋体" w:hAnsi="宋体" w:eastAsia="宋体" w:cs="宋体"/>
          <w:sz w:val="24"/>
        </w:rPr>
      </w:pPr>
    </w:p>
    <w:p w14:paraId="0DAE4335">
      <w:pPr>
        <w:spacing w:line="480" w:lineRule="exact"/>
        <w:rPr>
          <w:rFonts w:hint="eastAsia" w:ascii="宋体" w:hAnsi="宋体" w:eastAsia="宋体" w:cs="宋体"/>
          <w:sz w:val="24"/>
        </w:rPr>
      </w:pPr>
    </w:p>
    <w:p w14:paraId="34A2261D">
      <w:pPr>
        <w:spacing w:line="480" w:lineRule="exact"/>
        <w:rPr>
          <w:rFonts w:hint="eastAsia" w:ascii="宋体" w:hAnsi="宋体" w:eastAsia="宋体" w:cs="宋体"/>
          <w:sz w:val="24"/>
        </w:rPr>
      </w:pPr>
    </w:p>
    <w:p w14:paraId="113A1CF0">
      <w:pPr>
        <w:spacing w:line="480" w:lineRule="exact"/>
        <w:rPr>
          <w:rFonts w:hint="eastAsia" w:ascii="宋体" w:hAnsi="宋体" w:eastAsia="宋体" w:cs="宋体"/>
          <w:sz w:val="24"/>
        </w:rPr>
      </w:pPr>
    </w:p>
    <w:p w14:paraId="59E42C74">
      <w:pPr>
        <w:spacing w:line="480" w:lineRule="exact"/>
        <w:rPr>
          <w:rFonts w:hint="eastAsia" w:ascii="宋体" w:hAnsi="宋体" w:eastAsia="宋体" w:cs="宋体"/>
          <w:sz w:val="24"/>
        </w:rPr>
      </w:pPr>
    </w:p>
    <w:p w14:paraId="1D205281">
      <w:pPr>
        <w:spacing w:line="480" w:lineRule="exact"/>
        <w:rPr>
          <w:rFonts w:hint="eastAsia" w:ascii="宋体" w:hAnsi="宋体" w:eastAsia="宋体" w:cs="宋体"/>
          <w:sz w:val="24"/>
        </w:rPr>
      </w:pPr>
    </w:p>
    <w:p w14:paraId="588942DA">
      <w:pPr>
        <w:spacing w:line="480" w:lineRule="exact"/>
        <w:rPr>
          <w:rFonts w:hint="eastAsia" w:ascii="宋体" w:hAnsi="宋体" w:eastAsia="宋体" w:cs="宋体"/>
          <w:sz w:val="24"/>
        </w:rPr>
      </w:pPr>
    </w:p>
    <w:p w14:paraId="14EEB465">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2336" behindDoc="0" locked="0" layoutInCell="1" allowOverlap="1">
            <wp:simplePos x="0" y="0"/>
            <wp:positionH relativeFrom="column">
              <wp:posOffset>-116840</wp:posOffset>
            </wp:positionH>
            <wp:positionV relativeFrom="paragraph">
              <wp:posOffset>1338580</wp:posOffset>
            </wp:positionV>
            <wp:extent cx="5888990" cy="8423910"/>
            <wp:effectExtent l="0" t="0" r="16510" b="15240"/>
            <wp:wrapTopAndBottom/>
            <wp:docPr id="4" name="图片 4"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
                    <pic:cNvPicPr>
                      <a:picLocks noChangeAspect="1"/>
                    </pic:cNvPicPr>
                  </pic:nvPicPr>
                  <pic:blipFill>
                    <a:blip r:embed="rId8"/>
                    <a:stretch>
                      <a:fillRect/>
                    </a:stretch>
                  </pic:blipFill>
                  <pic:spPr>
                    <a:xfrm>
                      <a:off x="0" y="0"/>
                      <a:ext cx="5888990" cy="8423910"/>
                    </a:xfrm>
                    <a:prstGeom prst="rect">
                      <a:avLst/>
                    </a:prstGeom>
                  </pic:spPr>
                </pic:pic>
              </a:graphicData>
            </a:graphic>
          </wp:anchor>
        </w:drawing>
      </w:r>
    </w:p>
    <w:p w14:paraId="58EBEBF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25853652">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67EF959B">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p>
    <w:p w14:paraId="570641E6">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3360" behindDoc="0" locked="0" layoutInCell="1" allowOverlap="1">
            <wp:simplePos x="0" y="0"/>
            <wp:positionH relativeFrom="column">
              <wp:posOffset>-38100</wp:posOffset>
            </wp:positionH>
            <wp:positionV relativeFrom="paragraph">
              <wp:posOffset>224790</wp:posOffset>
            </wp:positionV>
            <wp:extent cx="5995670" cy="8456930"/>
            <wp:effectExtent l="0" t="0" r="5080" b="1270"/>
            <wp:wrapSquare wrapText="bothSides"/>
            <wp:docPr id="9" name="图片 9"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3"/>
                    <pic:cNvPicPr>
                      <a:picLocks noChangeAspect="1"/>
                    </pic:cNvPicPr>
                  </pic:nvPicPr>
                  <pic:blipFill>
                    <a:blip r:embed="rId9"/>
                    <a:stretch>
                      <a:fillRect/>
                    </a:stretch>
                  </pic:blipFill>
                  <pic:spPr>
                    <a:xfrm>
                      <a:off x="647700" y="1139190"/>
                      <a:ext cx="5995670" cy="8456930"/>
                    </a:xfrm>
                    <a:prstGeom prst="rect">
                      <a:avLst/>
                    </a:prstGeom>
                  </pic:spPr>
                </pic:pic>
              </a:graphicData>
            </a:graphic>
          </wp:anchor>
        </w:drawing>
      </w:r>
    </w:p>
    <w:p w14:paraId="3076A3B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ascii="宋体" w:hAnsi="宋体" w:eastAsia="宋体" w:cs="宋体"/>
          <w:color w:val="auto"/>
          <w:sz w:val="24"/>
          <w:szCs w:val="24"/>
          <w:lang w:val="en-US" w:eastAsia="zh-CN"/>
        </w:rPr>
      </w:pPr>
      <w:r>
        <w:rPr>
          <w:rFonts w:ascii="宋体" w:hAnsi="宋体" w:eastAsia="宋体" w:cs="宋体"/>
          <w:sz w:val="24"/>
        </w:rPr>
        <w:drawing>
          <wp:anchor distT="0" distB="0" distL="114300" distR="114300" simplePos="0" relativeHeight="251661312" behindDoc="0" locked="0" layoutInCell="1" allowOverlap="1">
            <wp:simplePos x="0" y="0"/>
            <wp:positionH relativeFrom="column">
              <wp:posOffset>236220</wp:posOffset>
            </wp:positionH>
            <wp:positionV relativeFrom="paragraph">
              <wp:posOffset>113030</wp:posOffset>
            </wp:positionV>
            <wp:extent cx="5976620" cy="8301355"/>
            <wp:effectExtent l="0" t="0" r="5080" b="4445"/>
            <wp:wrapSquare wrapText="bothSides"/>
            <wp:docPr id="10" name="图片 10"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4"/>
                    <pic:cNvPicPr>
                      <a:picLocks noChangeAspect="1"/>
                    </pic:cNvPicPr>
                  </pic:nvPicPr>
                  <pic:blipFill>
                    <a:blip r:embed="rId10"/>
                    <a:stretch>
                      <a:fillRect/>
                    </a:stretch>
                  </pic:blipFill>
                  <pic:spPr>
                    <a:xfrm>
                      <a:off x="0" y="0"/>
                      <a:ext cx="5976620" cy="8301355"/>
                    </a:xfrm>
                    <a:prstGeom prst="rect">
                      <a:avLst/>
                    </a:prstGeom>
                  </pic:spPr>
                </pic:pic>
              </a:graphicData>
            </a:graphic>
          </wp:anchor>
        </w:drawing>
      </w:r>
    </w:p>
    <w:p w14:paraId="3C23EC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color w:val="auto"/>
          <w:sz w:val="44"/>
          <w:szCs w:val="44"/>
          <w:lang w:val="en-US" w:eastAsia="zh-CN"/>
        </w:rPr>
      </w:pPr>
      <w:bookmarkStart w:id="1" w:name="_Toc16523574"/>
      <w:r>
        <w:rPr>
          <w:rFonts w:hint="eastAsia" w:ascii="方正小标宋简体" w:hAnsi="方正小标宋简体" w:eastAsia="方正小标宋简体" w:cs="方正小标宋简体"/>
          <w:color w:val="auto"/>
          <w:sz w:val="44"/>
          <w:szCs w:val="44"/>
          <w:lang w:val="en-US" w:eastAsia="zh-CN"/>
        </w:rPr>
        <w:t>第三章</w:t>
      </w:r>
      <w:bookmarkStart w:id="2" w:name="_Toc16523573"/>
      <w:r>
        <w:rPr>
          <w:rFonts w:hint="eastAsia" w:ascii="方正小标宋简体" w:hAnsi="方正小标宋简体" w:eastAsia="方正小标宋简体" w:cs="方正小标宋简体"/>
          <w:color w:val="auto"/>
          <w:sz w:val="44"/>
          <w:szCs w:val="44"/>
          <w:lang w:val="en-US" w:eastAsia="zh-CN"/>
        </w:rPr>
        <w:t>评标方法及标准</w:t>
      </w:r>
      <w:bookmarkEnd w:id="2"/>
    </w:p>
    <w:p w14:paraId="6BB39785">
      <w:pPr>
        <w:jc w:val="center"/>
        <w:rPr>
          <w:rFonts w:hint="eastAsia" w:ascii="仿宋" w:hAnsi="仿宋" w:eastAsia="仿宋" w:cs="仿宋"/>
          <w:sz w:val="24"/>
          <w:szCs w:val="24"/>
        </w:rPr>
      </w:pPr>
      <w:r>
        <w:rPr>
          <w:rFonts w:hint="eastAsia" w:ascii="仿宋" w:hAnsi="仿宋" w:eastAsia="仿宋" w:cs="仿宋"/>
          <w:sz w:val="24"/>
          <w:szCs w:val="24"/>
        </w:rPr>
        <w:t>本采购项目的权值见下表</w:t>
      </w:r>
    </w:p>
    <w:tbl>
      <w:tblPr>
        <w:tblStyle w:val="15"/>
        <w:tblW w:w="8868"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24"/>
        <w:gridCol w:w="4705"/>
        <w:gridCol w:w="3439"/>
      </w:tblGrid>
      <w:tr w14:paraId="45E83D6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9" w:hRule="exact"/>
          <w:jc w:val="center"/>
        </w:trPr>
        <w:tc>
          <w:tcPr>
            <w:tcW w:w="724" w:type="dxa"/>
            <w:tcBorders>
              <w:top w:val="double" w:color="auto" w:sz="4" w:space="0"/>
              <w:left w:val="double" w:color="auto" w:sz="4" w:space="0"/>
              <w:bottom w:val="single" w:color="auto" w:sz="6" w:space="0"/>
              <w:right w:val="single" w:color="auto" w:sz="6" w:space="0"/>
            </w:tcBorders>
            <w:noWrap w:val="0"/>
            <w:vAlign w:val="center"/>
          </w:tcPr>
          <w:p w14:paraId="311A08B8">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序号</w:t>
            </w:r>
          </w:p>
        </w:tc>
        <w:tc>
          <w:tcPr>
            <w:tcW w:w="4705" w:type="dxa"/>
            <w:tcBorders>
              <w:top w:val="double" w:color="auto" w:sz="4" w:space="0"/>
              <w:left w:val="single" w:color="auto" w:sz="6" w:space="0"/>
              <w:bottom w:val="single" w:color="auto" w:sz="6" w:space="0"/>
              <w:right w:val="single" w:color="auto" w:sz="6" w:space="0"/>
            </w:tcBorders>
            <w:noWrap w:val="0"/>
            <w:vAlign w:val="center"/>
          </w:tcPr>
          <w:p w14:paraId="32FC8297">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项     目</w:t>
            </w:r>
          </w:p>
        </w:tc>
        <w:tc>
          <w:tcPr>
            <w:tcW w:w="3439" w:type="dxa"/>
            <w:tcBorders>
              <w:top w:val="double" w:color="auto" w:sz="4" w:space="0"/>
              <w:left w:val="single" w:color="auto" w:sz="6" w:space="0"/>
              <w:bottom w:val="single" w:color="auto" w:sz="6" w:space="0"/>
              <w:right w:val="double" w:color="auto" w:sz="4" w:space="0"/>
            </w:tcBorders>
            <w:noWrap w:val="0"/>
            <w:vAlign w:val="center"/>
          </w:tcPr>
          <w:p w14:paraId="7E7C4B3E">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权值的取值</w:t>
            </w:r>
          </w:p>
        </w:tc>
      </w:tr>
      <w:tr w14:paraId="1E4060D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95"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50304112">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1</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59E5B0DB">
            <w:pPr>
              <w:jc w:val="center"/>
              <w:rPr>
                <w:rFonts w:hint="eastAsia" w:ascii="仿宋" w:hAnsi="仿宋" w:eastAsia="仿宋" w:cs="仿宋"/>
                <w:sz w:val="24"/>
                <w:szCs w:val="24"/>
                <w:lang w:val="ru-RU"/>
              </w:rPr>
            </w:pPr>
            <w:r>
              <w:rPr>
                <w:rFonts w:hint="eastAsia" w:ascii="仿宋" w:hAnsi="仿宋" w:eastAsia="仿宋" w:cs="仿宋"/>
                <w:sz w:val="24"/>
                <w:szCs w:val="24"/>
                <w:lang w:val="ru-RU" w:eastAsia="ru-RU"/>
              </w:rPr>
              <w:t>报价</w:t>
            </w:r>
            <w:r>
              <w:rPr>
                <w:rFonts w:hint="eastAsia" w:ascii="仿宋" w:hAnsi="仿宋" w:eastAsia="仿宋" w:cs="仿宋"/>
                <w:sz w:val="24"/>
                <w:szCs w:val="24"/>
                <w:lang w:val="ru-RU"/>
              </w:rPr>
              <w:t>（A1）</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70CD61DC">
            <w:pPr>
              <w:jc w:val="center"/>
              <w:rPr>
                <w:rFonts w:hint="eastAsia" w:ascii="仿宋" w:hAnsi="仿宋" w:eastAsia="仿宋" w:cs="仿宋"/>
                <w:sz w:val="24"/>
                <w:szCs w:val="24"/>
              </w:rPr>
            </w:pPr>
            <w:r>
              <w:rPr>
                <w:rFonts w:hint="eastAsia" w:ascii="仿宋" w:hAnsi="仿宋" w:eastAsia="仿宋" w:cs="仿宋"/>
                <w:sz w:val="24"/>
                <w:szCs w:val="24"/>
              </w:rPr>
              <w:t>50%（</w:t>
            </w:r>
            <w:r>
              <w:rPr>
                <w:rFonts w:hint="eastAsia" w:ascii="仿宋" w:hAnsi="仿宋" w:eastAsia="仿宋" w:cs="仿宋"/>
                <w:color w:val="FF0000"/>
                <w:sz w:val="24"/>
                <w:szCs w:val="24"/>
              </w:rPr>
              <w:t>设备</w:t>
            </w:r>
            <w:r>
              <w:rPr>
                <w:rFonts w:hint="eastAsia" w:ascii="仿宋" w:hAnsi="仿宋" w:eastAsia="仿宋" w:cs="仿宋"/>
                <w:color w:val="FF0000"/>
                <w:sz w:val="24"/>
                <w:szCs w:val="24"/>
                <w:lang w:val="en-US" w:eastAsia="zh-CN"/>
              </w:rPr>
              <w:t>45</w:t>
            </w:r>
            <w:r>
              <w:rPr>
                <w:rFonts w:hint="eastAsia" w:ascii="仿宋" w:hAnsi="仿宋" w:eastAsia="仿宋" w:cs="仿宋"/>
                <w:color w:val="FF0000"/>
                <w:sz w:val="24"/>
                <w:szCs w:val="24"/>
              </w:rPr>
              <w:t>%+专机耗材</w:t>
            </w:r>
            <w:r>
              <w:rPr>
                <w:rFonts w:hint="eastAsia" w:ascii="仿宋" w:hAnsi="仿宋" w:eastAsia="仿宋" w:cs="仿宋"/>
                <w:color w:val="FF0000"/>
                <w:sz w:val="24"/>
                <w:szCs w:val="24"/>
                <w:lang w:val="en-US" w:eastAsia="zh-CN"/>
              </w:rPr>
              <w:t>5</w:t>
            </w:r>
            <w:r>
              <w:rPr>
                <w:rFonts w:hint="eastAsia" w:ascii="仿宋" w:hAnsi="仿宋" w:eastAsia="仿宋" w:cs="仿宋"/>
                <w:color w:val="FF0000"/>
                <w:sz w:val="24"/>
                <w:szCs w:val="24"/>
              </w:rPr>
              <w:t>%</w:t>
            </w:r>
            <w:r>
              <w:rPr>
                <w:rFonts w:hint="eastAsia" w:ascii="仿宋" w:hAnsi="仿宋" w:eastAsia="仿宋" w:cs="仿宋"/>
                <w:sz w:val="24"/>
                <w:szCs w:val="24"/>
              </w:rPr>
              <w:t>）</w:t>
            </w:r>
          </w:p>
        </w:tc>
      </w:tr>
      <w:tr w14:paraId="3D8FD6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17EC4995">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2</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59105BC9">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技术</w:t>
            </w:r>
            <w:r>
              <w:rPr>
                <w:rFonts w:hint="eastAsia" w:ascii="仿宋" w:hAnsi="仿宋" w:eastAsia="仿宋" w:cs="仿宋"/>
                <w:sz w:val="24"/>
                <w:szCs w:val="24"/>
                <w:lang w:val="ru-RU"/>
              </w:rPr>
              <w:t>（A2）</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1A6814C5">
            <w:pPr>
              <w:jc w:val="center"/>
              <w:rPr>
                <w:rFonts w:hint="eastAsia" w:ascii="仿宋" w:hAnsi="仿宋" w:eastAsia="仿宋" w:cs="仿宋"/>
                <w:sz w:val="24"/>
                <w:szCs w:val="24"/>
              </w:rPr>
            </w:pPr>
            <w:r>
              <w:rPr>
                <w:rFonts w:hint="eastAsia" w:ascii="仿宋" w:hAnsi="仿宋" w:eastAsia="仿宋" w:cs="仿宋"/>
                <w:sz w:val="24"/>
                <w:szCs w:val="24"/>
              </w:rPr>
              <w:t>40%</w:t>
            </w:r>
          </w:p>
        </w:tc>
      </w:tr>
      <w:tr w14:paraId="082652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724" w:type="dxa"/>
            <w:tcBorders>
              <w:top w:val="single" w:color="auto" w:sz="6" w:space="0"/>
              <w:left w:val="double" w:color="auto" w:sz="4" w:space="0"/>
              <w:bottom w:val="single" w:color="auto" w:sz="6" w:space="0"/>
              <w:right w:val="single" w:color="auto" w:sz="6" w:space="0"/>
            </w:tcBorders>
            <w:noWrap w:val="0"/>
            <w:vAlign w:val="center"/>
          </w:tcPr>
          <w:p w14:paraId="539F7A26">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eastAsia="ru-RU"/>
              </w:rPr>
              <w:t>3</w:t>
            </w:r>
          </w:p>
        </w:tc>
        <w:tc>
          <w:tcPr>
            <w:tcW w:w="4705" w:type="dxa"/>
            <w:tcBorders>
              <w:top w:val="single" w:color="auto" w:sz="6" w:space="0"/>
              <w:left w:val="single" w:color="auto" w:sz="6" w:space="0"/>
              <w:bottom w:val="single" w:color="auto" w:sz="6" w:space="0"/>
              <w:right w:val="single" w:color="auto" w:sz="6" w:space="0"/>
            </w:tcBorders>
            <w:noWrap w:val="0"/>
            <w:vAlign w:val="center"/>
          </w:tcPr>
          <w:p w14:paraId="3C9FEB03">
            <w:pPr>
              <w:jc w:val="center"/>
              <w:rPr>
                <w:rFonts w:hint="eastAsia" w:ascii="仿宋" w:hAnsi="仿宋" w:eastAsia="仿宋" w:cs="仿宋"/>
                <w:sz w:val="24"/>
                <w:szCs w:val="24"/>
                <w:lang w:val="ru-RU"/>
              </w:rPr>
            </w:pPr>
            <w:r>
              <w:rPr>
                <w:rFonts w:hint="eastAsia" w:ascii="仿宋" w:hAnsi="仿宋" w:eastAsia="仿宋" w:cs="仿宋"/>
                <w:sz w:val="24"/>
                <w:szCs w:val="24"/>
                <w:lang w:val="ru-RU"/>
              </w:rPr>
              <w:t>商务（A3）</w:t>
            </w:r>
          </w:p>
        </w:tc>
        <w:tc>
          <w:tcPr>
            <w:tcW w:w="3439" w:type="dxa"/>
            <w:tcBorders>
              <w:top w:val="single" w:color="auto" w:sz="6" w:space="0"/>
              <w:left w:val="single" w:color="auto" w:sz="6" w:space="0"/>
              <w:bottom w:val="single" w:color="auto" w:sz="6" w:space="0"/>
              <w:right w:val="double" w:color="auto" w:sz="4" w:space="0"/>
            </w:tcBorders>
            <w:noWrap w:val="0"/>
            <w:vAlign w:val="center"/>
          </w:tcPr>
          <w:p w14:paraId="6BDF92C6">
            <w:pPr>
              <w:jc w:val="center"/>
              <w:rPr>
                <w:rFonts w:hint="eastAsia" w:ascii="仿宋" w:hAnsi="仿宋" w:eastAsia="仿宋" w:cs="仿宋"/>
                <w:sz w:val="24"/>
                <w:szCs w:val="24"/>
              </w:rPr>
            </w:pPr>
            <w:r>
              <w:rPr>
                <w:rFonts w:hint="eastAsia" w:ascii="仿宋" w:hAnsi="仿宋" w:eastAsia="仿宋" w:cs="仿宋"/>
                <w:sz w:val="24"/>
                <w:szCs w:val="24"/>
              </w:rPr>
              <w:t>10%</w:t>
            </w:r>
          </w:p>
        </w:tc>
      </w:tr>
      <w:tr w14:paraId="58AEBBA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5429" w:type="dxa"/>
            <w:gridSpan w:val="2"/>
            <w:tcBorders>
              <w:top w:val="single" w:color="auto" w:sz="6" w:space="0"/>
              <w:left w:val="double" w:color="auto" w:sz="4" w:space="0"/>
              <w:bottom w:val="double" w:color="auto" w:sz="4" w:space="0"/>
              <w:right w:val="single" w:color="auto" w:sz="6" w:space="0"/>
            </w:tcBorders>
            <w:noWrap w:val="0"/>
            <w:vAlign w:val="center"/>
          </w:tcPr>
          <w:p w14:paraId="1C8DD142">
            <w:pPr>
              <w:jc w:val="center"/>
              <w:rPr>
                <w:rFonts w:hint="eastAsia" w:ascii="仿宋" w:hAnsi="仿宋" w:eastAsia="仿宋" w:cs="仿宋"/>
                <w:sz w:val="24"/>
                <w:szCs w:val="24"/>
                <w:lang w:val="ru-RU" w:eastAsia="ru-RU"/>
              </w:rPr>
            </w:pPr>
            <w:r>
              <w:rPr>
                <w:rFonts w:hint="eastAsia" w:ascii="仿宋" w:hAnsi="仿宋" w:eastAsia="仿宋" w:cs="仿宋"/>
                <w:sz w:val="24"/>
                <w:szCs w:val="24"/>
                <w:lang w:val="ru-RU"/>
              </w:rPr>
              <w:t>合计</w:t>
            </w:r>
          </w:p>
        </w:tc>
        <w:tc>
          <w:tcPr>
            <w:tcW w:w="3439" w:type="dxa"/>
            <w:tcBorders>
              <w:top w:val="single" w:color="auto" w:sz="6" w:space="0"/>
              <w:left w:val="single" w:color="auto" w:sz="6" w:space="0"/>
              <w:bottom w:val="double" w:color="auto" w:sz="4" w:space="0"/>
              <w:right w:val="double" w:color="auto" w:sz="4" w:space="0"/>
            </w:tcBorders>
            <w:noWrap w:val="0"/>
            <w:vAlign w:val="center"/>
          </w:tcPr>
          <w:p w14:paraId="762A933A">
            <w:pPr>
              <w:jc w:val="center"/>
              <w:rPr>
                <w:rFonts w:hint="eastAsia" w:ascii="仿宋" w:hAnsi="仿宋" w:eastAsia="仿宋" w:cs="仿宋"/>
                <w:sz w:val="24"/>
                <w:szCs w:val="24"/>
              </w:rPr>
            </w:pPr>
            <w:r>
              <w:rPr>
                <w:rFonts w:hint="eastAsia" w:ascii="仿宋" w:hAnsi="仿宋" w:eastAsia="仿宋" w:cs="仿宋"/>
                <w:sz w:val="24"/>
                <w:szCs w:val="24"/>
              </w:rPr>
              <w:t>1</w:t>
            </w:r>
          </w:p>
        </w:tc>
      </w:tr>
    </w:tbl>
    <w:p w14:paraId="74128E91">
      <w:pPr>
        <w:jc w:val="center"/>
        <w:rPr>
          <w:rFonts w:hint="eastAsia" w:ascii="仿宋" w:hAnsi="仿宋" w:eastAsia="仿宋" w:cs="仿宋"/>
          <w:sz w:val="24"/>
          <w:szCs w:val="24"/>
        </w:rPr>
      </w:pPr>
      <w:r>
        <w:rPr>
          <w:rFonts w:hint="eastAsia" w:ascii="仿宋" w:hAnsi="仿宋" w:eastAsia="仿宋" w:cs="仿宋"/>
          <w:sz w:val="24"/>
          <w:szCs w:val="24"/>
        </w:rPr>
        <w:t>附表1.1投标报价评审标准表</w:t>
      </w:r>
    </w:p>
    <w:tbl>
      <w:tblPr>
        <w:tblStyle w:val="15"/>
        <w:tblW w:w="891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2"/>
        <w:gridCol w:w="2159"/>
        <w:gridCol w:w="6249"/>
      </w:tblGrid>
      <w:tr w14:paraId="75DDCD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2" w:type="dxa"/>
            <w:tcBorders>
              <w:top w:val="double" w:color="auto" w:sz="4" w:space="0"/>
              <w:left w:val="double" w:color="auto" w:sz="4" w:space="0"/>
              <w:bottom w:val="single" w:color="auto" w:sz="6" w:space="0"/>
              <w:right w:val="single" w:color="auto" w:sz="4" w:space="0"/>
            </w:tcBorders>
            <w:noWrap w:val="0"/>
            <w:vAlign w:val="center"/>
          </w:tcPr>
          <w:p w14:paraId="79E93CB1">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2159" w:type="dxa"/>
            <w:tcBorders>
              <w:top w:val="double" w:color="auto" w:sz="4" w:space="0"/>
              <w:left w:val="single" w:color="auto" w:sz="4" w:space="0"/>
              <w:bottom w:val="single" w:color="auto" w:sz="6" w:space="0"/>
              <w:right w:val="single" w:color="auto" w:sz="4" w:space="0"/>
            </w:tcBorders>
            <w:noWrap w:val="0"/>
            <w:vAlign w:val="center"/>
          </w:tcPr>
          <w:p w14:paraId="7022934C">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249" w:type="dxa"/>
            <w:tcBorders>
              <w:top w:val="double" w:color="auto" w:sz="4" w:space="0"/>
              <w:left w:val="single" w:color="auto" w:sz="4" w:space="0"/>
              <w:bottom w:val="single" w:color="auto" w:sz="6" w:space="0"/>
              <w:right w:val="double" w:color="auto" w:sz="4" w:space="0"/>
            </w:tcBorders>
            <w:noWrap w:val="0"/>
            <w:vAlign w:val="center"/>
          </w:tcPr>
          <w:p w14:paraId="37483CF0">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5AD3089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4" w:hRule="atLeast"/>
          <w:jc w:val="center"/>
        </w:trPr>
        <w:tc>
          <w:tcPr>
            <w:tcW w:w="502" w:type="dxa"/>
            <w:tcBorders>
              <w:top w:val="single" w:color="auto" w:sz="6" w:space="0"/>
              <w:left w:val="double" w:color="auto" w:sz="4" w:space="0"/>
              <w:bottom w:val="single" w:color="auto" w:sz="6" w:space="0"/>
              <w:right w:val="single" w:color="auto" w:sz="4" w:space="0"/>
            </w:tcBorders>
            <w:noWrap w:val="0"/>
            <w:vAlign w:val="center"/>
          </w:tcPr>
          <w:p w14:paraId="4B7BF88D">
            <w:pPr>
              <w:jc w:val="center"/>
              <w:rPr>
                <w:rFonts w:hint="eastAsia" w:ascii="仿宋" w:hAnsi="仿宋" w:eastAsia="仿宋" w:cs="仿宋"/>
                <w:sz w:val="24"/>
                <w:szCs w:val="24"/>
              </w:rPr>
            </w:pPr>
            <w:r>
              <w:rPr>
                <w:rFonts w:hint="eastAsia" w:ascii="仿宋" w:hAnsi="仿宋" w:eastAsia="仿宋" w:cs="仿宋"/>
                <w:sz w:val="24"/>
                <w:szCs w:val="24"/>
              </w:rPr>
              <w:t>1</w:t>
            </w:r>
          </w:p>
        </w:tc>
        <w:tc>
          <w:tcPr>
            <w:tcW w:w="2159" w:type="dxa"/>
            <w:tcBorders>
              <w:top w:val="single" w:color="auto" w:sz="6" w:space="0"/>
              <w:left w:val="single" w:color="auto" w:sz="4" w:space="0"/>
              <w:bottom w:val="single" w:color="auto" w:sz="6" w:space="0"/>
              <w:right w:val="single" w:color="auto" w:sz="4" w:space="0"/>
            </w:tcBorders>
            <w:noWrap w:val="0"/>
            <w:vAlign w:val="center"/>
          </w:tcPr>
          <w:p w14:paraId="7DC1D78A">
            <w:pPr>
              <w:jc w:val="center"/>
              <w:rPr>
                <w:rFonts w:hint="eastAsia" w:ascii="仿宋" w:hAnsi="仿宋" w:eastAsia="仿宋" w:cs="仿宋"/>
                <w:sz w:val="24"/>
                <w:szCs w:val="24"/>
              </w:rPr>
            </w:pPr>
            <w:r>
              <w:rPr>
                <w:rFonts w:hint="eastAsia" w:ascii="仿宋" w:hAnsi="仿宋" w:eastAsia="仿宋" w:cs="仿宋"/>
                <w:sz w:val="24"/>
                <w:szCs w:val="24"/>
              </w:rPr>
              <w:t>价格评价项</w:t>
            </w:r>
          </w:p>
          <w:p w14:paraId="6E17972E">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6249" w:type="dxa"/>
            <w:tcBorders>
              <w:top w:val="single" w:color="auto" w:sz="6" w:space="0"/>
              <w:left w:val="single" w:color="auto" w:sz="4" w:space="0"/>
              <w:bottom w:val="single" w:color="auto" w:sz="6" w:space="0"/>
              <w:right w:val="double" w:color="auto" w:sz="4" w:space="0"/>
            </w:tcBorders>
            <w:noWrap w:val="0"/>
            <w:vAlign w:val="center"/>
          </w:tcPr>
          <w:p w14:paraId="5E0DFD2F">
            <w:pPr>
              <w:jc w:val="left"/>
              <w:rPr>
                <w:rFonts w:hint="eastAsia" w:ascii="仿宋" w:hAnsi="仿宋" w:eastAsia="仿宋" w:cs="仿宋"/>
                <w:sz w:val="24"/>
                <w:szCs w:val="24"/>
              </w:rPr>
            </w:pPr>
            <w:r>
              <w:rPr>
                <w:rFonts w:hint="eastAsia" w:ascii="仿宋" w:hAnsi="仿宋" w:eastAsia="仿宋" w:cs="仿宋"/>
                <w:sz w:val="24"/>
                <w:szCs w:val="24"/>
                <w:lang w:val="en-US" w:eastAsia="zh-CN"/>
              </w:rPr>
              <w:t>1</w:t>
            </w:r>
            <w:r>
              <w:rPr>
                <w:rFonts w:hint="eastAsia" w:ascii="仿宋" w:hAnsi="仿宋" w:eastAsia="仿宋" w:cs="仿宋"/>
                <w:sz w:val="24"/>
                <w:szCs w:val="24"/>
              </w:rPr>
              <w:t>、满足招标文件要求且投标报价中最低的投标报价为评标基准价其价格分为满分；设备价格权值占比为</w:t>
            </w:r>
            <w:r>
              <w:rPr>
                <w:rFonts w:hint="eastAsia" w:ascii="仿宋" w:hAnsi="仿宋" w:eastAsia="仿宋" w:cs="仿宋"/>
                <w:sz w:val="24"/>
                <w:szCs w:val="24"/>
                <w:lang w:val="en-US" w:eastAsia="zh-CN"/>
              </w:rPr>
              <w:t>45</w:t>
            </w:r>
            <w:r>
              <w:rPr>
                <w:rFonts w:hint="eastAsia" w:ascii="仿宋" w:hAnsi="仿宋" w:eastAsia="仿宋" w:cs="仿宋"/>
                <w:sz w:val="24"/>
                <w:szCs w:val="24"/>
              </w:rPr>
              <w:t>%，专机专用耗材价格权值占比为</w:t>
            </w:r>
            <w:r>
              <w:rPr>
                <w:rFonts w:hint="eastAsia" w:ascii="仿宋" w:hAnsi="仿宋" w:eastAsia="仿宋" w:cs="仿宋"/>
                <w:sz w:val="24"/>
                <w:szCs w:val="24"/>
                <w:lang w:val="en-US" w:eastAsia="zh-CN"/>
              </w:rPr>
              <w:t>5</w:t>
            </w:r>
            <w:r>
              <w:rPr>
                <w:rFonts w:hint="eastAsia" w:ascii="仿宋" w:hAnsi="仿宋" w:eastAsia="仿宋" w:cs="仿宋"/>
                <w:sz w:val="24"/>
                <w:szCs w:val="24"/>
              </w:rPr>
              <w:t>%；报价总分＝设备报价得分＋专机专用耗材报价得分。投标人的价格分统一按照以下公式计算：</w:t>
            </w:r>
          </w:p>
          <w:p w14:paraId="3199592E">
            <w:pPr>
              <w:jc w:val="left"/>
              <w:rPr>
                <w:rFonts w:hint="eastAsia" w:ascii="仿宋" w:hAnsi="仿宋" w:eastAsia="仿宋" w:cs="仿宋"/>
                <w:sz w:val="24"/>
                <w:szCs w:val="24"/>
              </w:rPr>
            </w:pPr>
            <w:r>
              <w:rPr>
                <w:rFonts w:hint="eastAsia" w:ascii="仿宋" w:hAnsi="仿宋" w:eastAsia="仿宋" w:cs="仿宋"/>
                <w:sz w:val="24"/>
                <w:szCs w:val="24"/>
              </w:rPr>
              <w:t>设备投标报价得分=（评标基准价/投标报价）×价格权值×100</w:t>
            </w:r>
          </w:p>
          <w:p w14:paraId="4B9AECCA">
            <w:pPr>
              <w:jc w:val="left"/>
              <w:rPr>
                <w:rFonts w:hint="eastAsia" w:ascii="仿宋" w:hAnsi="仿宋" w:eastAsia="仿宋" w:cs="仿宋"/>
                <w:sz w:val="24"/>
                <w:szCs w:val="24"/>
              </w:rPr>
            </w:pPr>
            <w:r>
              <w:rPr>
                <w:rFonts w:hint="eastAsia" w:ascii="仿宋" w:hAnsi="仿宋" w:eastAsia="仿宋" w:cs="仿宋"/>
                <w:sz w:val="24"/>
                <w:szCs w:val="24"/>
              </w:rPr>
              <w:t>专机专用耗材投标报价得分=（评标基准价/投标报价）×价格权值×100</w:t>
            </w:r>
          </w:p>
          <w:p w14:paraId="1C0BBCE7">
            <w:pPr>
              <w:jc w:val="left"/>
              <w:rPr>
                <w:rFonts w:hint="eastAsia" w:ascii="仿宋" w:hAnsi="仿宋" w:eastAsia="仿宋" w:cs="仿宋"/>
                <w:sz w:val="24"/>
                <w:szCs w:val="24"/>
              </w:rPr>
            </w:pPr>
            <w:r>
              <w:rPr>
                <w:rFonts w:hint="eastAsia" w:ascii="仿宋" w:hAnsi="仿宋" w:eastAsia="仿宋" w:cs="仿宋"/>
                <w:sz w:val="24"/>
                <w:szCs w:val="24"/>
                <w:lang w:val="en-US" w:eastAsia="zh-CN"/>
              </w:rPr>
              <w:t>2</w:t>
            </w:r>
            <w:r>
              <w:rPr>
                <w:rFonts w:hint="eastAsia" w:ascii="仿宋" w:hAnsi="仿宋" w:eastAsia="仿宋" w:cs="仿宋"/>
                <w:sz w:val="24"/>
                <w:szCs w:val="24"/>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EF0CFF1">
            <w:pPr>
              <w:jc w:val="left"/>
              <w:rPr>
                <w:rFonts w:hint="eastAsia" w:ascii="仿宋" w:hAnsi="仿宋" w:eastAsia="仿宋" w:cs="仿宋"/>
                <w:sz w:val="24"/>
                <w:szCs w:val="24"/>
              </w:rPr>
            </w:pPr>
            <w:r>
              <w:rPr>
                <w:rFonts w:hint="eastAsia" w:ascii="仿宋" w:hAnsi="仿宋" w:eastAsia="仿宋" w:cs="仿宋"/>
                <w:sz w:val="24"/>
                <w:szCs w:val="24"/>
                <w:lang w:val="en-US" w:eastAsia="zh-CN"/>
              </w:rPr>
              <w:t>3</w:t>
            </w:r>
            <w:r>
              <w:rPr>
                <w:rFonts w:hint="eastAsia" w:ascii="仿宋" w:hAnsi="仿宋" w:eastAsia="仿宋" w:cs="仿宋"/>
                <w:sz w:val="24"/>
                <w:szCs w:val="24"/>
              </w:rPr>
              <w:t>、最终投标价以人民币元为单位，计算保留至小数点后2位（百分比亦然），小数点后第3位采取4舍5入</w:t>
            </w:r>
          </w:p>
        </w:tc>
      </w:tr>
    </w:tbl>
    <w:p w14:paraId="0727BE38">
      <w:pPr>
        <w:jc w:val="center"/>
        <w:rPr>
          <w:rFonts w:hint="eastAsia" w:ascii="仿宋" w:hAnsi="仿宋" w:eastAsia="仿宋" w:cs="仿宋"/>
          <w:sz w:val="24"/>
          <w:szCs w:val="24"/>
        </w:rPr>
      </w:pPr>
    </w:p>
    <w:p w14:paraId="44B6AE09">
      <w:pPr>
        <w:jc w:val="center"/>
        <w:rPr>
          <w:rFonts w:hint="eastAsia" w:ascii="仿宋" w:hAnsi="仿宋" w:eastAsia="仿宋" w:cs="仿宋"/>
          <w:sz w:val="24"/>
          <w:szCs w:val="24"/>
        </w:rPr>
      </w:pPr>
    </w:p>
    <w:p w14:paraId="5AA7DFCF">
      <w:pPr>
        <w:jc w:val="center"/>
        <w:rPr>
          <w:rFonts w:hint="eastAsia" w:ascii="仿宋" w:hAnsi="仿宋" w:eastAsia="仿宋" w:cs="仿宋"/>
          <w:sz w:val="24"/>
          <w:szCs w:val="24"/>
        </w:rPr>
      </w:pPr>
    </w:p>
    <w:p w14:paraId="64289275">
      <w:pPr>
        <w:jc w:val="center"/>
        <w:rPr>
          <w:rFonts w:hint="eastAsia" w:ascii="仿宋" w:hAnsi="仿宋" w:eastAsia="仿宋" w:cs="仿宋"/>
          <w:sz w:val="24"/>
          <w:szCs w:val="24"/>
        </w:rPr>
      </w:pPr>
    </w:p>
    <w:p w14:paraId="34F91219">
      <w:pPr>
        <w:jc w:val="center"/>
        <w:rPr>
          <w:rFonts w:hint="eastAsia" w:ascii="仿宋" w:hAnsi="仿宋" w:eastAsia="仿宋" w:cs="仿宋"/>
          <w:sz w:val="24"/>
          <w:szCs w:val="24"/>
        </w:rPr>
      </w:pPr>
    </w:p>
    <w:p w14:paraId="657702CE">
      <w:pPr>
        <w:jc w:val="center"/>
        <w:rPr>
          <w:rFonts w:hint="eastAsia" w:ascii="仿宋" w:hAnsi="仿宋" w:eastAsia="仿宋" w:cs="仿宋"/>
          <w:sz w:val="24"/>
          <w:szCs w:val="24"/>
        </w:rPr>
      </w:pPr>
    </w:p>
    <w:p w14:paraId="138133DF">
      <w:pPr>
        <w:jc w:val="center"/>
        <w:rPr>
          <w:rFonts w:hint="eastAsia" w:ascii="仿宋" w:hAnsi="仿宋" w:eastAsia="仿宋" w:cs="仿宋"/>
          <w:sz w:val="24"/>
          <w:szCs w:val="24"/>
        </w:rPr>
      </w:pPr>
    </w:p>
    <w:p w14:paraId="42C3E1CD">
      <w:pPr>
        <w:jc w:val="center"/>
        <w:rPr>
          <w:rFonts w:hint="eastAsia" w:ascii="仿宋" w:hAnsi="仿宋" w:eastAsia="仿宋" w:cs="仿宋"/>
          <w:sz w:val="24"/>
          <w:szCs w:val="24"/>
        </w:rPr>
      </w:pPr>
    </w:p>
    <w:p w14:paraId="61515F4F">
      <w:pPr>
        <w:jc w:val="center"/>
        <w:rPr>
          <w:rFonts w:hint="eastAsia" w:ascii="仿宋" w:hAnsi="仿宋" w:eastAsia="仿宋" w:cs="仿宋"/>
          <w:sz w:val="24"/>
          <w:szCs w:val="24"/>
        </w:rPr>
      </w:pPr>
      <w:r>
        <w:rPr>
          <w:rFonts w:hint="eastAsia" w:ascii="仿宋" w:hAnsi="仿宋" w:eastAsia="仿宋" w:cs="仿宋"/>
          <w:sz w:val="24"/>
          <w:szCs w:val="24"/>
        </w:rPr>
        <w:br w:type="page"/>
      </w:r>
    </w:p>
    <w:p w14:paraId="533E6EAD">
      <w:pPr>
        <w:jc w:val="center"/>
        <w:rPr>
          <w:rFonts w:hint="eastAsia" w:ascii="仿宋" w:hAnsi="仿宋" w:eastAsia="仿宋" w:cs="仿宋"/>
          <w:sz w:val="24"/>
          <w:szCs w:val="24"/>
        </w:rPr>
      </w:pPr>
      <w:r>
        <w:rPr>
          <w:rFonts w:hint="eastAsia" w:ascii="仿宋" w:hAnsi="仿宋" w:eastAsia="仿宋" w:cs="仿宋"/>
          <w:sz w:val="24"/>
          <w:szCs w:val="24"/>
        </w:rPr>
        <w:t>附表1.2技术部分评审标准表</w:t>
      </w:r>
    </w:p>
    <w:tbl>
      <w:tblPr>
        <w:tblStyle w:val="15"/>
        <w:tblW w:w="894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03"/>
        <w:gridCol w:w="2160"/>
        <w:gridCol w:w="773"/>
        <w:gridCol w:w="772"/>
        <w:gridCol w:w="4732"/>
      </w:tblGrid>
      <w:tr w14:paraId="3958F8D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2" w:hRule="atLeast"/>
          <w:jc w:val="center"/>
        </w:trPr>
        <w:tc>
          <w:tcPr>
            <w:tcW w:w="503" w:type="dxa"/>
            <w:tcBorders>
              <w:top w:val="double" w:color="auto" w:sz="4" w:space="0"/>
              <w:left w:val="double" w:color="auto" w:sz="4" w:space="0"/>
              <w:bottom w:val="single" w:color="auto" w:sz="6" w:space="0"/>
              <w:right w:val="single" w:color="auto" w:sz="4" w:space="0"/>
            </w:tcBorders>
            <w:noWrap w:val="0"/>
            <w:vAlign w:val="center"/>
          </w:tcPr>
          <w:p w14:paraId="105966A6">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2160" w:type="dxa"/>
            <w:tcBorders>
              <w:top w:val="double" w:color="auto" w:sz="4" w:space="0"/>
              <w:left w:val="single" w:color="auto" w:sz="4" w:space="0"/>
              <w:bottom w:val="single" w:color="auto" w:sz="6" w:space="0"/>
              <w:right w:val="single" w:color="auto" w:sz="4" w:space="0"/>
            </w:tcBorders>
            <w:noWrap w:val="0"/>
            <w:vAlign w:val="center"/>
          </w:tcPr>
          <w:p w14:paraId="2DC01C33">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277" w:type="dxa"/>
            <w:gridSpan w:val="3"/>
            <w:tcBorders>
              <w:top w:val="double" w:color="auto" w:sz="4" w:space="0"/>
              <w:left w:val="single" w:color="auto" w:sz="4" w:space="0"/>
              <w:bottom w:val="single" w:color="auto" w:sz="6" w:space="0"/>
              <w:right w:val="double" w:color="auto" w:sz="4" w:space="0"/>
            </w:tcBorders>
            <w:noWrap w:val="0"/>
            <w:vAlign w:val="center"/>
          </w:tcPr>
          <w:p w14:paraId="141822D5">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3F1186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503" w:type="dxa"/>
            <w:tcBorders>
              <w:top w:val="single" w:color="auto" w:sz="6" w:space="0"/>
              <w:left w:val="double" w:color="auto" w:sz="4" w:space="0"/>
              <w:bottom w:val="single" w:color="auto" w:sz="6" w:space="0"/>
              <w:right w:val="single" w:color="auto" w:sz="4" w:space="0"/>
            </w:tcBorders>
            <w:noWrap w:val="0"/>
            <w:vAlign w:val="center"/>
          </w:tcPr>
          <w:p w14:paraId="6A1D3458">
            <w:pPr>
              <w:jc w:val="center"/>
              <w:rPr>
                <w:rFonts w:hint="eastAsia" w:ascii="仿宋" w:hAnsi="仿宋" w:eastAsia="仿宋" w:cs="仿宋"/>
                <w:sz w:val="24"/>
                <w:szCs w:val="24"/>
              </w:rPr>
            </w:pPr>
            <w:r>
              <w:rPr>
                <w:rFonts w:hint="eastAsia" w:ascii="仿宋" w:hAnsi="仿宋" w:eastAsia="仿宋" w:cs="仿宋"/>
                <w:sz w:val="24"/>
                <w:szCs w:val="24"/>
              </w:rPr>
              <w:t>1</w:t>
            </w:r>
          </w:p>
        </w:tc>
        <w:tc>
          <w:tcPr>
            <w:tcW w:w="2160" w:type="dxa"/>
            <w:tcBorders>
              <w:top w:val="single" w:color="auto" w:sz="6" w:space="0"/>
              <w:left w:val="single" w:color="auto" w:sz="4" w:space="0"/>
              <w:bottom w:val="single" w:color="auto" w:sz="6" w:space="0"/>
              <w:right w:val="single" w:color="auto" w:sz="6" w:space="0"/>
            </w:tcBorders>
            <w:noWrap w:val="0"/>
            <w:vAlign w:val="center"/>
          </w:tcPr>
          <w:p w14:paraId="49480A32">
            <w:pPr>
              <w:jc w:val="center"/>
              <w:rPr>
                <w:rFonts w:hint="eastAsia" w:ascii="仿宋" w:hAnsi="仿宋" w:eastAsia="仿宋" w:cs="仿宋"/>
                <w:sz w:val="24"/>
                <w:szCs w:val="24"/>
              </w:rPr>
            </w:pPr>
            <w:r>
              <w:rPr>
                <w:rFonts w:hint="eastAsia" w:ascii="仿宋" w:hAnsi="仿宋" w:eastAsia="仿宋" w:cs="仿宋"/>
                <w:sz w:val="24"/>
                <w:szCs w:val="24"/>
              </w:rPr>
              <w:t>技术评价项</w:t>
            </w:r>
          </w:p>
          <w:p w14:paraId="5EFD7628">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773" w:type="dxa"/>
            <w:tcBorders>
              <w:top w:val="single" w:color="auto" w:sz="6" w:space="0"/>
              <w:left w:val="single" w:color="auto" w:sz="6" w:space="0"/>
              <w:bottom w:val="single" w:color="auto" w:sz="6" w:space="0"/>
              <w:right w:val="single" w:color="auto" w:sz="4" w:space="0"/>
            </w:tcBorders>
            <w:noWrap w:val="0"/>
            <w:vAlign w:val="center"/>
          </w:tcPr>
          <w:p w14:paraId="664DAD47">
            <w:pPr>
              <w:jc w:val="center"/>
              <w:rPr>
                <w:rFonts w:hint="eastAsia" w:ascii="仿宋" w:hAnsi="仿宋" w:eastAsia="仿宋" w:cs="仿宋"/>
                <w:sz w:val="24"/>
                <w:szCs w:val="24"/>
              </w:rPr>
            </w:pPr>
            <w:r>
              <w:rPr>
                <w:rFonts w:hint="eastAsia" w:ascii="仿宋" w:hAnsi="仿宋" w:eastAsia="仿宋" w:cs="仿宋"/>
                <w:sz w:val="24"/>
                <w:szCs w:val="24"/>
              </w:rPr>
              <w:t>技术参数</w:t>
            </w:r>
          </w:p>
        </w:tc>
        <w:tc>
          <w:tcPr>
            <w:tcW w:w="772" w:type="dxa"/>
            <w:tcBorders>
              <w:top w:val="single" w:color="auto" w:sz="6" w:space="0"/>
              <w:left w:val="single" w:color="auto" w:sz="4" w:space="0"/>
              <w:bottom w:val="single" w:color="auto" w:sz="6" w:space="0"/>
              <w:right w:val="single" w:color="auto" w:sz="6" w:space="0"/>
            </w:tcBorders>
            <w:noWrap w:val="0"/>
            <w:vAlign w:val="center"/>
          </w:tcPr>
          <w:p w14:paraId="7DD7129A">
            <w:pPr>
              <w:jc w:val="center"/>
              <w:rPr>
                <w:rFonts w:hint="eastAsia" w:ascii="仿宋" w:hAnsi="仿宋" w:eastAsia="仿宋" w:cs="仿宋"/>
                <w:sz w:val="24"/>
                <w:szCs w:val="24"/>
              </w:rPr>
            </w:pPr>
            <w:r>
              <w:rPr>
                <w:rFonts w:hint="eastAsia" w:ascii="仿宋" w:hAnsi="仿宋" w:eastAsia="仿宋" w:cs="仿宋"/>
                <w:sz w:val="24"/>
                <w:szCs w:val="24"/>
              </w:rPr>
              <w:t>100</w:t>
            </w:r>
          </w:p>
        </w:tc>
        <w:tc>
          <w:tcPr>
            <w:tcW w:w="4732" w:type="dxa"/>
            <w:tcBorders>
              <w:top w:val="single" w:color="auto" w:sz="6" w:space="0"/>
              <w:left w:val="single" w:color="auto" w:sz="6" w:space="0"/>
              <w:bottom w:val="single" w:color="auto" w:sz="6" w:space="0"/>
              <w:right w:val="double" w:color="auto" w:sz="4" w:space="0"/>
            </w:tcBorders>
            <w:noWrap w:val="0"/>
            <w:vAlign w:val="center"/>
          </w:tcPr>
          <w:p w14:paraId="29D8158B">
            <w:pPr>
              <w:jc w:val="left"/>
              <w:rPr>
                <w:rFonts w:hint="eastAsia" w:ascii="仿宋" w:hAnsi="仿宋" w:eastAsia="仿宋" w:cs="仿宋"/>
                <w:sz w:val="24"/>
                <w:szCs w:val="24"/>
              </w:rPr>
            </w:pPr>
            <w:r>
              <w:rPr>
                <w:rFonts w:hint="eastAsia" w:ascii="仿宋" w:hAnsi="仿宋" w:eastAsia="仿宋" w:cs="仿宋"/>
                <w:sz w:val="24"/>
                <w:szCs w:val="24"/>
              </w:rPr>
              <w:t>投标文件无技术条款响应/偏离表的本项计0分；</w:t>
            </w:r>
          </w:p>
          <w:p w14:paraId="565A21A5">
            <w:pPr>
              <w:jc w:val="left"/>
              <w:rPr>
                <w:rFonts w:hint="eastAsia" w:ascii="仿宋" w:hAnsi="仿宋" w:eastAsia="仿宋" w:cs="仿宋"/>
                <w:sz w:val="24"/>
                <w:szCs w:val="24"/>
              </w:rPr>
            </w:pPr>
            <w:r>
              <w:rPr>
                <w:rFonts w:hint="eastAsia" w:ascii="仿宋" w:hAnsi="仿宋" w:eastAsia="仿宋" w:cs="仿宋"/>
                <w:sz w:val="24"/>
                <w:szCs w:val="24"/>
              </w:rPr>
              <w:t>1、技术参数满足招标文件要求无负偏离的本项计100分；</w:t>
            </w:r>
          </w:p>
          <w:p w14:paraId="0D93CF5A">
            <w:pPr>
              <w:jc w:val="left"/>
              <w:rPr>
                <w:rFonts w:hint="eastAsia" w:ascii="仿宋" w:hAnsi="仿宋" w:eastAsia="仿宋" w:cs="仿宋"/>
                <w:sz w:val="24"/>
                <w:szCs w:val="24"/>
              </w:rPr>
            </w:pPr>
            <w:r>
              <w:rPr>
                <w:rFonts w:hint="eastAsia" w:ascii="仿宋" w:hAnsi="仿宋" w:eastAsia="仿宋" w:cs="仿宋"/>
                <w:sz w:val="24"/>
                <w:szCs w:val="24"/>
              </w:rPr>
              <w:t>2、标注“▲”的参数为重要参数，每一项负偏离或缺漏扣10分；</w:t>
            </w:r>
          </w:p>
          <w:p w14:paraId="4A9031F3">
            <w:pPr>
              <w:jc w:val="left"/>
              <w:rPr>
                <w:rFonts w:hint="eastAsia" w:ascii="仿宋" w:hAnsi="仿宋" w:eastAsia="仿宋" w:cs="仿宋"/>
                <w:sz w:val="24"/>
                <w:szCs w:val="24"/>
              </w:rPr>
            </w:pPr>
            <w:r>
              <w:rPr>
                <w:rFonts w:hint="eastAsia" w:ascii="仿宋" w:hAnsi="仿宋" w:eastAsia="仿宋" w:cs="仿宋"/>
                <w:sz w:val="24"/>
                <w:szCs w:val="24"/>
              </w:rPr>
              <w:t>3、一般技术参数（即非“★”非“▲”号参数）存在负偏离，每条负偏离扣6分。</w:t>
            </w:r>
          </w:p>
          <w:p w14:paraId="7122CB36">
            <w:pPr>
              <w:jc w:val="left"/>
              <w:rPr>
                <w:rFonts w:hint="eastAsia" w:ascii="仿宋" w:hAnsi="仿宋" w:eastAsia="仿宋" w:cs="仿宋"/>
                <w:sz w:val="24"/>
                <w:szCs w:val="24"/>
              </w:rPr>
            </w:pPr>
            <w:r>
              <w:rPr>
                <w:rFonts w:hint="eastAsia" w:ascii="仿宋" w:hAnsi="仿宋" w:eastAsia="仿宋" w:cs="仿宋"/>
                <w:sz w:val="24"/>
                <w:szCs w:val="24"/>
              </w:rPr>
              <w:t>（注：标注“★”“▲”技术参数以及技术规格中要求该项参数提供有关证明文件的一般参数，投标人应提供证明材料，包括但不限于技术白皮书、产品彩页、检测报告等形式。如无相关证明文件或相关证明文件不完整，则按相应负偏离计算；此项只做评分因素，不做废标条件</w:t>
            </w:r>
            <w:r>
              <w:rPr>
                <w:rFonts w:hint="eastAsia" w:ascii="仿宋" w:hAnsi="仿宋" w:eastAsia="仿宋" w:cs="仿宋"/>
                <w:sz w:val="24"/>
                <w:szCs w:val="24"/>
                <w:lang w:eastAsia="zh-CN"/>
              </w:rPr>
              <w:t>；</w:t>
            </w:r>
            <w:r>
              <w:rPr>
                <w:rFonts w:hint="eastAsia" w:ascii="仿宋" w:hAnsi="仿宋" w:eastAsia="仿宋" w:cs="仿宋"/>
                <w:sz w:val="24"/>
                <w:szCs w:val="24"/>
              </w:rPr>
              <w:t>“★”</w:t>
            </w:r>
            <w:r>
              <w:rPr>
                <w:rFonts w:hint="eastAsia" w:ascii="仿宋" w:hAnsi="仿宋" w:eastAsia="仿宋" w:cs="仿宋"/>
                <w:sz w:val="24"/>
                <w:szCs w:val="24"/>
                <w:lang w:eastAsia="zh-CN"/>
              </w:rPr>
              <w:t>为实质性条款，任何一条负偏离视为无效投标</w:t>
            </w:r>
            <w:r>
              <w:rPr>
                <w:rFonts w:hint="eastAsia" w:ascii="仿宋" w:hAnsi="仿宋" w:eastAsia="仿宋" w:cs="仿宋"/>
                <w:sz w:val="24"/>
                <w:szCs w:val="24"/>
              </w:rPr>
              <w:t>）</w:t>
            </w:r>
          </w:p>
        </w:tc>
      </w:tr>
    </w:tbl>
    <w:p w14:paraId="17E8DD14">
      <w:pPr>
        <w:jc w:val="center"/>
        <w:rPr>
          <w:rFonts w:hint="eastAsia" w:ascii="仿宋" w:hAnsi="仿宋" w:eastAsia="仿宋" w:cs="仿宋"/>
          <w:sz w:val="24"/>
          <w:szCs w:val="24"/>
        </w:rPr>
      </w:pPr>
    </w:p>
    <w:p w14:paraId="08975E6E">
      <w:pPr>
        <w:jc w:val="center"/>
        <w:rPr>
          <w:rFonts w:hint="eastAsia" w:ascii="仿宋" w:hAnsi="仿宋" w:eastAsia="仿宋" w:cs="仿宋"/>
          <w:sz w:val="24"/>
          <w:szCs w:val="24"/>
        </w:rPr>
      </w:pPr>
      <w:r>
        <w:rPr>
          <w:rFonts w:hint="eastAsia" w:ascii="仿宋" w:hAnsi="仿宋" w:eastAsia="仿宋" w:cs="仿宋"/>
          <w:sz w:val="24"/>
          <w:szCs w:val="24"/>
        </w:rPr>
        <w:br w:type="page"/>
      </w:r>
      <w:r>
        <w:rPr>
          <w:rFonts w:hint="eastAsia" w:ascii="仿宋" w:hAnsi="仿宋" w:eastAsia="仿宋" w:cs="仿宋"/>
          <w:sz w:val="24"/>
          <w:szCs w:val="24"/>
        </w:rPr>
        <w:t>附表1.3商务部分评审标准表</w:t>
      </w:r>
    </w:p>
    <w:tbl>
      <w:tblPr>
        <w:tblStyle w:val="15"/>
        <w:tblW w:w="8985"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1877"/>
        <w:gridCol w:w="670"/>
        <w:gridCol w:w="825"/>
        <w:gridCol w:w="5110"/>
      </w:tblGrid>
      <w:tr w14:paraId="0ECC9E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503" w:type="dxa"/>
            <w:tcBorders>
              <w:tl2br w:val="nil"/>
              <w:tr2bl w:val="nil"/>
            </w:tcBorders>
            <w:noWrap w:val="0"/>
            <w:vAlign w:val="center"/>
          </w:tcPr>
          <w:p w14:paraId="6832E51F">
            <w:pPr>
              <w:jc w:val="center"/>
              <w:rPr>
                <w:rFonts w:hint="eastAsia" w:ascii="仿宋" w:hAnsi="仿宋" w:eastAsia="仿宋" w:cs="仿宋"/>
                <w:sz w:val="24"/>
                <w:szCs w:val="24"/>
              </w:rPr>
            </w:pPr>
            <w:r>
              <w:rPr>
                <w:rFonts w:hint="eastAsia" w:ascii="仿宋" w:hAnsi="仿宋" w:eastAsia="仿宋" w:cs="仿宋"/>
                <w:sz w:val="24"/>
                <w:szCs w:val="24"/>
              </w:rPr>
              <w:t>序号</w:t>
            </w:r>
          </w:p>
        </w:tc>
        <w:tc>
          <w:tcPr>
            <w:tcW w:w="1877" w:type="dxa"/>
            <w:tcBorders>
              <w:tl2br w:val="nil"/>
              <w:tr2bl w:val="nil"/>
            </w:tcBorders>
            <w:noWrap w:val="0"/>
            <w:vAlign w:val="center"/>
          </w:tcPr>
          <w:p w14:paraId="4D0609AB">
            <w:pPr>
              <w:jc w:val="center"/>
              <w:rPr>
                <w:rFonts w:hint="eastAsia" w:ascii="仿宋" w:hAnsi="仿宋" w:eastAsia="仿宋" w:cs="仿宋"/>
                <w:sz w:val="24"/>
                <w:szCs w:val="24"/>
              </w:rPr>
            </w:pPr>
            <w:r>
              <w:rPr>
                <w:rFonts w:hint="eastAsia" w:ascii="仿宋" w:hAnsi="仿宋" w:eastAsia="仿宋" w:cs="仿宋"/>
                <w:sz w:val="24"/>
                <w:szCs w:val="24"/>
              </w:rPr>
              <w:t>评标因素（分值）</w:t>
            </w:r>
          </w:p>
        </w:tc>
        <w:tc>
          <w:tcPr>
            <w:tcW w:w="6605" w:type="dxa"/>
            <w:gridSpan w:val="3"/>
            <w:tcBorders>
              <w:tl2br w:val="nil"/>
              <w:tr2bl w:val="nil"/>
            </w:tcBorders>
            <w:noWrap w:val="0"/>
            <w:vAlign w:val="center"/>
          </w:tcPr>
          <w:p w14:paraId="250EA6A7">
            <w:pPr>
              <w:jc w:val="center"/>
              <w:rPr>
                <w:rFonts w:hint="eastAsia" w:ascii="仿宋" w:hAnsi="仿宋" w:eastAsia="仿宋" w:cs="仿宋"/>
                <w:sz w:val="24"/>
                <w:szCs w:val="24"/>
              </w:rPr>
            </w:pPr>
            <w:r>
              <w:rPr>
                <w:rFonts w:hint="eastAsia" w:ascii="仿宋" w:hAnsi="仿宋" w:eastAsia="仿宋" w:cs="仿宋"/>
                <w:sz w:val="24"/>
                <w:szCs w:val="24"/>
              </w:rPr>
              <w:t>评标标准</w:t>
            </w:r>
          </w:p>
        </w:tc>
      </w:tr>
      <w:tr w14:paraId="79609BD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restart"/>
            <w:tcBorders>
              <w:tl2br w:val="nil"/>
              <w:tr2bl w:val="nil"/>
            </w:tcBorders>
            <w:noWrap w:val="0"/>
            <w:vAlign w:val="center"/>
          </w:tcPr>
          <w:p w14:paraId="03FD351F">
            <w:pPr>
              <w:jc w:val="center"/>
              <w:rPr>
                <w:rFonts w:hint="eastAsia" w:ascii="仿宋" w:hAnsi="仿宋" w:eastAsia="仿宋" w:cs="仿宋"/>
                <w:sz w:val="24"/>
                <w:szCs w:val="24"/>
              </w:rPr>
            </w:pPr>
            <w:r>
              <w:rPr>
                <w:rFonts w:hint="eastAsia" w:ascii="仿宋" w:hAnsi="仿宋" w:eastAsia="仿宋" w:cs="仿宋"/>
                <w:sz w:val="24"/>
                <w:szCs w:val="24"/>
              </w:rPr>
              <w:t>1</w:t>
            </w:r>
          </w:p>
        </w:tc>
        <w:tc>
          <w:tcPr>
            <w:tcW w:w="1877" w:type="dxa"/>
            <w:vMerge w:val="restart"/>
            <w:tcBorders>
              <w:tl2br w:val="nil"/>
              <w:tr2bl w:val="nil"/>
            </w:tcBorders>
            <w:noWrap w:val="0"/>
            <w:vAlign w:val="center"/>
          </w:tcPr>
          <w:p w14:paraId="2E4B4453">
            <w:pPr>
              <w:jc w:val="center"/>
              <w:rPr>
                <w:rFonts w:hint="eastAsia" w:ascii="仿宋" w:hAnsi="仿宋" w:eastAsia="仿宋" w:cs="仿宋"/>
                <w:sz w:val="24"/>
                <w:szCs w:val="24"/>
              </w:rPr>
            </w:pPr>
            <w:r>
              <w:rPr>
                <w:rFonts w:hint="eastAsia" w:ascii="仿宋" w:hAnsi="仿宋" w:eastAsia="仿宋" w:cs="仿宋"/>
                <w:sz w:val="24"/>
                <w:szCs w:val="24"/>
              </w:rPr>
              <w:t>商务评价项</w:t>
            </w:r>
          </w:p>
          <w:p w14:paraId="05E0444A">
            <w:pPr>
              <w:jc w:val="center"/>
              <w:rPr>
                <w:rFonts w:hint="eastAsia" w:ascii="仿宋" w:hAnsi="仿宋" w:eastAsia="仿宋" w:cs="仿宋"/>
                <w:sz w:val="24"/>
                <w:szCs w:val="24"/>
              </w:rPr>
            </w:pPr>
            <w:r>
              <w:rPr>
                <w:rFonts w:hint="eastAsia" w:ascii="仿宋" w:hAnsi="仿宋" w:eastAsia="仿宋" w:cs="仿宋"/>
                <w:sz w:val="24"/>
                <w:szCs w:val="24"/>
              </w:rPr>
              <w:t>（F=100分）</w:t>
            </w:r>
          </w:p>
        </w:tc>
        <w:tc>
          <w:tcPr>
            <w:tcW w:w="670" w:type="dxa"/>
            <w:tcBorders>
              <w:tl2br w:val="nil"/>
              <w:tr2bl w:val="nil"/>
            </w:tcBorders>
            <w:noWrap w:val="0"/>
            <w:vAlign w:val="center"/>
          </w:tcPr>
          <w:p w14:paraId="5699FAC2">
            <w:pPr>
              <w:jc w:val="center"/>
              <w:rPr>
                <w:rFonts w:hint="eastAsia" w:ascii="仿宋" w:hAnsi="仿宋" w:eastAsia="仿宋" w:cs="仿宋"/>
                <w:sz w:val="24"/>
                <w:szCs w:val="24"/>
              </w:rPr>
            </w:pPr>
            <w:r>
              <w:rPr>
                <w:rFonts w:hint="eastAsia" w:ascii="仿宋" w:hAnsi="仿宋" w:eastAsia="仿宋" w:cs="仿宋"/>
                <w:sz w:val="24"/>
                <w:szCs w:val="24"/>
              </w:rPr>
              <w:t>售后服务</w:t>
            </w:r>
          </w:p>
        </w:tc>
        <w:tc>
          <w:tcPr>
            <w:tcW w:w="825" w:type="dxa"/>
            <w:tcBorders>
              <w:tl2br w:val="nil"/>
              <w:tr2bl w:val="nil"/>
            </w:tcBorders>
            <w:noWrap w:val="0"/>
            <w:vAlign w:val="center"/>
          </w:tcPr>
          <w:p w14:paraId="0AFDD3B0">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55</w:t>
            </w:r>
          </w:p>
        </w:tc>
        <w:tc>
          <w:tcPr>
            <w:tcW w:w="5110" w:type="dxa"/>
            <w:tcBorders>
              <w:tl2br w:val="nil"/>
              <w:tr2bl w:val="nil"/>
            </w:tcBorders>
            <w:noWrap w:val="0"/>
            <w:vAlign w:val="center"/>
          </w:tcPr>
          <w:p w14:paraId="3954F59F">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1、</w:t>
            </w:r>
            <w:r>
              <w:rPr>
                <w:rFonts w:hint="eastAsia" w:ascii="仿宋" w:hAnsi="仿宋" w:eastAsia="仿宋" w:cs="仿宋"/>
                <w:color w:val="auto"/>
                <w:sz w:val="24"/>
                <w:szCs w:val="24"/>
                <w:lang w:val="en-US" w:eastAsia="zh-CN"/>
              </w:rPr>
              <w:t>针对本项目有明确的售后服务方案，包括但不限于：①设备配送、安装、检验等；②发生故障后的补救措施及巡检服务；③售后服务维修人员详细情况；④维修的响应时间；⑤备品配件的清单及供应保障措施。</w:t>
            </w:r>
          </w:p>
          <w:p w14:paraId="15316222">
            <w:pPr>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上述小项方案具有针对性和可行性，符合采购实际需求，内容完整合理满足招标文件要求的每项得7分。存在一般缺陷的每项方案得3.5分（一般缺陷是指方案内容前后不一致或前后逻辑错误或内容有缺失，不影响项目的实施）。未提供或存在重大缺陷的每项方案不得分（重大缺陷是指方案凭空编造或与采购项目和采购需求无关，无法指导项目实施）。</w:t>
            </w:r>
          </w:p>
          <w:p w14:paraId="75C3856C">
            <w:pPr>
              <w:jc w:val="left"/>
              <w:rPr>
                <w:rFonts w:hint="eastAsia" w:ascii="仿宋" w:hAnsi="仿宋" w:eastAsia="仿宋" w:cs="仿宋"/>
                <w:color w:val="auto"/>
                <w:sz w:val="24"/>
                <w:szCs w:val="24"/>
              </w:rPr>
            </w:pPr>
            <w:r>
              <w:rPr>
                <w:rFonts w:hint="eastAsia" w:ascii="仿宋" w:hAnsi="仿宋" w:eastAsia="仿宋" w:cs="仿宋"/>
                <w:color w:val="auto"/>
                <w:sz w:val="24"/>
                <w:szCs w:val="24"/>
              </w:rPr>
              <w:t>2、质保期在招标要求基础上再增加1年的加10分，增加2年以上的加20分，最高可加20分。</w:t>
            </w:r>
          </w:p>
        </w:tc>
      </w:tr>
      <w:tr w14:paraId="2C79F97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continue"/>
            <w:tcBorders>
              <w:tl2br w:val="nil"/>
              <w:tr2bl w:val="nil"/>
            </w:tcBorders>
            <w:noWrap w:val="0"/>
            <w:vAlign w:val="center"/>
          </w:tcPr>
          <w:p w14:paraId="757D7B01">
            <w:pPr>
              <w:jc w:val="center"/>
              <w:rPr>
                <w:rFonts w:hint="eastAsia" w:ascii="仿宋" w:hAnsi="仿宋" w:eastAsia="仿宋" w:cs="仿宋"/>
                <w:sz w:val="24"/>
                <w:szCs w:val="24"/>
              </w:rPr>
            </w:pPr>
          </w:p>
        </w:tc>
        <w:tc>
          <w:tcPr>
            <w:tcW w:w="1877" w:type="dxa"/>
            <w:vMerge w:val="continue"/>
            <w:tcBorders>
              <w:tl2br w:val="nil"/>
              <w:tr2bl w:val="nil"/>
            </w:tcBorders>
            <w:noWrap w:val="0"/>
            <w:vAlign w:val="center"/>
          </w:tcPr>
          <w:p w14:paraId="4D11CC35">
            <w:pPr>
              <w:jc w:val="center"/>
              <w:rPr>
                <w:rFonts w:hint="eastAsia" w:ascii="仿宋" w:hAnsi="仿宋" w:eastAsia="仿宋" w:cs="仿宋"/>
                <w:sz w:val="24"/>
                <w:szCs w:val="24"/>
              </w:rPr>
            </w:pPr>
          </w:p>
        </w:tc>
        <w:tc>
          <w:tcPr>
            <w:tcW w:w="670" w:type="dxa"/>
            <w:tcBorders>
              <w:tl2br w:val="nil"/>
              <w:tr2bl w:val="nil"/>
            </w:tcBorders>
            <w:noWrap w:val="0"/>
            <w:vAlign w:val="center"/>
          </w:tcPr>
          <w:p w14:paraId="7573F614">
            <w:pPr>
              <w:jc w:val="center"/>
              <w:rPr>
                <w:rFonts w:hint="eastAsia" w:ascii="仿宋" w:hAnsi="仿宋" w:eastAsia="仿宋" w:cs="仿宋"/>
                <w:sz w:val="24"/>
                <w:szCs w:val="24"/>
              </w:rPr>
            </w:pPr>
            <w:r>
              <w:rPr>
                <w:rFonts w:hint="eastAsia" w:ascii="仿宋" w:hAnsi="仿宋" w:eastAsia="仿宋" w:cs="仿宋"/>
                <w:sz w:val="24"/>
                <w:szCs w:val="24"/>
              </w:rPr>
              <w:t>培训方案</w:t>
            </w:r>
          </w:p>
        </w:tc>
        <w:tc>
          <w:tcPr>
            <w:tcW w:w="825" w:type="dxa"/>
            <w:tcBorders>
              <w:tl2br w:val="nil"/>
              <w:tr2bl w:val="nil"/>
            </w:tcBorders>
            <w:noWrap w:val="0"/>
            <w:vAlign w:val="center"/>
          </w:tcPr>
          <w:p w14:paraId="1DB46AB2">
            <w:pPr>
              <w:jc w:val="center"/>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5110" w:type="dxa"/>
            <w:tcBorders>
              <w:tl2br w:val="nil"/>
              <w:tr2bl w:val="nil"/>
            </w:tcBorders>
            <w:noWrap w:val="0"/>
            <w:vAlign w:val="center"/>
          </w:tcPr>
          <w:p w14:paraId="31334E6B">
            <w:pPr>
              <w:jc w:val="left"/>
              <w:rPr>
                <w:rFonts w:hint="eastAsia" w:ascii="仿宋" w:hAnsi="仿宋" w:eastAsia="仿宋" w:cs="仿宋"/>
                <w:color w:val="auto"/>
                <w:sz w:val="24"/>
                <w:szCs w:val="24"/>
              </w:rPr>
            </w:pPr>
            <w:r>
              <w:rPr>
                <w:rFonts w:hint="eastAsia" w:ascii="仿宋" w:hAnsi="仿宋" w:eastAsia="仿宋" w:cs="仿宋"/>
                <w:color w:val="auto"/>
                <w:sz w:val="24"/>
                <w:szCs w:val="24"/>
              </w:rPr>
              <w:t>针对本项目具有可行的技术培训方案，包括但不限于：①所提供设备的原理和技术性能；②操作维护方法；③安装调试、排除故障等各个方面</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4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④</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rPr>
              <w:t>培训</w:t>
            </w:r>
            <w:r>
              <w:rPr>
                <w:rFonts w:hint="eastAsia" w:ascii="仿宋" w:hAnsi="仿宋" w:eastAsia="仿宋" w:cs="仿宋"/>
                <w:color w:val="auto"/>
                <w:sz w:val="24"/>
                <w:szCs w:val="24"/>
                <w:lang w:eastAsia="zh-CN"/>
              </w:rPr>
              <w:t>计划安排</w:t>
            </w:r>
            <w:r>
              <w:rPr>
                <w:rFonts w:hint="eastAsia" w:ascii="仿宋" w:hAnsi="仿宋" w:eastAsia="仿宋" w:cs="仿宋"/>
                <w:color w:val="auto"/>
                <w:sz w:val="24"/>
                <w:szCs w:val="24"/>
              </w:rPr>
              <w:t>；</w:t>
            </w:r>
            <w:r>
              <w:rPr>
                <w:rFonts w:hint="eastAsia" w:ascii="仿宋" w:hAnsi="仿宋" w:eastAsia="仿宋" w:cs="仿宋"/>
                <w:color w:val="auto"/>
                <w:sz w:val="24"/>
                <w:szCs w:val="24"/>
              </w:rPr>
              <w:fldChar w:fldCharType="begin"/>
            </w:r>
            <w:r>
              <w:rPr>
                <w:rFonts w:hint="eastAsia" w:ascii="仿宋" w:hAnsi="仿宋" w:eastAsia="仿宋" w:cs="仿宋"/>
                <w:color w:val="auto"/>
                <w:sz w:val="24"/>
                <w:szCs w:val="24"/>
              </w:rPr>
              <w:instrText xml:space="preserve"> = 5 \* GB3 \* MERGEFORMAT </w:instrText>
            </w:r>
            <w:r>
              <w:rPr>
                <w:rFonts w:hint="eastAsia" w:ascii="仿宋" w:hAnsi="仿宋" w:eastAsia="仿宋" w:cs="仿宋"/>
                <w:color w:val="auto"/>
                <w:sz w:val="24"/>
                <w:szCs w:val="24"/>
              </w:rPr>
              <w:fldChar w:fldCharType="separate"/>
            </w:r>
            <w:r>
              <w:rPr>
                <w:rFonts w:hint="eastAsia" w:ascii="仿宋" w:hAnsi="仿宋" w:eastAsia="仿宋" w:cs="仿宋"/>
                <w:color w:val="auto"/>
                <w:sz w:val="24"/>
                <w:szCs w:val="24"/>
              </w:rPr>
              <w:t>⑤</w:t>
            </w:r>
            <w:r>
              <w:rPr>
                <w:rFonts w:hint="eastAsia" w:ascii="仿宋" w:hAnsi="仿宋" w:eastAsia="仿宋" w:cs="仿宋"/>
                <w:color w:val="auto"/>
                <w:sz w:val="24"/>
                <w:szCs w:val="24"/>
              </w:rPr>
              <w:fldChar w:fldCharType="end"/>
            </w:r>
            <w:r>
              <w:rPr>
                <w:rFonts w:hint="eastAsia" w:ascii="仿宋" w:hAnsi="仿宋" w:eastAsia="仿宋" w:cs="仿宋"/>
                <w:color w:val="auto"/>
                <w:sz w:val="24"/>
                <w:szCs w:val="24"/>
                <w:lang w:eastAsia="zh-CN"/>
              </w:rPr>
              <w:t>培训效果</w:t>
            </w:r>
            <w:r>
              <w:rPr>
                <w:rFonts w:hint="eastAsia" w:ascii="仿宋" w:hAnsi="仿宋" w:eastAsia="仿宋" w:cs="仿宋"/>
                <w:color w:val="auto"/>
                <w:sz w:val="24"/>
                <w:szCs w:val="24"/>
              </w:rPr>
              <w:t>等。</w:t>
            </w:r>
          </w:p>
          <w:p w14:paraId="4B9699F4">
            <w:pPr>
              <w:jc w:val="left"/>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上述小项方案具有针对性和可行性，符合采购实际需求，内容完整合理满足招标文件要求的每项得3分。存在一般缺陷的每项方案得1.5分（一般缺陷是指方案内容前后不一致或前后逻辑错误或内容有缺失，不影响项目的实施）。未提供或存在重大缺陷的每项方案不得分（重大缺陷是指方案凭空编造或与采购项目和采购需求无关，无法指导项目实施）。</w:t>
            </w:r>
          </w:p>
        </w:tc>
      </w:tr>
      <w:tr w14:paraId="0299DE0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03" w:type="dxa"/>
            <w:vMerge w:val="continue"/>
            <w:tcBorders>
              <w:tl2br w:val="nil"/>
              <w:tr2bl w:val="nil"/>
            </w:tcBorders>
            <w:noWrap w:val="0"/>
            <w:vAlign w:val="center"/>
          </w:tcPr>
          <w:p w14:paraId="4DA45E9E">
            <w:pPr>
              <w:jc w:val="center"/>
              <w:rPr>
                <w:rFonts w:hint="eastAsia" w:ascii="仿宋" w:hAnsi="仿宋" w:eastAsia="仿宋" w:cs="仿宋"/>
                <w:sz w:val="24"/>
                <w:szCs w:val="24"/>
              </w:rPr>
            </w:pPr>
          </w:p>
        </w:tc>
        <w:tc>
          <w:tcPr>
            <w:tcW w:w="1877" w:type="dxa"/>
            <w:vMerge w:val="continue"/>
            <w:tcBorders>
              <w:tl2br w:val="nil"/>
              <w:tr2bl w:val="nil"/>
            </w:tcBorders>
            <w:noWrap w:val="0"/>
            <w:vAlign w:val="center"/>
          </w:tcPr>
          <w:p w14:paraId="21595C66">
            <w:pPr>
              <w:jc w:val="center"/>
              <w:rPr>
                <w:rFonts w:hint="eastAsia" w:ascii="仿宋" w:hAnsi="仿宋" w:eastAsia="仿宋" w:cs="仿宋"/>
                <w:sz w:val="24"/>
                <w:szCs w:val="24"/>
              </w:rPr>
            </w:pPr>
          </w:p>
        </w:tc>
        <w:tc>
          <w:tcPr>
            <w:tcW w:w="670" w:type="dxa"/>
            <w:tcBorders>
              <w:tl2br w:val="nil"/>
              <w:tr2bl w:val="nil"/>
            </w:tcBorders>
            <w:noWrap w:val="0"/>
            <w:vAlign w:val="center"/>
          </w:tcPr>
          <w:p w14:paraId="255A65AB">
            <w:pPr>
              <w:jc w:val="center"/>
              <w:rPr>
                <w:rFonts w:hint="eastAsia" w:ascii="仿宋" w:hAnsi="仿宋" w:eastAsia="仿宋" w:cs="仿宋"/>
                <w:sz w:val="24"/>
                <w:szCs w:val="24"/>
              </w:rPr>
            </w:pPr>
            <w:r>
              <w:rPr>
                <w:rFonts w:hint="eastAsia" w:ascii="仿宋" w:hAnsi="仿宋" w:eastAsia="仿宋" w:cs="仿宋"/>
                <w:sz w:val="24"/>
                <w:szCs w:val="24"/>
              </w:rPr>
              <w:t>类似业绩</w:t>
            </w:r>
          </w:p>
        </w:tc>
        <w:tc>
          <w:tcPr>
            <w:tcW w:w="825" w:type="dxa"/>
            <w:tcBorders>
              <w:tl2br w:val="nil"/>
              <w:tr2bl w:val="nil"/>
            </w:tcBorders>
            <w:noWrap w:val="0"/>
            <w:vAlign w:val="center"/>
          </w:tcPr>
          <w:p w14:paraId="675809EE">
            <w:pPr>
              <w:jc w:val="center"/>
              <w:rPr>
                <w:rFonts w:hint="eastAsia" w:ascii="仿宋" w:hAnsi="仿宋" w:eastAsia="仿宋" w:cs="仿宋"/>
                <w:sz w:val="24"/>
                <w:szCs w:val="24"/>
              </w:rPr>
            </w:pPr>
            <w:r>
              <w:rPr>
                <w:rFonts w:hint="eastAsia" w:ascii="仿宋" w:hAnsi="仿宋" w:eastAsia="仿宋" w:cs="仿宋"/>
                <w:sz w:val="24"/>
                <w:szCs w:val="24"/>
              </w:rPr>
              <w:t>30</w:t>
            </w:r>
          </w:p>
        </w:tc>
        <w:tc>
          <w:tcPr>
            <w:tcW w:w="5110" w:type="dxa"/>
            <w:tcBorders>
              <w:tl2br w:val="nil"/>
              <w:tr2bl w:val="nil"/>
            </w:tcBorders>
            <w:noWrap w:val="0"/>
            <w:vAlign w:val="center"/>
          </w:tcPr>
          <w:p w14:paraId="25223A2B">
            <w:pPr>
              <w:jc w:val="left"/>
              <w:rPr>
                <w:rFonts w:hint="eastAsia" w:ascii="仿宋" w:hAnsi="仿宋" w:eastAsia="仿宋" w:cs="仿宋"/>
                <w:color w:val="auto"/>
                <w:sz w:val="24"/>
                <w:szCs w:val="24"/>
              </w:rPr>
            </w:pPr>
            <w:r>
              <w:rPr>
                <w:rFonts w:hint="eastAsia" w:ascii="仿宋" w:hAnsi="仿宋" w:eastAsia="仿宋" w:cs="仿宋"/>
                <w:color w:val="auto"/>
                <w:sz w:val="24"/>
                <w:szCs w:val="24"/>
              </w:rPr>
              <w:t>提供近两年以来同型号设备销售业绩证明材料（证明材料可以是中标通知书或中标公示截图或合同相关页面，且证明材料要体现中标设备的型号），每提供一份计1</w:t>
            </w:r>
            <w:r>
              <w:rPr>
                <w:rFonts w:hint="eastAsia" w:ascii="仿宋" w:hAnsi="仿宋" w:eastAsia="仿宋" w:cs="仿宋"/>
                <w:color w:val="auto"/>
                <w:sz w:val="24"/>
                <w:szCs w:val="24"/>
                <w:lang w:val="en-US" w:eastAsia="zh-CN"/>
              </w:rPr>
              <w:t>5</w:t>
            </w:r>
            <w:r>
              <w:rPr>
                <w:rFonts w:hint="eastAsia" w:ascii="仿宋" w:hAnsi="仿宋" w:eastAsia="仿宋" w:cs="仿宋"/>
                <w:color w:val="auto"/>
                <w:sz w:val="24"/>
                <w:szCs w:val="24"/>
              </w:rPr>
              <w:t>分，计满30分为止，未按要求提供不得分。</w:t>
            </w:r>
          </w:p>
        </w:tc>
      </w:tr>
    </w:tbl>
    <w:p w14:paraId="7FAA99BB">
      <w:pPr>
        <w:jc w:val="center"/>
        <w:rPr>
          <w:rFonts w:hint="eastAsia" w:ascii="仿宋" w:hAnsi="仿宋" w:eastAsia="仿宋" w:cs="仿宋"/>
          <w:color w:val="auto"/>
          <w:sz w:val="24"/>
          <w:szCs w:val="24"/>
        </w:rPr>
      </w:pPr>
    </w:p>
    <w:p w14:paraId="4092A6A2">
      <w:pPr>
        <w:pStyle w:val="2"/>
        <w:numPr>
          <w:ilvl w:val="0"/>
          <w:numId w:val="0"/>
        </w:numPr>
        <w:spacing w:line="240" w:lineRule="auto"/>
        <w:ind w:left="2940" w:leftChars="0"/>
        <w:jc w:val="both"/>
        <w:rPr>
          <w:rFonts w:hint="eastAsia" w:ascii="宋体" w:hAnsi="宋体" w:cs="宋体"/>
          <w:color w:val="auto"/>
          <w:sz w:val="30"/>
          <w:szCs w:val="30"/>
        </w:rPr>
      </w:pPr>
      <w:r>
        <w:rPr>
          <w:rFonts w:hint="eastAsia" w:ascii="宋体" w:hAnsi="宋体" w:cs="宋体"/>
          <w:color w:val="auto"/>
          <w:sz w:val="30"/>
          <w:szCs w:val="30"/>
          <w:lang w:val="en-US" w:eastAsia="zh-CN"/>
        </w:rPr>
        <w:t xml:space="preserve">第四章   </w:t>
      </w:r>
      <w:r>
        <w:rPr>
          <w:rFonts w:hint="eastAsia" w:ascii="宋体" w:hAnsi="宋体" w:cs="宋体"/>
          <w:color w:val="auto"/>
          <w:sz w:val="30"/>
          <w:szCs w:val="30"/>
        </w:rPr>
        <w:t>投标文件的格式</w:t>
      </w:r>
    </w:p>
    <w:p w14:paraId="050DC92C">
      <w:pPr>
        <w:pStyle w:val="2"/>
        <w:numPr>
          <w:ilvl w:val="0"/>
          <w:numId w:val="0"/>
        </w:numPr>
        <w:spacing w:line="240" w:lineRule="auto"/>
        <w:ind w:firstLine="2108" w:firstLineChars="700"/>
        <w:jc w:val="both"/>
        <w:rPr>
          <w:rFonts w:hint="eastAsia" w:ascii="宋体" w:hAnsi="宋体" w:cs="宋体"/>
          <w:color w:val="auto"/>
          <w:sz w:val="30"/>
          <w:szCs w:val="30"/>
        </w:rPr>
      </w:pPr>
      <w:r>
        <w:rPr>
          <w:rFonts w:hint="eastAsia" w:ascii="宋体" w:hAnsi="宋体" w:cs="宋体"/>
          <w:color w:val="auto"/>
          <w:sz w:val="30"/>
          <w:szCs w:val="30"/>
        </w:rPr>
        <w:t>（必须按以下标题和顺序进行编制）</w:t>
      </w:r>
    </w:p>
    <w:p w14:paraId="023E2789">
      <w:pPr>
        <w:rPr>
          <w:rFonts w:hint="eastAsia" w:ascii="宋体" w:hAnsi="宋体" w:cs="宋体"/>
          <w:color w:val="auto"/>
        </w:rPr>
      </w:pPr>
    </w:p>
    <w:bookmarkEnd w:id="1"/>
    <w:p w14:paraId="134583E1">
      <w:pPr>
        <w:rPr>
          <w:rFonts w:hint="eastAsia" w:ascii="宋体" w:hAnsi="宋体" w:cs="宋体"/>
          <w:color w:val="auto"/>
        </w:rPr>
      </w:pPr>
    </w:p>
    <w:p w14:paraId="0C36B7E3">
      <w:pPr>
        <w:rPr>
          <w:rFonts w:hint="eastAsia"/>
          <w:color w:val="auto"/>
        </w:rPr>
      </w:pPr>
    </w:p>
    <w:p w14:paraId="642A6E11">
      <w:pPr>
        <w:jc w:val="center"/>
        <w:rPr>
          <w:b/>
          <w:color w:val="auto"/>
          <w:sz w:val="24"/>
        </w:rPr>
      </w:pPr>
      <w:r>
        <w:rPr>
          <w:b/>
          <w:color w:val="auto"/>
          <w:sz w:val="28"/>
          <w:szCs w:val="28"/>
        </w:rPr>
        <w:t>第一部分、开标一览表</w:t>
      </w:r>
    </w:p>
    <w:p w14:paraId="31CF1AE0">
      <w:pPr>
        <w:jc w:val="center"/>
        <w:rPr>
          <w:b/>
          <w:color w:val="auto"/>
          <w:sz w:val="24"/>
        </w:rPr>
      </w:pPr>
    </w:p>
    <w:p w14:paraId="38271B9E">
      <w:pPr>
        <w:jc w:val="center"/>
        <w:rPr>
          <w:rFonts w:hint="eastAsia"/>
          <w:b/>
          <w:color w:val="FF0000"/>
          <w:sz w:val="24"/>
          <w:lang w:eastAsia="zh-CN"/>
        </w:rPr>
      </w:pPr>
      <w:r>
        <w:rPr>
          <w:rFonts w:hint="eastAsia"/>
          <w:b/>
          <w:color w:val="auto"/>
          <w:sz w:val="24"/>
          <w:lang w:eastAsia="zh-CN"/>
        </w:rPr>
        <w:t>注：此项内容需包含投标商品名称、数量、品牌、型号、单价、总价、等信息。</w:t>
      </w:r>
    </w:p>
    <w:p w14:paraId="5F8096E0">
      <w:pPr>
        <w:pStyle w:val="21"/>
        <w:rPr>
          <w:color w:val="auto"/>
        </w:rPr>
      </w:pPr>
    </w:p>
    <w:p w14:paraId="3009323F">
      <w:pPr>
        <w:adjustRightInd w:val="0"/>
        <w:snapToGrid w:val="0"/>
        <w:spacing w:line="360" w:lineRule="auto"/>
        <w:jc w:val="center"/>
        <w:rPr>
          <w:rFonts w:hint="eastAsia" w:ascii="宋体" w:hAnsi="宋体" w:cs="宋体"/>
          <w:b/>
          <w:color w:val="auto"/>
          <w:sz w:val="28"/>
          <w:szCs w:val="28"/>
        </w:rPr>
      </w:pPr>
    </w:p>
    <w:p w14:paraId="60B9049D">
      <w:pPr>
        <w:adjustRightInd w:val="0"/>
        <w:snapToGrid w:val="0"/>
        <w:spacing w:line="360" w:lineRule="auto"/>
        <w:jc w:val="center"/>
        <w:rPr>
          <w:rFonts w:hint="eastAsia" w:ascii="宋体" w:hAnsi="宋体" w:cs="宋体"/>
          <w:b/>
          <w:color w:val="auto"/>
          <w:sz w:val="28"/>
          <w:szCs w:val="28"/>
        </w:rPr>
      </w:pPr>
    </w:p>
    <w:p w14:paraId="47A9E7E6">
      <w:pPr>
        <w:adjustRightInd w:val="0"/>
        <w:snapToGrid w:val="0"/>
        <w:spacing w:line="360" w:lineRule="auto"/>
        <w:jc w:val="center"/>
        <w:rPr>
          <w:rFonts w:hint="eastAsia" w:ascii="宋体" w:hAnsi="宋体" w:cs="宋体"/>
          <w:b/>
          <w:color w:val="auto"/>
          <w:sz w:val="28"/>
          <w:szCs w:val="28"/>
        </w:rPr>
      </w:pPr>
    </w:p>
    <w:p w14:paraId="0B851203">
      <w:pPr>
        <w:adjustRightInd w:val="0"/>
        <w:snapToGrid w:val="0"/>
        <w:spacing w:line="360" w:lineRule="auto"/>
        <w:jc w:val="center"/>
        <w:rPr>
          <w:rFonts w:hint="eastAsia" w:ascii="宋体" w:hAnsi="宋体" w:cs="宋体"/>
          <w:b/>
          <w:color w:val="auto"/>
          <w:sz w:val="28"/>
          <w:szCs w:val="28"/>
        </w:rPr>
      </w:pPr>
    </w:p>
    <w:p w14:paraId="5B522B1B">
      <w:pPr>
        <w:adjustRightInd w:val="0"/>
        <w:snapToGrid w:val="0"/>
        <w:spacing w:line="360"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第二部分、资格证明文件</w:t>
      </w:r>
    </w:p>
    <w:p w14:paraId="46BE0168">
      <w:pPr>
        <w:pStyle w:val="20"/>
        <w:rPr>
          <w:rFonts w:hint="eastAsia"/>
          <w:lang w:eastAsia="zh-CN"/>
        </w:rPr>
      </w:pPr>
    </w:p>
    <w:p w14:paraId="1C4CE19E">
      <w:pPr>
        <w:adjustRightInd w:val="0"/>
        <w:snapToGrid w:val="0"/>
        <w:spacing w:line="360" w:lineRule="auto"/>
        <w:jc w:val="center"/>
        <w:rPr>
          <w:rFonts w:hint="eastAsia" w:ascii="宋体" w:hAnsi="宋体" w:cs="宋体"/>
          <w:b/>
          <w:color w:val="auto"/>
          <w:sz w:val="24"/>
          <w:szCs w:val="20"/>
        </w:rPr>
      </w:pPr>
    </w:p>
    <w:p w14:paraId="5F76F163">
      <w:pPr>
        <w:adjustRightInd w:val="0"/>
        <w:snapToGrid w:val="0"/>
        <w:spacing w:line="360" w:lineRule="auto"/>
        <w:jc w:val="center"/>
        <w:rPr>
          <w:rFonts w:hint="eastAsia" w:ascii="宋体" w:hAnsi="宋体" w:cs="宋体"/>
          <w:b/>
          <w:color w:val="auto"/>
          <w:sz w:val="24"/>
          <w:szCs w:val="20"/>
        </w:rPr>
      </w:pPr>
      <w:r>
        <w:rPr>
          <w:rFonts w:hint="eastAsia" w:ascii="宋体" w:hAnsi="宋体" w:cs="宋体"/>
          <w:b/>
          <w:color w:val="auto"/>
          <w:sz w:val="24"/>
          <w:szCs w:val="20"/>
        </w:rPr>
        <w:t>一、法定代表人授权委托书</w:t>
      </w:r>
    </w:p>
    <w:p w14:paraId="6CD8A2E9">
      <w:pPr>
        <w:adjustRightInd w:val="0"/>
        <w:snapToGrid w:val="0"/>
        <w:spacing w:line="360" w:lineRule="auto"/>
        <w:rPr>
          <w:rFonts w:hint="eastAsia" w:ascii="宋体" w:hAnsi="宋体" w:cs="宋体"/>
          <w:b/>
          <w:color w:val="auto"/>
          <w:sz w:val="28"/>
          <w:szCs w:val="28"/>
        </w:rPr>
      </w:pPr>
    </w:p>
    <w:p w14:paraId="57FDFFD6">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本人</w:t>
      </w:r>
      <w:r>
        <w:rPr>
          <w:rFonts w:hint="eastAsia" w:ascii="宋体" w:hAnsi="宋体" w:cs="宋体"/>
          <w:color w:val="auto"/>
          <w:kern w:val="0"/>
          <w:sz w:val="24"/>
          <w:u w:val="single"/>
        </w:rPr>
        <w:t>（姓名、职务）</w:t>
      </w:r>
      <w:r>
        <w:rPr>
          <w:rFonts w:hint="eastAsia" w:ascii="宋体" w:hAnsi="宋体" w:cs="宋体"/>
          <w:color w:val="auto"/>
          <w:kern w:val="0"/>
          <w:sz w:val="24"/>
        </w:rPr>
        <w:t>系</w:t>
      </w:r>
      <w:r>
        <w:rPr>
          <w:rFonts w:hint="eastAsia" w:ascii="宋体" w:hAnsi="宋体" w:cs="宋体"/>
          <w:color w:val="auto"/>
          <w:kern w:val="0"/>
          <w:sz w:val="24"/>
          <w:u w:val="single"/>
        </w:rPr>
        <w:t xml:space="preserve"> （</w:t>
      </w:r>
      <w:r>
        <w:rPr>
          <w:rFonts w:hint="eastAsia" w:ascii="宋体" w:hAnsi="宋体" w:cs="宋体"/>
          <w:color w:val="auto"/>
          <w:sz w:val="24"/>
          <w:u w:val="single"/>
        </w:rPr>
        <w:t>投标人</w:t>
      </w:r>
      <w:r>
        <w:rPr>
          <w:rFonts w:hint="eastAsia" w:ascii="宋体" w:hAnsi="宋体" w:cs="宋体"/>
          <w:color w:val="auto"/>
          <w:kern w:val="0"/>
          <w:sz w:val="24"/>
          <w:u w:val="single"/>
        </w:rPr>
        <w:t>名称）</w:t>
      </w:r>
      <w:r>
        <w:rPr>
          <w:rFonts w:hint="eastAsia" w:ascii="宋体" w:hAnsi="宋体" w:cs="宋体"/>
          <w:color w:val="auto"/>
          <w:kern w:val="0"/>
          <w:sz w:val="24"/>
        </w:rPr>
        <w:t>的法定代表人，现授权</w:t>
      </w:r>
      <w:r>
        <w:rPr>
          <w:rFonts w:hint="eastAsia" w:ascii="宋体" w:hAnsi="宋体" w:cs="宋体"/>
          <w:color w:val="auto"/>
          <w:kern w:val="0"/>
          <w:sz w:val="24"/>
          <w:u w:val="single"/>
        </w:rPr>
        <w:t>（姓名、职务）</w:t>
      </w:r>
      <w:r>
        <w:rPr>
          <w:rFonts w:hint="eastAsia" w:ascii="宋体" w:hAnsi="宋体" w:cs="宋体"/>
          <w:color w:val="auto"/>
          <w:kern w:val="0"/>
          <w:sz w:val="24"/>
        </w:rPr>
        <w:t>为我方代理人。代理人根据授权，以我方名义签署、澄清、说明、补正、递交、撤回、修改</w:t>
      </w:r>
      <w:r>
        <w:rPr>
          <w:rFonts w:hint="eastAsia" w:ascii="宋体" w:hAnsi="宋体" w:cs="宋体"/>
          <w:color w:val="auto"/>
          <w:kern w:val="0"/>
          <w:sz w:val="24"/>
          <w:u w:val="single"/>
        </w:rPr>
        <w:t>（项目名称）</w:t>
      </w:r>
      <w:r>
        <w:rPr>
          <w:rFonts w:hint="eastAsia" w:ascii="宋体" w:hAnsi="宋体" w:cs="宋体"/>
          <w:color w:val="auto"/>
          <w:kern w:val="0"/>
          <w:sz w:val="24"/>
        </w:rPr>
        <w:t>（采购编号：</w:t>
      </w:r>
      <w:r>
        <w:rPr>
          <w:rFonts w:hint="eastAsia" w:ascii="宋体" w:hAnsi="宋体" w:cs="宋体"/>
          <w:color w:val="auto"/>
          <w:kern w:val="0"/>
          <w:sz w:val="24"/>
          <w:u w:val="single"/>
        </w:rPr>
        <w:t xml:space="preserve">     </w:t>
      </w:r>
      <w:r>
        <w:rPr>
          <w:rFonts w:hint="eastAsia" w:ascii="宋体" w:hAnsi="宋体" w:cs="宋体"/>
          <w:color w:val="auto"/>
          <w:kern w:val="0"/>
          <w:sz w:val="24"/>
        </w:rPr>
        <w:t>）投标文件、签订合同和处理有关事宜，其法律后果由我方承担。</w:t>
      </w:r>
    </w:p>
    <w:p w14:paraId="5DC957A3">
      <w:pPr>
        <w:autoSpaceDE w:val="0"/>
        <w:autoSpaceDN w:val="0"/>
        <w:adjustRightInd w:val="0"/>
        <w:snapToGrid w:val="0"/>
        <w:spacing w:line="360" w:lineRule="auto"/>
        <w:ind w:firstLine="480" w:firstLineChars="200"/>
        <w:jc w:val="left"/>
        <w:rPr>
          <w:rFonts w:hint="eastAsia" w:ascii="宋体" w:hAnsi="宋体" w:cs="宋体"/>
          <w:color w:val="auto"/>
          <w:kern w:val="0"/>
          <w:sz w:val="24"/>
        </w:rPr>
      </w:pPr>
      <w:r>
        <w:rPr>
          <w:rFonts w:hint="eastAsia" w:ascii="宋体" w:hAnsi="宋体" w:cs="宋体"/>
          <w:color w:val="auto"/>
          <w:kern w:val="0"/>
          <w:sz w:val="24"/>
        </w:rPr>
        <w:t>委托期限：</w:t>
      </w:r>
      <w:r>
        <w:rPr>
          <w:rFonts w:hint="eastAsia" w:ascii="宋体" w:hAnsi="宋体" w:cs="宋体"/>
          <w:color w:val="auto"/>
          <w:kern w:val="0"/>
          <w:sz w:val="24"/>
          <w:u w:val="single"/>
        </w:rPr>
        <w:t xml:space="preserve">       </w:t>
      </w:r>
      <w:r>
        <w:rPr>
          <w:rFonts w:hint="eastAsia" w:ascii="宋体" w:hAnsi="宋体" w:cs="宋体"/>
          <w:color w:val="auto"/>
          <w:kern w:val="0"/>
          <w:sz w:val="24"/>
        </w:rPr>
        <w:t>。</w:t>
      </w:r>
    </w:p>
    <w:p w14:paraId="58EF3318">
      <w:pPr>
        <w:adjustRightInd w:val="0"/>
        <w:snapToGrid w:val="0"/>
        <w:spacing w:line="360" w:lineRule="auto"/>
        <w:ind w:firstLine="435"/>
        <w:rPr>
          <w:rFonts w:hint="eastAsia" w:ascii="宋体" w:hAnsi="宋体" w:cs="宋体"/>
          <w:color w:val="auto"/>
          <w:kern w:val="0"/>
          <w:sz w:val="24"/>
        </w:rPr>
      </w:pPr>
      <w:r>
        <w:rPr>
          <w:rFonts w:hint="eastAsia" w:ascii="宋体" w:hAnsi="宋体" w:cs="宋体"/>
          <w:color w:val="auto"/>
          <w:kern w:val="0"/>
          <w:sz w:val="24"/>
        </w:rPr>
        <w:t>代理人无转委托权。</w:t>
      </w:r>
    </w:p>
    <w:p w14:paraId="29B331CC">
      <w:pPr>
        <w:adjustRightInd w:val="0"/>
        <w:snapToGrid w:val="0"/>
        <w:spacing w:line="360" w:lineRule="auto"/>
        <w:ind w:firstLine="435"/>
        <w:rPr>
          <w:rFonts w:hint="eastAsia" w:ascii="宋体" w:hAnsi="宋体" w:cs="宋体"/>
          <w:color w:val="auto"/>
          <w:sz w:val="24"/>
        </w:rPr>
      </w:pPr>
      <w:r>
        <w:rPr>
          <w:rFonts w:hint="eastAsia" w:ascii="宋体" w:hAnsi="宋体" w:cs="宋体"/>
          <w:color w:val="auto"/>
          <w:sz w:val="24"/>
        </w:rPr>
        <w:t>本授权书于日期：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日签字生效，特此声明。</w:t>
      </w:r>
    </w:p>
    <w:p w14:paraId="4387948B">
      <w:pPr>
        <w:adjustRightInd w:val="0"/>
        <w:snapToGrid w:val="0"/>
        <w:spacing w:line="360" w:lineRule="auto"/>
        <w:ind w:firstLine="480" w:firstLineChars="200"/>
        <w:rPr>
          <w:rFonts w:hint="eastAsia" w:ascii="宋体" w:hAnsi="宋体" w:cs="宋体"/>
          <w:color w:val="auto"/>
          <w:sz w:val="24"/>
        </w:rPr>
      </w:pPr>
    </w:p>
    <w:tbl>
      <w:tblPr>
        <w:tblStyle w:val="15"/>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7FD0D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5E52C6EF">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委托代理人身份证（正面、反面）复印件</w:t>
            </w:r>
          </w:p>
        </w:tc>
      </w:tr>
    </w:tbl>
    <w:p w14:paraId="346FCCD3">
      <w:pPr>
        <w:adjustRightInd w:val="0"/>
        <w:snapToGrid w:val="0"/>
        <w:spacing w:line="360" w:lineRule="auto"/>
        <w:rPr>
          <w:rFonts w:hint="eastAsia" w:ascii="宋体" w:hAnsi="宋体" w:cs="宋体"/>
          <w:color w:val="auto"/>
          <w:sz w:val="24"/>
        </w:rPr>
      </w:pPr>
    </w:p>
    <w:tbl>
      <w:tblPr>
        <w:tblStyle w:val="15"/>
        <w:tblW w:w="8278" w:type="dxa"/>
        <w:tblInd w:w="1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78"/>
      </w:tblGrid>
      <w:tr w14:paraId="17CB7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7" w:hRule="atLeast"/>
        </w:trPr>
        <w:tc>
          <w:tcPr>
            <w:tcW w:w="8278" w:type="dxa"/>
            <w:noWrap w:val="0"/>
            <w:vAlign w:val="center"/>
          </w:tcPr>
          <w:p w14:paraId="44E9FC1E">
            <w:pPr>
              <w:adjustRightInd w:val="0"/>
              <w:snapToGrid w:val="0"/>
              <w:spacing w:line="360" w:lineRule="auto"/>
              <w:jc w:val="center"/>
              <w:rPr>
                <w:rFonts w:hint="eastAsia" w:ascii="宋体" w:hAnsi="宋体" w:cs="宋体"/>
                <w:color w:val="auto"/>
                <w:sz w:val="24"/>
              </w:rPr>
            </w:pPr>
            <w:r>
              <w:rPr>
                <w:rFonts w:hint="eastAsia" w:ascii="宋体" w:hAnsi="宋体" w:cs="宋体"/>
                <w:color w:val="auto"/>
                <w:sz w:val="24"/>
              </w:rPr>
              <w:t>法定代表人身份证（正面、反面）复印件</w:t>
            </w:r>
          </w:p>
        </w:tc>
      </w:tr>
    </w:tbl>
    <w:p w14:paraId="61ED57AA">
      <w:pPr>
        <w:adjustRightInd w:val="0"/>
        <w:snapToGrid w:val="0"/>
        <w:spacing w:line="360" w:lineRule="auto"/>
        <w:rPr>
          <w:rFonts w:hint="eastAsia" w:ascii="宋体" w:hAnsi="宋体" w:cs="宋体"/>
          <w:color w:val="auto"/>
          <w:sz w:val="24"/>
        </w:rPr>
      </w:pPr>
    </w:p>
    <w:p w14:paraId="73683F9B">
      <w:pPr>
        <w:adjustRightInd w:val="0"/>
        <w:snapToGrid w:val="0"/>
        <w:spacing w:line="360" w:lineRule="auto"/>
        <w:rPr>
          <w:rFonts w:hint="eastAsia" w:ascii="宋体" w:hAnsi="宋体" w:cs="宋体"/>
          <w:color w:val="auto"/>
          <w:sz w:val="24"/>
        </w:rPr>
      </w:pPr>
    </w:p>
    <w:p w14:paraId="74E54024">
      <w:pPr>
        <w:adjustRightInd w:val="0"/>
        <w:snapToGrid w:val="0"/>
        <w:spacing w:line="360" w:lineRule="auto"/>
        <w:rPr>
          <w:rFonts w:hint="eastAsia" w:ascii="宋体" w:hAnsi="宋体" w:cs="宋体"/>
          <w:color w:val="auto"/>
          <w:sz w:val="24"/>
        </w:rPr>
      </w:pPr>
      <w:r>
        <w:rPr>
          <w:rFonts w:hint="eastAsia" w:ascii="宋体" w:hAnsi="宋体" w:cs="宋体"/>
          <w:color w:val="auto"/>
          <w:sz w:val="24"/>
        </w:rPr>
        <w:t>投标人名称（盖单位章）：</w:t>
      </w:r>
    </w:p>
    <w:p w14:paraId="11F56670">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法定代表人（签字）：</w:t>
      </w:r>
    </w:p>
    <w:p w14:paraId="283F8CB4">
      <w:pPr>
        <w:adjustRightInd w:val="0"/>
        <w:snapToGrid w:val="0"/>
        <w:spacing w:line="360" w:lineRule="auto"/>
        <w:ind w:right="420"/>
        <w:rPr>
          <w:rFonts w:hint="eastAsia" w:ascii="宋体" w:hAnsi="宋体" w:cs="宋体"/>
          <w:color w:val="auto"/>
          <w:sz w:val="24"/>
        </w:rPr>
      </w:pPr>
      <w:r>
        <w:rPr>
          <w:rFonts w:hint="eastAsia" w:ascii="宋体" w:hAnsi="宋体" w:cs="宋体"/>
          <w:color w:val="auto"/>
          <w:sz w:val="24"/>
        </w:rPr>
        <w:t>委托代理人（签字）：</w:t>
      </w:r>
    </w:p>
    <w:p w14:paraId="24EF6AB7">
      <w:pPr>
        <w:adjustRightInd w:val="0"/>
        <w:snapToGrid w:val="0"/>
        <w:spacing w:line="360" w:lineRule="auto"/>
        <w:rPr>
          <w:rFonts w:hint="eastAsia" w:ascii="宋体" w:hAnsi="宋体" w:cs="宋体"/>
          <w:b/>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0E41FF70">
      <w:pPr>
        <w:adjustRightInd w:val="0"/>
        <w:snapToGrid w:val="0"/>
        <w:spacing w:line="360" w:lineRule="auto"/>
        <w:rPr>
          <w:rFonts w:hint="eastAsia" w:ascii="宋体" w:hAnsi="宋体" w:cs="宋体"/>
          <w:b/>
          <w:color w:val="auto"/>
          <w:sz w:val="28"/>
          <w:szCs w:val="28"/>
        </w:rPr>
      </w:pPr>
    </w:p>
    <w:p w14:paraId="0F5DBA54">
      <w:pPr>
        <w:rPr>
          <w:rFonts w:hint="eastAsia" w:ascii="宋体" w:hAnsi="宋体" w:cs="宋体"/>
          <w:b/>
          <w:color w:val="auto"/>
          <w:sz w:val="24"/>
          <w:szCs w:val="20"/>
        </w:rPr>
      </w:pPr>
      <w:r>
        <w:rPr>
          <w:rFonts w:hint="eastAsia" w:ascii="宋体" w:hAnsi="宋体" w:cs="宋体"/>
          <w:b/>
          <w:color w:val="auto"/>
          <w:sz w:val="24"/>
          <w:szCs w:val="20"/>
        </w:rPr>
        <w:br w:type="page"/>
      </w:r>
    </w:p>
    <w:p w14:paraId="2A1D0F17">
      <w:pPr>
        <w:keepNext w:val="0"/>
        <w:keepLines w:val="0"/>
        <w:pageBreakBefore w:val="0"/>
        <w:kinsoku/>
        <w:wordWrap/>
        <w:overflowPunct/>
        <w:topLinePunct w:val="0"/>
        <w:autoSpaceDE/>
        <w:autoSpaceDN/>
        <w:bidi w:val="0"/>
        <w:adjustRightInd w:val="0"/>
        <w:snapToGrid w:val="0"/>
        <w:spacing w:line="400" w:lineRule="exact"/>
        <w:jc w:val="center"/>
        <w:textAlignment w:val="auto"/>
        <w:rPr>
          <w:rFonts w:hint="eastAsia" w:ascii="宋体" w:hAnsi="宋体" w:cs="宋体"/>
          <w:color w:val="auto"/>
          <w:sz w:val="24"/>
        </w:rPr>
      </w:pPr>
      <w:r>
        <w:rPr>
          <w:rFonts w:hint="eastAsia" w:ascii="宋体" w:hAnsi="宋体" w:cs="宋体"/>
          <w:b/>
          <w:color w:val="auto"/>
          <w:sz w:val="24"/>
          <w:szCs w:val="20"/>
        </w:rPr>
        <w:t>二、投标人资格声明</w:t>
      </w:r>
    </w:p>
    <w:p w14:paraId="09B775A3">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kern w:val="0"/>
          <w:sz w:val="24"/>
        </w:rPr>
      </w:pPr>
      <w:r>
        <w:rPr>
          <w:rFonts w:hint="eastAsia" w:ascii="宋体" w:hAnsi="宋体" w:cs="宋体"/>
          <w:color w:val="auto"/>
          <w:sz w:val="24"/>
        </w:rPr>
        <w:t>致(</w:t>
      </w:r>
      <w:r>
        <w:rPr>
          <w:rFonts w:hint="eastAsia" w:ascii="宋体" w:hAnsi="宋体" w:cs="宋体"/>
          <w:color w:val="auto"/>
          <w:sz w:val="24"/>
          <w:lang w:val="en-US" w:eastAsia="zh-CN"/>
        </w:rPr>
        <w:t xml:space="preserve">           </w:t>
      </w:r>
      <w:r>
        <w:rPr>
          <w:rFonts w:hint="eastAsia" w:ascii="宋体" w:hAnsi="宋体" w:cs="宋体"/>
          <w:color w:val="auto"/>
          <w:sz w:val="24"/>
        </w:rPr>
        <w:t>)：</w:t>
      </w:r>
    </w:p>
    <w:p w14:paraId="1DD6DC6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按照</w:t>
      </w:r>
      <w:r>
        <w:rPr>
          <w:rFonts w:hint="eastAsia" w:ascii="宋体" w:hAnsi="宋体" w:cs="宋体"/>
          <w:color w:val="auto"/>
          <w:sz w:val="24"/>
          <w:lang w:eastAsia="zh-CN"/>
        </w:rPr>
        <w:t>招标</w:t>
      </w:r>
      <w:r>
        <w:rPr>
          <w:rFonts w:hint="eastAsia" w:ascii="宋体" w:hAnsi="宋体" w:cs="宋体"/>
          <w:color w:val="auto"/>
          <w:sz w:val="24"/>
        </w:rPr>
        <w:t>文件的规定，我单位郑重声明如下：</w:t>
      </w:r>
    </w:p>
    <w:p w14:paraId="0DB7BF5D">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一、我单位是按照中华人民共和国法律规定登记注册的，注册地点为</w:t>
      </w:r>
      <w:r>
        <w:rPr>
          <w:rFonts w:hint="eastAsia" w:ascii="宋体" w:hAnsi="宋体" w:cs="宋体"/>
          <w:color w:val="auto"/>
          <w:sz w:val="24"/>
          <w:u w:val="single"/>
        </w:rPr>
        <w:t xml:space="preserve">      </w:t>
      </w:r>
      <w:r>
        <w:rPr>
          <w:rFonts w:hint="eastAsia" w:ascii="宋体" w:hAnsi="宋体" w:cs="宋体"/>
          <w:color w:val="auto"/>
          <w:sz w:val="24"/>
        </w:rPr>
        <w:t>，全称为</w:t>
      </w:r>
      <w:r>
        <w:rPr>
          <w:rFonts w:hint="eastAsia" w:ascii="宋体" w:hAnsi="宋体" w:cs="宋体"/>
          <w:color w:val="auto"/>
          <w:sz w:val="24"/>
          <w:u w:val="single"/>
        </w:rPr>
        <w:t xml:space="preserve">      </w:t>
      </w:r>
      <w:r>
        <w:rPr>
          <w:rFonts w:hint="eastAsia" w:ascii="宋体" w:hAnsi="宋体" w:cs="宋体"/>
          <w:color w:val="auto"/>
          <w:sz w:val="24"/>
        </w:rPr>
        <w:t>，统一社会信用代码为</w:t>
      </w:r>
      <w:r>
        <w:rPr>
          <w:rFonts w:hint="eastAsia" w:ascii="宋体" w:hAnsi="宋体" w:cs="宋体"/>
          <w:color w:val="auto"/>
          <w:sz w:val="24"/>
          <w:u w:val="single"/>
        </w:rPr>
        <w:t xml:space="preserve">      </w:t>
      </w:r>
      <w:r>
        <w:rPr>
          <w:rFonts w:hint="eastAsia" w:ascii="宋体" w:hAnsi="宋体" w:cs="宋体"/>
          <w:color w:val="auto"/>
          <w:sz w:val="24"/>
        </w:rPr>
        <w:t>，法定代表人为</w:t>
      </w:r>
      <w:r>
        <w:rPr>
          <w:rFonts w:hint="eastAsia" w:ascii="宋体" w:hAnsi="宋体" w:cs="宋体"/>
          <w:color w:val="auto"/>
          <w:sz w:val="24"/>
          <w:u w:val="single"/>
        </w:rPr>
        <w:t xml:space="preserve">      </w:t>
      </w:r>
      <w:r>
        <w:rPr>
          <w:rFonts w:hint="eastAsia" w:ascii="宋体" w:hAnsi="宋体" w:cs="宋体"/>
          <w:color w:val="auto"/>
          <w:sz w:val="24"/>
        </w:rPr>
        <w:t>，具有独立承担民事责任的能力。</w:t>
      </w:r>
    </w:p>
    <w:p w14:paraId="1536784E">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二、我单位具有良好的商业信誉和健全的财务会计制度。</w:t>
      </w:r>
    </w:p>
    <w:p w14:paraId="7698527F">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kern w:val="0"/>
          <w:sz w:val="24"/>
        </w:rPr>
        <w:t>三、</w:t>
      </w:r>
      <w:r>
        <w:rPr>
          <w:rFonts w:hint="eastAsia" w:ascii="宋体" w:hAnsi="宋体" w:cs="宋体"/>
          <w:color w:val="auto"/>
          <w:sz w:val="24"/>
        </w:rPr>
        <w:t>我单位具有履行本项目采购合同所必需的设备和专业技术能力。</w:t>
      </w:r>
    </w:p>
    <w:p w14:paraId="62181211">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四、我单位在参加本</w:t>
      </w:r>
      <w:r>
        <w:rPr>
          <w:rFonts w:hint="eastAsia" w:asciiTheme="minorEastAsia" w:hAnsiTheme="minorEastAsia" w:eastAsiaTheme="minorEastAsia" w:cstheme="minorEastAsia"/>
          <w:bCs/>
          <w:color w:val="auto"/>
          <w:sz w:val="24"/>
          <w:szCs w:val="24"/>
          <w:lang w:val="en-US" w:eastAsia="zh-CN"/>
        </w:rPr>
        <w:t>采购</w:t>
      </w:r>
      <w:r>
        <w:rPr>
          <w:rFonts w:hint="eastAsia" w:ascii="宋体" w:hAnsi="宋体" w:cs="宋体"/>
          <w:color w:val="auto"/>
          <w:sz w:val="24"/>
        </w:rPr>
        <w:t>项目前三年内，在经营活动中，未因违法经营受到刑事处罚或者责令停产停业、吊销许可证或者执照、较大数额罚款等行政处罚。其中较大数额罚款是指：对公民处罚款在1000元及以上；对法人或者其他组织处罚款在2万元及以上；法律法规另有规定的，从其规定。</w:t>
      </w:r>
    </w:p>
    <w:p w14:paraId="265A087B">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五、我单位具备法律、行政法规规定的其他条件。</w:t>
      </w:r>
    </w:p>
    <w:p w14:paraId="2E36ED8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kern w:val="0"/>
          <w:sz w:val="24"/>
        </w:rPr>
        <w:t>六、</w:t>
      </w:r>
      <w:r>
        <w:rPr>
          <w:rFonts w:hint="eastAsia" w:ascii="宋体" w:hAnsi="宋体" w:cs="宋体"/>
          <w:color w:val="auto"/>
          <w:sz w:val="24"/>
        </w:rPr>
        <w:t>与我单位存在“单位负责人为同一人或者存在直接控股、管理关系”的其他法人单位信息如下（如无，填写“无”）：</w:t>
      </w:r>
    </w:p>
    <w:p w14:paraId="4E4EEB9A">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u w:val="single"/>
        </w:rPr>
      </w:pPr>
      <w:r>
        <w:rPr>
          <w:rFonts w:hint="eastAsia" w:ascii="宋体" w:hAnsi="宋体" w:cs="宋体"/>
          <w:color w:val="auto"/>
          <w:sz w:val="24"/>
        </w:rPr>
        <w:t>1、与我单位的法定代表人（单位负责人）为同一人的其他法人单位如下：</w:t>
      </w:r>
      <w:r>
        <w:rPr>
          <w:rFonts w:hint="eastAsia" w:ascii="宋体" w:hAnsi="宋体" w:cs="宋体"/>
          <w:color w:val="auto"/>
          <w:sz w:val="24"/>
          <w:u w:val="single"/>
        </w:rPr>
        <w:t xml:space="preserve">               </w:t>
      </w:r>
    </w:p>
    <w:p w14:paraId="0226D39D">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2、我单位直接控股的其他法人单位如下：</w:t>
      </w:r>
      <w:r>
        <w:rPr>
          <w:rFonts w:hint="eastAsia" w:ascii="宋体" w:hAnsi="宋体" w:cs="宋体"/>
          <w:color w:val="auto"/>
          <w:sz w:val="24"/>
          <w:u w:val="single"/>
        </w:rPr>
        <w:t xml:space="preserve">                                            </w:t>
      </w:r>
    </w:p>
    <w:p w14:paraId="35752034">
      <w:pPr>
        <w:keepNext w:val="0"/>
        <w:keepLines w:val="0"/>
        <w:pageBreakBefore w:val="0"/>
        <w:kinsoku/>
        <w:wordWrap/>
        <w:overflowPunct/>
        <w:topLinePunct w:val="0"/>
        <w:autoSpaceDE/>
        <w:autoSpaceDN/>
        <w:bidi w:val="0"/>
        <w:adjustRightInd w:val="0"/>
        <w:snapToGrid w:val="0"/>
        <w:spacing w:before="120" w:beforeLines="50" w:line="400" w:lineRule="exact"/>
        <w:ind w:firstLine="480" w:firstLineChars="200"/>
        <w:textAlignment w:val="auto"/>
        <w:rPr>
          <w:rFonts w:hint="eastAsia" w:ascii="宋体" w:hAnsi="宋体" w:cs="宋体"/>
          <w:color w:val="auto"/>
          <w:sz w:val="24"/>
          <w:u w:val="single"/>
        </w:rPr>
      </w:pPr>
      <w:r>
        <w:rPr>
          <w:rFonts w:hint="eastAsia" w:ascii="宋体" w:hAnsi="宋体" w:cs="宋体"/>
          <w:color w:val="auto"/>
          <w:sz w:val="24"/>
        </w:rPr>
        <w:t>3、与我单位存在管理关系的其他法人单位如下：</w:t>
      </w:r>
      <w:r>
        <w:rPr>
          <w:rFonts w:hint="eastAsia" w:ascii="宋体" w:hAnsi="宋体" w:cs="宋体"/>
          <w:color w:val="auto"/>
          <w:sz w:val="24"/>
          <w:u w:val="single"/>
        </w:rPr>
        <w:t xml:space="preserve">                                     </w:t>
      </w:r>
    </w:p>
    <w:p w14:paraId="60EB9185">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lang w:val="en-US" w:eastAsia="zh-CN"/>
        </w:rPr>
        <w:t>七、我单位承诺参与本项目时不存在围标、串标、陪标等违法行为</w:t>
      </w:r>
      <w:r>
        <w:rPr>
          <w:rFonts w:hint="eastAsia" w:ascii="宋体" w:hAnsi="宋体" w:cs="宋体"/>
          <w:color w:val="auto"/>
          <w:sz w:val="24"/>
        </w:rPr>
        <w:t xml:space="preserve"> </w:t>
      </w:r>
    </w:p>
    <w:p w14:paraId="024C14A9">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kern w:val="0"/>
          <w:sz w:val="24"/>
        </w:rPr>
      </w:pPr>
      <w:r>
        <w:rPr>
          <w:rFonts w:hint="eastAsia" w:ascii="宋体" w:hAnsi="宋体" w:cs="宋体"/>
          <w:color w:val="auto"/>
          <w:sz w:val="24"/>
        </w:rPr>
        <w:t>我单位保证上述声明的事项都是真实的，如有虚假，我单位愿意承担相应的法律责任，并承担因此所造成的一切损失。</w:t>
      </w:r>
    </w:p>
    <w:p w14:paraId="0ADBE667">
      <w:pPr>
        <w:keepNext w:val="0"/>
        <w:keepLines w:val="0"/>
        <w:pageBreakBefore w:val="0"/>
        <w:widowControl/>
        <w:kinsoku/>
        <w:wordWrap/>
        <w:overflowPunct/>
        <w:topLinePunct w:val="0"/>
        <w:autoSpaceDE/>
        <w:autoSpaceDN/>
        <w:bidi w:val="0"/>
        <w:adjustRightInd w:val="0"/>
        <w:snapToGrid w:val="0"/>
        <w:spacing w:before="120" w:beforeLines="50" w:line="400" w:lineRule="exact"/>
        <w:ind w:firstLine="480" w:firstLineChars="200"/>
        <w:jc w:val="left"/>
        <w:textAlignment w:val="auto"/>
        <w:rPr>
          <w:rFonts w:hint="eastAsia" w:ascii="宋体" w:hAnsi="宋体" w:cs="宋体"/>
          <w:color w:val="auto"/>
          <w:sz w:val="24"/>
        </w:rPr>
      </w:pPr>
      <w:r>
        <w:rPr>
          <w:rFonts w:hint="eastAsia" w:ascii="宋体" w:hAnsi="宋体" w:cs="宋体"/>
          <w:color w:val="auto"/>
          <w:sz w:val="24"/>
        </w:rPr>
        <w:t>我单位保证随时按照要求提供能够证明上述声明事项真实性的任何有效文件。</w:t>
      </w:r>
    </w:p>
    <w:p w14:paraId="64DDD701">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kern w:val="0"/>
          <w:sz w:val="24"/>
        </w:rPr>
      </w:pPr>
      <w:r>
        <w:rPr>
          <w:rFonts w:hint="eastAsia" w:ascii="宋体" w:hAnsi="宋体" w:cs="宋体"/>
          <w:color w:val="auto"/>
          <w:sz w:val="24"/>
        </w:rPr>
        <w:t>投标人名称（盖单位公章）：</w:t>
      </w:r>
    </w:p>
    <w:p w14:paraId="55D549B2">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b/>
          <w:bCs/>
          <w:color w:val="auto"/>
          <w:kern w:val="0"/>
          <w:sz w:val="24"/>
        </w:rPr>
      </w:pPr>
      <w:r>
        <w:rPr>
          <w:rFonts w:hint="eastAsia" w:ascii="宋体" w:hAnsi="宋体" w:cs="宋体"/>
          <w:color w:val="auto"/>
          <w:sz w:val="24"/>
        </w:rPr>
        <w:t>法定代表人或委托代理人（签字）：</w:t>
      </w:r>
    </w:p>
    <w:p w14:paraId="2C3DEF84">
      <w:pPr>
        <w:keepNext w:val="0"/>
        <w:keepLines w:val="0"/>
        <w:pageBreakBefore w:val="0"/>
        <w:widowControl/>
        <w:kinsoku/>
        <w:wordWrap/>
        <w:overflowPunct/>
        <w:topLinePunct w:val="0"/>
        <w:autoSpaceDE/>
        <w:autoSpaceDN/>
        <w:bidi w:val="0"/>
        <w:adjustRightInd w:val="0"/>
        <w:snapToGrid w:val="0"/>
        <w:spacing w:before="120" w:beforeLines="50" w:line="400" w:lineRule="exact"/>
        <w:jc w:val="left"/>
        <w:textAlignment w:val="auto"/>
        <w:rPr>
          <w:rFonts w:hint="eastAsia" w:ascii="宋体" w:hAnsi="宋体" w:cs="宋体"/>
          <w:color w:val="auto"/>
          <w:sz w:val="24"/>
        </w:rPr>
      </w:pPr>
      <w:r>
        <w:rPr>
          <w:rFonts w:hint="eastAsia" w:ascii="宋体" w:hAnsi="宋体" w:cs="宋体"/>
          <w:color w:val="auto"/>
          <w:sz w:val="24"/>
        </w:rPr>
        <w:t>日期：</w:t>
      </w:r>
      <w:r>
        <w:rPr>
          <w:rFonts w:hint="eastAsia" w:ascii="宋体" w:hAnsi="宋体" w:cs="宋体"/>
          <w:color w:val="auto"/>
          <w:sz w:val="24"/>
          <w:u w:val="single"/>
        </w:rPr>
        <w:t xml:space="preserve">    </w:t>
      </w:r>
      <w:r>
        <w:rPr>
          <w:rFonts w:hint="eastAsia" w:ascii="宋体" w:hAnsi="宋体" w:cs="宋体"/>
          <w:color w:val="auto"/>
          <w:sz w:val="24"/>
        </w:rPr>
        <w:t>年</w:t>
      </w:r>
      <w:r>
        <w:rPr>
          <w:rFonts w:hint="eastAsia" w:ascii="宋体" w:hAnsi="宋体" w:cs="宋体"/>
          <w:color w:val="auto"/>
          <w:sz w:val="24"/>
          <w:u w:val="single"/>
        </w:rPr>
        <w:t xml:space="preserve">    </w:t>
      </w:r>
      <w:r>
        <w:rPr>
          <w:rFonts w:hint="eastAsia" w:ascii="宋体" w:hAnsi="宋体" w:cs="宋体"/>
          <w:color w:val="auto"/>
          <w:sz w:val="24"/>
        </w:rPr>
        <w:t>月</w:t>
      </w:r>
      <w:r>
        <w:rPr>
          <w:rFonts w:hint="eastAsia" w:ascii="宋体" w:hAnsi="宋体" w:cs="宋体"/>
          <w:color w:val="auto"/>
          <w:sz w:val="24"/>
          <w:u w:val="single"/>
        </w:rPr>
        <w:t xml:space="preserve">    </w:t>
      </w:r>
      <w:r>
        <w:rPr>
          <w:rFonts w:hint="eastAsia" w:ascii="宋体" w:hAnsi="宋体" w:cs="宋体"/>
          <w:color w:val="auto"/>
          <w:sz w:val="24"/>
        </w:rPr>
        <w:t>日</w:t>
      </w:r>
    </w:p>
    <w:p w14:paraId="46F3D623">
      <w:pPr>
        <w:adjustRightInd w:val="0"/>
        <w:snapToGrid w:val="0"/>
        <w:spacing w:line="360" w:lineRule="auto"/>
        <w:jc w:val="center"/>
        <w:rPr>
          <w:rFonts w:hint="eastAsia" w:ascii="宋体" w:hAnsi="宋体" w:cs="宋体"/>
          <w:b/>
          <w:color w:val="auto"/>
          <w:sz w:val="24"/>
          <w:szCs w:val="20"/>
        </w:rPr>
      </w:pPr>
    </w:p>
    <w:p w14:paraId="40F1283F">
      <w:pPr>
        <w:adjustRightInd w:val="0"/>
        <w:snapToGrid w:val="0"/>
        <w:spacing w:line="360" w:lineRule="auto"/>
        <w:rPr>
          <w:rFonts w:hint="eastAsia" w:ascii="宋体" w:hAnsi="宋体" w:cs="宋体"/>
          <w:b/>
          <w:color w:val="auto"/>
          <w:sz w:val="24"/>
          <w:szCs w:val="20"/>
        </w:rPr>
      </w:pPr>
    </w:p>
    <w:p w14:paraId="137A24EF">
      <w:pPr>
        <w:adjustRightInd w:val="0"/>
        <w:snapToGrid w:val="0"/>
        <w:spacing w:line="360" w:lineRule="auto"/>
        <w:rPr>
          <w:rFonts w:hint="eastAsia" w:ascii="宋体" w:hAnsi="宋体" w:cs="宋体"/>
          <w:b/>
          <w:color w:val="auto"/>
          <w:sz w:val="24"/>
          <w:szCs w:val="20"/>
        </w:rPr>
      </w:pPr>
    </w:p>
    <w:p w14:paraId="5128EA67">
      <w:pPr>
        <w:adjustRightInd w:val="0"/>
        <w:snapToGrid w:val="0"/>
        <w:spacing w:line="360" w:lineRule="auto"/>
        <w:rPr>
          <w:rFonts w:hint="eastAsia" w:ascii="宋体" w:hAnsi="宋体" w:cs="宋体"/>
          <w:b/>
          <w:color w:val="auto"/>
          <w:sz w:val="24"/>
          <w:szCs w:val="20"/>
        </w:rPr>
      </w:pPr>
    </w:p>
    <w:p w14:paraId="27E5A231">
      <w:pPr>
        <w:adjustRightInd w:val="0"/>
        <w:snapToGrid w:val="0"/>
        <w:spacing w:line="360" w:lineRule="auto"/>
        <w:jc w:val="center"/>
        <w:rPr>
          <w:rFonts w:ascii="宋体" w:hAnsi="宋体" w:cs="宋体"/>
          <w:b/>
          <w:color w:val="auto"/>
          <w:sz w:val="28"/>
          <w:szCs w:val="28"/>
        </w:rPr>
      </w:pPr>
      <w:r>
        <w:rPr>
          <w:rFonts w:hint="eastAsia" w:ascii="宋体" w:hAnsi="宋体" w:cs="宋体"/>
          <w:b/>
          <w:color w:val="auto"/>
          <w:sz w:val="28"/>
          <w:szCs w:val="28"/>
        </w:rPr>
        <w:t>三、符合基本资格条件证明材料复印件或者情况说明</w:t>
      </w:r>
    </w:p>
    <w:p w14:paraId="78E56FA9">
      <w:pPr>
        <w:adjustRightInd w:val="0"/>
        <w:snapToGrid w:val="0"/>
        <w:spacing w:line="360" w:lineRule="auto"/>
        <w:jc w:val="center"/>
        <w:rPr>
          <w:rFonts w:hint="eastAsia" w:ascii="宋体" w:hAnsi="宋体" w:cs="宋体"/>
          <w:b/>
          <w:color w:val="auto"/>
          <w:sz w:val="24"/>
          <w:szCs w:val="20"/>
        </w:rPr>
      </w:pPr>
    </w:p>
    <w:p w14:paraId="675A77B9">
      <w:pPr>
        <w:pStyle w:val="4"/>
        <w:keepLines w:val="0"/>
        <w:snapToGrid w:val="0"/>
        <w:spacing w:before="0" w:after="0" w:line="520" w:lineRule="exact"/>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cs="宋体"/>
          <w:b w:val="0"/>
          <w:color w:val="auto"/>
          <w:sz w:val="24"/>
          <w:szCs w:val="24"/>
        </w:rPr>
        <w:t>注：</w:t>
      </w:r>
      <w:r>
        <w:rPr>
          <w:rFonts w:hint="eastAsia" w:ascii="宋体" w:hAnsi="宋体" w:cs="宋体"/>
          <w:b w:val="0"/>
          <w:color w:val="auto"/>
          <w:sz w:val="24"/>
          <w:szCs w:val="24"/>
          <w:lang w:bidi="zh-CN"/>
        </w:rPr>
        <w:t>投标公司的营业执照</w:t>
      </w:r>
      <w:r>
        <w:rPr>
          <w:rFonts w:hint="eastAsia" w:ascii="宋体" w:hAnsi="宋体" w:cs="宋体"/>
          <w:b w:val="0"/>
          <w:color w:val="auto"/>
          <w:sz w:val="24"/>
          <w:szCs w:val="24"/>
          <w:lang w:val="en-US" w:bidi="zh-CN"/>
        </w:rPr>
        <w:t>及资格要求的证明材料，提供信用中国网页查询截图，</w:t>
      </w:r>
      <w:r>
        <w:rPr>
          <w:rFonts w:hint="eastAsia" w:ascii="宋体" w:hAnsi="宋体" w:cs="宋体"/>
          <w:b w:val="0"/>
          <w:color w:val="auto"/>
          <w:sz w:val="24"/>
          <w:szCs w:val="24"/>
          <w:lang w:bidi="zh-CN"/>
        </w:rPr>
        <w:t>并加盖单位公章（按顺序装订）。</w:t>
      </w:r>
      <w:r>
        <w:rPr>
          <w:rFonts w:hint="eastAsia" w:ascii="宋体" w:hAnsi="宋体" w:eastAsia="宋体" w:cs="Times New Roman"/>
          <w:b w:val="0"/>
          <w:bCs w:val="0"/>
          <w:color w:val="auto"/>
          <w:kern w:val="2"/>
          <w:sz w:val="24"/>
          <w:szCs w:val="24"/>
          <w:lang w:val="en-US" w:eastAsia="zh-CN" w:bidi="ar-SA"/>
        </w:rPr>
        <w:t>附件    湖南省政府采购供应商资格承诺函</w:t>
      </w:r>
    </w:p>
    <w:p w14:paraId="3EFCC07C">
      <w:pPr>
        <w:widowControl/>
        <w:spacing w:after="100" w:afterAutospacing="1" w:line="360" w:lineRule="auto"/>
        <w:ind w:left="227" w:right="113" w:firstLine="482"/>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具有独立承担民事责任、具有良好的商业信誉和健全的财务会计制度，依法缴纳税收和社会保障资金，在前三年的经营活动中无重大违法记录，未列入严重失信行为名单，符合政府采购供应商的基本资格要求。</w:t>
      </w:r>
    </w:p>
    <w:p w14:paraId="38028048">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按照《政府采购促进中小企业发展管理办法》(财库〔2020〕46号)规定，</w:t>
      </w:r>
    </w:p>
    <w:p w14:paraId="69A5AFCB">
      <w:pPr>
        <w:widowControl/>
        <w:snapToGrid w:val="0"/>
        <w:spacing w:before="100" w:beforeAutospacing="1" w:after="100" w:afterAutospacing="1" w:line="360" w:lineRule="auto"/>
        <w:ind w:left="210" w:leftChars="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本公司企业规模为：          （大型、中型、小型、微型 ）</w:t>
      </w:r>
    </w:p>
    <w:p w14:paraId="38865E07">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统一社会信用代码：                        、注册登记机构：                 、 注册日期：                 、有效期：               、注册资本：                、地址：               、经济行业：                 、经济性质：              </w:t>
      </w:r>
    </w:p>
    <w:p w14:paraId="2D7A1C86">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法定代表人姓名 (签字)：             、身份证号：                           、</w:t>
      </w:r>
    </w:p>
    <w:p w14:paraId="48FD5005">
      <w:pPr>
        <w:widowControl/>
        <w:spacing w:after="100" w:afterAutospacing="1" w:line="360" w:lineRule="auto"/>
        <w:ind w:left="24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手机号：             ；</w:t>
      </w:r>
    </w:p>
    <w:p w14:paraId="46D76AFD">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授权代表人姓名 (签字)：                、身份证号：                     </w:t>
      </w:r>
    </w:p>
    <w:p w14:paraId="6755BE39">
      <w:pPr>
        <w:widowControl/>
        <w:spacing w:after="100" w:afterAutospacing="1" w:line="360" w:lineRule="auto"/>
        <w:ind w:left="246" w:hanging="16"/>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手机号：               。  </w:t>
      </w:r>
    </w:p>
    <w:p w14:paraId="2DEE6198">
      <w:pPr>
        <w:adjustRightInd w:val="0"/>
        <w:snapToGrid w:val="0"/>
        <w:spacing w:line="360" w:lineRule="auto"/>
        <w:rPr>
          <w:rFonts w:hint="eastAsia" w:ascii="宋体" w:hAnsi="宋体" w:eastAsia="宋体" w:cs="Times New Roman"/>
          <w:b w:val="0"/>
          <w:bCs w:val="0"/>
          <w:color w:val="auto"/>
          <w:kern w:val="2"/>
          <w:sz w:val="24"/>
          <w:szCs w:val="24"/>
          <w:lang w:val="en-US" w:eastAsia="zh-CN" w:bidi="ar-SA"/>
        </w:rPr>
      </w:pPr>
    </w:p>
    <w:p w14:paraId="663AA6F9">
      <w:pPr>
        <w:adjustRightInd w:val="0"/>
        <w:snapToGrid w:val="0"/>
        <w:spacing w:line="360" w:lineRule="auto"/>
        <w:ind w:left="4406" w:leftChars="-302" w:hanging="5040" w:hangingChars="2100"/>
        <w:jc w:val="left"/>
        <w:rPr>
          <w:rFonts w:hint="eastAsia" w:ascii="宋体" w:hAnsi="宋体" w:eastAsia="宋体" w:cs="Times New Roman"/>
          <w:b w:val="0"/>
          <w:bCs w:val="0"/>
          <w:color w:val="auto"/>
          <w:kern w:val="2"/>
          <w:sz w:val="24"/>
          <w:szCs w:val="24"/>
          <w:lang w:val="en-US" w:eastAsia="zh-CN" w:bidi="ar-SA"/>
        </w:rPr>
      </w:pPr>
      <w:r>
        <w:rPr>
          <w:rFonts w:hint="eastAsia" w:ascii="宋体" w:hAnsi="宋体" w:eastAsia="宋体" w:cs="Times New Roman"/>
          <w:b w:val="0"/>
          <w:bCs w:val="0"/>
          <w:color w:val="auto"/>
          <w:kern w:val="2"/>
          <w:sz w:val="24"/>
          <w:szCs w:val="24"/>
          <w:lang w:val="en-US" w:eastAsia="zh-CN" w:bidi="ar-SA"/>
        </w:rPr>
        <w:t xml:space="preserve">                           供应商名称（盖公章）：                                    </w:t>
      </w:r>
    </w:p>
    <w:p w14:paraId="15BE5D0A">
      <w:pPr>
        <w:adjustRightInd w:val="0"/>
        <w:snapToGrid w:val="0"/>
        <w:spacing w:line="360" w:lineRule="auto"/>
        <w:ind w:left="4406" w:leftChars="-302" w:hanging="5040" w:hangingChars="2100"/>
        <w:jc w:val="right"/>
        <w:rPr>
          <w:rFonts w:hint="eastAsia" w:ascii="宋体" w:hAnsi="宋体" w:eastAsia="宋体" w:cs="Times New Roman"/>
          <w:b w:val="0"/>
          <w:bCs w:val="0"/>
          <w:color w:val="auto"/>
          <w:kern w:val="2"/>
          <w:sz w:val="24"/>
          <w:szCs w:val="24"/>
          <w:lang w:val="en-US" w:eastAsia="zh-CN" w:bidi="ar-SA"/>
        </w:rPr>
      </w:pPr>
      <w:r>
        <w:rPr>
          <w:rFonts w:hint="eastAsia" w:ascii="宋体" w:hAnsi="宋体" w:cs="Times New Roman"/>
          <w:b w:val="0"/>
          <w:bCs w:val="0"/>
          <w:color w:val="auto"/>
          <w:kern w:val="2"/>
          <w:sz w:val="24"/>
          <w:szCs w:val="24"/>
          <w:lang w:val="en-US" w:eastAsia="zh-CN" w:bidi="ar-SA"/>
        </w:rPr>
        <w:t>2023</w:t>
      </w:r>
      <w:r>
        <w:rPr>
          <w:rFonts w:hint="eastAsia" w:ascii="宋体" w:hAnsi="宋体" w:eastAsia="宋体" w:cs="Times New Roman"/>
          <w:b w:val="0"/>
          <w:bCs w:val="0"/>
          <w:color w:val="auto"/>
          <w:kern w:val="2"/>
          <w:sz w:val="24"/>
          <w:szCs w:val="24"/>
          <w:lang w:val="en-US" w:eastAsia="zh-CN" w:bidi="ar-SA"/>
        </w:rPr>
        <w:t>年     月     日</w:t>
      </w:r>
    </w:p>
    <w:p w14:paraId="02CEF50E">
      <w:pPr>
        <w:jc w:val="left"/>
        <w:rPr>
          <w:rFonts w:hint="eastAsia" w:ascii="宋体" w:hAnsi="宋体" w:eastAsia="宋体" w:cs="Times New Roman"/>
          <w:b w:val="0"/>
          <w:bCs w:val="0"/>
          <w:color w:val="auto"/>
          <w:kern w:val="2"/>
          <w:sz w:val="24"/>
          <w:szCs w:val="24"/>
          <w:lang w:val="en-US" w:eastAsia="zh-CN" w:bidi="ar-SA"/>
        </w:rPr>
      </w:pPr>
    </w:p>
    <w:p w14:paraId="30756FE5">
      <w:pPr>
        <w:jc w:val="left"/>
        <w:rPr>
          <w:rFonts w:hint="eastAsia" w:ascii="宋体" w:hAnsi="宋体" w:eastAsia="宋体" w:cs="Times New Roman"/>
          <w:b w:val="0"/>
          <w:bCs w:val="0"/>
          <w:color w:val="auto"/>
          <w:kern w:val="2"/>
          <w:sz w:val="24"/>
          <w:szCs w:val="24"/>
          <w:lang w:val="en-US" w:eastAsia="zh-CN" w:bidi="ar-SA"/>
        </w:rPr>
      </w:pPr>
    </w:p>
    <w:p w14:paraId="15990E6D">
      <w:pPr>
        <w:jc w:val="left"/>
        <w:rPr>
          <w:rFonts w:hint="eastAsia" w:ascii="宋体" w:hAnsi="宋体" w:eastAsia="宋体" w:cs="宋体"/>
          <w:b/>
          <w:color w:val="auto"/>
          <w:sz w:val="24"/>
          <w:lang w:val="en-US" w:eastAsia="zh-CN"/>
        </w:rPr>
      </w:pPr>
      <w:r>
        <w:rPr>
          <w:rFonts w:hint="eastAsia" w:ascii="宋体" w:hAnsi="宋体" w:eastAsia="宋体" w:cs="Times New Roman"/>
          <w:b w:val="0"/>
          <w:bCs w:val="0"/>
          <w:color w:val="auto"/>
          <w:kern w:val="2"/>
          <w:sz w:val="24"/>
          <w:szCs w:val="24"/>
          <w:lang w:val="en-US" w:eastAsia="zh-CN" w:bidi="ar-SA"/>
        </w:rPr>
        <w:t>注、企业规模划分标准：《关于印发中小企业划型标准规定的通知》（工信部联企业〔2011〕300号）</w:t>
      </w:r>
    </w:p>
    <w:p w14:paraId="097D7B90">
      <w:pPr>
        <w:jc w:val="center"/>
        <w:rPr>
          <w:rFonts w:hint="eastAsia" w:ascii="宋体" w:hAnsi="宋体" w:cs="宋体"/>
          <w:b/>
          <w:color w:val="auto"/>
          <w:sz w:val="24"/>
        </w:rPr>
        <w:sectPr>
          <w:headerReference r:id="rId3" w:type="default"/>
          <w:footerReference r:id="rId4" w:type="default"/>
          <w:pgSz w:w="11906" w:h="16838"/>
          <w:pgMar w:top="1440" w:right="1080" w:bottom="1440" w:left="1080" w:header="567" w:footer="283" w:gutter="0"/>
          <w:pgNumType w:fmt="decimal" w:start="1"/>
          <w:cols w:space="720" w:num="1"/>
          <w:docGrid w:linePitch="312" w:charSpace="0"/>
        </w:sectPr>
      </w:pPr>
    </w:p>
    <w:p w14:paraId="2D0C4DC7">
      <w:pPr>
        <w:spacing w:before="120" w:beforeLines="50" w:after="120" w:afterLines="50" w:line="276" w:lineRule="auto"/>
        <w:jc w:val="center"/>
        <w:rPr>
          <w:rFonts w:hint="eastAsia" w:ascii="宋体" w:hAnsi="宋体" w:eastAsia="宋体" w:cs="宋体"/>
          <w:b/>
          <w:color w:val="auto"/>
          <w:sz w:val="28"/>
          <w:szCs w:val="28"/>
          <w:lang w:eastAsia="zh-CN"/>
        </w:rPr>
      </w:pPr>
      <w:r>
        <w:rPr>
          <w:rFonts w:hint="eastAsia" w:ascii="宋体" w:hAnsi="宋体" w:cs="宋体"/>
          <w:b/>
          <w:color w:val="auto"/>
          <w:sz w:val="28"/>
          <w:szCs w:val="28"/>
        </w:rPr>
        <w:t>第三部分、采购需求响应程度</w:t>
      </w:r>
      <w:bookmarkStart w:id="3" w:name="_Toc476514128"/>
      <w:bookmarkStart w:id="4" w:name="_Toc486424819"/>
    </w:p>
    <w:p w14:paraId="62A84631">
      <w:pPr>
        <w:pStyle w:val="20"/>
        <w:rPr>
          <w:rFonts w:hint="eastAsia"/>
          <w:lang w:eastAsia="zh-CN"/>
        </w:rPr>
      </w:pPr>
    </w:p>
    <w:p w14:paraId="7C3A650F">
      <w:pPr>
        <w:spacing w:before="120" w:beforeLines="50" w:after="120" w:afterLines="50" w:line="276" w:lineRule="auto"/>
        <w:jc w:val="center"/>
        <w:rPr>
          <w:b/>
          <w:color w:val="auto"/>
          <w:sz w:val="24"/>
        </w:rPr>
      </w:pPr>
      <w:r>
        <w:rPr>
          <w:b/>
          <w:color w:val="auto"/>
          <w:sz w:val="24"/>
        </w:rPr>
        <w:t>采购需求响应/偏离表</w:t>
      </w:r>
    </w:p>
    <w:p w14:paraId="08E5B6D6">
      <w:pPr>
        <w:adjustRightInd w:val="0"/>
        <w:snapToGrid w:val="0"/>
        <w:spacing w:line="360" w:lineRule="auto"/>
        <w:rPr>
          <w:color w:val="auto"/>
          <w:szCs w:val="21"/>
        </w:rPr>
      </w:pPr>
      <w:r>
        <w:rPr>
          <w:rFonts w:hint="eastAsia"/>
          <w:color w:val="auto"/>
          <w:sz w:val="24"/>
        </w:rPr>
        <w:t>项目</w:t>
      </w:r>
      <w:r>
        <w:rPr>
          <w:color w:val="auto"/>
          <w:sz w:val="24"/>
        </w:rPr>
        <w:t>编号：                    项目名称：                     包号：</w:t>
      </w:r>
    </w:p>
    <w:tbl>
      <w:tblPr>
        <w:tblStyle w:val="15"/>
        <w:tblW w:w="835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627"/>
        <w:gridCol w:w="1877"/>
        <w:gridCol w:w="1671"/>
        <w:gridCol w:w="1608"/>
        <w:gridCol w:w="1513"/>
        <w:gridCol w:w="1061"/>
      </w:tblGrid>
      <w:tr w14:paraId="37E6D2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627" w:type="dxa"/>
            <w:noWrap w:val="0"/>
            <w:vAlign w:val="center"/>
          </w:tcPr>
          <w:p w14:paraId="35B2D26C">
            <w:pPr>
              <w:adjustRightInd w:val="0"/>
              <w:snapToGrid w:val="0"/>
              <w:spacing w:before="50" w:line="360" w:lineRule="auto"/>
              <w:ind w:left="-88" w:leftChars="-42"/>
              <w:jc w:val="center"/>
              <w:rPr>
                <w:color w:val="auto"/>
                <w:szCs w:val="21"/>
              </w:rPr>
            </w:pPr>
            <w:r>
              <w:rPr>
                <w:bCs/>
                <w:color w:val="auto"/>
                <w:szCs w:val="21"/>
              </w:rPr>
              <w:t>序</w:t>
            </w:r>
            <w:r>
              <w:rPr>
                <w:color w:val="auto"/>
                <w:szCs w:val="21"/>
              </w:rPr>
              <w:t>号</w:t>
            </w:r>
          </w:p>
        </w:tc>
        <w:tc>
          <w:tcPr>
            <w:tcW w:w="1877" w:type="dxa"/>
            <w:noWrap w:val="0"/>
            <w:vAlign w:val="center"/>
          </w:tcPr>
          <w:p w14:paraId="2E39D26F">
            <w:pPr>
              <w:adjustRightInd w:val="0"/>
              <w:snapToGrid w:val="0"/>
              <w:spacing w:before="50" w:line="360" w:lineRule="auto"/>
              <w:ind w:left="-88" w:leftChars="-42"/>
              <w:jc w:val="center"/>
              <w:rPr>
                <w:color w:val="auto"/>
                <w:szCs w:val="21"/>
              </w:rPr>
            </w:pPr>
            <w:r>
              <w:rPr>
                <w:rFonts w:hint="eastAsia"/>
                <w:color w:val="auto"/>
                <w:szCs w:val="21"/>
                <w:lang w:eastAsia="zh-CN"/>
              </w:rPr>
              <w:t>招标</w:t>
            </w:r>
            <w:r>
              <w:rPr>
                <w:color w:val="auto"/>
                <w:szCs w:val="21"/>
              </w:rPr>
              <w:t>文件章节</w:t>
            </w:r>
            <w:r>
              <w:rPr>
                <w:bCs/>
                <w:color w:val="auto"/>
                <w:szCs w:val="21"/>
              </w:rPr>
              <w:t>条</w:t>
            </w:r>
            <w:r>
              <w:rPr>
                <w:color w:val="auto"/>
                <w:szCs w:val="21"/>
              </w:rPr>
              <w:t>款号</w:t>
            </w:r>
          </w:p>
        </w:tc>
        <w:tc>
          <w:tcPr>
            <w:tcW w:w="1671" w:type="dxa"/>
            <w:noWrap w:val="0"/>
            <w:vAlign w:val="top"/>
          </w:tcPr>
          <w:p w14:paraId="08D2C1B3">
            <w:pPr>
              <w:adjustRightInd w:val="0"/>
              <w:snapToGrid w:val="0"/>
              <w:spacing w:before="50" w:line="360" w:lineRule="auto"/>
              <w:jc w:val="center"/>
              <w:rPr>
                <w:color w:val="auto"/>
              </w:rPr>
            </w:pPr>
            <w:r>
              <w:rPr>
                <w:rFonts w:hint="eastAsia"/>
                <w:color w:val="auto"/>
                <w:lang w:eastAsia="zh-CN"/>
              </w:rPr>
              <w:t>招标</w:t>
            </w:r>
            <w:r>
              <w:rPr>
                <w:color w:val="auto"/>
              </w:rPr>
              <w:t>文件要求</w:t>
            </w:r>
          </w:p>
        </w:tc>
        <w:tc>
          <w:tcPr>
            <w:tcW w:w="1608" w:type="dxa"/>
            <w:noWrap w:val="0"/>
            <w:vAlign w:val="top"/>
          </w:tcPr>
          <w:p w14:paraId="0515E670">
            <w:pPr>
              <w:adjustRightInd w:val="0"/>
              <w:snapToGrid w:val="0"/>
              <w:spacing w:before="50" w:line="360" w:lineRule="auto"/>
              <w:jc w:val="center"/>
              <w:rPr>
                <w:color w:val="auto"/>
              </w:rPr>
            </w:pPr>
            <w:r>
              <w:rPr>
                <w:color w:val="auto"/>
              </w:rPr>
              <w:t>投标文件应答</w:t>
            </w:r>
          </w:p>
        </w:tc>
        <w:tc>
          <w:tcPr>
            <w:tcW w:w="1513" w:type="dxa"/>
            <w:noWrap w:val="0"/>
            <w:vAlign w:val="center"/>
          </w:tcPr>
          <w:p w14:paraId="5FDFAC2D">
            <w:pPr>
              <w:adjustRightInd w:val="0"/>
              <w:snapToGrid w:val="0"/>
              <w:spacing w:before="50" w:line="360" w:lineRule="auto"/>
              <w:ind w:left="-88" w:leftChars="-42"/>
              <w:jc w:val="center"/>
              <w:rPr>
                <w:color w:val="auto"/>
                <w:szCs w:val="21"/>
              </w:rPr>
            </w:pPr>
            <w:r>
              <w:rPr>
                <w:color w:val="auto"/>
                <w:szCs w:val="21"/>
              </w:rPr>
              <w:t>响应/偏离</w:t>
            </w:r>
          </w:p>
        </w:tc>
        <w:tc>
          <w:tcPr>
            <w:tcW w:w="1061" w:type="dxa"/>
            <w:noWrap w:val="0"/>
            <w:vAlign w:val="center"/>
          </w:tcPr>
          <w:p w14:paraId="452B13AE">
            <w:pPr>
              <w:adjustRightInd w:val="0"/>
              <w:snapToGrid w:val="0"/>
              <w:spacing w:before="50" w:line="360" w:lineRule="auto"/>
              <w:ind w:left="-88" w:leftChars="-42"/>
              <w:jc w:val="center"/>
              <w:rPr>
                <w:color w:val="auto"/>
                <w:szCs w:val="21"/>
              </w:rPr>
            </w:pPr>
            <w:r>
              <w:rPr>
                <w:color w:val="auto"/>
                <w:szCs w:val="21"/>
              </w:rPr>
              <w:t>偏离说明</w:t>
            </w:r>
          </w:p>
        </w:tc>
      </w:tr>
      <w:tr w14:paraId="36F3D4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29A584E">
            <w:pPr>
              <w:adjustRightInd w:val="0"/>
              <w:snapToGrid w:val="0"/>
              <w:spacing w:before="50" w:line="360" w:lineRule="auto"/>
              <w:ind w:left="-88" w:leftChars="-42"/>
              <w:jc w:val="center"/>
              <w:rPr>
                <w:color w:val="auto"/>
                <w:szCs w:val="21"/>
              </w:rPr>
            </w:pPr>
          </w:p>
        </w:tc>
        <w:tc>
          <w:tcPr>
            <w:tcW w:w="1877" w:type="dxa"/>
            <w:noWrap w:val="0"/>
            <w:vAlign w:val="center"/>
          </w:tcPr>
          <w:p w14:paraId="04FA1F79">
            <w:pPr>
              <w:adjustRightInd w:val="0"/>
              <w:snapToGrid w:val="0"/>
              <w:spacing w:before="50" w:line="360" w:lineRule="auto"/>
              <w:ind w:left="-88" w:leftChars="-42"/>
              <w:jc w:val="center"/>
              <w:rPr>
                <w:color w:val="auto"/>
                <w:szCs w:val="21"/>
              </w:rPr>
            </w:pPr>
          </w:p>
        </w:tc>
        <w:tc>
          <w:tcPr>
            <w:tcW w:w="1671" w:type="dxa"/>
            <w:noWrap w:val="0"/>
            <w:vAlign w:val="center"/>
          </w:tcPr>
          <w:p w14:paraId="111429EA">
            <w:pPr>
              <w:adjustRightInd w:val="0"/>
              <w:snapToGrid w:val="0"/>
              <w:spacing w:before="50" w:line="360" w:lineRule="auto"/>
              <w:ind w:left="-88" w:leftChars="-42"/>
              <w:jc w:val="center"/>
              <w:rPr>
                <w:color w:val="auto"/>
                <w:szCs w:val="21"/>
              </w:rPr>
            </w:pPr>
          </w:p>
        </w:tc>
        <w:tc>
          <w:tcPr>
            <w:tcW w:w="1608" w:type="dxa"/>
            <w:noWrap w:val="0"/>
            <w:vAlign w:val="center"/>
          </w:tcPr>
          <w:p w14:paraId="3F5C712D">
            <w:pPr>
              <w:adjustRightInd w:val="0"/>
              <w:snapToGrid w:val="0"/>
              <w:spacing w:before="50" w:line="360" w:lineRule="auto"/>
              <w:ind w:left="-88" w:leftChars="-42"/>
              <w:jc w:val="center"/>
              <w:rPr>
                <w:color w:val="auto"/>
                <w:szCs w:val="21"/>
              </w:rPr>
            </w:pPr>
          </w:p>
        </w:tc>
        <w:tc>
          <w:tcPr>
            <w:tcW w:w="1513" w:type="dxa"/>
            <w:noWrap w:val="0"/>
            <w:vAlign w:val="center"/>
          </w:tcPr>
          <w:p w14:paraId="1FD267E1">
            <w:pPr>
              <w:adjustRightInd w:val="0"/>
              <w:snapToGrid w:val="0"/>
              <w:spacing w:before="50" w:line="360" w:lineRule="auto"/>
              <w:ind w:left="-88" w:leftChars="-42"/>
              <w:jc w:val="center"/>
              <w:rPr>
                <w:color w:val="auto"/>
                <w:szCs w:val="21"/>
              </w:rPr>
            </w:pPr>
          </w:p>
        </w:tc>
        <w:tc>
          <w:tcPr>
            <w:tcW w:w="1061" w:type="dxa"/>
            <w:noWrap w:val="0"/>
            <w:vAlign w:val="center"/>
          </w:tcPr>
          <w:p w14:paraId="1B0463B5">
            <w:pPr>
              <w:adjustRightInd w:val="0"/>
              <w:snapToGrid w:val="0"/>
              <w:spacing w:before="50" w:line="360" w:lineRule="auto"/>
              <w:ind w:left="-88" w:leftChars="-42"/>
              <w:jc w:val="center"/>
              <w:rPr>
                <w:color w:val="auto"/>
                <w:szCs w:val="21"/>
              </w:rPr>
            </w:pPr>
          </w:p>
        </w:tc>
      </w:tr>
      <w:tr w14:paraId="3C6C57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5DE623C7">
            <w:pPr>
              <w:adjustRightInd w:val="0"/>
              <w:snapToGrid w:val="0"/>
              <w:spacing w:before="50" w:line="360" w:lineRule="auto"/>
              <w:ind w:left="-88" w:leftChars="-42"/>
              <w:jc w:val="center"/>
              <w:rPr>
                <w:color w:val="auto"/>
                <w:szCs w:val="21"/>
              </w:rPr>
            </w:pPr>
          </w:p>
        </w:tc>
        <w:tc>
          <w:tcPr>
            <w:tcW w:w="1877" w:type="dxa"/>
            <w:noWrap w:val="0"/>
            <w:vAlign w:val="center"/>
          </w:tcPr>
          <w:p w14:paraId="0139CDB7">
            <w:pPr>
              <w:adjustRightInd w:val="0"/>
              <w:snapToGrid w:val="0"/>
              <w:spacing w:before="50" w:line="360" w:lineRule="auto"/>
              <w:ind w:left="-88" w:leftChars="-42"/>
              <w:jc w:val="center"/>
              <w:rPr>
                <w:color w:val="auto"/>
                <w:szCs w:val="21"/>
              </w:rPr>
            </w:pPr>
          </w:p>
        </w:tc>
        <w:tc>
          <w:tcPr>
            <w:tcW w:w="1671" w:type="dxa"/>
            <w:noWrap w:val="0"/>
            <w:vAlign w:val="center"/>
          </w:tcPr>
          <w:p w14:paraId="74FA9D80">
            <w:pPr>
              <w:adjustRightInd w:val="0"/>
              <w:snapToGrid w:val="0"/>
              <w:spacing w:before="50" w:line="360" w:lineRule="auto"/>
              <w:ind w:left="-88" w:leftChars="-42"/>
              <w:jc w:val="center"/>
              <w:rPr>
                <w:color w:val="auto"/>
                <w:szCs w:val="21"/>
              </w:rPr>
            </w:pPr>
          </w:p>
        </w:tc>
        <w:tc>
          <w:tcPr>
            <w:tcW w:w="1608" w:type="dxa"/>
            <w:noWrap w:val="0"/>
            <w:vAlign w:val="center"/>
          </w:tcPr>
          <w:p w14:paraId="4DF49294">
            <w:pPr>
              <w:adjustRightInd w:val="0"/>
              <w:snapToGrid w:val="0"/>
              <w:spacing w:before="50" w:line="360" w:lineRule="auto"/>
              <w:ind w:left="-88" w:leftChars="-42"/>
              <w:jc w:val="center"/>
              <w:rPr>
                <w:color w:val="auto"/>
                <w:szCs w:val="21"/>
              </w:rPr>
            </w:pPr>
          </w:p>
        </w:tc>
        <w:tc>
          <w:tcPr>
            <w:tcW w:w="1513" w:type="dxa"/>
            <w:noWrap w:val="0"/>
            <w:vAlign w:val="center"/>
          </w:tcPr>
          <w:p w14:paraId="72CDE795">
            <w:pPr>
              <w:adjustRightInd w:val="0"/>
              <w:snapToGrid w:val="0"/>
              <w:spacing w:before="50" w:line="360" w:lineRule="auto"/>
              <w:ind w:left="-88" w:leftChars="-42"/>
              <w:jc w:val="center"/>
              <w:rPr>
                <w:color w:val="auto"/>
                <w:szCs w:val="21"/>
              </w:rPr>
            </w:pPr>
          </w:p>
        </w:tc>
        <w:tc>
          <w:tcPr>
            <w:tcW w:w="1061" w:type="dxa"/>
            <w:noWrap w:val="0"/>
            <w:vAlign w:val="center"/>
          </w:tcPr>
          <w:p w14:paraId="35D7F53B">
            <w:pPr>
              <w:adjustRightInd w:val="0"/>
              <w:snapToGrid w:val="0"/>
              <w:spacing w:before="50" w:line="360" w:lineRule="auto"/>
              <w:ind w:left="-88" w:leftChars="-42"/>
              <w:jc w:val="center"/>
              <w:rPr>
                <w:color w:val="auto"/>
                <w:szCs w:val="21"/>
              </w:rPr>
            </w:pPr>
          </w:p>
        </w:tc>
      </w:tr>
      <w:tr w14:paraId="6DCDBC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627" w:type="dxa"/>
            <w:noWrap w:val="0"/>
            <w:vAlign w:val="center"/>
          </w:tcPr>
          <w:p w14:paraId="77C5504F">
            <w:pPr>
              <w:adjustRightInd w:val="0"/>
              <w:snapToGrid w:val="0"/>
              <w:spacing w:before="50" w:line="360" w:lineRule="auto"/>
              <w:ind w:left="-88" w:leftChars="-42"/>
              <w:jc w:val="center"/>
              <w:rPr>
                <w:color w:val="auto"/>
                <w:szCs w:val="21"/>
              </w:rPr>
            </w:pPr>
          </w:p>
        </w:tc>
        <w:tc>
          <w:tcPr>
            <w:tcW w:w="1877" w:type="dxa"/>
            <w:noWrap w:val="0"/>
            <w:vAlign w:val="center"/>
          </w:tcPr>
          <w:p w14:paraId="3FC5B1D9">
            <w:pPr>
              <w:adjustRightInd w:val="0"/>
              <w:snapToGrid w:val="0"/>
              <w:spacing w:before="50" w:line="360" w:lineRule="auto"/>
              <w:ind w:left="-88" w:leftChars="-42"/>
              <w:jc w:val="center"/>
              <w:rPr>
                <w:color w:val="auto"/>
                <w:szCs w:val="21"/>
              </w:rPr>
            </w:pPr>
          </w:p>
        </w:tc>
        <w:tc>
          <w:tcPr>
            <w:tcW w:w="1671" w:type="dxa"/>
            <w:noWrap w:val="0"/>
            <w:vAlign w:val="center"/>
          </w:tcPr>
          <w:p w14:paraId="6B2107E1">
            <w:pPr>
              <w:adjustRightInd w:val="0"/>
              <w:snapToGrid w:val="0"/>
              <w:spacing w:before="50" w:line="360" w:lineRule="auto"/>
              <w:ind w:left="-88" w:leftChars="-42"/>
              <w:jc w:val="center"/>
              <w:rPr>
                <w:color w:val="auto"/>
                <w:szCs w:val="21"/>
              </w:rPr>
            </w:pPr>
          </w:p>
        </w:tc>
        <w:tc>
          <w:tcPr>
            <w:tcW w:w="1608" w:type="dxa"/>
            <w:noWrap w:val="0"/>
            <w:vAlign w:val="center"/>
          </w:tcPr>
          <w:p w14:paraId="50438157">
            <w:pPr>
              <w:adjustRightInd w:val="0"/>
              <w:snapToGrid w:val="0"/>
              <w:spacing w:before="50" w:line="360" w:lineRule="auto"/>
              <w:ind w:left="-88" w:leftChars="-42"/>
              <w:jc w:val="center"/>
              <w:rPr>
                <w:color w:val="auto"/>
                <w:szCs w:val="21"/>
              </w:rPr>
            </w:pPr>
          </w:p>
        </w:tc>
        <w:tc>
          <w:tcPr>
            <w:tcW w:w="1513" w:type="dxa"/>
            <w:noWrap w:val="0"/>
            <w:vAlign w:val="center"/>
          </w:tcPr>
          <w:p w14:paraId="2617429B">
            <w:pPr>
              <w:adjustRightInd w:val="0"/>
              <w:snapToGrid w:val="0"/>
              <w:spacing w:before="50" w:line="360" w:lineRule="auto"/>
              <w:ind w:left="-88" w:leftChars="-42"/>
              <w:jc w:val="center"/>
              <w:rPr>
                <w:color w:val="auto"/>
                <w:szCs w:val="21"/>
              </w:rPr>
            </w:pPr>
          </w:p>
        </w:tc>
        <w:tc>
          <w:tcPr>
            <w:tcW w:w="1061" w:type="dxa"/>
            <w:noWrap w:val="0"/>
            <w:vAlign w:val="center"/>
          </w:tcPr>
          <w:p w14:paraId="469BAD0E">
            <w:pPr>
              <w:adjustRightInd w:val="0"/>
              <w:snapToGrid w:val="0"/>
              <w:spacing w:before="50" w:line="360" w:lineRule="auto"/>
              <w:ind w:left="-88" w:leftChars="-42"/>
              <w:jc w:val="center"/>
              <w:rPr>
                <w:color w:val="auto"/>
                <w:szCs w:val="21"/>
              </w:rPr>
            </w:pPr>
          </w:p>
        </w:tc>
      </w:tr>
      <w:tr w14:paraId="466746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8357" w:type="dxa"/>
            <w:gridSpan w:val="6"/>
            <w:noWrap w:val="0"/>
            <w:vAlign w:val="center"/>
          </w:tcPr>
          <w:p w14:paraId="497E606C">
            <w:pPr>
              <w:rPr>
                <w:b/>
                <w:color w:val="auto"/>
              </w:rPr>
            </w:pPr>
          </w:p>
        </w:tc>
      </w:tr>
    </w:tbl>
    <w:p w14:paraId="40556A6B">
      <w:pPr>
        <w:adjustRightInd w:val="0"/>
        <w:snapToGrid w:val="0"/>
        <w:spacing w:before="50" w:line="360" w:lineRule="auto"/>
        <w:ind w:left="-88" w:leftChars="-42"/>
        <w:rPr>
          <w:color w:val="auto"/>
          <w:sz w:val="24"/>
        </w:rPr>
      </w:pPr>
      <w:r>
        <w:rPr>
          <w:b/>
          <w:color w:val="auto"/>
          <w:sz w:val="24"/>
        </w:rPr>
        <w:t>备注</w:t>
      </w:r>
      <w:r>
        <w:rPr>
          <w:color w:val="auto"/>
          <w:sz w:val="24"/>
        </w:rPr>
        <w:t>：</w:t>
      </w:r>
    </w:p>
    <w:bookmarkEnd w:id="3"/>
    <w:bookmarkEnd w:id="4"/>
    <w:p w14:paraId="48C94C08">
      <w:pPr>
        <w:adjustRightInd w:val="0"/>
        <w:snapToGrid w:val="0"/>
        <w:spacing w:before="50" w:line="360" w:lineRule="auto"/>
        <w:ind w:left="-88" w:leftChars="-42"/>
        <w:rPr>
          <w:rFonts w:hint="eastAsia"/>
          <w:color w:val="auto"/>
          <w:sz w:val="24"/>
        </w:rPr>
      </w:pPr>
      <w:r>
        <w:rPr>
          <w:color w:val="auto"/>
          <w:sz w:val="24"/>
        </w:rPr>
        <w:t>（1）投标人应根据文件第</w:t>
      </w:r>
      <w:r>
        <w:rPr>
          <w:rFonts w:hint="eastAsia"/>
          <w:color w:val="auto"/>
          <w:sz w:val="24"/>
          <w:lang w:val="en-US" w:eastAsia="zh-CN"/>
        </w:rPr>
        <w:t>二</w:t>
      </w:r>
      <w:r>
        <w:rPr>
          <w:color w:val="auto"/>
          <w:sz w:val="24"/>
        </w:rPr>
        <w:t>章中采购需求填写本表，逐条应答；</w:t>
      </w:r>
    </w:p>
    <w:p w14:paraId="7C43CBC0">
      <w:pPr>
        <w:adjustRightInd w:val="0"/>
        <w:snapToGrid w:val="0"/>
        <w:spacing w:before="50" w:line="360" w:lineRule="auto"/>
        <w:ind w:left="-88" w:leftChars="-42"/>
        <w:rPr>
          <w:rFonts w:hint="eastAsia"/>
          <w:color w:val="auto"/>
          <w:sz w:val="24"/>
        </w:rPr>
      </w:pPr>
      <w:r>
        <w:rPr>
          <w:color w:val="auto"/>
          <w:sz w:val="24"/>
        </w:rPr>
        <w:t>（2）如不提供此表，则视为投标人不满足文件第</w:t>
      </w:r>
      <w:r>
        <w:rPr>
          <w:rFonts w:hint="eastAsia"/>
          <w:color w:val="auto"/>
          <w:sz w:val="24"/>
          <w:lang w:eastAsia="zh-CN"/>
        </w:rPr>
        <w:t>二</w:t>
      </w:r>
      <w:r>
        <w:rPr>
          <w:color w:val="auto"/>
          <w:sz w:val="24"/>
        </w:rPr>
        <w:t>章的所有条款要求，其投标无效；</w:t>
      </w:r>
    </w:p>
    <w:p w14:paraId="075DFE47">
      <w:pPr>
        <w:adjustRightInd w:val="0"/>
        <w:snapToGrid w:val="0"/>
        <w:spacing w:before="50" w:line="360" w:lineRule="auto"/>
        <w:ind w:left="-88" w:leftChars="-42"/>
        <w:rPr>
          <w:rFonts w:hint="eastAsia" w:eastAsia="宋体"/>
          <w:color w:val="auto"/>
          <w:lang w:eastAsia="zh-CN"/>
        </w:rPr>
      </w:pPr>
      <w:r>
        <w:rPr>
          <w:color w:val="auto"/>
          <w:sz w:val="24"/>
        </w:rPr>
        <w:t>（3）</w:t>
      </w:r>
      <w:r>
        <w:rPr>
          <w:rFonts w:hint="eastAsia"/>
          <w:color w:val="auto"/>
          <w:sz w:val="24"/>
          <w:lang w:eastAsia="zh-CN"/>
        </w:rPr>
        <w:t>本项目为综合评分法，所有参数</w:t>
      </w:r>
      <w:r>
        <w:rPr>
          <w:rFonts w:hint="eastAsia"/>
          <w:color w:val="FF0000"/>
          <w:sz w:val="24"/>
          <w:lang w:eastAsia="zh-CN"/>
        </w:rPr>
        <w:t>（</w:t>
      </w:r>
      <w:r>
        <w:rPr>
          <w:rFonts w:hint="eastAsia"/>
          <w:color w:val="FF0000"/>
          <w:sz w:val="24"/>
          <w:lang w:val="en-US" w:eastAsia="zh-CN"/>
        </w:rPr>
        <w:t>包括商务参数）</w:t>
      </w:r>
      <w:r>
        <w:rPr>
          <w:rFonts w:hint="eastAsia"/>
          <w:color w:val="auto"/>
          <w:sz w:val="24"/>
          <w:lang w:eastAsia="zh-CN"/>
        </w:rPr>
        <w:t>必须在响应表中逐条应答。</w:t>
      </w:r>
    </w:p>
    <w:p w14:paraId="0DA40BA3">
      <w:pPr>
        <w:pStyle w:val="21"/>
        <w:rPr>
          <w:color w:val="auto"/>
        </w:rPr>
      </w:pPr>
    </w:p>
    <w:p w14:paraId="0EFEE20B">
      <w:pPr>
        <w:pStyle w:val="20"/>
        <w:rPr>
          <w:rFonts w:hint="eastAsia"/>
          <w:lang w:eastAsia="zh-CN"/>
        </w:rPr>
      </w:pPr>
    </w:p>
    <w:p w14:paraId="2CB8A4F5"/>
    <w:p w14:paraId="58D1B8B1">
      <w:pPr>
        <w:pStyle w:val="21"/>
        <w:rPr>
          <w:color w:val="auto"/>
        </w:rPr>
      </w:pPr>
    </w:p>
    <w:p w14:paraId="43E00E01">
      <w:pPr>
        <w:pStyle w:val="20"/>
        <w:rPr>
          <w:rFonts w:hint="eastAsia"/>
          <w:lang w:eastAsia="zh-CN"/>
        </w:rPr>
      </w:pPr>
    </w:p>
    <w:p w14:paraId="53FA0AAC"/>
    <w:p w14:paraId="36507233"/>
    <w:p w14:paraId="5AA899CA"/>
    <w:p w14:paraId="2936BFC4"/>
    <w:p w14:paraId="740A0EF9"/>
    <w:p w14:paraId="57A7D16B"/>
    <w:p w14:paraId="003C5A4F"/>
    <w:sectPr>
      <w:footerReference r:id="rId5"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359C88">
    <w:pPr>
      <w:pStyle w:val="11"/>
      <w:rPr>
        <w:rFonts w:hint="eastAsia" w:ascii="仿宋_GB2312" w:eastAsia="仿宋_GB2312"/>
        <w:bCs/>
        <w:u w:val="single"/>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20831">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7D20831">
                    <w:pPr>
                      <w:pStyle w:val="11"/>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ascii="仿宋_GB2312" w:eastAsia="仿宋_GB2312"/>
        <w:bCs/>
        <w:u w:val="single"/>
      </w:rPr>
      <w:t xml:space="preserve">                                                                                                 </w:t>
    </w:r>
  </w:p>
  <w:p w14:paraId="1A9478CC">
    <w:pPr>
      <w:adjustRightInd w:val="0"/>
      <w:snapToGrid w:val="0"/>
      <w:spacing w:line="260" w:lineRule="atLeast"/>
      <w:rPr>
        <w:rFonts w:hint="eastAsia"/>
        <w:kern w:val="0"/>
        <w:sz w:val="18"/>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BF6C8">
    <w:pPr>
      <w:pStyle w:val="11"/>
      <w:rPr>
        <w:rFonts w:hint="eastAsia" w:ascii="仿宋_GB2312" w:eastAsia="仿宋_GB2312"/>
        <w:bCs/>
        <w:u w:val="single"/>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00D7D7">
                          <w:pPr>
                            <w:pStyle w:val="11"/>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00D7D7">
                    <w:pPr>
                      <w:pStyle w:val="11"/>
                    </w:pPr>
                    <w:r>
                      <w:fldChar w:fldCharType="begin"/>
                    </w:r>
                    <w:r>
                      <w:instrText xml:space="preserve"> PAGE  \* MERGEFORMAT </w:instrText>
                    </w:r>
                    <w:r>
                      <w:fldChar w:fldCharType="separate"/>
                    </w:r>
                    <w:r>
                      <w:t>15</w:t>
                    </w:r>
                    <w:r>
                      <w:fldChar w:fldCharType="end"/>
                    </w:r>
                  </w:p>
                </w:txbxContent>
              </v:textbox>
            </v:shape>
          </w:pict>
        </mc:Fallback>
      </mc:AlternateContent>
    </w:r>
    <w:r>
      <w:rPr>
        <w:rFonts w:hint="eastAsia" w:ascii="仿宋_GB2312" w:eastAsia="仿宋_GB2312"/>
        <w:bCs/>
        <w:u w:val="single"/>
      </w:rPr>
      <w:t xml:space="preserve">                                                                                                 </w:t>
    </w:r>
  </w:p>
  <w:p w14:paraId="77360475">
    <w:pPr>
      <w:adjustRightInd w:val="0"/>
      <w:snapToGrid w:val="0"/>
      <w:spacing w:line="260" w:lineRule="atLeast"/>
      <w:rPr>
        <w:rFonts w:hint="eastAsia"/>
        <w:kern w:val="0"/>
        <w:sz w:val="18"/>
        <w:szCs w:val="21"/>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E64788">
    <w:pPr>
      <w:pStyle w:val="12"/>
      <w:ind w:left="8280" w:hanging="8280" w:hangingChars="4600"/>
      <w:jc w:val="both"/>
      <w:rPr>
        <w:rFonts w:hint="eastAsia"/>
      </w:rPr>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68914C"/>
    <w:multiLevelType w:val="singleLevel"/>
    <w:tmpl w:val="BB68914C"/>
    <w:lvl w:ilvl="0" w:tentative="0">
      <w:start w:val="2"/>
      <w:numFmt w:val="chineseCounting"/>
      <w:suff w:val="nothing"/>
      <w:lvlText w:val="%1、"/>
      <w:lvlJc w:val="left"/>
      <w:rPr>
        <w:rFonts w:hint="eastAsia"/>
      </w:rPr>
    </w:lvl>
  </w:abstractNum>
  <w:abstractNum w:abstractNumId="1">
    <w:nsid w:val="EB67FE42"/>
    <w:multiLevelType w:val="singleLevel"/>
    <w:tmpl w:val="EB67FE42"/>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3YmMxNGQ0NDE0NTRiYjQ3MWFkZjk1MWM2MTc2NWEifQ=="/>
  </w:docVars>
  <w:rsids>
    <w:rsidRoot w:val="6DE375E4"/>
    <w:rsid w:val="008318E5"/>
    <w:rsid w:val="00AE556A"/>
    <w:rsid w:val="00BE22C9"/>
    <w:rsid w:val="01350E35"/>
    <w:rsid w:val="01807593"/>
    <w:rsid w:val="02390242"/>
    <w:rsid w:val="03E43FAE"/>
    <w:rsid w:val="04653F41"/>
    <w:rsid w:val="04B72FC8"/>
    <w:rsid w:val="04F57A38"/>
    <w:rsid w:val="050719CA"/>
    <w:rsid w:val="06934BAA"/>
    <w:rsid w:val="06E91EC4"/>
    <w:rsid w:val="086F75C9"/>
    <w:rsid w:val="09C0303A"/>
    <w:rsid w:val="0A3F4F3C"/>
    <w:rsid w:val="0A8A74D4"/>
    <w:rsid w:val="0CAD77BD"/>
    <w:rsid w:val="0E331420"/>
    <w:rsid w:val="0EDD1643"/>
    <w:rsid w:val="0FB9029C"/>
    <w:rsid w:val="10897B23"/>
    <w:rsid w:val="10914EF9"/>
    <w:rsid w:val="10B8663C"/>
    <w:rsid w:val="114A6E83"/>
    <w:rsid w:val="12080B62"/>
    <w:rsid w:val="12994AC5"/>
    <w:rsid w:val="129F447F"/>
    <w:rsid w:val="12C86253"/>
    <w:rsid w:val="15060AC8"/>
    <w:rsid w:val="15125EAE"/>
    <w:rsid w:val="15675A4C"/>
    <w:rsid w:val="17F91BB8"/>
    <w:rsid w:val="193E7D91"/>
    <w:rsid w:val="1943608F"/>
    <w:rsid w:val="19E91315"/>
    <w:rsid w:val="1ADD5C4C"/>
    <w:rsid w:val="1AF56B46"/>
    <w:rsid w:val="1B7B72C0"/>
    <w:rsid w:val="1D5071B5"/>
    <w:rsid w:val="1D5D59A6"/>
    <w:rsid w:val="1DD7486D"/>
    <w:rsid w:val="1E79119D"/>
    <w:rsid w:val="1EFD25AF"/>
    <w:rsid w:val="1F334F58"/>
    <w:rsid w:val="1F385662"/>
    <w:rsid w:val="1F796B24"/>
    <w:rsid w:val="1FC602A8"/>
    <w:rsid w:val="1FDFE26B"/>
    <w:rsid w:val="1FE73549"/>
    <w:rsid w:val="2038045E"/>
    <w:rsid w:val="20AF0900"/>
    <w:rsid w:val="20B41DA7"/>
    <w:rsid w:val="21537177"/>
    <w:rsid w:val="21C61C7A"/>
    <w:rsid w:val="22FE28BC"/>
    <w:rsid w:val="2383771E"/>
    <w:rsid w:val="23F374DB"/>
    <w:rsid w:val="24881A32"/>
    <w:rsid w:val="24E375C9"/>
    <w:rsid w:val="25266F96"/>
    <w:rsid w:val="267547DF"/>
    <w:rsid w:val="26C30DB4"/>
    <w:rsid w:val="272B6E6C"/>
    <w:rsid w:val="27CF2BB7"/>
    <w:rsid w:val="28E81B29"/>
    <w:rsid w:val="28FD390A"/>
    <w:rsid w:val="29B45A41"/>
    <w:rsid w:val="2A174DA9"/>
    <w:rsid w:val="2AB010A8"/>
    <w:rsid w:val="2AC66F99"/>
    <w:rsid w:val="2C0A2E19"/>
    <w:rsid w:val="2C7642D0"/>
    <w:rsid w:val="2CC97A35"/>
    <w:rsid w:val="2CF47F19"/>
    <w:rsid w:val="2DD77C64"/>
    <w:rsid w:val="2DDA1E78"/>
    <w:rsid w:val="2DE00B8C"/>
    <w:rsid w:val="2EAC037F"/>
    <w:rsid w:val="2EB67A5C"/>
    <w:rsid w:val="2F7E3AAD"/>
    <w:rsid w:val="2F9730FD"/>
    <w:rsid w:val="2FF75285"/>
    <w:rsid w:val="2FFC40CD"/>
    <w:rsid w:val="302741D2"/>
    <w:rsid w:val="308B184D"/>
    <w:rsid w:val="309C1E01"/>
    <w:rsid w:val="30BB11DD"/>
    <w:rsid w:val="317E33CA"/>
    <w:rsid w:val="31F17CD1"/>
    <w:rsid w:val="321B02E0"/>
    <w:rsid w:val="324F4D43"/>
    <w:rsid w:val="33384C93"/>
    <w:rsid w:val="340F06E9"/>
    <w:rsid w:val="34C12F54"/>
    <w:rsid w:val="35101668"/>
    <w:rsid w:val="366241E2"/>
    <w:rsid w:val="369029A0"/>
    <w:rsid w:val="36B66AAC"/>
    <w:rsid w:val="36E47928"/>
    <w:rsid w:val="372F7378"/>
    <w:rsid w:val="37B92EA4"/>
    <w:rsid w:val="37BA0809"/>
    <w:rsid w:val="37DE919F"/>
    <w:rsid w:val="38F7D690"/>
    <w:rsid w:val="397348CD"/>
    <w:rsid w:val="39FBA7F3"/>
    <w:rsid w:val="3A8E0AB7"/>
    <w:rsid w:val="3A994AB7"/>
    <w:rsid w:val="3B3B544D"/>
    <w:rsid w:val="3B654F2B"/>
    <w:rsid w:val="3BB72BAE"/>
    <w:rsid w:val="3BCB5B82"/>
    <w:rsid w:val="3BFC7D2B"/>
    <w:rsid w:val="3BFF3C73"/>
    <w:rsid w:val="3C7C799C"/>
    <w:rsid w:val="3C8A61A4"/>
    <w:rsid w:val="3D5E17FF"/>
    <w:rsid w:val="3DCF5BB7"/>
    <w:rsid w:val="3DF93413"/>
    <w:rsid w:val="3DFD1951"/>
    <w:rsid w:val="3DFFA9CA"/>
    <w:rsid w:val="3DFFD27E"/>
    <w:rsid w:val="3E1F0DA4"/>
    <w:rsid w:val="3E584E51"/>
    <w:rsid w:val="3E62C1E0"/>
    <w:rsid w:val="3E6E70D5"/>
    <w:rsid w:val="3EBE1ADE"/>
    <w:rsid w:val="3F5660E8"/>
    <w:rsid w:val="3F788D05"/>
    <w:rsid w:val="3F865B61"/>
    <w:rsid w:val="3FB7200B"/>
    <w:rsid w:val="3FEF41F9"/>
    <w:rsid w:val="3FF36FC1"/>
    <w:rsid w:val="3FFEF043"/>
    <w:rsid w:val="3FFF7189"/>
    <w:rsid w:val="403B4B34"/>
    <w:rsid w:val="4140452A"/>
    <w:rsid w:val="414D7889"/>
    <w:rsid w:val="41BB0BAE"/>
    <w:rsid w:val="41DE1191"/>
    <w:rsid w:val="425629F5"/>
    <w:rsid w:val="4284152B"/>
    <w:rsid w:val="429A4992"/>
    <w:rsid w:val="42FF3888"/>
    <w:rsid w:val="435B161D"/>
    <w:rsid w:val="43B25DAC"/>
    <w:rsid w:val="44771DFD"/>
    <w:rsid w:val="45D569C3"/>
    <w:rsid w:val="46C011EB"/>
    <w:rsid w:val="475F9F54"/>
    <w:rsid w:val="479B74B7"/>
    <w:rsid w:val="48735221"/>
    <w:rsid w:val="49E92B05"/>
    <w:rsid w:val="4A354E62"/>
    <w:rsid w:val="4AEE1A11"/>
    <w:rsid w:val="4B7F39F4"/>
    <w:rsid w:val="4B9387EE"/>
    <w:rsid w:val="4BAE646F"/>
    <w:rsid w:val="4CAC1559"/>
    <w:rsid w:val="4D1D09A0"/>
    <w:rsid w:val="4D754257"/>
    <w:rsid w:val="4DCD6AB3"/>
    <w:rsid w:val="4E334DF1"/>
    <w:rsid w:val="4EE7662F"/>
    <w:rsid w:val="4F7633AD"/>
    <w:rsid w:val="50216DCD"/>
    <w:rsid w:val="50540C20"/>
    <w:rsid w:val="506258C6"/>
    <w:rsid w:val="51AC28BD"/>
    <w:rsid w:val="52183ACC"/>
    <w:rsid w:val="5275566D"/>
    <w:rsid w:val="531356F0"/>
    <w:rsid w:val="53238E8B"/>
    <w:rsid w:val="533407C0"/>
    <w:rsid w:val="53B55872"/>
    <w:rsid w:val="53BD1527"/>
    <w:rsid w:val="544055F2"/>
    <w:rsid w:val="54AD4386"/>
    <w:rsid w:val="54EF2D50"/>
    <w:rsid w:val="55D8243C"/>
    <w:rsid w:val="575FAF7E"/>
    <w:rsid w:val="581A7C72"/>
    <w:rsid w:val="583A4BD7"/>
    <w:rsid w:val="59C74B1F"/>
    <w:rsid w:val="5A886F59"/>
    <w:rsid w:val="5B7EE573"/>
    <w:rsid w:val="5BBFAB30"/>
    <w:rsid w:val="5BDF167E"/>
    <w:rsid w:val="5DFF97D2"/>
    <w:rsid w:val="5E9BBF88"/>
    <w:rsid w:val="5EBFE873"/>
    <w:rsid w:val="5EF36607"/>
    <w:rsid w:val="5F153ADC"/>
    <w:rsid w:val="5F5DD740"/>
    <w:rsid w:val="5F77574D"/>
    <w:rsid w:val="5FADDAF5"/>
    <w:rsid w:val="5FBFAB6E"/>
    <w:rsid w:val="5FFE2CC9"/>
    <w:rsid w:val="5FFE53ED"/>
    <w:rsid w:val="5FFED529"/>
    <w:rsid w:val="604D5946"/>
    <w:rsid w:val="611B6B1B"/>
    <w:rsid w:val="61FF68C0"/>
    <w:rsid w:val="62C222C2"/>
    <w:rsid w:val="632D7C40"/>
    <w:rsid w:val="63F39F53"/>
    <w:rsid w:val="64133D6A"/>
    <w:rsid w:val="64245572"/>
    <w:rsid w:val="65824D95"/>
    <w:rsid w:val="66CB8E9B"/>
    <w:rsid w:val="674A3DD5"/>
    <w:rsid w:val="678E4F5D"/>
    <w:rsid w:val="67F3562A"/>
    <w:rsid w:val="67FFBBE3"/>
    <w:rsid w:val="680E122C"/>
    <w:rsid w:val="6A4E1D63"/>
    <w:rsid w:val="6BEBF36F"/>
    <w:rsid w:val="6C352415"/>
    <w:rsid w:val="6C486FE4"/>
    <w:rsid w:val="6CA409DF"/>
    <w:rsid w:val="6D1234C8"/>
    <w:rsid w:val="6D3D2212"/>
    <w:rsid w:val="6D9F787E"/>
    <w:rsid w:val="6DE375E4"/>
    <w:rsid w:val="6DEF52FC"/>
    <w:rsid w:val="6DFF0C8E"/>
    <w:rsid w:val="6E8E5287"/>
    <w:rsid w:val="6FAC3B48"/>
    <w:rsid w:val="6FAD463B"/>
    <w:rsid w:val="6FB7ACDA"/>
    <w:rsid w:val="6FBE332C"/>
    <w:rsid w:val="6FFF67CC"/>
    <w:rsid w:val="707F8431"/>
    <w:rsid w:val="70CE0BC9"/>
    <w:rsid w:val="71554367"/>
    <w:rsid w:val="71584067"/>
    <w:rsid w:val="71F26E91"/>
    <w:rsid w:val="72CE2295"/>
    <w:rsid w:val="72FB9D37"/>
    <w:rsid w:val="735201FF"/>
    <w:rsid w:val="737B50A4"/>
    <w:rsid w:val="73E13BF4"/>
    <w:rsid w:val="73F40E72"/>
    <w:rsid w:val="73FBC60D"/>
    <w:rsid w:val="74566F5C"/>
    <w:rsid w:val="750117A8"/>
    <w:rsid w:val="755B2270"/>
    <w:rsid w:val="75DF80B6"/>
    <w:rsid w:val="75E27514"/>
    <w:rsid w:val="762BE131"/>
    <w:rsid w:val="76920D75"/>
    <w:rsid w:val="76C47877"/>
    <w:rsid w:val="77423DFF"/>
    <w:rsid w:val="77BB21F8"/>
    <w:rsid w:val="77EE092F"/>
    <w:rsid w:val="77EE6ED4"/>
    <w:rsid w:val="77FD832A"/>
    <w:rsid w:val="783B5EA9"/>
    <w:rsid w:val="78B114A6"/>
    <w:rsid w:val="79BADC29"/>
    <w:rsid w:val="79BF0618"/>
    <w:rsid w:val="79C6FDAF"/>
    <w:rsid w:val="79D73EA9"/>
    <w:rsid w:val="79EB699D"/>
    <w:rsid w:val="79FEDC19"/>
    <w:rsid w:val="79FFEA3A"/>
    <w:rsid w:val="7A3E5854"/>
    <w:rsid w:val="7A6E6A11"/>
    <w:rsid w:val="7A9E79C1"/>
    <w:rsid w:val="7ABA298D"/>
    <w:rsid w:val="7AD78CFE"/>
    <w:rsid w:val="7AE70A16"/>
    <w:rsid w:val="7B0620DE"/>
    <w:rsid w:val="7B7D7C18"/>
    <w:rsid w:val="7B7FA7BB"/>
    <w:rsid w:val="7BBF44BB"/>
    <w:rsid w:val="7BF15CE4"/>
    <w:rsid w:val="7C3A27E5"/>
    <w:rsid w:val="7C5533D1"/>
    <w:rsid w:val="7CD72364"/>
    <w:rsid w:val="7D9727DD"/>
    <w:rsid w:val="7DDF8A36"/>
    <w:rsid w:val="7DEE4013"/>
    <w:rsid w:val="7DFE74A2"/>
    <w:rsid w:val="7E1E913E"/>
    <w:rsid w:val="7E2117BD"/>
    <w:rsid w:val="7E8BAD0B"/>
    <w:rsid w:val="7ED7DBED"/>
    <w:rsid w:val="7EF1E81C"/>
    <w:rsid w:val="7EFB4F6E"/>
    <w:rsid w:val="7F164138"/>
    <w:rsid w:val="7F1A5E95"/>
    <w:rsid w:val="7F5FE7A0"/>
    <w:rsid w:val="7F7F4B32"/>
    <w:rsid w:val="7F9EC5C5"/>
    <w:rsid w:val="7FA75B91"/>
    <w:rsid w:val="7FBC7699"/>
    <w:rsid w:val="7FBD16E9"/>
    <w:rsid w:val="7FCF301B"/>
    <w:rsid w:val="7FCFF1E1"/>
    <w:rsid w:val="7FE1E359"/>
    <w:rsid w:val="7FEFFD10"/>
    <w:rsid w:val="7FFB0877"/>
    <w:rsid w:val="7FFE88A1"/>
    <w:rsid w:val="87EFD207"/>
    <w:rsid w:val="8B7D3439"/>
    <w:rsid w:val="8EFAA180"/>
    <w:rsid w:val="9A477A34"/>
    <w:rsid w:val="9CDC70F3"/>
    <w:rsid w:val="9FFACD63"/>
    <w:rsid w:val="A4FC5874"/>
    <w:rsid w:val="A99BC227"/>
    <w:rsid w:val="ADFDDBA5"/>
    <w:rsid w:val="AFDF5C35"/>
    <w:rsid w:val="AFEFD62F"/>
    <w:rsid w:val="B2B57420"/>
    <w:rsid w:val="B7FBACA6"/>
    <w:rsid w:val="BBDFF490"/>
    <w:rsid w:val="BDEA6F8B"/>
    <w:rsid w:val="BEFB7E47"/>
    <w:rsid w:val="BF59071B"/>
    <w:rsid w:val="BF7D9491"/>
    <w:rsid w:val="BFF57512"/>
    <w:rsid w:val="BFF70CD4"/>
    <w:rsid w:val="BFF77D2B"/>
    <w:rsid w:val="C3FEA355"/>
    <w:rsid w:val="CDFF7760"/>
    <w:rsid w:val="CFFAEB23"/>
    <w:rsid w:val="CFFF8E32"/>
    <w:rsid w:val="D6625B6A"/>
    <w:rsid w:val="D6D5AD7C"/>
    <w:rsid w:val="D7C5565A"/>
    <w:rsid w:val="D97D2544"/>
    <w:rsid w:val="DBDE3CFA"/>
    <w:rsid w:val="DBEF7DC4"/>
    <w:rsid w:val="DE872086"/>
    <w:rsid w:val="DFAD8580"/>
    <w:rsid w:val="DFE3BD24"/>
    <w:rsid w:val="DFF97BBC"/>
    <w:rsid w:val="DFFA836E"/>
    <w:rsid w:val="DFFEDE01"/>
    <w:rsid w:val="DFFF05F4"/>
    <w:rsid w:val="DFFF300E"/>
    <w:rsid w:val="DFFF955C"/>
    <w:rsid w:val="E3BFAB5A"/>
    <w:rsid w:val="E6F7C8DE"/>
    <w:rsid w:val="E9FE6660"/>
    <w:rsid w:val="EAA7D373"/>
    <w:rsid w:val="EADE1799"/>
    <w:rsid w:val="EADE7AA2"/>
    <w:rsid w:val="EBEB72E7"/>
    <w:rsid w:val="ED6D9162"/>
    <w:rsid w:val="EF76AEB6"/>
    <w:rsid w:val="EF7B1925"/>
    <w:rsid w:val="EFF91F3A"/>
    <w:rsid w:val="EFFF278C"/>
    <w:rsid w:val="F1347A70"/>
    <w:rsid w:val="F76D9192"/>
    <w:rsid w:val="F79BFED1"/>
    <w:rsid w:val="F7D57869"/>
    <w:rsid w:val="F8C3ACAE"/>
    <w:rsid w:val="F91F5623"/>
    <w:rsid w:val="F97785C4"/>
    <w:rsid w:val="F99F179C"/>
    <w:rsid w:val="F9E372EE"/>
    <w:rsid w:val="FA8DA623"/>
    <w:rsid w:val="FA958AE0"/>
    <w:rsid w:val="FB2B513B"/>
    <w:rsid w:val="FB4ED105"/>
    <w:rsid w:val="FB6F87D3"/>
    <w:rsid w:val="FB7D52BD"/>
    <w:rsid w:val="FBBD03F1"/>
    <w:rsid w:val="FBFFC04B"/>
    <w:rsid w:val="FCEB7648"/>
    <w:rsid w:val="FD73061C"/>
    <w:rsid w:val="FDD70189"/>
    <w:rsid w:val="FDF7EAA8"/>
    <w:rsid w:val="FDFF9C76"/>
    <w:rsid w:val="FE3DF808"/>
    <w:rsid w:val="FE5EE645"/>
    <w:rsid w:val="FEAFF452"/>
    <w:rsid w:val="FED7AE9E"/>
    <w:rsid w:val="FEDDEAB3"/>
    <w:rsid w:val="FEE34724"/>
    <w:rsid w:val="FEFFD400"/>
    <w:rsid w:val="FF1EFC35"/>
    <w:rsid w:val="FF477DD4"/>
    <w:rsid w:val="FF5F7F20"/>
    <w:rsid w:val="FF66DA45"/>
    <w:rsid w:val="FF7B9B69"/>
    <w:rsid w:val="FF7BC1C9"/>
    <w:rsid w:val="FF7D155A"/>
    <w:rsid w:val="FFAFCE2A"/>
    <w:rsid w:val="FFAFFB84"/>
    <w:rsid w:val="FFBF9032"/>
    <w:rsid w:val="FFC8EF32"/>
    <w:rsid w:val="FFD76697"/>
    <w:rsid w:val="FFDF81E1"/>
    <w:rsid w:val="FFDFF447"/>
    <w:rsid w:val="FFE13652"/>
    <w:rsid w:val="FFEC308F"/>
    <w:rsid w:val="FFECE770"/>
    <w:rsid w:val="FFEFBF13"/>
    <w:rsid w:val="FFFF8A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adjustRightInd w:val="0"/>
      <w:spacing w:before="340" w:after="330" w:line="578" w:lineRule="atLeast"/>
      <w:textAlignment w:val="baseline"/>
      <w:outlineLvl w:val="0"/>
    </w:pPr>
    <w:rPr>
      <w:b/>
      <w:kern w:val="44"/>
      <w:sz w:val="44"/>
      <w:szCs w:val="20"/>
    </w:rPr>
  </w:style>
  <w:style w:type="paragraph" w:styleId="3">
    <w:name w:val="heading 2"/>
    <w:basedOn w:val="1"/>
    <w:next w:val="1"/>
    <w:qFormat/>
    <w:uiPriority w:val="0"/>
    <w:pPr>
      <w:keepNext/>
      <w:keepLines/>
      <w:spacing w:line="360" w:lineRule="auto"/>
      <w:outlineLvl w:val="1"/>
    </w:pPr>
    <w:rPr>
      <w:b/>
      <w:bCs/>
      <w:sz w:val="24"/>
      <w:szCs w:val="32"/>
    </w:rPr>
  </w:style>
  <w:style w:type="paragraph" w:styleId="4">
    <w:name w:val="heading 3"/>
    <w:basedOn w:val="1"/>
    <w:next w:val="1"/>
    <w:autoRedefine/>
    <w:qFormat/>
    <w:uiPriority w:val="0"/>
    <w:pPr>
      <w:keepNext/>
      <w:keepLines/>
      <w:adjustRightInd w:val="0"/>
      <w:spacing w:before="260" w:after="260" w:line="416" w:lineRule="atLeast"/>
      <w:textAlignment w:val="baseline"/>
      <w:outlineLvl w:val="2"/>
    </w:pPr>
    <w:rPr>
      <w:b/>
      <w:kern w:val="0"/>
      <w:sz w:val="32"/>
      <w:szCs w:val="20"/>
    </w:rPr>
  </w:style>
  <w:style w:type="character" w:default="1" w:styleId="17">
    <w:name w:val="Default Paragraph Font"/>
    <w:autoRedefine/>
    <w:semiHidden/>
    <w:qFormat/>
    <w:uiPriority w:val="0"/>
  </w:style>
  <w:style w:type="table" w:default="1" w:styleId="15">
    <w:name w:val="Normal Table"/>
    <w:autoRedefin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widowControl/>
      <w:ind w:firstLine="420"/>
      <w:jc w:val="left"/>
    </w:pPr>
    <w:rPr>
      <w:kern w:val="0"/>
      <w:sz w:val="20"/>
      <w:szCs w:val="20"/>
    </w:rPr>
  </w:style>
  <w:style w:type="paragraph" w:customStyle="1" w:styleId="6">
    <w:name w:val="Default"/>
    <w:autoRedefine/>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styleId="7">
    <w:name w:val="annotation text"/>
    <w:basedOn w:val="1"/>
    <w:qFormat/>
    <w:uiPriority w:val="0"/>
    <w:pPr>
      <w:jc w:val="left"/>
    </w:pPr>
  </w:style>
  <w:style w:type="paragraph" w:styleId="8">
    <w:name w:val="Body Text"/>
    <w:basedOn w:val="1"/>
    <w:semiHidden/>
    <w:qFormat/>
    <w:uiPriority w:val="0"/>
    <w:rPr>
      <w:rFonts w:ascii="宋体" w:hAnsi="宋体" w:eastAsia="宋体" w:cs="宋体"/>
      <w:sz w:val="24"/>
      <w:szCs w:val="24"/>
      <w:lang w:val="en-US" w:eastAsia="en-US" w:bidi="ar-SA"/>
    </w:rPr>
  </w:style>
  <w:style w:type="paragraph" w:styleId="9">
    <w:name w:val="Body Text Indent"/>
    <w:basedOn w:val="1"/>
    <w:autoRedefine/>
    <w:qFormat/>
    <w:uiPriority w:val="99"/>
    <w:pPr>
      <w:spacing w:line="400" w:lineRule="exact"/>
      <w:ind w:left="630"/>
    </w:pPr>
    <w:rPr>
      <w:rFonts w:ascii="楷体_GB2312"/>
      <w:sz w:val="30"/>
      <w:szCs w:val="30"/>
    </w:rPr>
  </w:style>
  <w:style w:type="paragraph" w:styleId="10">
    <w:name w:val="Date"/>
    <w:basedOn w:val="1"/>
    <w:next w:val="1"/>
    <w:qFormat/>
    <w:uiPriority w:val="0"/>
    <w:rPr>
      <w:color w:val="000000"/>
      <w:kern w:val="0"/>
      <w:sz w:val="30"/>
    </w:rPr>
  </w:style>
  <w:style w:type="paragraph" w:styleId="11">
    <w:name w:val="footer"/>
    <w:basedOn w:val="1"/>
    <w:autoRedefine/>
    <w:qFormat/>
    <w:uiPriority w:val="0"/>
    <w:pPr>
      <w:tabs>
        <w:tab w:val="center" w:pos="4153"/>
        <w:tab w:val="right" w:pos="8306"/>
      </w:tabs>
      <w:snapToGrid w:val="0"/>
      <w:jc w:val="left"/>
    </w:pPr>
    <w:rPr>
      <w:kern w:val="0"/>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4">
    <w:name w:val="Body Text First Indent 2"/>
    <w:basedOn w:val="9"/>
    <w:autoRedefine/>
    <w:qFormat/>
    <w:uiPriority w:val="0"/>
    <w:pPr>
      <w:overflowPunct w:val="0"/>
      <w:adjustRightInd w:val="0"/>
      <w:spacing w:line="500" w:lineRule="exact"/>
      <w:ind w:firstLine="420" w:firstLineChars="200"/>
      <w:textAlignment w:val="baseline"/>
    </w:pPr>
    <w:rPr>
      <w:rFonts w:eastAsia="仿宋_GB2312"/>
      <w:kern w:val="28"/>
      <w:sz w:val="28"/>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autoRedefine/>
    <w:qFormat/>
    <w:uiPriority w:val="0"/>
    <w:pPr>
      <w:jc w:val="center"/>
    </w:pPr>
    <w:rPr>
      <w:rFonts w:ascii="Arial" w:hAnsi="Arial" w:eastAsia="宋体"/>
      <w:b/>
      <w:sz w:val="28"/>
      <w:szCs w:val="24"/>
    </w:rPr>
  </w:style>
  <w:style w:type="paragraph" w:customStyle="1" w:styleId="19">
    <w:name w:val="正文格式"/>
    <w:basedOn w:val="1"/>
    <w:autoRedefine/>
    <w:qFormat/>
    <w:uiPriority w:val="0"/>
    <w:pPr>
      <w:widowControl/>
      <w:adjustRightInd w:val="0"/>
      <w:snapToGrid w:val="0"/>
      <w:spacing w:line="400" w:lineRule="atLeast"/>
      <w:ind w:firstLine="482"/>
      <w:textAlignment w:val="baseline"/>
    </w:pPr>
    <w:rPr>
      <w:kern w:val="0"/>
      <w:sz w:val="24"/>
    </w:rPr>
  </w:style>
  <w:style w:type="paragraph" w:customStyle="1" w:styleId="20">
    <w:name w:val="列出段落1"/>
    <w:basedOn w:val="1"/>
    <w:autoRedefine/>
    <w:qFormat/>
    <w:uiPriority w:val="99"/>
    <w:pPr>
      <w:ind w:firstLine="420" w:firstLineChars="200"/>
    </w:pPr>
  </w:style>
  <w:style w:type="paragraph" w:customStyle="1" w:styleId="21">
    <w:name w:val="无间隔1"/>
    <w:autoRedefine/>
    <w:qFormat/>
    <w:uiPriority w:val="0"/>
    <w:pPr>
      <w:widowControl w:val="0"/>
      <w:jc w:val="both"/>
    </w:pPr>
    <w:rPr>
      <w:rFonts w:ascii="Calibri" w:hAnsi="Calibri" w:eastAsia="宋体" w:cs="Times New Roman"/>
      <w:kern w:val="2"/>
      <w:sz w:val="21"/>
      <w:szCs w:val="22"/>
      <w:lang w:val="en-US" w:eastAsia="zh-CN" w:bidi="ar-SA"/>
    </w:rPr>
  </w:style>
  <w:style w:type="paragraph" w:styleId="22">
    <w:name w:val="List Paragraph"/>
    <w:basedOn w:val="1"/>
    <w:autoRedefine/>
    <w:qFormat/>
    <w:uiPriority w:val="34"/>
    <w:pPr>
      <w:ind w:firstLine="420" w:firstLineChars="200"/>
    </w:pPr>
    <w:rPr>
      <w:rFonts w:ascii="Calibri" w:hAnsi="Calibri"/>
      <w:szCs w:val="22"/>
    </w:rPr>
  </w:style>
  <w:style w:type="character" w:customStyle="1" w:styleId="23">
    <w:name w:val="NormalCharacter"/>
    <w:autoRedefine/>
    <w:semiHidden/>
    <w:qFormat/>
    <w:uiPriority w:val="0"/>
  </w:style>
  <w:style w:type="paragraph" w:customStyle="1" w:styleId="24">
    <w:name w:val="Table Text"/>
    <w:basedOn w:val="1"/>
    <w:semiHidden/>
    <w:qFormat/>
    <w:uiPriority w:val="0"/>
    <w:rPr>
      <w:rFonts w:ascii="宋体" w:hAnsi="宋体" w:eastAsia="宋体" w:cs="宋体"/>
      <w:sz w:val="20"/>
      <w:szCs w:val="20"/>
      <w:lang w:val="en-US" w:eastAsia="en-US" w:bidi="ar-SA"/>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5267</Words>
  <Characters>5637</Characters>
  <Lines>0</Lines>
  <Paragraphs>0</Paragraphs>
  <TotalTime>4</TotalTime>
  <ScaleCrop>false</ScaleCrop>
  <LinksUpToDate>false</LinksUpToDate>
  <CharactersWithSpaces>5713</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2023-07-29T09:45:00Z</dcterms:created>
  <dc:creator>是小豹子</dc:creator>
  <cp:lastModifiedBy>沁sqr</cp:lastModifiedBy>
  <dcterms:modified xsi:type="dcterms:W3CDTF">2026-10-13T15:33:59Z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76FB0FAE7D39B64E20C5306ACAD8361B_43</vt:lpwstr>
  </property>
  <property fmtid="{D5CDD505-2E9C-101B-9397-08002B2CF9AE}" pid="4" name="KSOTemplateDocerSaveRecord">
    <vt:lpwstr>eyJoZGlkIjoiYjhlYmE2MWY2NTY0MzZmZTc1MzE0ZTI3ZDViMDM4ZWEiLCJ1c2VySWQiOiIxMDY1NzYwODA4In0=</vt:lpwstr>
  </property>
</Properties>
</file>