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4D2AB">
      <w:pPr>
        <w:pStyle w:val="18"/>
        <w:snapToGrid w:val="0"/>
        <w:jc w:val="center"/>
        <w:rPr>
          <w:rFonts w:hint="eastAsia" w:ascii="Arial" w:hAnsi="Arial" w:eastAsia="方正小标宋简体" w:cs="Arial"/>
          <w:color w:val="auto"/>
          <w:sz w:val="72"/>
          <w:szCs w:val="72"/>
          <w:lang w:eastAsia="zh-CN"/>
        </w:rPr>
      </w:pPr>
      <w:bookmarkStart w:id="0" w:name="_Toc16523570"/>
    </w:p>
    <w:p w14:paraId="624C34B6">
      <w:pPr>
        <w:pStyle w:val="18"/>
        <w:snapToGrid w:val="0"/>
        <w:jc w:val="center"/>
        <w:rPr>
          <w:rFonts w:hint="eastAsia" w:ascii="Arial" w:hAnsi="Arial" w:eastAsia="方正小标宋简体" w:cs="Arial"/>
          <w:sz w:val="72"/>
          <w:szCs w:val="72"/>
        </w:rPr>
      </w:pPr>
      <w:r>
        <w:rPr>
          <w:rFonts w:hint="eastAsia" w:ascii="Arial" w:hAnsi="Arial" w:eastAsia="方正小标宋简体" w:cs="Arial"/>
          <w:sz w:val="72"/>
          <w:szCs w:val="72"/>
        </w:rPr>
        <w:t>娄底市中心医院</w:t>
      </w:r>
    </w:p>
    <w:p w14:paraId="5D37DAB4">
      <w:pPr>
        <w:pStyle w:val="18"/>
        <w:snapToGrid w:val="0"/>
        <w:jc w:val="center"/>
        <w:rPr>
          <w:rFonts w:hint="eastAsia" w:ascii="Arial" w:hAnsi="Arial" w:eastAsia="方正小标宋简体" w:cs="Arial"/>
          <w:sz w:val="72"/>
          <w:szCs w:val="72"/>
        </w:rPr>
      </w:pPr>
    </w:p>
    <w:p w14:paraId="16E58BC0">
      <w:pPr>
        <w:pStyle w:val="18"/>
        <w:snapToGrid w:val="0"/>
        <w:jc w:val="center"/>
        <w:rPr>
          <w:rFonts w:hint="eastAsia" w:ascii="Arial" w:hAnsi="Arial" w:eastAsia="方正小标宋简体" w:cs="Arial"/>
          <w:sz w:val="72"/>
          <w:szCs w:val="72"/>
        </w:rPr>
      </w:pPr>
    </w:p>
    <w:p w14:paraId="7D3C3256">
      <w:pPr>
        <w:pStyle w:val="18"/>
        <w:snapToGrid w:val="0"/>
        <w:jc w:val="center"/>
        <w:rPr>
          <w:rFonts w:hint="eastAsia" w:ascii="Arial" w:hAnsi="Arial" w:eastAsia="方正小标宋简体" w:cs="Arial"/>
          <w:sz w:val="72"/>
          <w:szCs w:val="72"/>
        </w:rPr>
      </w:pPr>
    </w:p>
    <w:p w14:paraId="11608FC0">
      <w:pPr>
        <w:pStyle w:val="18"/>
        <w:snapToGrid w:val="0"/>
        <w:jc w:val="center"/>
        <w:rPr>
          <w:rFonts w:ascii="Arial" w:hAnsi="Arial" w:eastAsia="方正小标宋简体" w:cs="Arial"/>
          <w:sz w:val="36"/>
          <w:szCs w:val="36"/>
        </w:rPr>
      </w:pPr>
      <w:r>
        <w:rPr>
          <w:rFonts w:hint="eastAsia" w:ascii="Arial" w:hAnsi="Arial" w:eastAsia="方正小标宋简体" w:cs="Arial"/>
          <w:sz w:val="72"/>
          <w:szCs w:val="72"/>
          <w:lang w:val="en-US" w:eastAsia="zh-CN"/>
        </w:rPr>
        <w:t>采购</w:t>
      </w:r>
      <w:r>
        <w:rPr>
          <w:rFonts w:ascii="Arial" w:hAnsi="Arial" w:eastAsia="方正小标宋简体" w:cs="Arial"/>
          <w:sz w:val="72"/>
          <w:szCs w:val="72"/>
        </w:rPr>
        <w:t>文件</w:t>
      </w:r>
    </w:p>
    <w:p w14:paraId="33524D07">
      <w:pPr>
        <w:pStyle w:val="18"/>
        <w:snapToGrid w:val="0"/>
        <w:jc w:val="center"/>
        <w:rPr>
          <w:rFonts w:ascii="Arial" w:hAnsi="Arial" w:cs="Arial"/>
          <w:sz w:val="32"/>
          <w:szCs w:val="32"/>
        </w:rPr>
      </w:pPr>
    </w:p>
    <w:p w14:paraId="46311545">
      <w:pPr>
        <w:pStyle w:val="19"/>
        <w:rPr>
          <w:rFonts w:ascii="Arial" w:hAnsi="Arial" w:cs="Arial"/>
          <w:sz w:val="32"/>
          <w:szCs w:val="32"/>
        </w:rPr>
      </w:pPr>
    </w:p>
    <w:p w14:paraId="5F00027D">
      <w:pPr>
        <w:pStyle w:val="13"/>
        <w:rPr>
          <w:rFonts w:ascii="Arial" w:hAnsi="Arial" w:cs="Arial"/>
          <w:sz w:val="32"/>
          <w:szCs w:val="32"/>
        </w:rPr>
      </w:pPr>
    </w:p>
    <w:p w14:paraId="790E99FE">
      <w:pPr>
        <w:pStyle w:val="13"/>
        <w:rPr>
          <w:rFonts w:ascii="Arial" w:hAnsi="Arial" w:cs="Arial"/>
          <w:sz w:val="32"/>
          <w:szCs w:val="32"/>
        </w:rPr>
      </w:pPr>
    </w:p>
    <w:p w14:paraId="6D6CF557">
      <w:pPr>
        <w:pStyle w:val="13"/>
        <w:rPr>
          <w:rFonts w:ascii="Arial" w:hAnsi="Arial" w:cs="Arial"/>
          <w:sz w:val="32"/>
          <w:szCs w:val="32"/>
        </w:rPr>
      </w:pPr>
    </w:p>
    <w:p w14:paraId="77BABE1C">
      <w:pPr>
        <w:pStyle w:val="13"/>
        <w:rPr>
          <w:rFonts w:ascii="Arial" w:hAnsi="Arial" w:cs="Arial"/>
          <w:sz w:val="32"/>
          <w:szCs w:val="32"/>
        </w:rPr>
      </w:pPr>
    </w:p>
    <w:p w14:paraId="1C0FB295">
      <w:pPr>
        <w:pStyle w:val="13"/>
        <w:rPr>
          <w:rFonts w:ascii="Arial" w:hAnsi="Arial" w:cs="Arial"/>
          <w:sz w:val="32"/>
          <w:szCs w:val="32"/>
        </w:rPr>
      </w:pPr>
    </w:p>
    <w:p w14:paraId="4C96CB97">
      <w:pPr>
        <w:pStyle w:val="13"/>
        <w:rPr>
          <w:rFonts w:ascii="Arial" w:hAnsi="Arial" w:cs="Arial"/>
          <w:sz w:val="32"/>
          <w:szCs w:val="32"/>
        </w:rPr>
      </w:pPr>
    </w:p>
    <w:p w14:paraId="1825AAC5">
      <w:pPr>
        <w:pStyle w:val="13"/>
        <w:rPr>
          <w:rFonts w:ascii="Arial" w:hAnsi="Arial" w:cs="Arial"/>
          <w:sz w:val="32"/>
          <w:szCs w:val="32"/>
        </w:rPr>
      </w:pPr>
    </w:p>
    <w:p w14:paraId="1B92FFA5">
      <w:pPr>
        <w:pStyle w:val="18"/>
        <w:snapToGrid w:val="0"/>
        <w:jc w:val="center"/>
        <w:rPr>
          <w:rFonts w:ascii="Arial" w:hAnsi="Arial" w:cs="Arial"/>
          <w:sz w:val="32"/>
          <w:szCs w:val="32"/>
        </w:rPr>
      </w:pPr>
    </w:p>
    <w:p w14:paraId="3EB4A47A">
      <w:pPr>
        <w:pStyle w:val="18"/>
        <w:snapToGrid w:val="0"/>
        <w:jc w:val="center"/>
        <w:rPr>
          <w:rFonts w:ascii="Arial" w:hAnsi="Arial" w:cs="Arial"/>
          <w:sz w:val="32"/>
          <w:szCs w:val="32"/>
        </w:rPr>
      </w:pPr>
    </w:p>
    <w:p w14:paraId="487767A3">
      <w:pPr>
        <w:spacing w:line="360" w:lineRule="auto"/>
        <w:rPr>
          <w:rFonts w:hint="eastAsia"/>
          <w:bCs/>
          <w:sz w:val="32"/>
          <w:szCs w:val="32"/>
        </w:rPr>
      </w:pPr>
    </w:p>
    <w:p w14:paraId="4FD265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27" w:lineRule="atLeast"/>
        <w:ind w:left="0" w:right="0"/>
        <w:jc w:val="center"/>
        <w:rPr>
          <w:rFonts w:hint="eastAsia"/>
          <w:bCs/>
          <w:sz w:val="32"/>
          <w:szCs w:val="32"/>
        </w:rPr>
      </w:pPr>
      <w:r>
        <w:rPr>
          <w:rFonts w:hint="eastAsia"/>
          <w:bCs/>
          <w:sz w:val="32"/>
          <w:szCs w:val="32"/>
        </w:rPr>
        <w:t>项目名称：</w:t>
      </w:r>
      <w:r>
        <w:rPr>
          <w:rFonts w:hint="eastAsia"/>
          <w:bCs/>
          <w:sz w:val="32"/>
          <w:szCs w:val="32"/>
          <w:lang w:val="en-US" w:eastAsia="zh-CN"/>
        </w:rPr>
        <w:t>娄底市中心医院设备科医疗器械采购项目</w:t>
      </w:r>
    </w:p>
    <w:p w14:paraId="5CF2881B">
      <w:pPr>
        <w:jc w:val="center"/>
        <w:rPr>
          <w:rFonts w:hint="default" w:ascii="Times New Roman" w:hAnsi="Times New Roman" w:eastAsia="宋体" w:cs="Times New Roman"/>
          <w:b/>
          <w:bCs/>
          <w:kern w:val="44"/>
          <w:sz w:val="32"/>
          <w:szCs w:val="32"/>
          <w:lang w:val="en-US" w:eastAsia="zh-CN" w:bidi="ar-SA"/>
        </w:rPr>
      </w:pPr>
      <w:r>
        <w:rPr>
          <w:rFonts w:hint="eastAsia" w:cs="Times New Roman"/>
          <w:b/>
          <w:bCs/>
          <w:kern w:val="44"/>
          <w:sz w:val="32"/>
          <w:szCs w:val="32"/>
          <w:lang w:val="en-US" w:eastAsia="zh-CN" w:bidi="ar-SA"/>
        </w:rPr>
        <w:t>【结肠透析仪+结肠途径治疗仪（水疗仪） 医院公开挂网】</w:t>
      </w:r>
    </w:p>
    <w:p w14:paraId="1ABFAA6B">
      <w:pPr>
        <w:spacing w:line="320" w:lineRule="exact"/>
        <w:jc w:val="left"/>
        <w:rPr>
          <w:sz w:val="24"/>
        </w:rPr>
      </w:pPr>
    </w:p>
    <w:p w14:paraId="770B0BB9">
      <w:pPr>
        <w:spacing w:line="320" w:lineRule="exact"/>
        <w:ind w:firstLine="3520" w:firstLineChars="1100"/>
        <w:jc w:val="both"/>
        <w:rPr>
          <w:rFonts w:hint="eastAsia" w:ascii="宋体" w:hAnsi="宋体" w:cs="宋体"/>
          <w:bCs/>
          <w:sz w:val="32"/>
          <w:szCs w:val="32"/>
        </w:rPr>
      </w:pPr>
      <w:r>
        <w:rPr>
          <w:rFonts w:hint="eastAsia" w:ascii="宋体" w:hAnsi="宋体" w:cs="宋体"/>
          <w:bCs/>
          <w:sz w:val="32"/>
          <w:szCs w:val="32"/>
        </w:rPr>
        <w:t>二〇二</w:t>
      </w:r>
      <w:r>
        <w:rPr>
          <w:rFonts w:hint="eastAsia" w:ascii="宋体" w:hAnsi="宋体" w:cs="宋体"/>
          <w:bCs/>
          <w:sz w:val="32"/>
          <w:szCs w:val="32"/>
          <w:lang w:eastAsia="zh-CN"/>
        </w:rPr>
        <w:t>六</w:t>
      </w:r>
      <w:r>
        <w:rPr>
          <w:rFonts w:hint="eastAsia" w:ascii="宋体" w:hAnsi="宋体" w:cs="宋体"/>
          <w:bCs/>
          <w:sz w:val="32"/>
          <w:szCs w:val="32"/>
        </w:rPr>
        <w:t>年</w:t>
      </w:r>
      <w:r>
        <w:rPr>
          <w:rFonts w:hint="eastAsia" w:ascii="宋体" w:hAnsi="宋体" w:cs="宋体"/>
          <w:bCs/>
          <w:sz w:val="32"/>
          <w:szCs w:val="32"/>
          <w:lang w:val="en-US" w:eastAsia="zh-CN"/>
        </w:rPr>
        <w:t>十</w:t>
      </w:r>
      <w:r>
        <w:rPr>
          <w:rFonts w:hint="eastAsia" w:ascii="宋体" w:hAnsi="宋体" w:cs="宋体"/>
          <w:bCs/>
          <w:sz w:val="32"/>
          <w:szCs w:val="32"/>
        </w:rPr>
        <w:t>月</w:t>
      </w:r>
    </w:p>
    <w:p w14:paraId="4F5472A4">
      <w:pPr>
        <w:pStyle w:val="2"/>
        <w:numPr>
          <w:ilvl w:val="0"/>
          <w:numId w:val="0"/>
        </w:numPr>
        <w:spacing w:line="240" w:lineRule="auto"/>
        <w:ind w:leftChars="0"/>
        <w:jc w:val="center"/>
        <w:rPr>
          <w:rFonts w:hint="eastAsia" w:ascii="宋体" w:hAnsi="宋体" w:cs="宋体"/>
          <w:color w:val="auto"/>
          <w:sz w:val="44"/>
          <w:szCs w:val="44"/>
          <w:lang w:val="en-US" w:eastAsia="zh-CN"/>
        </w:rPr>
      </w:pPr>
    </w:p>
    <w:p w14:paraId="2CC6C485">
      <w:pPr>
        <w:pStyle w:val="2"/>
        <w:numPr>
          <w:ilvl w:val="0"/>
          <w:numId w:val="0"/>
        </w:numPr>
        <w:spacing w:line="240" w:lineRule="auto"/>
        <w:ind w:leftChars="0"/>
        <w:jc w:val="center"/>
        <w:rPr>
          <w:rFonts w:hint="eastAsia"/>
          <w:b/>
          <w:bCs w:val="0"/>
          <w:color w:val="auto"/>
          <w:sz w:val="44"/>
          <w:szCs w:val="44"/>
        </w:rPr>
      </w:pPr>
      <w:r>
        <w:rPr>
          <w:rFonts w:hint="eastAsia" w:ascii="宋体" w:hAnsi="宋体" w:cs="宋体"/>
          <w:color w:val="auto"/>
          <w:sz w:val="44"/>
          <w:szCs w:val="44"/>
          <w:lang w:val="en-US" w:eastAsia="zh-CN"/>
        </w:rPr>
        <w:t xml:space="preserve">第一章 </w:t>
      </w:r>
      <w:r>
        <w:rPr>
          <w:rFonts w:hint="eastAsia" w:ascii="宋体" w:hAnsi="宋体" w:cs="宋体"/>
          <w:color w:val="auto"/>
          <w:sz w:val="44"/>
          <w:szCs w:val="44"/>
        </w:rPr>
        <w:t>投标邀请</w:t>
      </w:r>
    </w:p>
    <w:p w14:paraId="7ADCF26A">
      <w:pPr>
        <w:pStyle w:val="18"/>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u w:val="single"/>
          <w:lang w:val="en-US" w:eastAsia="zh-CN"/>
        </w:rPr>
        <w:t>结肠透析仪+结肠途径治疗仪（水疗仪）</w:t>
      </w:r>
      <w:r>
        <w:rPr>
          <w:rFonts w:hint="eastAsia" w:asciiTheme="minorEastAsia" w:hAnsiTheme="minorEastAsia" w:eastAsiaTheme="minorEastAsia" w:cstheme="minorEastAsia"/>
          <w:bCs/>
          <w:color w:val="auto"/>
          <w:sz w:val="24"/>
          <w:szCs w:val="24"/>
          <w:u w:val="none"/>
          <w:lang w:val="en-US" w:eastAsia="zh-CN"/>
        </w:rPr>
        <w:t>项目</w:t>
      </w:r>
      <w:r>
        <w:rPr>
          <w:rFonts w:hint="eastAsia" w:asciiTheme="minorEastAsia" w:hAnsiTheme="minorEastAsia" w:eastAsiaTheme="minorEastAsia" w:cstheme="minorEastAsia"/>
          <w:bCs/>
          <w:color w:val="auto"/>
          <w:sz w:val="24"/>
          <w:szCs w:val="24"/>
          <w:lang w:val="en-US" w:eastAsia="zh-CN"/>
        </w:rPr>
        <w:t>进行医院公开挂网，将事项公告如下：</w:t>
      </w:r>
    </w:p>
    <w:p w14:paraId="435321EC">
      <w:pPr>
        <w:pStyle w:val="18"/>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一、项目信息</w:t>
      </w:r>
    </w:p>
    <w:p w14:paraId="7CA5D6D3">
      <w:pPr>
        <w:pStyle w:val="18"/>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项目名称：</w:t>
      </w:r>
      <w:r>
        <w:rPr>
          <w:rFonts w:hint="eastAsia" w:asciiTheme="minorEastAsia" w:hAnsiTheme="minorEastAsia" w:eastAsiaTheme="minorEastAsia" w:cstheme="minorEastAsia"/>
          <w:bCs/>
          <w:color w:val="auto"/>
          <w:sz w:val="24"/>
          <w:szCs w:val="24"/>
          <w:u w:val="single"/>
          <w:lang w:val="en-US" w:eastAsia="zh-CN"/>
        </w:rPr>
        <w:t>结肠透析仪+结肠途径治疗仪（水疗仪）</w:t>
      </w:r>
      <w:r>
        <w:rPr>
          <w:rFonts w:hint="eastAsia" w:asciiTheme="minorEastAsia" w:hAnsiTheme="minorEastAsia" w:eastAsiaTheme="minorEastAsia" w:cstheme="minorEastAsia"/>
          <w:b w:val="0"/>
          <w:bCs/>
          <w:color w:val="auto"/>
          <w:sz w:val="24"/>
          <w:szCs w:val="24"/>
          <w:lang w:val="en-US" w:eastAsia="zh-CN"/>
        </w:rPr>
        <w:t>项目</w:t>
      </w:r>
    </w:p>
    <w:p w14:paraId="0AC8FEC7">
      <w:pPr>
        <w:pStyle w:val="18"/>
        <w:keepNext w:val="0"/>
        <w:keepLines w:val="0"/>
        <w:pageBreakBefore w:val="0"/>
        <w:widowControl w:val="0"/>
        <w:numPr>
          <w:ilvl w:val="0"/>
          <w:numId w:val="1"/>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采购方式</w:t>
      </w:r>
    </w:p>
    <w:bookmarkEnd w:id="0"/>
    <w:p w14:paraId="76DBA799">
      <w:pPr>
        <w:pStyle w:val="18"/>
        <w:keepNext w:val="0"/>
        <w:keepLines w:val="0"/>
        <w:pageBreakBefore w:val="0"/>
        <w:widowControl w:val="0"/>
        <w:numPr>
          <w:ilvl w:val="0"/>
          <w:numId w:val="2"/>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bidi="ar-SA"/>
        </w:rPr>
        <w:t>医院公开挂网</w:t>
      </w:r>
      <w:r>
        <w:rPr>
          <w:rFonts w:hint="eastAsia" w:asciiTheme="minorEastAsia" w:hAnsiTheme="minorEastAsia" w:eastAsiaTheme="minorEastAsia" w:cstheme="minorEastAsia"/>
          <w:bCs/>
          <w:color w:val="auto"/>
          <w:sz w:val="24"/>
          <w:szCs w:val="24"/>
          <w:lang w:val="en-US" w:eastAsia="zh-CN"/>
        </w:rPr>
        <w:t>，按招标文件评分规则进行评审，以评审结果排序，综合评分得分相同的，按投标报价由低到高顺序排列，得分且投标报价相同的，按技术指标优劣顺序排列。</w:t>
      </w:r>
    </w:p>
    <w:p w14:paraId="03E8934C">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三、投标人资格要求</w:t>
      </w:r>
    </w:p>
    <w:p w14:paraId="441EE8E9">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1、投标人的基本资格条件：投标人必须是在中华人民共和国境内注册登记的法人、其他组织或者自然人，且应当符合《政府采购法》第二十二条第一款的规定；</w:t>
      </w:r>
    </w:p>
    <w:p w14:paraId="36F0DAC1">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2、参加政府采购活动近3年内，在经营活动中没有重大违法记录；</w:t>
      </w:r>
    </w:p>
    <w:p w14:paraId="6F9616B7">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3、投标人未列入经营异常名录和未列入严重违法失信企业名单（黑名单），投标人企业法人代表未被列入失信被执行人名单；</w:t>
      </w:r>
    </w:p>
    <w:p w14:paraId="6BDAE6C4">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720" w:firstLineChars="3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投标人在“信用中国”（www.creditchina.gov.cn）、中国政府采购网（www.ccgp.gov.cn）等网站，未被列入“失信被执行人”、“重大税收违法案件当事人名单”、“政府采购严重违法失信行为记录名单”；</w:t>
      </w:r>
    </w:p>
    <w:p w14:paraId="75AB0138">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4、本项目不接受联合体投标，不得分包、转包；</w:t>
      </w:r>
    </w:p>
    <w:p w14:paraId="649BD8DC">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5、单位负责人为同一人或者存在直接控股、管理关系的不同投标人，不得参加本次采购活动；</w:t>
      </w:r>
    </w:p>
    <w:p w14:paraId="12B84378">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四、投标截止时间、开标时间及地点：</w:t>
      </w:r>
    </w:p>
    <w:p w14:paraId="6E286114">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1、投标截止时间、开标时间：见医院官网公开挂网表</w:t>
      </w:r>
    </w:p>
    <w:p w14:paraId="0808AD54">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2、开标地点;娄底市中心医院</w:t>
      </w:r>
    </w:p>
    <w:p w14:paraId="3644DD88">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五、采购人地址和联系方法：</w:t>
      </w:r>
    </w:p>
    <w:p w14:paraId="049FFAA9">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1、采购人名称：娄底市中心医院</w:t>
      </w:r>
    </w:p>
    <w:p w14:paraId="2AB872F8">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2、联系人及联系方式：孙沁忍 16673869902</w:t>
      </w:r>
    </w:p>
    <w:p w14:paraId="31227066">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3、采购人地址：娄底市长青中街51号</w:t>
      </w:r>
    </w:p>
    <w:p w14:paraId="782700B0">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六、投标须知</w:t>
      </w:r>
    </w:p>
    <w:p w14:paraId="6D91642B">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1、否决投标的情形：</w:t>
      </w:r>
    </w:p>
    <w:p w14:paraId="2FF6EB10">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1.1、投标人以他人名义投标、串通投标、以行贿手段谋取中标的；</w:t>
      </w:r>
    </w:p>
    <w:p w14:paraId="593D58A5">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1.2、资格评审时，投标人资格条件不符合国家有关规定或者文件要求的，或者拒不按照要求对投标文件进行澄清、说明或补正，或者其说明补正无法证明其为合格投标人的；</w:t>
      </w:r>
    </w:p>
    <w:p w14:paraId="40CF2CE4">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1.3、评标委员会认定投标人以低于成本报价竞标的；</w:t>
      </w:r>
    </w:p>
    <w:p w14:paraId="6F5CB30F">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1.4、投标人未按照要求出席开标会的；</w:t>
      </w:r>
    </w:p>
    <w:p w14:paraId="679CC0C3">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1.5、投标报价有错误的，评标委员会将要求投标人作出书面澄清说明和确认，投标人拒不作出澄清说明和确认的；</w:t>
      </w:r>
    </w:p>
    <w:p w14:paraId="364AE9CF">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1.6、投标文件存在弄虚作假或者隐瞒事实，或者未按照文件要求如实提供有关情况和文件，以及证明资料且对投标人有利的，应当否决其投标。被列为中标候选人的，应当取消其中标候选人资格。</w:t>
      </w:r>
    </w:p>
    <w:p w14:paraId="26A7334E">
      <w:pPr>
        <w:pStyle w:val="19"/>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color w:val="FF0000"/>
          <w:sz w:val="24"/>
          <w:szCs w:val="24"/>
          <w:lang w:val="en-US" w:eastAsia="zh-CN" w:bidi="ar-SA"/>
        </w:rPr>
      </w:pPr>
      <w:r>
        <w:rPr>
          <w:rFonts w:hint="eastAsia" w:asciiTheme="minorEastAsia" w:hAnsiTheme="minorEastAsia" w:eastAsiaTheme="minorEastAsia" w:cstheme="minorEastAsia"/>
          <w:b w:val="0"/>
          <w:bCs/>
          <w:color w:val="FF0000"/>
          <w:sz w:val="24"/>
          <w:szCs w:val="24"/>
          <w:lang w:val="en-US" w:eastAsia="zh-CN" w:bidi="ar-SA"/>
        </w:rPr>
        <w:t>1.7、技术参数负偏离大于5条的。</w:t>
      </w:r>
    </w:p>
    <w:p w14:paraId="731CB78F">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2、有下列情形之一的，采购人将重新挂网采购：</w:t>
      </w:r>
    </w:p>
    <w:p w14:paraId="093FC2CB">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2.1、投标截止时间止，投标人少于3家的；</w:t>
      </w:r>
    </w:p>
    <w:p w14:paraId="11432665">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2.2、经评标委员会评审后，符合资格审查的投标人少于3家的。</w:t>
      </w:r>
    </w:p>
    <w:p w14:paraId="1D69A94E">
      <w:pPr>
        <w:pStyle w:val="19"/>
        <w:rPr>
          <w:rFonts w:hint="eastAsia"/>
          <w:lang w:val="en-US" w:eastAsia="zh-CN"/>
        </w:rPr>
      </w:pPr>
    </w:p>
    <w:p w14:paraId="687E9235">
      <w:pPr>
        <w:pStyle w:val="19"/>
        <w:jc w:val="both"/>
        <w:rPr>
          <w:rFonts w:hint="default"/>
          <w:lang w:val="en-US" w:eastAsia="zh-CN"/>
        </w:rPr>
      </w:pPr>
    </w:p>
    <w:p w14:paraId="7AECD5DA">
      <w:pPr>
        <w:pStyle w:val="18"/>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13042EC1">
      <w:pPr>
        <w:pStyle w:val="18"/>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7EB67C07">
      <w:pPr>
        <w:pStyle w:val="13"/>
        <w:ind w:left="0" w:leftChars="0" w:firstLine="0" w:firstLineChars="0"/>
        <w:rPr>
          <w:rFonts w:hint="eastAsia" w:ascii="宋体" w:hAnsi="宋体" w:cs="宋体"/>
          <w:b/>
          <w:bCs/>
          <w:color w:val="auto"/>
          <w:sz w:val="44"/>
          <w:szCs w:val="44"/>
          <w:lang w:val="en-US" w:eastAsia="zh-CN"/>
        </w:rPr>
      </w:pPr>
    </w:p>
    <w:p w14:paraId="5FE0AE3F">
      <w:pPr>
        <w:pStyle w:val="13"/>
        <w:rPr>
          <w:rFonts w:hint="eastAsia" w:ascii="宋体" w:hAnsi="宋体" w:cs="宋体"/>
          <w:b/>
          <w:bCs/>
          <w:color w:val="auto"/>
          <w:sz w:val="44"/>
          <w:szCs w:val="44"/>
          <w:lang w:val="en-US" w:eastAsia="zh-CN"/>
        </w:rPr>
      </w:pPr>
    </w:p>
    <w:p w14:paraId="433AFCCD">
      <w:pPr>
        <w:rPr>
          <w:rFonts w:hint="eastAsia" w:ascii="宋体" w:hAnsi="宋体" w:cs="宋体"/>
          <w:b/>
          <w:bCs/>
          <w:color w:val="auto"/>
          <w:sz w:val="44"/>
          <w:szCs w:val="44"/>
          <w:lang w:val="en-US" w:eastAsia="zh-CN"/>
        </w:rPr>
      </w:pPr>
    </w:p>
    <w:p w14:paraId="3F1EFC05">
      <w:pPr>
        <w:rPr>
          <w:rFonts w:hint="eastAsia"/>
          <w:lang w:val="en-US" w:eastAsia="zh-CN"/>
        </w:rPr>
      </w:pPr>
    </w:p>
    <w:p w14:paraId="7DFCDC16">
      <w:pPr>
        <w:pStyle w:val="18"/>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r>
        <w:rPr>
          <w:rFonts w:hint="eastAsia" w:ascii="宋体" w:hAnsi="宋体" w:cs="宋体"/>
          <w:b/>
          <w:bCs/>
          <w:color w:val="auto"/>
          <w:sz w:val="44"/>
          <w:szCs w:val="44"/>
          <w:lang w:val="en-US" w:eastAsia="zh-CN"/>
        </w:rPr>
        <w:t>第二章采购需求</w:t>
      </w:r>
    </w:p>
    <w:p w14:paraId="0DE823E3">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黑体" w:hAnsi="黑体" w:eastAsia="黑体" w:cs="黑体"/>
          <w:bCs/>
          <w:color w:val="auto"/>
          <w:kern w:val="0"/>
          <w:sz w:val="28"/>
          <w:szCs w:val="28"/>
          <w:lang w:val="en-US" w:eastAsia="zh-CN" w:bidi="ar-SA"/>
        </w:rPr>
      </w:pPr>
      <w:r>
        <w:rPr>
          <w:rFonts w:hint="eastAsia" w:ascii="黑体" w:hAnsi="黑体" w:eastAsia="黑体" w:cs="黑体"/>
          <w:bCs/>
          <w:color w:val="auto"/>
          <w:kern w:val="0"/>
          <w:sz w:val="28"/>
          <w:szCs w:val="28"/>
          <w:lang w:val="en-US" w:eastAsia="zh-CN" w:bidi="ar-SA"/>
        </w:rPr>
        <w:t>一、采购清单、采购项目交付或者实施的时间和地点</w:t>
      </w:r>
    </w:p>
    <w:p w14:paraId="72D2BF8C">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1.采购项目</w:t>
      </w:r>
    </w:p>
    <w:tbl>
      <w:tblPr>
        <w:tblStyle w:val="14"/>
        <w:tblW w:w="9689"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831"/>
        <w:gridCol w:w="2676"/>
        <w:gridCol w:w="1486"/>
        <w:gridCol w:w="2310"/>
        <w:gridCol w:w="2386"/>
      </w:tblGrid>
      <w:tr w14:paraId="20CC542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70" w:hRule="atLeast"/>
          <w:jc w:val="center"/>
        </w:trPr>
        <w:tc>
          <w:tcPr>
            <w:tcW w:w="83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44330983">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eastAsia="zh-CN"/>
              </w:rPr>
              <w:t>包</w:t>
            </w:r>
            <w:r>
              <w:rPr>
                <w:rFonts w:hint="eastAsia" w:asciiTheme="minorEastAsia" w:hAnsiTheme="minorEastAsia" w:eastAsiaTheme="minorEastAsia" w:cstheme="minorEastAsia"/>
                <w:kern w:val="2"/>
                <w:sz w:val="24"/>
                <w:szCs w:val="24"/>
              </w:rPr>
              <w:t>号</w:t>
            </w:r>
          </w:p>
        </w:tc>
        <w:tc>
          <w:tcPr>
            <w:tcW w:w="267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67B60DE4">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rPr>
              <w:t>设备</w:t>
            </w:r>
            <w:r>
              <w:rPr>
                <w:rFonts w:hint="eastAsia" w:asciiTheme="minorEastAsia" w:hAnsiTheme="minorEastAsia" w:eastAsiaTheme="minorEastAsia" w:cstheme="minorEastAsia"/>
                <w:kern w:val="2"/>
                <w:sz w:val="24"/>
                <w:szCs w:val="24"/>
              </w:rPr>
              <w:t>名称</w:t>
            </w:r>
          </w:p>
        </w:tc>
        <w:tc>
          <w:tcPr>
            <w:tcW w:w="148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58002AC1">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数量</w:t>
            </w:r>
            <w:r>
              <w:rPr>
                <w:rFonts w:hint="eastAsia" w:asciiTheme="minorEastAsia" w:hAnsiTheme="minorEastAsia" w:eastAsiaTheme="minorEastAsia" w:cstheme="minorEastAsia"/>
                <w:sz w:val="24"/>
                <w:szCs w:val="24"/>
              </w:rPr>
              <w:t>(台/套)</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252226A3">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预算</w:t>
            </w:r>
            <w:r>
              <w:rPr>
                <w:rFonts w:hint="eastAsia" w:asciiTheme="minorEastAsia" w:hAnsiTheme="minorEastAsia" w:eastAsiaTheme="minorEastAsia" w:cstheme="minorEastAsia"/>
                <w:kern w:val="2"/>
                <w:sz w:val="24"/>
                <w:szCs w:val="24"/>
                <w:lang w:eastAsia="zh-CN"/>
              </w:rPr>
              <w:t>总</w:t>
            </w:r>
            <w:r>
              <w:rPr>
                <w:rFonts w:hint="eastAsia" w:asciiTheme="minorEastAsia" w:hAnsiTheme="minorEastAsia" w:eastAsiaTheme="minorEastAsia" w:cstheme="minorEastAsia"/>
                <w:kern w:val="2"/>
                <w:sz w:val="24"/>
                <w:szCs w:val="24"/>
              </w:rPr>
              <w:t>价（万元）</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77B7E320">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rPr>
              <w:t>是否允许进口产品</w:t>
            </w:r>
          </w:p>
        </w:tc>
      </w:tr>
      <w:tr w14:paraId="4C6A9AF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51" w:hRule="atLeast"/>
          <w:jc w:val="center"/>
        </w:trPr>
        <w:tc>
          <w:tcPr>
            <w:tcW w:w="83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0E6B9F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heme="minorEastAsia" w:hAnsiTheme="minorEastAsia" w:eastAsiaTheme="minorEastAsia" w:cstheme="minorEastAsia"/>
                <w:kern w:val="2"/>
                <w:sz w:val="24"/>
                <w:szCs w:val="24"/>
                <w:lang w:val="en-US" w:eastAsia="zh-CN"/>
              </w:rPr>
            </w:pPr>
            <w:r>
              <w:rPr>
                <w:rFonts w:hint="eastAsia" w:ascii="宋体" w:hAnsi="宋体" w:eastAsia="宋体" w:cs="Times New Roman"/>
                <w:kern w:val="2"/>
                <w:sz w:val="24"/>
                <w:szCs w:val="24"/>
                <w:lang w:val="en-US" w:eastAsia="zh-CN" w:bidi="ar-SA"/>
              </w:rPr>
              <w:t>包1</w:t>
            </w:r>
          </w:p>
        </w:tc>
        <w:tc>
          <w:tcPr>
            <w:tcW w:w="267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24ADCC23">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结肠透析仪</w:t>
            </w:r>
          </w:p>
        </w:tc>
        <w:tc>
          <w:tcPr>
            <w:tcW w:w="148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6187CCB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34140D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4.7</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5425AB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rPr>
              <w:t>否</w:t>
            </w:r>
          </w:p>
        </w:tc>
      </w:tr>
      <w:tr w14:paraId="0ABF5E4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51" w:hRule="atLeast"/>
          <w:jc w:val="center"/>
        </w:trPr>
        <w:tc>
          <w:tcPr>
            <w:tcW w:w="83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31127A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包2</w:t>
            </w:r>
          </w:p>
        </w:tc>
        <w:tc>
          <w:tcPr>
            <w:tcW w:w="267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060EF3E4">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结肠途径治疗仪（水疗仪）</w:t>
            </w:r>
          </w:p>
        </w:tc>
        <w:tc>
          <w:tcPr>
            <w:tcW w:w="148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4A348D2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325E59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4.3</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5E68E1A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否</w:t>
            </w:r>
          </w:p>
        </w:tc>
      </w:tr>
    </w:tbl>
    <w:p w14:paraId="21C99655">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FF0000"/>
          <w:kern w:val="0"/>
          <w:sz w:val="24"/>
          <w:szCs w:val="24"/>
          <w:lang w:val="en-US" w:eastAsia="zh-CN" w:bidi="ar-SA"/>
        </w:rPr>
      </w:pPr>
      <w:r>
        <w:rPr>
          <w:rFonts w:hint="eastAsia" w:asciiTheme="minorEastAsia" w:hAnsiTheme="minorEastAsia" w:eastAsiaTheme="minorEastAsia" w:cstheme="minorEastAsia"/>
          <w:bCs/>
          <w:color w:val="FF0000"/>
          <w:kern w:val="0"/>
          <w:sz w:val="24"/>
          <w:szCs w:val="24"/>
          <w:lang w:val="en-US" w:eastAsia="zh-CN" w:bidi="ar-SA"/>
        </w:rPr>
        <w:t>说明：本项目共分2个采购包，投标人可以选择一个或多个包（标段）进行投标，可以多投多中，但投标文件必须按包号独立制作投标，否则其投标无效。</w:t>
      </w:r>
    </w:p>
    <w:p w14:paraId="336CF4AB">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2、服务时间：双方签订合同时具体约定。</w:t>
      </w:r>
    </w:p>
    <w:p w14:paraId="72701C18">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3、服务地点：娄底市中心医院。</w:t>
      </w:r>
    </w:p>
    <w:p w14:paraId="33970FE5">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黑体" w:hAnsi="黑体" w:eastAsia="黑体" w:cs="黑体"/>
          <w:bCs/>
          <w:color w:val="auto"/>
          <w:kern w:val="0"/>
          <w:sz w:val="28"/>
          <w:szCs w:val="28"/>
          <w:lang w:val="en-US" w:eastAsia="zh-CN" w:bidi="ar-SA"/>
        </w:rPr>
      </w:pPr>
      <w:r>
        <w:rPr>
          <w:rFonts w:hint="eastAsia" w:ascii="黑体" w:hAnsi="黑体" w:eastAsia="黑体" w:cs="黑体"/>
          <w:bCs/>
          <w:color w:val="auto"/>
          <w:kern w:val="0"/>
          <w:sz w:val="28"/>
          <w:szCs w:val="28"/>
          <w:lang w:val="en-US" w:eastAsia="zh-CN" w:bidi="ar-SA"/>
        </w:rPr>
        <w:t>二、项目内容及要求</w:t>
      </w:r>
    </w:p>
    <w:p w14:paraId="2FD53216">
      <w:pPr>
        <w:pStyle w:val="13"/>
        <w:ind w:left="0" w:leftChars="0" w:firstLine="640" w:firstLineChars="200"/>
        <w:rPr>
          <w:rFonts w:hint="eastAsia" w:ascii="黑体" w:hAnsi="黑体" w:eastAsia="黑体"/>
          <w:b w:val="0"/>
          <w:bCs w:val="0"/>
          <w:sz w:val="32"/>
          <w:szCs w:val="32"/>
          <w:lang w:val="en-US" w:eastAsia="zh-CN"/>
        </w:rPr>
      </w:pPr>
      <w:r>
        <w:rPr>
          <w:rFonts w:hint="eastAsia" w:ascii="黑体" w:hAnsi="黑体" w:eastAsia="黑体" w:cs="Times New Roman"/>
          <w:b w:val="0"/>
          <w:bCs w:val="0"/>
          <w:sz w:val="32"/>
          <w:szCs w:val="32"/>
          <w:lang w:val="en-US" w:eastAsia="zh-CN"/>
        </w:rPr>
        <w:t>包1：</w:t>
      </w:r>
      <w:r>
        <w:rPr>
          <w:rFonts w:hint="eastAsia" w:ascii="黑体" w:hAnsi="黑体" w:eastAsia="黑体"/>
          <w:b w:val="0"/>
          <w:bCs w:val="0"/>
          <w:sz w:val="32"/>
          <w:szCs w:val="32"/>
          <w:lang w:val="en-US" w:eastAsia="zh-CN"/>
        </w:rPr>
        <w:t xml:space="preserve">结肠透析仪 </w:t>
      </w:r>
    </w:p>
    <w:p w14:paraId="38C36981">
      <w:pPr>
        <w:pStyle w:val="13"/>
        <w:keepNext w:val="0"/>
        <w:keepLines w:val="0"/>
        <w:pageBreakBefore w:val="0"/>
        <w:kinsoku/>
        <w:wordWrap/>
        <w:topLinePunct w:val="0"/>
        <w:bidi w:val="0"/>
        <w:ind w:left="0" w:leftChars="0" w:firstLine="562" w:firstLineChars="200"/>
        <w:rPr>
          <w:rFonts w:hint="default" w:ascii="仿宋" w:hAnsi="仿宋" w:eastAsia="仿宋" w:cs="Times New Roman"/>
          <w:b/>
          <w:bCs/>
          <w:kern w:val="2"/>
          <w:sz w:val="28"/>
          <w:szCs w:val="28"/>
          <w:lang w:val="en-US" w:eastAsia="zh-CN" w:bidi="ar-SA"/>
        </w:rPr>
      </w:pPr>
      <w:r>
        <w:rPr>
          <w:rFonts w:hint="eastAsia" w:ascii="仿宋" w:hAnsi="仿宋" w:eastAsia="仿宋" w:cs="Times New Roman"/>
          <w:b/>
          <w:bCs/>
          <w:kern w:val="2"/>
          <w:sz w:val="28"/>
          <w:szCs w:val="28"/>
          <w:lang w:val="en-US" w:eastAsia="zh-CN" w:bidi="ar-SA"/>
        </w:rPr>
        <w:t>（一）技术参数</w:t>
      </w:r>
    </w:p>
    <w:p w14:paraId="6088B3F1">
      <w:pPr>
        <w:keepNext w:val="0"/>
        <w:keepLines w:val="0"/>
        <w:pageBreakBefore w:val="0"/>
        <w:kinsoku/>
        <w:wordWrap/>
        <w:topLinePunct w:val="0"/>
        <w:bidi w:val="0"/>
        <w:spacing w:line="360" w:lineRule="auto"/>
        <w:ind w:firstLine="560" w:firstLineChars="200"/>
        <w:rPr>
          <w:rFonts w:hint="eastAsia" w:ascii="仿宋" w:hAnsi="仿宋" w:eastAsia="仿宋" w:cs="仿宋"/>
          <w:sz w:val="28"/>
          <w:szCs w:val="28"/>
          <w:lang w:val="en-US" w:eastAsia="zh-CN"/>
        </w:rPr>
      </w:pPr>
      <w:r>
        <w:rPr>
          <w:rFonts w:ascii="仿宋" w:hAnsi="仿宋" w:eastAsia="仿宋"/>
          <w:sz w:val="28"/>
          <w:szCs w:val="28"/>
        </w:rPr>
        <w:t>1.</w:t>
      </w:r>
      <w:r>
        <w:rPr>
          <w:rFonts w:hint="eastAsia" w:ascii="仿宋" w:hAnsi="仿宋" w:eastAsia="仿宋" w:cs="仿宋"/>
          <w:sz w:val="28"/>
          <w:szCs w:val="28"/>
        </w:rPr>
        <w:t>温度：灌药液温度设定范围：25℃～40℃范围内可调，默认值为37℃</w:t>
      </w:r>
      <w:r>
        <w:rPr>
          <w:rFonts w:hint="eastAsia" w:ascii="仿宋" w:hAnsi="仿宋" w:eastAsia="仿宋" w:cs="仿宋"/>
          <w:sz w:val="28"/>
          <w:szCs w:val="28"/>
          <w:lang w:eastAsia="zh-CN"/>
        </w:rPr>
        <w:t>，</w:t>
      </w:r>
      <w:r>
        <w:rPr>
          <w:rFonts w:hint="eastAsia" w:ascii="仿宋" w:hAnsi="仿宋" w:eastAsia="仿宋" w:cs="仿宋"/>
          <w:sz w:val="28"/>
          <w:szCs w:val="28"/>
        </w:rPr>
        <w:t>误差：±2℃。</w:t>
      </w:r>
    </w:p>
    <w:p w14:paraId="56855BB9">
      <w:pPr>
        <w:keepNext w:val="0"/>
        <w:keepLines w:val="0"/>
        <w:pageBreakBefore w:val="0"/>
        <w:kinsoku/>
        <w:wordWrap/>
        <w:topLinePunct w:val="0"/>
        <w:bidi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2.容量：储液桶容量≥16L，误差：±10％；</w:t>
      </w:r>
    </w:p>
    <w:p w14:paraId="738A6DA3">
      <w:pPr>
        <w:keepNext w:val="0"/>
        <w:keepLines w:val="0"/>
        <w:pageBreakBefore w:val="0"/>
        <w:kinsoku/>
        <w:wordWrap/>
        <w:topLinePunct w:val="0"/>
        <w:bidi w:val="0"/>
        <w:spacing w:line="360" w:lineRule="auto"/>
        <w:ind w:left="0" w:leftChars="0"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 xml:space="preserve">        </w:t>
      </w:r>
      <w:r>
        <w:rPr>
          <w:rFonts w:hint="eastAsia" w:ascii="仿宋" w:hAnsi="仿宋" w:eastAsia="仿宋" w:cs="仿宋"/>
          <w:sz w:val="28"/>
          <w:szCs w:val="28"/>
        </w:rPr>
        <w:t>药液杯容量≥500ml，误差：±10％。</w:t>
      </w:r>
    </w:p>
    <w:p w14:paraId="68AC9166">
      <w:pPr>
        <w:keepNext w:val="0"/>
        <w:keepLines w:val="0"/>
        <w:pageBreakBefore w:val="0"/>
        <w:tabs>
          <w:tab w:val="left" w:pos="425"/>
        </w:tabs>
        <w:kinsoku/>
        <w:wordWrap/>
        <w:topLinePunct w:val="0"/>
        <w:bidi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3.时间：</w:t>
      </w:r>
    </w:p>
    <w:p w14:paraId="605ACFDE">
      <w:pPr>
        <w:pStyle w:val="27"/>
        <w:keepNext w:val="0"/>
        <w:keepLines w:val="0"/>
        <w:pageBreakBefore w:val="0"/>
        <w:widowControl/>
        <w:kinsoku/>
        <w:wordWrap/>
        <w:topLinePunct w:val="0"/>
        <w:bidi w:val="0"/>
        <w:spacing w:line="360" w:lineRule="auto"/>
        <w:ind w:leftChars="200" w:firstLine="560" w:firstLineChars="200"/>
        <w:rPr>
          <w:rFonts w:hint="eastAsia" w:ascii="仿宋" w:hAnsi="仿宋" w:eastAsia="仿宋" w:cs="仿宋"/>
          <w:sz w:val="28"/>
          <w:szCs w:val="28"/>
          <w:highlight w:val="none"/>
        </w:rPr>
      </w:pPr>
      <w:r>
        <w:rPr>
          <w:rFonts w:hint="eastAsia" w:ascii="仿宋" w:hAnsi="仿宋" w:eastAsia="仿宋" w:cs="仿宋"/>
          <w:sz w:val="28"/>
          <w:szCs w:val="28"/>
        </w:rPr>
        <w:t>3</w:t>
      </w:r>
      <w:r>
        <w:rPr>
          <w:rFonts w:hint="eastAsia" w:ascii="仿宋" w:hAnsi="仿宋" w:eastAsia="仿宋" w:cs="仿宋"/>
          <w:sz w:val="28"/>
          <w:szCs w:val="28"/>
          <w:highlight w:val="none"/>
        </w:rPr>
        <w:t>.1 给液时间0s～10s可调，误差：±5％。</w:t>
      </w:r>
    </w:p>
    <w:p w14:paraId="75C5F293">
      <w:pPr>
        <w:pStyle w:val="27"/>
        <w:keepNext w:val="0"/>
        <w:keepLines w:val="0"/>
        <w:pageBreakBefore w:val="0"/>
        <w:widowControl/>
        <w:kinsoku/>
        <w:wordWrap/>
        <w:topLinePunct w:val="0"/>
        <w:bidi w:val="0"/>
        <w:spacing w:line="360" w:lineRule="auto"/>
        <w:ind w:leftChars="200"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（包含灌水及灌药进入人体的时间，步进为10ml/s）</w:t>
      </w:r>
    </w:p>
    <w:p w14:paraId="54C9FD49">
      <w:pPr>
        <w:pStyle w:val="27"/>
        <w:keepNext w:val="0"/>
        <w:keepLines w:val="0"/>
        <w:pageBreakBefore w:val="0"/>
        <w:widowControl/>
        <w:kinsoku/>
        <w:wordWrap/>
        <w:topLinePunct w:val="0"/>
        <w:bidi w:val="0"/>
        <w:spacing w:line="360" w:lineRule="auto"/>
        <w:ind w:leftChars="200"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3.2 停</w:t>
      </w:r>
      <w:r>
        <w:rPr>
          <w:rFonts w:hint="eastAsia" w:ascii="仿宋" w:hAnsi="仿宋" w:eastAsia="仿宋" w:cs="仿宋"/>
          <w:sz w:val="28"/>
          <w:szCs w:val="28"/>
          <w:highlight w:val="none"/>
          <w:lang w:val="en-US" w:eastAsia="zh-CN"/>
        </w:rPr>
        <w:t>液</w:t>
      </w:r>
      <w:r>
        <w:rPr>
          <w:rFonts w:hint="eastAsia" w:ascii="仿宋" w:hAnsi="仿宋" w:eastAsia="仿宋" w:cs="仿宋"/>
          <w:sz w:val="28"/>
          <w:szCs w:val="28"/>
          <w:highlight w:val="none"/>
        </w:rPr>
        <w:t>时间0s～10s可调，误差：±5％。</w:t>
      </w:r>
    </w:p>
    <w:p w14:paraId="7C59C9EC">
      <w:pPr>
        <w:keepNext w:val="0"/>
        <w:keepLines w:val="0"/>
        <w:pageBreakBefore w:val="0"/>
        <w:kinsoku/>
        <w:wordWrap/>
        <w:topLinePunct w:val="0"/>
        <w:bidi w:val="0"/>
        <w:spacing w:line="360" w:lineRule="auto"/>
        <w:ind w:leftChars="200"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3.3 工作时间，可连续工作24小时以上</w:t>
      </w:r>
      <w:r>
        <w:rPr>
          <w:rFonts w:hint="eastAsia" w:ascii="仿宋" w:hAnsi="仿宋" w:eastAsia="仿宋" w:cs="仿宋"/>
          <w:sz w:val="28"/>
          <w:szCs w:val="28"/>
          <w:highlight w:val="none"/>
          <w:lang w:eastAsia="zh-CN"/>
        </w:rPr>
        <w:t>。</w:t>
      </w:r>
    </w:p>
    <w:p w14:paraId="698C128F">
      <w:pPr>
        <w:keepNext w:val="0"/>
        <w:keepLines w:val="0"/>
        <w:pageBreakBefore w:val="0"/>
        <w:tabs>
          <w:tab w:val="left" w:pos="425"/>
        </w:tabs>
        <w:kinsoku/>
        <w:wordWrap/>
        <w:topLinePunct w:val="0"/>
        <w:bidi w:val="0"/>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4.液量</w:t>
      </w:r>
    </w:p>
    <w:p w14:paraId="13B9BAE2">
      <w:pPr>
        <w:pStyle w:val="27"/>
        <w:keepNext w:val="0"/>
        <w:keepLines w:val="0"/>
        <w:pageBreakBefore w:val="0"/>
        <w:widowControl/>
        <w:kinsoku/>
        <w:wordWrap/>
        <w:topLinePunct w:val="0"/>
        <w:bidi w:val="0"/>
        <w:spacing w:line="360" w:lineRule="auto"/>
        <w:ind w:leftChars="200"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4.1 </w:t>
      </w:r>
      <w:r>
        <w:rPr>
          <w:rFonts w:hint="eastAsia" w:ascii="仿宋" w:hAnsi="仿宋" w:eastAsia="仿宋" w:cs="仿宋"/>
          <w:sz w:val="28"/>
          <w:szCs w:val="28"/>
          <w:highlight w:val="none"/>
          <w:lang w:val="en-US" w:eastAsia="zh-CN"/>
        </w:rPr>
        <w:t>治疗冲洗</w:t>
      </w:r>
      <w:r>
        <w:rPr>
          <w:rFonts w:hint="eastAsia" w:ascii="仿宋" w:hAnsi="仿宋" w:eastAsia="仿宋" w:cs="仿宋"/>
          <w:sz w:val="28"/>
          <w:szCs w:val="28"/>
          <w:highlight w:val="none"/>
        </w:rPr>
        <w:t>灌水时间5-95min，步进为5min, 误差：±10％。</w:t>
      </w:r>
    </w:p>
    <w:p w14:paraId="3C73EFCA">
      <w:pPr>
        <w:keepNext w:val="0"/>
        <w:keepLines w:val="0"/>
        <w:pageBreakBefore w:val="0"/>
        <w:kinsoku/>
        <w:wordWrap/>
        <w:topLinePunct w:val="0"/>
        <w:bidi w:val="0"/>
        <w:spacing w:line="360" w:lineRule="auto"/>
        <w:ind w:leftChars="200"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4.2 灌药液量0～5000ml，步进为10ml, 默认值为1000ml，当设定值到0时，会自动停止灌注并伴有蜂鸣提示声音。误差：±10％。</w:t>
      </w:r>
    </w:p>
    <w:p w14:paraId="68AE266C">
      <w:pPr>
        <w:keepNext w:val="0"/>
        <w:keepLines w:val="0"/>
        <w:pageBreakBefore w:val="0"/>
        <w:kinsoku/>
        <w:wordWrap/>
        <w:topLinePunct w:val="0"/>
        <w:bidi w:val="0"/>
        <w:spacing w:line="360" w:lineRule="auto"/>
        <w:ind w:leftChars="200"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4.3灌水液量0-30000ml,步进为100ml,</w:t>
      </w:r>
      <w:r>
        <w:rPr>
          <w:rFonts w:hint="eastAsia" w:ascii="仿宋" w:hAnsi="仿宋" w:eastAsia="仿宋" w:cs="仿宋"/>
          <w:sz w:val="28"/>
          <w:szCs w:val="28"/>
          <w:highlight w:val="none"/>
        </w:rPr>
        <w:t>误差：±10％</w:t>
      </w:r>
    </w:p>
    <w:p w14:paraId="778276A8">
      <w:pPr>
        <w:keepNext w:val="0"/>
        <w:keepLines w:val="0"/>
        <w:pageBreakBefore w:val="0"/>
        <w:kinsoku/>
        <w:wordWrap/>
        <w:topLinePunct w:val="0"/>
        <w:bidi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5.水疗机工作噪声应≤65dB（A）。</w:t>
      </w:r>
    </w:p>
    <w:p w14:paraId="31CD7669">
      <w:pPr>
        <w:keepNext w:val="0"/>
        <w:keepLines w:val="0"/>
        <w:pageBreakBefore w:val="0"/>
        <w:kinsoku/>
        <w:wordWrap/>
        <w:topLinePunct w:val="0"/>
        <w:bidi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6.</w:t>
      </w:r>
      <w:r>
        <w:rPr>
          <w:rFonts w:hint="eastAsia" w:ascii="仿宋" w:hAnsi="仿宋" w:eastAsia="仿宋" w:cs="仿宋"/>
          <w:sz w:val="28"/>
          <w:szCs w:val="28"/>
          <w:lang w:eastAsia="zh-CN"/>
        </w:rPr>
        <w:t>配备</w:t>
      </w:r>
      <w:r>
        <w:rPr>
          <w:rFonts w:hint="eastAsia" w:ascii="仿宋" w:hAnsi="仿宋" w:eastAsia="仿宋" w:cs="仿宋"/>
          <w:sz w:val="28"/>
          <w:szCs w:val="28"/>
        </w:rPr>
        <w:t>一次性使用</w:t>
      </w:r>
      <w:r>
        <w:rPr>
          <w:rFonts w:hint="eastAsia" w:ascii="仿宋" w:hAnsi="仿宋" w:eastAsia="仿宋" w:cs="仿宋"/>
          <w:sz w:val="28"/>
          <w:szCs w:val="28"/>
          <w:highlight w:val="none"/>
        </w:rPr>
        <w:t>直肠导管</w:t>
      </w:r>
      <w:r>
        <w:rPr>
          <w:rFonts w:hint="eastAsia" w:ascii="仿宋" w:hAnsi="仿宋" w:eastAsia="仿宋" w:cs="仿宋"/>
          <w:sz w:val="28"/>
          <w:szCs w:val="28"/>
          <w:highlight w:val="none"/>
          <w:lang w:eastAsia="zh-CN"/>
        </w:rPr>
        <w:t>，</w:t>
      </w:r>
      <w:r>
        <w:rPr>
          <w:rFonts w:hint="eastAsia" w:ascii="仿宋" w:hAnsi="仿宋" w:eastAsia="仿宋" w:cs="仿宋"/>
          <w:sz w:val="28"/>
          <w:szCs w:val="28"/>
        </w:rPr>
        <w:t>具有医疗器械备案证。</w:t>
      </w:r>
    </w:p>
    <w:p w14:paraId="7E1BFF1E">
      <w:pPr>
        <w:keepNext w:val="0"/>
        <w:keepLines w:val="0"/>
        <w:pageBreakBefore w:val="0"/>
        <w:kinsoku/>
        <w:wordWrap/>
        <w:topLinePunct w:val="0"/>
        <w:bidi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7.</w:t>
      </w:r>
      <w:r>
        <w:rPr>
          <w:rFonts w:hint="eastAsia" w:ascii="仿宋" w:hAnsi="仿宋" w:eastAsia="仿宋" w:cs="仿宋"/>
          <w:sz w:val="28"/>
          <w:szCs w:val="28"/>
          <w:lang w:eastAsia="zh-CN"/>
        </w:rPr>
        <w:t>高温</w:t>
      </w:r>
      <w:r>
        <w:rPr>
          <w:rFonts w:hint="eastAsia" w:ascii="仿宋" w:hAnsi="仿宋" w:eastAsia="仿宋" w:cs="仿宋"/>
          <w:sz w:val="28"/>
          <w:szCs w:val="28"/>
        </w:rPr>
        <w:t>保护功能：</w:t>
      </w:r>
    </w:p>
    <w:p w14:paraId="1F94D626">
      <w:pPr>
        <w:keepNext w:val="0"/>
        <w:keepLines w:val="0"/>
        <w:pageBreakBefore w:val="0"/>
        <w:kinsoku/>
        <w:wordWrap/>
        <w:topLinePunct w:val="0"/>
        <w:bidi w:val="0"/>
        <w:spacing w:line="360" w:lineRule="auto"/>
        <w:ind w:leftChars="200" w:firstLine="560" w:firstLineChars="200"/>
        <w:rPr>
          <w:rFonts w:hint="eastAsia" w:ascii="仿宋" w:hAnsi="仿宋" w:eastAsia="仿宋" w:cs="仿宋"/>
          <w:sz w:val="28"/>
          <w:szCs w:val="28"/>
        </w:rPr>
      </w:pPr>
      <w:r>
        <w:rPr>
          <w:rFonts w:hint="eastAsia" w:ascii="仿宋" w:hAnsi="仿宋" w:eastAsia="仿宋" w:cs="仿宋"/>
          <w:sz w:val="28"/>
          <w:szCs w:val="28"/>
        </w:rPr>
        <w:t>7.1最高温度超过工作温度设定值时</w:t>
      </w:r>
      <w:r>
        <w:rPr>
          <w:rFonts w:hint="eastAsia" w:ascii="仿宋" w:hAnsi="仿宋" w:eastAsia="仿宋" w:cs="仿宋"/>
          <w:sz w:val="28"/>
          <w:szCs w:val="28"/>
          <w:highlight w:val="none"/>
          <w:lang w:val="en-US" w:eastAsia="zh-CN"/>
        </w:rPr>
        <w:t>设备自动停止工作</w:t>
      </w:r>
      <w:r>
        <w:rPr>
          <w:rFonts w:hint="eastAsia" w:ascii="仿宋" w:hAnsi="仿宋" w:eastAsia="仿宋" w:cs="仿宋"/>
          <w:sz w:val="28"/>
          <w:szCs w:val="28"/>
        </w:rPr>
        <w:t>。</w:t>
      </w:r>
    </w:p>
    <w:p w14:paraId="755F2610">
      <w:pPr>
        <w:keepNext w:val="0"/>
        <w:keepLines w:val="0"/>
        <w:pageBreakBefore w:val="0"/>
        <w:kinsoku/>
        <w:wordWrap/>
        <w:topLinePunct w:val="0"/>
        <w:bidi w:val="0"/>
        <w:spacing w:line="360" w:lineRule="auto"/>
        <w:ind w:leftChars="200" w:firstLine="560" w:firstLineChars="200"/>
        <w:rPr>
          <w:rFonts w:hint="eastAsia" w:ascii="仿宋" w:hAnsi="仿宋" w:eastAsia="仿宋" w:cs="仿宋"/>
          <w:sz w:val="28"/>
          <w:szCs w:val="28"/>
        </w:rPr>
      </w:pPr>
      <w:r>
        <w:rPr>
          <w:rFonts w:hint="eastAsia" w:ascii="仿宋" w:hAnsi="仿宋" w:eastAsia="仿宋" w:cs="仿宋"/>
          <w:sz w:val="28"/>
          <w:szCs w:val="28"/>
        </w:rPr>
        <w:t>7.2当温度降低到设定值以下后可以恢复输出。</w:t>
      </w:r>
    </w:p>
    <w:p w14:paraId="1C5A096D">
      <w:pPr>
        <w:keepNext w:val="0"/>
        <w:keepLines w:val="0"/>
        <w:pageBreakBefore w:val="0"/>
        <w:kinsoku/>
        <w:wordWrap/>
        <w:topLinePunct w:val="0"/>
        <w:bidi w:val="0"/>
        <w:spacing w:line="360" w:lineRule="auto"/>
        <w:ind w:leftChars="200" w:firstLine="560" w:firstLineChars="200"/>
        <w:rPr>
          <w:rFonts w:hint="eastAsia" w:ascii="仿宋" w:hAnsi="仿宋" w:eastAsia="仿宋" w:cs="仿宋"/>
          <w:sz w:val="28"/>
          <w:szCs w:val="28"/>
        </w:rPr>
      </w:pPr>
      <w:r>
        <w:rPr>
          <w:rFonts w:hint="eastAsia" w:ascii="仿宋" w:hAnsi="仿宋" w:eastAsia="仿宋" w:cs="仿宋"/>
          <w:sz w:val="28"/>
          <w:szCs w:val="28"/>
        </w:rPr>
        <w:t>7.3如果保护装置失效造成温度继续升高到42℃±2℃，</w:t>
      </w:r>
      <w:r>
        <w:rPr>
          <w:rFonts w:hint="eastAsia" w:ascii="仿宋" w:hAnsi="仿宋" w:eastAsia="仿宋" w:cs="仿宋"/>
          <w:sz w:val="28"/>
          <w:szCs w:val="28"/>
          <w:lang w:eastAsia="zh-CN"/>
        </w:rPr>
        <w:t>自动</w:t>
      </w:r>
      <w:r>
        <w:rPr>
          <w:rFonts w:hint="eastAsia" w:ascii="仿宋" w:hAnsi="仿宋" w:eastAsia="仿宋" w:cs="仿宋"/>
          <w:sz w:val="28"/>
          <w:szCs w:val="28"/>
        </w:rPr>
        <w:t>切断电源</w:t>
      </w:r>
      <w:r>
        <w:rPr>
          <w:rFonts w:hint="eastAsia" w:ascii="仿宋" w:hAnsi="仿宋" w:eastAsia="仿宋" w:cs="仿宋"/>
          <w:sz w:val="28"/>
          <w:szCs w:val="28"/>
          <w:lang w:eastAsia="zh-CN"/>
        </w:rPr>
        <w:t>，</w:t>
      </w:r>
      <w:r>
        <w:rPr>
          <w:rFonts w:hint="eastAsia" w:ascii="仿宋" w:hAnsi="仿宋" w:eastAsia="仿宋" w:cs="仿宋"/>
          <w:sz w:val="28"/>
          <w:szCs w:val="28"/>
          <w:highlight w:val="none"/>
          <w:lang w:val="en-US" w:eastAsia="zh-CN"/>
        </w:rPr>
        <w:t>设备停止工作</w:t>
      </w:r>
      <w:r>
        <w:rPr>
          <w:rFonts w:hint="eastAsia" w:ascii="仿宋" w:hAnsi="仿宋" w:eastAsia="仿宋" w:cs="仿宋"/>
          <w:sz w:val="28"/>
          <w:szCs w:val="28"/>
        </w:rPr>
        <w:t>。</w:t>
      </w:r>
    </w:p>
    <w:p w14:paraId="79093955">
      <w:pPr>
        <w:keepNext w:val="0"/>
        <w:keepLines w:val="0"/>
        <w:pageBreakBefore w:val="0"/>
        <w:kinsoku/>
        <w:wordWrap/>
        <w:topLinePunct w:val="0"/>
        <w:bidi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8.防干烧功能</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设备在缺水状态下会自动断电。</w:t>
      </w:r>
    </w:p>
    <w:p w14:paraId="1FEBB9F7">
      <w:pPr>
        <w:keepNext w:val="0"/>
        <w:keepLines w:val="0"/>
        <w:pageBreakBefore w:val="0"/>
        <w:kinsoku/>
        <w:wordWrap/>
        <w:topLinePunct w:val="0"/>
        <w:bidi w:val="0"/>
        <w:spacing w:line="36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▲9.设备具有超压报警装置，当体内压力超过0.06mpa时，设备蜂鸣声报警，停止进液工作。</w:t>
      </w:r>
    </w:p>
    <w:p w14:paraId="55FCBB8E">
      <w:pPr>
        <w:keepNext w:val="0"/>
        <w:keepLines w:val="0"/>
        <w:pageBreakBefore w:val="0"/>
        <w:kinsoku/>
        <w:wordWrap/>
        <w:topLinePunct w:val="0"/>
        <w:bidi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▲10</w:t>
      </w:r>
      <w:r>
        <w:rPr>
          <w:rFonts w:hint="eastAsia" w:ascii="仿宋" w:hAnsi="仿宋" w:eastAsia="仿宋" w:cs="仿宋"/>
          <w:sz w:val="28"/>
          <w:szCs w:val="28"/>
        </w:rPr>
        <w:t>.显示屏</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21.5寸,</w:t>
      </w:r>
      <w:r>
        <w:rPr>
          <w:rFonts w:hint="eastAsia" w:ascii="仿宋" w:hAnsi="仿宋" w:eastAsia="仿宋" w:cs="仿宋"/>
          <w:sz w:val="28"/>
          <w:szCs w:val="28"/>
        </w:rPr>
        <w:t>可以播放视频、音乐或图片，播放摄像画面</w:t>
      </w:r>
      <w:r>
        <w:rPr>
          <w:rFonts w:hint="eastAsia" w:ascii="仿宋" w:hAnsi="仿宋" w:eastAsia="仿宋" w:cs="仿宋"/>
          <w:sz w:val="28"/>
          <w:szCs w:val="28"/>
          <w:lang w:eastAsia="zh-CN"/>
        </w:rPr>
        <w:t>，</w:t>
      </w:r>
      <w:r>
        <w:rPr>
          <w:rFonts w:hint="eastAsia" w:ascii="仿宋" w:hAnsi="仿宋" w:eastAsia="仿宋" w:cs="仿宋"/>
          <w:sz w:val="28"/>
          <w:szCs w:val="28"/>
        </w:rPr>
        <w:t>水疗全程</w:t>
      </w:r>
      <w:r>
        <w:rPr>
          <w:rFonts w:hint="eastAsia" w:ascii="仿宋" w:hAnsi="仿宋" w:eastAsia="仿宋" w:cs="仿宋"/>
          <w:sz w:val="28"/>
          <w:szCs w:val="28"/>
          <w:lang w:val="en-US" w:eastAsia="zh-CN"/>
        </w:rPr>
        <w:t>具有微摄像头全程可</w:t>
      </w:r>
      <w:r>
        <w:rPr>
          <w:rFonts w:hint="eastAsia" w:ascii="仿宋" w:hAnsi="仿宋" w:eastAsia="仿宋" w:cs="仿宋"/>
          <w:sz w:val="28"/>
          <w:szCs w:val="28"/>
          <w:highlight w:val="none"/>
        </w:rPr>
        <w:t>实时观看</w:t>
      </w:r>
      <w:r>
        <w:rPr>
          <w:rFonts w:hint="eastAsia" w:ascii="仿宋" w:hAnsi="仿宋" w:eastAsia="仿宋" w:cs="仿宋"/>
          <w:sz w:val="28"/>
          <w:szCs w:val="28"/>
          <w:highlight w:val="none"/>
          <w:lang w:eastAsia="zh-CN"/>
        </w:rPr>
        <w:t>清洗效果</w:t>
      </w:r>
      <w:r>
        <w:rPr>
          <w:rFonts w:hint="eastAsia" w:ascii="仿宋" w:hAnsi="仿宋" w:eastAsia="仿宋" w:cs="仿宋"/>
          <w:sz w:val="28"/>
          <w:szCs w:val="28"/>
        </w:rPr>
        <w:t>。</w:t>
      </w:r>
    </w:p>
    <w:p w14:paraId="2FA54983">
      <w:pPr>
        <w:keepNext w:val="0"/>
        <w:keepLines w:val="0"/>
        <w:pageBreakBefore w:val="0"/>
        <w:numPr>
          <w:ilvl w:val="0"/>
          <w:numId w:val="0"/>
        </w:numPr>
        <w:kinsoku/>
        <w:wordWrap/>
        <w:topLinePunct w:val="0"/>
        <w:bidi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11.主触屏≥15寸，可显示、调节水温、流量、灌注液量、灌水时间等参数。</w:t>
      </w:r>
    </w:p>
    <w:p w14:paraId="62AAFDED">
      <w:pPr>
        <w:keepNext w:val="0"/>
        <w:keepLines w:val="0"/>
        <w:pageBreakBefore w:val="0"/>
        <w:numPr>
          <w:ilvl w:val="0"/>
          <w:numId w:val="0"/>
        </w:numPr>
        <w:kinsoku/>
        <w:wordWrap/>
        <w:topLinePunct w:val="0"/>
        <w:bidi w:val="0"/>
        <w:spacing w:line="360" w:lineRule="auto"/>
        <w:ind w:firstLine="480" w:firstLineChars="200"/>
        <w:rPr>
          <w:rFonts w:hint="default" w:ascii="仿宋" w:hAnsi="仿宋" w:eastAsia="仿宋" w:cs="仿宋"/>
          <w:sz w:val="28"/>
          <w:szCs w:val="28"/>
          <w:lang w:val="en-US" w:eastAsia="zh-CN"/>
        </w:rPr>
      </w:pPr>
      <w:r>
        <w:rPr>
          <w:rFonts w:hint="eastAsia" w:ascii="宋体" w:hAnsi="宋体" w:eastAsia="宋体" w:cs="宋体"/>
          <w:color w:val="auto"/>
          <w:sz w:val="24"/>
          <w:szCs w:val="24"/>
          <w:lang w:val="en-US" w:eastAsia="zh-CN"/>
        </w:rPr>
        <w:t>★</w:t>
      </w:r>
      <w:r>
        <w:rPr>
          <w:rFonts w:hint="eastAsia" w:ascii="仿宋" w:hAnsi="仿宋" w:eastAsia="仿宋" w:cs="仿宋"/>
          <w:sz w:val="28"/>
          <w:szCs w:val="28"/>
          <w:lang w:val="en-US" w:eastAsia="zh-CN"/>
        </w:rPr>
        <w:t>12.内置排气系统，体内排泄物气味收集直接吸附排除，减少空间的异味。</w:t>
      </w:r>
    </w:p>
    <w:p w14:paraId="7FDABB3B">
      <w:pPr>
        <w:keepNext w:val="0"/>
        <w:keepLines w:val="0"/>
        <w:pageBreakBefore w:val="0"/>
        <w:kinsoku/>
        <w:wordWrap/>
        <w:topLinePunct w:val="0"/>
        <w:bidi w:val="0"/>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3</w:t>
      </w:r>
      <w:r>
        <w:rPr>
          <w:rFonts w:hint="eastAsia" w:ascii="仿宋" w:hAnsi="仿宋" w:eastAsia="仿宋" w:cs="仿宋"/>
          <w:sz w:val="28"/>
          <w:szCs w:val="28"/>
        </w:rPr>
        <w:t>.进水过滤精度</w:t>
      </w:r>
      <w:r>
        <w:rPr>
          <w:rFonts w:hint="eastAsia" w:ascii="仿宋" w:hAnsi="仿宋" w:eastAsia="仿宋" w:cs="仿宋"/>
          <w:sz w:val="28"/>
          <w:szCs w:val="28"/>
          <w:lang w:eastAsia="zh-CN"/>
        </w:rPr>
        <w:t>≥</w:t>
      </w:r>
      <w:r>
        <w:rPr>
          <w:rFonts w:hint="eastAsia" w:ascii="仿宋" w:hAnsi="仿宋" w:eastAsia="仿宋" w:cs="仿宋"/>
          <w:sz w:val="28"/>
          <w:szCs w:val="28"/>
        </w:rPr>
        <w:t>5um</w:t>
      </w:r>
      <w:r>
        <w:rPr>
          <w:rFonts w:hint="eastAsia" w:ascii="仿宋" w:hAnsi="仿宋" w:eastAsia="仿宋" w:cs="仿宋"/>
          <w:sz w:val="28"/>
          <w:szCs w:val="28"/>
          <w:lang w:eastAsia="zh-CN"/>
        </w:rPr>
        <w:t>。</w:t>
      </w:r>
    </w:p>
    <w:p w14:paraId="6FACC36A">
      <w:pPr>
        <w:keepNext w:val="0"/>
        <w:keepLines w:val="0"/>
        <w:pageBreakBefore w:val="0"/>
        <w:kinsoku/>
        <w:wordWrap/>
        <w:topLinePunct w:val="0"/>
        <w:bidi w:val="0"/>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val="en-US" w:eastAsia="zh-CN"/>
        </w:rPr>
        <w:t>▲</w:t>
      </w:r>
      <w:r>
        <w:rPr>
          <w:rFonts w:hint="eastAsia" w:ascii="仿宋" w:hAnsi="仿宋" w:eastAsia="仿宋" w:cs="仿宋"/>
          <w:sz w:val="28"/>
          <w:szCs w:val="28"/>
        </w:rPr>
        <w:t>1</w:t>
      </w:r>
      <w:r>
        <w:rPr>
          <w:rFonts w:hint="eastAsia" w:ascii="仿宋" w:hAnsi="仿宋" w:eastAsia="仿宋" w:cs="仿宋"/>
          <w:sz w:val="28"/>
          <w:szCs w:val="28"/>
          <w:lang w:val="en-US" w:eastAsia="zh-CN"/>
        </w:rPr>
        <w:t>4</w:t>
      </w:r>
      <w:r>
        <w:rPr>
          <w:rFonts w:hint="eastAsia" w:ascii="仿宋" w:hAnsi="仿宋" w:eastAsia="仿宋" w:cs="仿宋"/>
          <w:sz w:val="28"/>
          <w:szCs w:val="28"/>
        </w:rPr>
        <w:t>.具有低温保护功能，进水温度低于设定温度5℃以上，设备停止工作</w:t>
      </w:r>
      <w:r>
        <w:rPr>
          <w:rFonts w:hint="eastAsia" w:ascii="仿宋" w:hAnsi="仿宋" w:eastAsia="仿宋" w:cs="仿宋"/>
          <w:sz w:val="28"/>
          <w:szCs w:val="28"/>
          <w:lang w:val="en-US" w:eastAsia="zh-CN"/>
        </w:rPr>
        <w:t>能</w:t>
      </w:r>
      <w:r>
        <w:rPr>
          <w:rFonts w:hint="eastAsia" w:ascii="仿宋" w:hAnsi="仿宋" w:eastAsia="仿宋" w:cs="仿宋"/>
          <w:sz w:val="28"/>
          <w:szCs w:val="28"/>
          <w:lang w:eastAsia="zh-CN"/>
        </w:rPr>
        <w:t>。</w:t>
      </w:r>
    </w:p>
    <w:p w14:paraId="217FE129">
      <w:pPr>
        <w:keepNext w:val="0"/>
        <w:keepLines w:val="0"/>
        <w:pageBreakBefore w:val="0"/>
        <w:kinsoku/>
        <w:wordWrap/>
        <w:topLinePunct w:val="0"/>
        <w:bidi w:val="0"/>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5</w:t>
      </w:r>
      <w:r>
        <w:rPr>
          <w:rFonts w:hint="eastAsia" w:ascii="仿宋" w:hAnsi="仿宋" w:eastAsia="仿宋" w:cs="仿宋"/>
          <w:sz w:val="28"/>
          <w:szCs w:val="28"/>
        </w:rPr>
        <w:t>.治疗床承重≥135kg</w:t>
      </w:r>
      <w:r>
        <w:rPr>
          <w:rFonts w:hint="eastAsia" w:ascii="仿宋" w:hAnsi="仿宋" w:eastAsia="仿宋" w:cs="仿宋"/>
          <w:sz w:val="28"/>
          <w:szCs w:val="28"/>
          <w:lang w:eastAsia="zh-CN"/>
        </w:rPr>
        <w:t>。</w:t>
      </w:r>
    </w:p>
    <w:p w14:paraId="4DF5734D">
      <w:pPr>
        <w:keepNext w:val="0"/>
        <w:keepLines w:val="0"/>
        <w:pageBreakBefore w:val="0"/>
        <w:kinsoku/>
        <w:wordWrap/>
        <w:topLinePunct w:val="0"/>
        <w:bidi w:val="0"/>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6</w:t>
      </w:r>
      <w:r>
        <w:rPr>
          <w:rFonts w:hint="eastAsia" w:ascii="仿宋" w:hAnsi="仿宋" w:eastAsia="仿宋" w:cs="仿宋"/>
          <w:sz w:val="28"/>
          <w:szCs w:val="28"/>
        </w:rPr>
        <w:t>.总功率:</w:t>
      </w:r>
      <w:r>
        <w:rPr>
          <w:rFonts w:hint="default" w:ascii="Arial" w:hAnsi="Arial" w:eastAsia="仿宋" w:cs="Arial"/>
          <w:sz w:val="28"/>
          <w:szCs w:val="28"/>
        </w:rPr>
        <w:t>≤</w:t>
      </w:r>
      <w:r>
        <w:rPr>
          <w:rFonts w:hint="eastAsia" w:ascii="仿宋" w:hAnsi="仿宋" w:eastAsia="仿宋" w:cs="仿宋"/>
          <w:sz w:val="28"/>
          <w:szCs w:val="28"/>
        </w:rPr>
        <w:t>2000W</w:t>
      </w:r>
      <w:r>
        <w:rPr>
          <w:rFonts w:hint="eastAsia" w:ascii="仿宋" w:hAnsi="仿宋" w:eastAsia="仿宋" w:cs="仿宋"/>
          <w:sz w:val="28"/>
          <w:szCs w:val="28"/>
          <w:lang w:eastAsia="zh-CN"/>
        </w:rPr>
        <w:t>。</w:t>
      </w:r>
    </w:p>
    <w:p w14:paraId="75A089EC">
      <w:pPr>
        <w:keepNext w:val="0"/>
        <w:keepLines w:val="0"/>
        <w:pageBreakBefore w:val="0"/>
        <w:kinsoku/>
        <w:wordWrap/>
        <w:topLinePunct w:val="0"/>
        <w:bidi w:val="0"/>
        <w:spacing w:line="360" w:lineRule="auto"/>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sz w:val="28"/>
          <w:szCs w:val="28"/>
          <w:lang w:val="en-US" w:eastAsia="zh-CN"/>
        </w:rPr>
        <w:t>▲</w:t>
      </w:r>
      <w:r>
        <w:rPr>
          <w:rFonts w:hint="eastAsia" w:ascii="仿宋" w:hAnsi="仿宋" w:eastAsia="仿宋" w:cs="仿宋"/>
          <w:sz w:val="28"/>
          <w:szCs w:val="28"/>
        </w:rPr>
        <w:t>1</w:t>
      </w:r>
      <w:r>
        <w:rPr>
          <w:rFonts w:hint="eastAsia" w:ascii="仿宋" w:hAnsi="仿宋" w:eastAsia="仿宋" w:cs="仿宋"/>
          <w:sz w:val="28"/>
          <w:szCs w:val="28"/>
          <w:lang w:val="en-US" w:eastAsia="zh-CN"/>
        </w:rPr>
        <w:t>7</w:t>
      </w:r>
      <w:r>
        <w:rPr>
          <w:rFonts w:hint="eastAsia" w:ascii="仿宋" w:hAnsi="仿宋" w:eastAsia="仿宋" w:cs="仿宋"/>
          <w:sz w:val="28"/>
          <w:szCs w:val="28"/>
        </w:rPr>
        <w:t>.</w:t>
      </w:r>
      <w:r>
        <w:rPr>
          <w:rFonts w:hint="eastAsia" w:ascii="仿宋" w:hAnsi="仿宋" w:eastAsia="仿宋" w:cs="仿宋"/>
          <w:sz w:val="28"/>
          <w:szCs w:val="28"/>
          <w:highlight w:val="none"/>
          <w:lang w:val="en-US" w:eastAsia="zh-CN"/>
        </w:rPr>
        <w:t>主机、治疗床</w:t>
      </w:r>
      <w:r>
        <w:rPr>
          <w:rFonts w:hint="eastAsia" w:ascii="仿宋" w:hAnsi="仿宋" w:eastAsia="仿宋" w:cs="仿宋"/>
          <w:sz w:val="28"/>
          <w:szCs w:val="28"/>
        </w:rPr>
        <w:t>两节一体机设计，方便挪动。</w:t>
      </w:r>
      <w:r>
        <w:rPr>
          <w:rFonts w:hint="eastAsia" w:ascii="仿宋" w:hAnsi="仿宋" w:eastAsia="仿宋" w:cs="仿宋"/>
          <w:color w:val="000000"/>
          <w:sz w:val="28"/>
          <w:szCs w:val="28"/>
          <w:lang w:val="en-US" w:eastAsia="zh-CN"/>
        </w:rPr>
        <w:t>可提供</w:t>
      </w:r>
      <w:r>
        <w:rPr>
          <w:rFonts w:hint="eastAsia" w:ascii="仿宋" w:hAnsi="仿宋" w:eastAsia="仿宋" w:cs="仿宋"/>
          <w:sz w:val="28"/>
          <w:szCs w:val="28"/>
        </w:rPr>
        <w:t>实用新型和</w:t>
      </w:r>
      <w:r>
        <w:rPr>
          <w:rFonts w:hint="eastAsia" w:ascii="仿宋" w:hAnsi="仿宋" w:eastAsia="仿宋" w:cs="仿宋"/>
          <w:color w:val="000000"/>
          <w:sz w:val="28"/>
          <w:szCs w:val="28"/>
        </w:rPr>
        <w:t>外观设计获得专利证书</w:t>
      </w:r>
      <w:r>
        <w:rPr>
          <w:rFonts w:hint="eastAsia" w:ascii="仿宋" w:hAnsi="仿宋" w:eastAsia="仿宋" w:cs="仿宋"/>
          <w:color w:val="000000"/>
          <w:sz w:val="28"/>
          <w:szCs w:val="28"/>
          <w:lang w:val="en-US" w:eastAsia="zh-CN"/>
        </w:rPr>
        <w:t>资料证明。</w:t>
      </w:r>
    </w:p>
    <w:p w14:paraId="7967B217">
      <w:pPr>
        <w:keepNext w:val="0"/>
        <w:keepLines w:val="0"/>
        <w:pageBreakBefore w:val="0"/>
        <w:kinsoku/>
        <w:wordWrap/>
        <w:topLinePunct w:val="0"/>
        <w:bidi w:val="0"/>
        <w:spacing w:line="360" w:lineRule="auto"/>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sz w:val="28"/>
          <w:szCs w:val="28"/>
          <w:lang w:val="en-US" w:eastAsia="zh-CN"/>
        </w:rPr>
        <w:t>18.</w:t>
      </w:r>
      <w:r>
        <w:rPr>
          <w:rFonts w:hint="eastAsia" w:ascii="仿宋" w:hAnsi="仿宋" w:eastAsia="仿宋" w:cs="仿宋"/>
          <w:sz w:val="28"/>
          <w:szCs w:val="28"/>
        </w:rPr>
        <w:t>自动清洗管路，对</w:t>
      </w:r>
      <w:r>
        <w:rPr>
          <w:rFonts w:hint="eastAsia" w:ascii="仿宋" w:hAnsi="仿宋" w:eastAsia="仿宋" w:cs="仿宋"/>
          <w:sz w:val="28"/>
          <w:szCs w:val="28"/>
          <w:highlight w:val="none"/>
        </w:rPr>
        <w:t>进水</w:t>
      </w:r>
      <w:r>
        <w:rPr>
          <w:rFonts w:hint="eastAsia" w:ascii="仿宋" w:hAnsi="仿宋" w:eastAsia="仿宋" w:cs="仿宋"/>
          <w:sz w:val="28"/>
          <w:szCs w:val="28"/>
          <w:lang w:val="en-US" w:eastAsia="zh-CN"/>
        </w:rPr>
        <w:t>净化</w:t>
      </w:r>
      <w:r>
        <w:rPr>
          <w:rFonts w:hint="eastAsia" w:ascii="仿宋" w:hAnsi="仿宋" w:eastAsia="仿宋" w:cs="仿宋"/>
          <w:sz w:val="28"/>
          <w:szCs w:val="28"/>
        </w:rPr>
        <w:t>过滤消毒处理。</w:t>
      </w:r>
    </w:p>
    <w:p w14:paraId="69D9303D">
      <w:pPr>
        <w:keepNext w:val="0"/>
        <w:keepLines w:val="0"/>
        <w:pageBreakBefore w:val="0"/>
        <w:numPr>
          <w:ilvl w:val="0"/>
          <w:numId w:val="0"/>
        </w:numPr>
        <w:kinsoku/>
        <w:wordWrap/>
        <w:topLinePunct w:val="0"/>
        <w:bidi w:val="0"/>
        <w:spacing w:after="0" w:line="360" w:lineRule="auto"/>
        <w:ind w:firstLine="560" w:firstLineChars="200"/>
        <w:rPr>
          <w:rFonts w:hint="eastAsia" w:ascii="仿宋" w:hAnsi="仿宋" w:eastAsia="仿宋" w:cs="仿宋"/>
          <w:sz w:val="28"/>
          <w:szCs w:val="28"/>
        </w:rPr>
      </w:pPr>
      <w:r>
        <w:rPr>
          <w:rFonts w:hint="eastAsia" w:ascii="仿宋" w:hAnsi="仿宋" w:eastAsia="仿宋" w:cs="仿宋"/>
          <w:kern w:val="2"/>
          <w:sz w:val="28"/>
          <w:szCs w:val="28"/>
          <w:lang w:val="en-US" w:eastAsia="zh-CN" w:bidi="ar-SA"/>
        </w:rPr>
        <w:t>19.</w:t>
      </w:r>
      <w:r>
        <w:rPr>
          <w:rFonts w:hint="eastAsia" w:ascii="仿宋" w:hAnsi="仿宋" w:eastAsia="仿宋" w:cs="仿宋"/>
          <w:sz w:val="28"/>
          <w:szCs w:val="28"/>
        </w:rPr>
        <w:t>外置水源净化系统，对水进行精细化过滤、消毒。</w:t>
      </w:r>
    </w:p>
    <w:p w14:paraId="7750036E">
      <w:pPr>
        <w:keepNext w:val="0"/>
        <w:keepLines w:val="0"/>
        <w:pageBreakBefore w:val="0"/>
        <w:numPr>
          <w:ilvl w:val="0"/>
          <w:numId w:val="0"/>
        </w:numPr>
        <w:kinsoku/>
        <w:wordWrap/>
        <w:topLinePunct w:val="0"/>
        <w:bidi w:val="0"/>
        <w:spacing w:after="0" w:line="360" w:lineRule="auto"/>
        <w:ind w:firstLine="560" w:firstLineChars="200"/>
        <w:rPr>
          <w:rFonts w:hint="eastAsia" w:ascii="仿宋" w:hAnsi="仿宋" w:eastAsia="仿宋" w:cs="仿宋"/>
          <w:sz w:val="28"/>
          <w:szCs w:val="28"/>
        </w:rPr>
      </w:pPr>
      <w:r>
        <w:rPr>
          <w:rFonts w:hint="eastAsia" w:ascii="仿宋" w:hAnsi="仿宋" w:eastAsia="仿宋" w:cs="仿宋"/>
          <w:kern w:val="2"/>
          <w:sz w:val="28"/>
          <w:szCs w:val="28"/>
          <w:lang w:val="en-US" w:eastAsia="zh-CN" w:bidi="ar-SA"/>
        </w:rPr>
        <w:t>20.具备</w:t>
      </w:r>
      <w:r>
        <w:rPr>
          <w:rFonts w:hint="eastAsia" w:ascii="仿宋" w:hAnsi="仿宋" w:eastAsia="仿宋" w:cs="仿宋"/>
          <w:sz w:val="28"/>
          <w:szCs w:val="28"/>
        </w:rPr>
        <w:t>控温系统。</w:t>
      </w:r>
    </w:p>
    <w:p w14:paraId="7CAA4917">
      <w:pPr>
        <w:keepNext w:val="0"/>
        <w:keepLines w:val="0"/>
        <w:pageBreakBefore w:val="0"/>
        <w:numPr>
          <w:ilvl w:val="0"/>
          <w:numId w:val="0"/>
        </w:numPr>
        <w:kinsoku/>
        <w:wordWrap/>
        <w:topLinePunct w:val="0"/>
        <w:bidi w:val="0"/>
        <w:spacing w:after="0" w:line="360" w:lineRule="auto"/>
        <w:ind w:firstLine="560" w:firstLineChars="200"/>
        <w:rPr>
          <w:rFonts w:hint="eastAsia" w:ascii="仿宋" w:hAnsi="仿宋" w:eastAsia="仿宋" w:cs="仿宋"/>
          <w:sz w:val="28"/>
          <w:szCs w:val="28"/>
        </w:rPr>
      </w:pPr>
      <w:r>
        <w:rPr>
          <w:rFonts w:hint="eastAsia" w:ascii="仿宋" w:hAnsi="仿宋" w:eastAsia="仿宋" w:cs="仿宋"/>
          <w:kern w:val="2"/>
          <w:sz w:val="28"/>
          <w:szCs w:val="28"/>
          <w:lang w:val="en-US" w:eastAsia="zh-CN" w:bidi="ar-SA"/>
        </w:rPr>
        <w:t>21.</w:t>
      </w:r>
      <w:r>
        <w:rPr>
          <w:rFonts w:hint="eastAsia" w:ascii="仿宋" w:hAnsi="仿宋" w:eastAsia="仿宋" w:cs="仿宋"/>
          <w:sz w:val="28"/>
          <w:szCs w:val="28"/>
        </w:rPr>
        <w:t>设备可调至接近正常肠道蠕动水平。</w:t>
      </w:r>
    </w:p>
    <w:p w14:paraId="71692568">
      <w:pPr>
        <w:keepNext w:val="0"/>
        <w:keepLines w:val="0"/>
        <w:pageBreakBefore w:val="0"/>
        <w:numPr>
          <w:ilvl w:val="0"/>
          <w:numId w:val="0"/>
        </w:numPr>
        <w:kinsoku/>
        <w:wordWrap/>
        <w:topLinePunct w:val="0"/>
        <w:bidi w:val="0"/>
        <w:spacing w:after="0" w:line="360" w:lineRule="auto"/>
        <w:ind w:firstLine="560" w:firstLineChars="200"/>
        <w:rPr>
          <w:rFonts w:hint="eastAsia" w:ascii="仿宋" w:hAnsi="仿宋" w:eastAsia="仿宋" w:cs="仿宋"/>
          <w:sz w:val="28"/>
          <w:szCs w:val="28"/>
        </w:rPr>
      </w:pPr>
      <w:r>
        <w:rPr>
          <w:rFonts w:hint="eastAsia" w:ascii="仿宋" w:hAnsi="仿宋" w:eastAsia="仿宋" w:cs="仿宋"/>
          <w:kern w:val="2"/>
          <w:sz w:val="28"/>
          <w:szCs w:val="28"/>
          <w:lang w:val="en-US" w:eastAsia="zh-CN" w:bidi="ar-SA"/>
        </w:rPr>
        <w:t>22.</w:t>
      </w:r>
      <w:r>
        <w:rPr>
          <w:rFonts w:hint="eastAsia" w:ascii="仿宋" w:hAnsi="仿宋" w:eastAsia="仿宋" w:cs="仿宋"/>
          <w:sz w:val="28"/>
          <w:szCs w:val="28"/>
          <w:highlight w:val="none"/>
        </w:rPr>
        <w:t>给液流量</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10ml/s,</w:t>
      </w:r>
      <w:r>
        <w:rPr>
          <w:rFonts w:hint="eastAsia" w:ascii="仿宋" w:hAnsi="仿宋" w:eastAsia="仿宋" w:cs="仿宋"/>
          <w:sz w:val="28"/>
          <w:szCs w:val="28"/>
          <w:highlight w:val="none"/>
        </w:rPr>
        <w:t>水疗液量</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10ml/s</w:t>
      </w:r>
      <w:r>
        <w:rPr>
          <w:rFonts w:hint="eastAsia" w:ascii="仿宋" w:hAnsi="仿宋" w:eastAsia="仿宋" w:cs="仿宋"/>
          <w:sz w:val="28"/>
          <w:szCs w:val="28"/>
        </w:rPr>
        <w:t>误差±1ml。</w:t>
      </w:r>
    </w:p>
    <w:p w14:paraId="34AAF0B1">
      <w:pPr>
        <w:keepNext w:val="0"/>
        <w:keepLines w:val="0"/>
        <w:pageBreakBefore w:val="0"/>
        <w:numPr>
          <w:ilvl w:val="0"/>
          <w:numId w:val="0"/>
        </w:numPr>
        <w:kinsoku/>
        <w:wordWrap/>
        <w:topLinePunct w:val="0"/>
        <w:bidi w:val="0"/>
        <w:spacing w:after="0" w:line="360" w:lineRule="auto"/>
        <w:ind w:firstLine="560" w:firstLineChars="200"/>
        <w:rPr>
          <w:rFonts w:hint="eastAsia" w:ascii="仿宋" w:hAnsi="仿宋" w:eastAsia="仿宋" w:cs="仿宋"/>
          <w:sz w:val="28"/>
          <w:szCs w:val="28"/>
        </w:rPr>
      </w:pPr>
      <w:r>
        <w:rPr>
          <w:rFonts w:hint="eastAsia" w:ascii="仿宋" w:hAnsi="仿宋" w:eastAsia="仿宋" w:cs="仿宋"/>
          <w:kern w:val="2"/>
          <w:sz w:val="28"/>
          <w:szCs w:val="28"/>
          <w:lang w:val="en-US" w:eastAsia="zh-CN" w:bidi="ar-SA"/>
        </w:rPr>
        <w:t>23.</w:t>
      </w:r>
      <w:r>
        <w:rPr>
          <w:rFonts w:hint="eastAsia" w:ascii="仿宋" w:hAnsi="仿宋" w:eastAsia="仿宋" w:cs="仿宋"/>
          <w:sz w:val="28"/>
          <w:szCs w:val="28"/>
        </w:rPr>
        <w:t>可以设置不同的</w:t>
      </w:r>
      <w:r>
        <w:rPr>
          <w:rFonts w:hint="eastAsia" w:ascii="仿宋" w:hAnsi="仿宋" w:eastAsia="仿宋" w:cs="仿宋"/>
          <w:sz w:val="28"/>
          <w:szCs w:val="28"/>
          <w:highlight w:val="none"/>
        </w:rPr>
        <w:t>给液时间和停液时间</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rPr>
        <w:t>设定范围0-10s</w:t>
      </w:r>
      <w:r>
        <w:rPr>
          <w:rFonts w:hint="eastAsia" w:ascii="仿宋" w:hAnsi="仿宋" w:eastAsia="仿宋" w:cs="仿宋"/>
          <w:sz w:val="28"/>
          <w:szCs w:val="28"/>
          <w:lang w:eastAsia="zh-CN"/>
        </w:rPr>
        <w:t>）</w:t>
      </w:r>
      <w:r>
        <w:rPr>
          <w:rFonts w:hint="eastAsia" w:ascii="仿宋" w:hAnsi="仿宋" w:eastAsia="仿宋" w:cs="仿宋"/>
          <w:sz w:val="28"/>
          <w:szCs w:val="28"/>
        </w:rPr>
        <w:t>。</w:t>
      </w:r>
    </w:p>
    <w:p w14:paraId="27237BF1">
      <w:pPr>
        <w:keepNext w:val="0"/>
        <w:keepLines w:val="0"/>
        <w:pageBreakBefore w:val="0"/>
        <w:numPr>
          <w:ilvl w:val="0"/>
          <w:numId w:val="0"/>
        </w:numPr>
        <w:kinsoku/>
        <w:wordWrap/>
        <w:topLinePunct w:val="0"/>
        <w:bidi w:val="0"/>
        <w:spacing w:after="0" w:line="360" w:lineRule="auto"/>
        <w:ind w:firstLine="560" w:firstLineChars="200"/>
        <w:rPr>
          <w:rFonts w:hint="eastAsia" w:ascii="仿宋" w:hAnsi="仿宋" w:eastAsia="仿宋" w:cs="仿宋"/>
          <w:sz w:val="28"/>
          <w:szCs w:val="28"/>
        </w:rPr>
      </w:pPr>
      <w:r>
        <w:rPr>
          <w:rFonts w:hint="eastAsia" w:ascii="仿宋" w:hAnsi="仿宋" w:eastAsia="仿宋" w:cs="仿宋"/>
          <w:kern w:val="2"/>
          <w:sz w:val="28"/>
          <w:szCs w:val="28"/>
          <w:lang w:val="en-US" w:eastAsia="zh-CN" w:bidi="ar-SA"/>
        </w:rPr>
        <w:t>24.</w:t>
      </w:r>
      <w:r>
        <w:rPr>
          <w:rFonts w:hint="eastAsia" w:ascii="仿宋" w:hAnsi="仿宋" w:eastAsia="仿宋" w:cs="仿宋"/>
          <w:sz w:val="28"/>
          <w:szCs w:val="28"/>
        </w:rPr>
        <w:t>灌水管路与灌药管路分离，</w:t>
      </w:r>
      <w:r>
        <w:rPr>
          <w:rFonts w:hint="eastAsia" w:ascii="仿宋" w:hAnsi="仿宋" w:eastAsia="仿宋" w:cs="仿宋"/>
          <w:sz w:val="28"/>
          <w:szCs w:val="28"/>
          <w:lang w:val="en-US" w:eastAsia="zh-CN"/>
        </w:rPr>
        <w:t>进水口和出水口管路分离</w:t>
      </w:r>
      <w:r>
        <w:rPr>
          <w:rFonts w:hint="eastAsia" w:ascii="仿宋" w:hAnsi="仿宋" w:eastAsia="仿宋" w:cs="仿宋"/>
          <w:sz w:val="28"/>
          <w:szCs w:val="28"/>
        </w:rPr>
        <w:t>。</w:t>
      </w:r>
    </w:p>
    <w:p w14:paraId="198E3AED">
      <w:pPr>
        <w:keepNext w:val="0"/>
        <w:keepLines w:val="0"/>
        <w:pageBreakBefore w:val="0"/>
        <w:numPr>
          <w:ilvl w:val="0"/>
          <w:numId w:val="0"/>
        </w:numPr>
        <w:kinsoku/>
        <w:wordWrap/>
        <w:topLinePunct w:val="0"/>
        <w:bidi w:val="0"/>
        <w:spacing w:after="0"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kern w:val="2"/>
          <w:sz w:val="28"/>
          <w:szCs w:val="28"/>
          <w:lang w:val="en-US" w:eastAsia="zh-CN" w:bidi="ar-SA"/>
        </w:rPr>
        <w:t>25.</w:t>
      </w:r>
      <w:r>
        <w:rPr>
          <w:rFonts w:hint="eastAsia" w:ascii="仿宋" w:hAnsi="仿宋" w:eastAsia="仿宋" w:cs="仿宋"/>
          <w:sz w:val="28"/>
          <w:szCs w:val="28"/>
        </w:rPr>
        <w:t>内置漏电安全系统，专用防漏电电源，双重安全保护</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设备具有紧急暂停按钮。</w:t>
      </w:r>
    </w:p>
    <w:p w14:paraId="4D72B9E7">
      <w:pPr>
        <w:keepNext w:val="0"/>
        <w:keepLines w:val="0"/>
        <w:pageBreakBefore w:val="0"/>
        <w:numPr>
          <w:ilvl w:val="0"/>
          <w:numId w:val="0"/>
        </w:numPr>
        <w:kinsoku/>
        <w:wordWrap/>
        <w:topLinePunct w:val="0"/>
        <w:bidi w:val="0"/>
        <w:spacing w:after="0"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26.设备具有排污管道，并配备一键冲洗设置，可对残留物冲洗清洁。</w:t>
      </w:r>
    </w:p>
    <w:p w14:paraId="722055F1">
      <w:pPr>
        <w:keepNext w:val="0"/>
        <w:keepLines w:val="0"/>
        <w:pageBreakBefore w:val="0"/>
        <w:numPr>
          <w:ilvl w:val="0"/>
          <w:numId w:val="0"/>
        </w:numPr>
        <w:kinsoku/>
        <w:wordWrap/>
        <w:topLinePunct w:val="0"/>
        <w:bidi w:val="0"/>
        <w:spacing w:after="0" w:line="360" w:lineRule="auto"/>
        <w:ind w:firstLine="560" w:firstLineChars="200"/>
        <w:rPr>
          <w:rFonts w:hint="eastAsia" w:ascii="仿宋" w:hAnsi="仿宋" w:eastAsia="仿宋" w:cs="仿宋"/>
          <w:color w:val="FF0000"/>
          <w:sz w:val="28"/>
          <w:szCs w:val="28"/>
          <w:lang w:val="en-US" w:eastAsia="zh-CN"/>
        </w:rPr>
      </w:pPr>
      <w:r>
        <w:rPr>
          <w:rFonts w:hint="eastAsia" w:ascii="仿宋" w:hAnsi="仿宋" w:eastAsia="仿宋" w:cs="仿宋"/>
          <w:b w:val="0"/>
          <w:bCs w:val="0"/>
          <w:color w:val="auto"/>
          <w:sz w:val="28"/>
          <w:szCs w:val="28"/>
          <w:lang w:val="en-US" w:eastAsia="zh-CN"/>
        </w:rPr>
        <w:t>27、一次性结肠冲洗套件入院价格不高于22元/套。耗材供货期限为3年，配送期间耗材价格不得高于湖南省</w:t>
      </w:r>
      <w:r>
        <w:rPr>
          <w:rFonts w:hint="eastAsia" w:ascii="仿宋" w:hAnsi="仿宋" w:eastAsia="仿宋" w:cs="仿宋"/>
          <w:sz w:val="28"/>
          <w:szCs w:val="28"/>
          <w:lang w:val="en-US" w:eastAsia="zh-CN"/>
        </w:rPr>
        <w:t>药品和医用耗材招采管理子系统中标价。</w:t>
      </w:r>
    </w:p>
    <w:p w14:paraId="251D2989">
      <w:pPr>
        <w:keepNext w:val="0"/>
        <w:keepLines w:val="0"/>
        <w:pageBreakBefore w:val="0"/>
        <w:numPr>
          <w:ilvl w:val="0"/>
          <w:numId w:val="0"/>
        </w:numPr>
        <w:kinsoku/>
        <w:wordWrap/>
        <w:topLinePunct w:val="0"/>
        <w:bidi w:val="0"/>
        <w:spacing w:after="0"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28、配置清单</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6"/>
        <w:gridCol w:w="3166"/>
        <w:gridCol w:w="1784"/>
        <w:gridCol w:w="1422"/>
      </w:tblGrid>
      <w:tr w14:paraId="73622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126" w:type="dxa"/>
            <w:noWrap w:val="0"/>
            <w:vAlign w:val="center"/>
          </w:tcPr>
          <w:p w14:paraId="5A33B449">
            <w:pPr>
              <w:keepNext w:val="0"/>
              <w:keepLines w:val="0"/>
              <w:pageBreakBefore w:val="0"/>
              <w:widowControl/>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序号</w:t>
            </w:r>
          </w:p>
        </w:tc>
        <w:tc>
          <w:tcPr>
            <w:tcW w:w="3166" w:type="dxa"/>
            <w:noWrap w:val="0"/>
            <w:vAlign w:val="center"/>
          </w:tcPr>
          <w:p w14:paraId="3957F191">
            <w:pPr>
              <w:keepNext w:val="0"/>
              <w:keepLines w:val="0"/>
              <w:pageBreakBefore w:val="0"/>
              <w:widowControl/>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品名</w:t>
            </w:r>
          </w:p>
        </w:tc>
        <w:tc>
          <w:tcPr>
            <w:tcW w:w="1784" w:type="dxa"/>
            <w:noWrap w:val="0"/>
            <w:vAlign w:val="center"/>
          </w:tcPr>
          <w:p w14:paraId="463BFA6C">
            <w:pPr>
              <w:keepNext w:val="0"/>
              <w:keepLines w:val="0"/>
              <w:pageBreakBefore w:val="0"/>
              <w:widowControl/>
              <w:kinsoku/>
              <w:wordWrap/>
              <w:topLinePunct w:val="0"/>
              <w:bidi w:val="0"/>
              <w:ind w:firstLine="480" w:firstLineChars="200"/>
              <w:jc w:val="center"/>
              <w:rPr>
                <w:rFonts w:hint="eastAsia" w:ascii="宋体" w:hAnsi="宋体" w:cs="宋体"/>
                <w:kern w:val="0"/>
                <w:sz w:val="24"/>
              </w:rPr>
            </w:pPr>
            <w:r>
              <w:rPr>
                <w:rFonts w:hint="eastAsia" w:ascii="宋体" w:hAnsi="宋体" w:cs="宋体"/>
                <w:kern w:val="0"/>
                <w:sz w:val="24"/>
              </w:rPr>
              <w:t>单位</w:t>
            </w:r>
          </w:p>
        </w:tc>
        <w:tc>
          <w:tcPr>
            <w:tcW w:w="1422" w:type="dxa"/>
            <w:noWrap w:val="0"/>
            <w:vAlign w:val="center"/>
          </w:tcPr>
          <w:p w14:paraId="510FC54B">
            <w:pPr>
              <w:keepNext w:val="0"/>
              <w:keepLines w:val="0"/>
              <w:pageBreakBefore w:val="0"/>
              <w:kinsoku/>
              <w:wordWrap/>
              <w:topLinePunct w:val="0"/>
              <w:bidi w:val="0"/>
              <w:ind w:firstLine="480" w:firstLineChars="200"/>
              <w:jc w:val="center"/>
              <w:rPr>
                <w:rFonts w:hint="eastAsia" w:ascii="宋体" w:hAnsi="宋体" w:cs="宋体"/>
                <w:kern w:val="0"/>
                <w:sz w:val="24"/>
              </w:rPr>
            </w:pPr>
            <w:r>
              <w:rPr>
                <w:rFonts w:hint="eastAsia" w:ascii="宋体" w:hAnsi="宋体" w:cs="宋体"/>
                <w:kern w:val="0"/>
                <w:sz w:val="24"/>
              </w:rPr>
              <w:t>数量</w:t>
            </w:r>
          </w:p>
        </w:tc>
      </w:tr>
      <w:tr w14:paraId="18528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126" w:type="dxa"/>
            <w:noWrap w:val="0"/>
            <w:vAlign w:val="center"/>
          </w:tcPr>
          <w:p w14:paraId="365A3397">
            <w:pPr>
              <w:keepNext w:val="0"/>
              <w:keepLines w:val="0"/>
              <w:pageBreakBefore w:val="0"/>
              <w:widowControl/>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1</w:t>
            </w:r>
          </w:p>
        </w:tc>
        <w:tc>
          <w:tcPr>
            <w:tcW w:w="3166" w:type="dxa"/>
            <w:noWrap w:val="0"/>
            <w:vAlign w:val="center"/>
          </w:tcPr>
          <w:p w14:paraId="2BE27FB9">
            <w:pPr>
              <w:keepNext w:val="0"/>
              <w:keepLines w:val="0"/>
              <w:pageBreakBefore w:val="0"/>
              <w:widowControl/>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主机</w:t>
            </w:r>
          </w:p>
        </w:tc>
        <w:tc>
          <w:tcPr>
            <w:tcW w:w="1784" w:type="dxa"/>
            <w:noWrap w:val="0"/>
            <w:vAlign w:val="center"/>
          </w:tcPr>
          <w:p w14:paraId="0EE40118">
            <w:pPr>
              <w:keepNext w:val="0"/>
              <w:keepLines w:val="0"/>
              <w:pageBreakBefore w:val="0"/>
              <w:widowControl/>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台</w:t>
            </w:r>
          </w:p>
        </w:tc>
        <w:tc>
          <w:tcPr>
            <w:tcW w:w="1422" w:type="dxa"/>
            <w:noWrap w:val="0"/>
            <w:vAlign w:val="center"/>
          </w:tcPr>
          <w:p w14:paraId="3F2DCAEC">
            <w:pPr>
              <w:keepNext w:val="0"/>
              <w:keepLines w:val="0"/>
              <w:pageBreakBefore w:val="0"/>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1</w:t>
            </w:r>
          </w:p>
        </w:tc>
      </w:tr>
      <w:tr w14:paraId="642B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126" w:type="dxa"/>
            <w:noWrap w:val="0"/>
            <w:vAlign w:val="center"/>
          </w:tcPr>
          <w:p w14:paraId="5CB63580">
            <w:pPr>
              <w:keepNext w:val="0"/>
              <w:keepLines w:val="0"/>
              <w:pageBreakBefore w:val="0"/>
              <w:widowControl/>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2</w:t>
            </w:r>
          </w:p>
        </w:tc>
        <w:tc>
          <w:tcPr>
            <w:tcW w:w="3166" w:type="dxa"/>
            <w:noWrap w:val="0"/>
            <w:vAlign w:val="center"/>
          </w:tcPr>
          <w:p w14:paraId="6E8F4FB9">
            <w:pPr>
              <w:keepNext w:val="0"/>
              <w:keepLines w:val="0"/>
              <w:pageBreakBefore w:val="0"/>
              <w:widowControl/>
              <w:kinsoku/>
              <w:wordWrap/>
              <w:topLinePunct w:val="0"/>
              <w:bidi w:val="0"/>
              <w:ind w:firstLine="480" w:firstLineChars="200"/>
              <w:jc w:val="center"/>
              <w:rPr>
                <w:rFonts w:hint="eastAsia" w:ascii="宋体" w:hAnsi="宋体" w:cs="宋体"/>
                <w:kern w:val="0"/>
                <w:sz w:val="24"/>
              </w:rPr>
            </w:pPr>
            <w:r>
              <w:rPr>
                <w:rFonts w:hint="eastAsia" w:ascii="宋体" w:hAnsi="宋体" w:cs="宋体"/>
                <w:kern w:val="0"/>
                <w:sz w:val="24"/>
              </w:rPr>
              <w:t>信号线</w:t>
            </w:r>
          </w:p>
        </w:tc>
        <w:tc>
          <w:tcPr>
            <w:tcW w:w="1784" w:type="dxa"/>
            <w:noWrap w:val="0"/>
            <w:vAlign w:val="center"/>
          </w:tcPr>
          <w:p w14:paraId="31FA388E">
            <w:pPr>
              <w:keepNext w:val="0"/>
              <w:keepLines w:val="0"/>
              <w:pageBreakBefore w:val="0"/>
              <w:widowControl/>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套</w:t>
            </w:r>
          </w:p>
        </w:tc>
        <w:tc>
          <w:tcPr>
            <w:tcW w:w="1422" w:type="dxa"/>
            <w:noWrap w:val="0"/>
            <w:vAlign w:val="center"/>
          </w:tcPr>
          <w:p w14:paraId="0D620414">
            <w:pPr>
              <w:keepNext w:val="0"/>
              <w:keepLines w:val="0"/>
              <w:pageBreakBefore w:val="0"/>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1</w:t>
            </w:r>
          </w:p>
        </w:tc>
      </w:tr>
      <w:tr w14:paraId="5C1BE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126" w:type="dxa"/>
            <w:noWrap w:val="0"/>
            <w:vAlign w:val="center"/>
          </w:tcPr>
          <w:p w14:paraId="07DBD7C0">
            <w:pPr>
              <w:keepNext w:val="0"/>
              <w:keepLines w:val="0"/>
              <w:pageBreakBefore w:val="0"/>
              <w:widowControl/>
              <w:kinsoku/>
              <w:wordWrap/>
              <w:topLinePunct w:val="0"/>
              <w:bidi w:val="0"/>
              <w:ind w:firstLine="480" w:firstLineChars="200"/>
              <w:jc w:val="center"/>
              <w:rPr>
                <w:rFonts w:hint="eastAsia" w:ascii="宋体" w:hAnsi="宋体" w:cs="宋体"/>
                <w:kern w:val="0"/>
                <w:sz w:val="24"/>
                <w:lang w:eastAsia="zh-CN"/>
              </w:rPr>
            </w:pPr>
            <w:r>
              <w:rPr>
                <w:rFonts w:hint="eastAsia" w:ascii="宋体" w:hAnsi="宋体" w:cs="宋体"/>
                <w:kern w:val="0"/>
                <w:sz w:val="24"/>
                <w:lang w:eastAsia="zh-CN"/>
              </w:rPr>
              <w:t>3</w:t>
            </w:r>
          </w:p>
        </w:tc>
        <w:tc>
          <w:tcPr>
            <w:tcW w:w="3166" w:type="dxa"/>
            <w:noWrap w:val="0"/>
            <w:vAlign w:val="center"/>
          </w:tcPr>
          <w:p w14:paraId="2873DF81">
            <w:pPr>
              <w:keepNext w:val="0"/>
              <w:keepLines w:val="0"/>
              <w:pageBreakBefore w:val="0"/>
              <w:widowControl/>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电池（1</w:t>
            </w:r>
            <w:r>
              <w:rPr>
                <w:rFonts w:ascii="宋体" w:hAnsi="宋体" w:cs="宋体"/>
                <w:kern w:val="0"/>
                <w:sz w:val="24"/>
              </w:rPr>
              <w:t>.5V</w:t>
            </w:r>
            <w:r>
              <w:rPr>
                <w:rFonts w:hint="eastAsia" w:ascii="宋体" w:hAnsi="宋体" w:cs="宋体"/>
                <w:kern w:val="0"/>
                <w:sz w:val="24"/>
              </w:rPr>
              <w:t>）</w:t>
            </w:r>
          </w:p>
        </w:tc>
        <w:tc>
          <w:tcPr>
            <w:tcW w:w="1784" w:type="dxa"/>
            <w:noWrap w:val="0"/>
            <w:vAlign w:val="center"/>
          </w:tcPr>
          <w:p w14:paraId="5C5C5D47">
            <w:pPr>
              <w:keepNext w:val="0"/>
              <w:keepLines w:val="0"/>
              <w:pageBreakBefore w:val="0"/>
              <w:widowControl/>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个</w:t>
            </w:r>
          </w:p>
        </w:tc>
        <w:tc>
          <w:tcPr>
            <w:tcW w:w="1422" w:type="dxa"/>
            <w:noWrap w:val="0"/>
            <w:vAlign w:val="center"/>
          </w:tcPr>
          <w:p w14:paraId="07AD1E5C">
            <w:pPr>
              <w:keepNext w:val="0"/>
              <w:keepLines w:val="0"/>
              <w:pageBreakBefore w:val="0"/>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2</w:t>
            </w:r>
          </w:p>
        </w:tc>
      </w:tr>
      <w:tr w14:paraId="1D4E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126" w:type="dxa"/>
            <w:noWrap w:val="0"/>
            <w:vAlign w:val="center"/>
          </w:tcPr>
          <w:p w14:paraId="4BC181EA">
            <w:pPr>
              <w:keepNext w:val="0"/>
              <w:keepLines w:val="0"/>
              <w:pageBreakBefore w:val="0"/>
              <w:widowControl/>
              <w:kinsoku/>
              <w:wordWrap/>
              <w:topLinePunct w:val="0"/>
              <w:bidi w:val="0"/>
              <w:ind w:firstLine="480" w:firstLineChars="200"/>
              <w:jc w:val="center"/>
              <w:rPr>
                <w:rFonts w:hint="eastAsia" w:ascii="宋体" w:hAnsi="宋体" w:cs="宋体"/>
                <w:kern w:val="0"/>
                <w:sz w:val="24"/>
                <w:lang w:eastAsia="zh-CN"/>
              </w:rPr>
            </w:pPr>
            <w:r>
              <w:rPr>
                <w:rFonts w:hint="eastAsia" w:ascii="宋体" w:hAnsi="宋体" w:cs="宋体"/>
                <w:kern w:val="0"/>
                <w:sz w:val="24"/>
                <w:lang w:eastAsia="zh-CN"/>
              </w:rPr>
              <w:t>4</w:t>
            </w:r>
          </w:p>
        </w:tc>
        <w:tc>
          <w:tcPr>
            <w:tcW w:w="3166" w:type="dxa"/>
            <w:noWrap w:val="0"/>
            <w:vAlign w:val="center"/>
          </w:tcPr>
          <w:p w14:paraId="44AAECFE">
            <w:pPr>
              <w:keepNext w:val="0"/>
              <w:keepLines w:val="0"/>
              <w:pageBreakBefore w:val="0"/>
              <w:widowControl/>
              <w:kinsoku/>
              <w:wordWrap/>
              <w:topLinePunct w:val="0"/>
              <w:bidi w:val="0"/>
              <w:ind w:firstLine="480" w:firstLineChars="200"/>
              <w:jc w:val="center"/>
              <w:rPr>
                <w:rFonts w:hint="eastAsia" w:ascii="宋体" w:hAnsi="宋体" w:cs="宋体"/>
                <w:kern w:val="0"/>
                <w:sz w:val="24"/>
              </w:rPr>
            </w:pPr>
            <w:r>
              <w:rPr>
                <w:rFonts w:hint="eastAsia" w:ascii="宋体" w:hAnsi="宋体" w:cs="宋体"/>
                <w:kern w:val="0"/>
                <w:sz w:val="24"/>
              </w:rPr>
              <w:t>6</w:t>
            </w:r>
            <w:r>
              <w:rPr>
                <w:rFonts w:ascii="宋体" w:hAnsi="宋体" w:cs="宋体"/>
                <w:kern w:val="0"/>
                <w:sz w:val="24"/>
              </w:rPr>
              <w:t>mm</w:t>
            </w:r>
            <w:r>
              <w:rPr>
                <w:rFonts w:hint="eastAsia" w:ascii="宋体" w:hAnsi="宋体" w:cs="宋体"/>
                <w:kern w:val="0"/>
                <w:sz w:val="24"/>
              </w:rPr>
              <w:t>透明管</w:t>
            </w:r>
          </w:p>
        </w:tc>
        <w:tc>
          <w:tcPr>
            <w:tcW w:w="1784" w:type="dxa"/>
            <w:noWrap w:val="0"/>
            <w:vAlign w:val="center"/>
          </w:tcPr>
          <w:p w14:paraId="57826F95">
            <w:pPr>
              <w:keepNext w:val="0"/>
              <w:keepLines w:val="0"/>
              <w:pageBreakBefore w:val="0"/>
              <w:widowControl/>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米</w:t>
            </w:r>
          </w:p>
        </w:tc>
        <w:tc>
          <w:tcPr>
            <w:tcW w:w="1422" w:type="dxa"/>
            <w:noWrap w:val="0"/>
            <w:vAlign w:val="center"/>
          </w:tcPr>
          <w:p w14:paraId="1AA4E474">
            <w:pPr>
              <w:keepNext w:val="0"/>
              <w:keepLines w:val="0"/>
              <w:pageBreakBefore w:val="0"/>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5</w:t>
            </w:r>
          </w:p>
        </w:tc>
      </w:tr>
      <w:tr w14:paraId="6DD97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126" w:type="dxa"/>
            <w:noWrap w:val="0"/>
            <w:vAlign w:val="center"/>
          </w:tcPr>
          <w:p w14:paraId="2B891FF2">
            <w:pPr>
              <w:keepNext w:val="0"/>
              <w:keepLines w:val="0"/>
              <w:pageBreakBefore w:val="0"/>
              <w:widowControl/>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5</w:t>
            </w:r>
          </w:p>
        </w:tc>
        <w:tc>
          <w:tcPr>
            <w:tcW w:w="3166" w:type="dxa"/>
            <w:noWrap w:val="0"/>
            <w:vAlign w:val="center"/>
          </w:tcPr>
          <w:p w14:paraId="0E21499D">
            <w:pPr>
              <w:keepNext w:val="0"/>
              <w:keepLines w:val="0"/>
              <w:pageBreakBefore w:val="0"/>
              <w:widowControl/>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硅胶垫</w:t>
            </w:r>
          </w:p>
        </w:tc>
        <w:tc>
          <w:tcPr>
            <w:tcW w:w="1784" w:type="dxa"/>
            <w:noWrap w:val="0"/>
            <w:vAlign w:val="center"/>
          </w:tcPr>
          <w:p w14:paraId="29655180">
            <w:pPr>
              <w:keepNext w:val="0"/>
              <w:keepLines w:val="0"/>
              <w:pageBreakBefore w:val="0"/>
              <w:widowControl/>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个</w:t>
            </w:r>
          </w:p>
        </w:tc>
        <w:tc>
          <w:tcPr>
            <w:tcW w:w="1422" w:type="dxa"/>
            <w:noWrap w:val="0"/>
            <w:vAlign w:val="center"/>
          </w:tcPr>
          <w:p w14:paraId="2DA5D871">
            <w:pPr>
              <w:keepNext w:val="0"/>
              <w:keepLines w:val="0"/>
              <w:pageBreakBefore w:val="0"/>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4</w:t>
            </w:r>
          </w:p>
        </w:tc>
      </w:tr>
      <w:tr w14:paraId="5787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126" w:type="dxa"/>
            <w:noWrap w:val="0"/>
            <w:vAlign w:val="center"/>
          </w:tcPr>
          <w:p w14:paraId="3CD0BC64">
            <w:pPr>
              <w:keepNext w:val="0"/>
              <w:keepLines w:val="0"/>
              <w:pageBreakBefore w:val="0"/>
              <w:widowControl/>
              <w:kinsoku/>
              <w:wordWrap/>
              <w:topLinePunct w:val="0"/>
              <w:bidi w:val="0"/>
              <w:ind w:firstLine="480" w:firstLineChars="200"/>
              <w:jc w:val="center"/>
              <w:rPr>
                <w:rFonts w:hint="eastAsia" w:ascii="宋体" w:hAnsi="宋体" w:eastAsia="宋体" w:cs="宋体"/>
                <w:kern w:val="0"/>
                <w:sz w:val="24"/>
                <w:lang w:val="en-US" w:eastAsia="zh-CN"/>
              </w:rPr>
            </w:pPr>
            <w:r>
              <w:rPr>
                <w:rFonts w:hint="eastAsia" w:ascii="宋体" w:hAnsi="宋体" w:cs="宋体"/>
                <w:kern w:val="0"/>
                <w:sz w:val="24"/>
                <w:lang w:val="en-US" w:eastAsia="zh-CN"/>
              </w:rPr>
              <w:t>6</w:t>
            </w:r>
          </w:p>
        </w:tc>
        <w:tc>
          <w:tcPr>
            <w:tcW w:w="3166" w:type="dxa"/>
            <w:noWrap w:val="0"/>
            <w:vAlign w:val="center"/>
          </w:tcPr>
          <w:p w14:paraId="07926A27">
            <w:pPr>
              <w:keepNext w:val="0"/>
              <w:keepLines w:val="0"/>
              <w:pageBreakBefore w:val="0"/>
              <w:widowControl/>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进水管</w:t>
            </w:r>
          </w:p>
        </w:tc>
        <w:tc>
          <w:tcPr>
            <w:tcW w:w="1784" w:type="dxa"/>
            <w:noWrap w:val="0"/>
            <w:vAlign w:val="center"/>
          </w:tcPr>
          <w:p w14:paraId="054C9CE0">
            <w:pPr>
              <w:keepNext w:val="0"/>
              <w:keepLines w:val="0"/>
              <w:pageBreakBefore w:val="0"/>
              <w:widowControl/>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根</w:t>
            </w:r>
          </w:p>
        </w:tc>
        <w:tc>
          <w:tcPr>
            <w:tcW w:w="1422" w:type="dxa"/>
            <w:noWrap w:val="0"/>
            <w:vAlign w:val="center"/>
          </w:tcPr>
          <w:p w14:paraId="7EDFA887">
            <w:pPr>
              <w:keepNext w:val="0"/>
              <w:keepLines w:val="0"/>
              <w:pageBreakBefore w:val="0"/>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2</w:t>
            </w:r>
          </w:p>
        </w:tc>
      </w:tr>
      <w:tr w14:paraId="2BFBA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126" w:type="dxa"/>
            <w:noWrap w:val="0"/>
            <w:vAlign w:val="center"/>
          </w:tcPr>
          <w:p w14:paraId="0156541B">
            <w:pPr>
              <w:keepNext w:val="0"/>
              <w:keepLines w:val="0"/>
              <w:pageBreakBefore w:val="0"/>
              <w:widowControl/>
              <w:kinsoku/>
              <w:wordWrap/>
              <w:topLinePunct w:val="0"/>
              <w:bidi w:val="0"/>
              <w:ind w:firstLine="480" w:firstLineChars="200"/>
              <w:jc w:val="center"/>
              <w:rPr>
                <w:rFonts w:hint="eastAsia" w:ascii="宋体" w:hAnsi="宋体" w:eastAsia="宋体" w:cs="宋体"/>
                <w:kern w:val="0"/>
                <w:sz w:val="24"/>
                <w:lang w:eastAsia="zh-CN"/>
              </w:rPr>
            </w:pPr>
            <w:r>
              <w:rPr>
                <w:rFonts w:hint="eastAsia" w:ascii="宋体" w:hAnsi="宋体" w:cs="宋体"/>
                <w:kern w:val="0"/>
                <w:sz w:val="24"/>
                <w:lang w:val="en-US" w:eastAsia="zh-CN"/>
              </w:rPr>
              <w:t>7</w:t>
            </w:r>
          </w:p>
        </w:tc>
        <w:tc>
          <w:tcPr>
            <w:tcW w:w="3166" w:type="dxa"/>
            <w:noWrap w:val="0"/>
            <w:vAlign w:val="center"/>
          </w:tcPr>
          <w:p w14:paraId="0254D586">
            <w:pPr>
              <w:keepNext w:val="0"/>
              <w:keepLines w:val="0"/>
              <w:pageBreakBefore w:val="0"/>
              <w:widowControl/>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遥控器</w:t>
            </w:r>
          </w:p>
        </w:tc>
        <w:tc>
          <w:tcPr>
            <w:tcW w:w="1784" w:type="dxa"/>
            <w:noWrap w:val="0"/>
            <w:vAlign w:val="center"/>
          </w:tcPr>
          <w:p w14:paraId="07BF6719">
            <w:pPr>
              <w:keepNext w:val="0"/>
              <w:keepLines w:val="0"/>
              <w:pageBreakBefore w:val="0"/>
              <w:widowControl/>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个</w:t>
            </w:r>
          </w:p>
        </w:tc>
        <w:tc>
          <w:tcPr>
            <w:tcW w:w="1422" w:type="dxa"/>
            <w:noWrap w:val="0"/>
            <w:vAlign w:val="center"/>
          </w:tcPr>
          <w:p w14:paraId="15D0B0E3">
            <w:pPr>
              <w:keepNext w:val="0"/>
              <w:keepLines w:val="0"/>
              <w:pageBreakBefore w:val="0"/>
              <w:kinsoku/>
              <w:wordWrap/>
              <w:topLinePunct w:val="0"/>
              <w:bidi w:val="0"/>
              <w:ind w:firstLine="480" w:firstLineChars="200"/>
              <w:jc w:val="center"/>
              <w:rPr>
                <w:rFonts w:ascii="宋体" w:hAnsi="宋体" w:cs="宋体"/>
                <w:kern w:val="0"/>
                <w:sz w:val="24"/>
              </w:rPr>
            </w:pPr>
            <w:r>
              <w:rPr>
                <w:rFonts w:hint="eastAsia" w:ascii="宋体" w:hAnsi="宋体" w:cs="宋体"/>
                <w:kern w:val="0"/>
                <w:sz w:val="24"/>
              </w:rPr>
              <w:t>1</w:t>
            </w:r>
          </w:p>
        </w:tc>
      </w:tr>
      <w:tr w14:paraId="30C49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126" w:type="dxa"/>
            <w:noWrap w:val="0"/>
            <w:vAlign w:val="center"/>
          </w:tcPr>
          <w:p w14:paraId="02F67E32">
            <w:pPr>
              <w:keepNext w:val="0"/>
              <w:keepLines w:val="0"/>
              <w:pageBreakBefore w:val="0"/>
              <w:widowControl/>
              <w:kinsoku/>
              <w:wordWrap/>
              <w:topLinePunct w:val="0"/>
              <w:bidi w:val="0"/>
              <w:ind w:firstLine="480" w:firstLineChars="200"/>
              <w:jc w:val="center"/>
              <w:rPr>
                <w:rFonts w:hint="eastAsia" w:ascii="宋体" w:hAnsi="宋体" w:eastAsia="宋体" w:cs="宋体"/>
                <w:kern w:val="0"/>
                <w:sz w:val="24"/>
                <w:lang w:eastAsia="zh-CN"/>
              </w:rPr>
            </w:pPr>
            <w:r>
              <w:rPr>
                <w:rFonts w:hint="eastAsia" w:ascii="宋体" w:hAnsi="宋体" w:cs="宋体"/>
                <w:kern w:val="0"/>
                <w:sz w:val="24"/>
                <w:lang w:val="en-US" w:eastAsia="zh-CN"/>
              </w:rPr>
              <w:t>8</w:t>
            </w:r>
          </w:p>
        </w:tc>
        <w:tc>
          <w:tcPr>
            <w:tcW w:w="3166" w:type="dxa"/>
            <w:noWrap w:val="0"/>
            <w:vAlign w:val="center"/>
          </w:tcPr>
          <w:p w14:paraId="3040A257">
            <w:pPr>
              <w:keepNext w:val="0"/>
              <w:keepLines w:val="0"/>
              <w:pageBreakBefore w:val="0"/>
              <w:widowControl/>
              <w:kinsoku/>
              <w:wordWrap/>
              <w:topLinePunct w:val="0"/>
              <w:bidi w:val="0"/>
              <w:ind w:firstLine="480" w:firstLineChars="200"/>
              <w:jc w:val="center"/>
              <w:rPr>
                <w:rFonts w:hint="eastAsia" w:ascii="宋体" w:hAnsi="宋体" w:cs="宋体"/>
                <w:kern w:val="0"/>
                <w:sz w:val="24"/>
              </w:rPr>
            </w:pPr>
            <w:r>
              <w:rPr>
                <w:rFonts w:hint="eastAsia" w:ascii="宋体" w:hAnsi="宋体" w:cs="宋体"/>
                <w:kern w:val="0"/>
                <w:sz w:val="24"/>
              </w:rPr>
              <w:t>压力表</w:t>
            </w:r>
          </w:p>
        </w:tc>
        <w:tc>
          <w:tcPr>
            <w:tcW w:w="1784" w:type="dxa"/>
            <w:noWrap w:val="0"/>
            <w:vAlign w:val="center"/>
          </w:tcPr>
          <w:p w14:paraId="66271B69">
            <w:pPr>
              <w:keepNext w:val="0"/>
              <w:keepLines w:val="0"/>
              <w:pageBreakBefore w:val="0"/>
              <w:widowControl/>
              <w:kinsoku/>
              <w:wordWrap/>
              <w:topLinePunct w:val="0"/>
              <w:bidi w:val="0"/>
              <w:ind w:firstLine="480" w:firstLineChars="200"/>
              <w:jc w:val="center"/>
              <w:rPr>
                <w:rFonts w:hint="eastAsia" w:ascii="宋体" w:hAnsi="宋体" w:cs="宋体"/>
                <w:kern w:val="0"/>
                <w:sz w:val="24"/>
              </w:rPr>
            </w:pPr>
            <w:r>
              <w:rPr>
                <w:rFonts w:hint="eastAsia" w:ascii="宋体" w:hAnsi="宋体" w:cs="宋体"/>
                <w:kern w:val="0"/>
                <w:sz w:val="24"/>
              </w:rPr>
              <w:t>个</w:t>
            </w:r>
          </w:p>
        </w:tc>
        <w:tc>
          <w:tcPr>
            <w:tcW w:w="1422" w:type="dxa"/>
            <w:noWrap w:val="0"/>
            <w:vAlign w:val="center"/>
          </w:tcPr>
          <w:p w14:paraId="25CC53A8">
            <w:pPr>
              <w:keepNext w:val="0"/>
              <w:keepLines w:val="0"/>
              <w:pageBreakBefore w:val="0"/>
              <w:widowControl/>
              <w:kinsoku/>
              <w:wordWrap/>
              <w:topLinePunct w:val="0"/>
              <w:bidi w:val="0"/>
              <w:ind w:firstLine="480" w:firstLineChars="200"/>
              <w:jc w:val="center"/>
              <w:rPr>
                <w:rFonts w:hint="eastAsia" w:ascii="宋体" w:hAnsi="宋体" w:cs="宋体"/>
                <w:kern w:val="0"/>
                <w:sz w:val="24"/>
              </w:rPr>
            </w:pPr>
            <w:r>
              <w:rPr>
                <w:rFonts w:hint="eastAsia" w:ascii="宋体" w:hAnsi="宋体" w:cs="宋体"/>
                <w:kern w:val="0"/>
                <w:sz w:val="24"/>
              </w:rPr>
              <w:t>1</w:t>
            </w:r>
          </w:p>
        </w:tc>
      </w:tr>
    </w:tbl>
    <w:p w14:paraId="7FBE5A6C">
      <w:pPr>
        <w:keepNext w:val="0"/>
        <w:keepLines w:val="0"/>
        <w:pageBreakBefore w:val="0"/>
        <w:numPr>
          <w:ilvl w:val="0"/>
          <w:numId w:val="0"/>
        </w:numPr>
        <w:kinsoku/>
        <w:wordWrap/>
        <w:topLinePunct w:val="0"/>
        <w:bidi w:val="0"/>
        <w:spacing w:after="0" w:line="360" w:lineRule="auto"/>
        <w:ind w:firstLine="560" w:firstLineChars="200"/>
        <w:rPr>
          <w:rFonts w:hint="eastAsia" w:ascii="仿宋" w:hAnsi="仿宋" w:eastAsia="仿宋" w:cs="仿宋"/>
          <w:sz w:val="28"/>
          <w:szCs w:val="28"/>
          <w:lang w:val="en-US" w:eastAsia="zh-CN"/>
        </w:rPr>
      </w:pPr>
    </w:p>
    <w:p w14:paraId="1CB8F60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559" w:leftChars="266" w:firstLine="0" w:firstLineChars="0"/>
        <w:textAlignment w:val="auto"/>
        <w:rPr>
          <w:rFonts w:hint="eastAsia" w:ascii="仿宋" w:hAnsi="仿宋" w:eastAsia="仿宋" w:cs="Times New Roman"/>
          <w:b/>
          <w:bCs/>
          <w:kern w:val="2"/>
          <w:sz w:val="28"/>
          <w:szCs w:val="28"/>
          <w:lang w:val="en-US" w:eastAsia="zh-CN" w:bidi="ar-SA"/>
        </w:rPr>
      </w:pPr>
      <w:r>
        <w:rPr>
          <w:rFonts w:hint="eastAsia" w:ascii="仿宋" w:hAnsi="仿宋" w:eastAsia="仿宋" w:cs="Times New Roman"/>
          <w:b/>
          <w:bCs/>
          <w:kern w:val="2"/>
          <w:sz w:val="28"/>
          <w:szCs w:val="28"/>
          <w:lang w:val="en-US" w:eastAsia="zh-CN" w:bidi="ar-SA"/>
        </w:rPr>
        <w:t>商务参数</w:t>
      </w:r>
    </w:p>
    <w:p w14:paraId="48767F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lang w:val="en-US" w:eastAsia="zh-CN"/>
        </w:rPr>
      </w:pPr>
      <w:r>
        <w:rPr>
          <w:rFonts w:hint="eastAsia" w:ascii="宋体" w:hAnsi="宋体" w:eastAsia="宋体" w:cs="宋体"/>
          <w:color w:val="auto"/>
          <w:sz w:val="24"/>
          <w:szCs w:val="24"/>
        </w:rPr>
        <w:t>★1、运输、装卸、培训</w:t>
      </w:r>
      <w:r>
        <w:rPr>
          <w:rFonts w:hint="eastAsia" w:ascii="宋体" w:hAnsi="宋体" w:eastAsia="宋体" w:cs="宋体"/>
          <w:color w:val="auto"/>
          <w:sz w:val="24"/>
          <w:szCs w:val="24"/>
          <w:highlight w:val="none"/>
        </w:rPr>
        <w:t>、安装调试：由中标人负责承担，最终通过使用科室、设备科及相关部门确认验收交付使用</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国产设备交付，设备必须为6个月内生产的产品；进口设备交付，设备必须为一年内生产的产品</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cr/>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★2、交货时间：按</w:t>
      </w:r>
      <w:r>
        <w:rPr>
          <w:rFonts w:hint="eastAsia" w:ascii="宋体" w:hAnsi="宋体" w:cs="宋体"/>
          <w:color w:val="auto"/>
          <w:sz w:val="24"/>
          <w:szCs w:val="24"/>
          <w:highlight w:val="none"/>
          <w:lang w:val="en-US" w:eastAsia="zh-CN"/>
        </w:rPr>
        <w:t>合同约</w:t>
      </w:r>
      <w:r>
        <w:rPr>
          <w:rFonts w:hint="eastAsia" w:ascii="宋体" w:hAnsi="宋体" w:cs="宋体"/>
          <w:color w:val="auto"/>
          <w:sz w:val="24"/>
          <w:szCs w:val="24"/>
          <w:lang w:val="en-US" w:eastAsia="zh-CN"/>
        </w:rPr>
        <w:t>定的日期交货。</w:t>
      </w:r>
    </w:p>
    <w:p w14:paraId="383B53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lang w:val="en-US" w:eastAsia="zh-CN"/>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、交货地点：娄底市中心医院</w:t>
      </w:r>
      <w:r>
        <w:rPr>
          <w:rFonts w:hint="eastAsia" w:ascii="宋体" w:hAnsi="宋体" w:cs="宋体"/>
          <w:color w:val="auto"/>
          <w:sz w:val="24"/>
          <w:szCs w:val="24"/>
          <w:lang w:val="en-US" w:eastAsia="zh-CN"/>
        </w:rPr>
        <w:t>指定地点</w:t>
      </w:r>
      <w:r>
        <w:rPr>
          <w:rFonts w:hint="eastAsia" w:ascii="宋体" w:hAnsi="宋体" w:eastAsia="宋体" w:cs="宋体"/>
          <w:color w:val="auto"/>
          <w:sz w:val="24"/>
          <w:szCs w:val="24"/>
        </w:rPr>
        <w:t>。</w:t>
      </w:r>
    </w:p>
    <w:p w14:paraId="5028FC45">
      <w:pPr>
        <w:keepNext w:val="0"/>
        <w:keepLines w:val="0"/>
        <w:pageBreakBefore w:val="0"/>
        <w:widowControl/>
        <w:numPr>
          <w:ilvl w:val="0"/>
          <w:numId w:val="0"/>
        </w:numPr>
        <w:kinsoku/>
        <w:wordWrap/>
        <w:overflowPunct/>
        <w:topLinePunct w:val="0"/>
        <w:autoSpaceDE/>
        <w:autoSpaceDN/>
        <w:bidi w:val="0"/>
        <w:adjustRightInd w:val="0"/>
        <w:snapToGrid w:val="0"/>
        <w:spacing w:after="0" w:line="400" w:lineRule="exact"/>
        <w:ind w:leftChars="0" w:firstLine="480" w:firstLineChars="200"/>
        <w:textAlignment w:val="auto"/>
        <w:rPr>
          <w:rFonts w:hint="eastAsia" w:ascii="思源黑体 CN Medium" w:hAnsi="思源黑体 CN Medium" w:eastAsia="思源黑体 CN Medium" w:cs="思源黑体 CN Medium"/>
          <w:sz w:val="21"/>
          <w:szCs w:val="21"/>
          <w:lang w:val="en-US" w:eastAsia="zh-CN"/>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、付款方式：设备验收合格后，供应商将发票交到娄底市中心医院后按程序支付货款90%（一般情况下4个月内支付、特殊情况下最多不超过6个月），甲方在设备验收合格</w:t>
      </w:r>
      <w:r>
        <w:rPr>
          <w:rFonts w:hint="eastAsia" w:ascii="宋体" w:hAnsi="宋体" w:cs="宋体"/>
          <w:color w:val="auto"/>
          <w:sz w:val="24"/>
          <w:szCs w:val="24"/>
          <w:lang w:val="en-US" w:eastAsia="zh-CN"/>
        </w:rPr>
        <w:t>且质保期届满</w:t>
      </w:r>
      <w:r>
        <w:rPr>
          <w:rFonts w:hint="eastAsia" w:ascii="宋体" w:hAnsi="宋体" w:eastAsia="宋体" w:cs="宋体"/>
          <w:color w:val="auto"/>
          <w:sz w:val="24"/>
          <w:szCs w:val="24"/>
        </w:rPr>
        <w:t>后支付10%余款给乙方。</w:t>
      </w:r>
      <w:r>
        <w:rPr>
          <w:rFonts w:hint="eastAsia" w:ascii="宋体" w:hAnsi="宋体" w:eastAsia="宋体" w:cs="宋体"/>
          <w:color w:val="auto"/>
          <w:sz w:val="24"/>
          <w:szCs w:val="24"/>
        </w:rPr>
        <w:cr/>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★5、质保与售后：整机保修</w:t>
      </w:r>
      <w:r>
        <w:rPr>
          <w:rFonts w:hint="eastAsia" w:ascii="宋体" w:hAnsi="宋体" w:cs="宋体"/>
          <w:color w:val="auto"/>
          <w:sz w:val="24"/>
          <w:szCs w:val="24"/>
          <w:lang w:val="en-US" w:eastAsia="zh-CN"/>
        </w:rPr>
        <w:t xml:space="preserve"> 3 </w:t>
      </w:r>
      <w:r>
        <w:rPr>
          <w:rFonts w:hint="eastAsia" w:ascii="宋体" w:hAnsi="宋体" w:eastAsia="宋体" w:cs="宋体"/>
          <w:color w:val="auto"/>
          <w:sz w:val="24"/>
          <w:szCs w:val="24"/>
        </w:rPr>
        <w:t>年，终身维修。</w:t>
      </w:r>
      <w:r>
        <w:rPr>
          <w:rFonts w:hint="eastAsia" w:ascii="宋体" w:hAnsi="宋体" w:cs="宋体"/>
          <w:color w:val="auto"/>
          <w:sz w:val="24"/>
          <w:szCs w:val="24"/>
          <w:lang w:val="en-US" w:eastAsia="zh-CN"/>
        </w:rPr>
        <w:t>验收时</w:t>
      </w:r>
      <w:r>
        <w:rPr>
          <w:rFonts w:hint="eastAsia" w:ascii="宋体" w:hAnsi="宋体" w:eastAsia="宋体" w:cs="宋体"/>
          <w:color w:val="auto"/>
          <w:sz w:val="24"/>
          <w:szCs w:val="24"/>
        </w:rPr>
        <w:t>出具原厂售后质保承诺书，质保期内每年巡检</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rPr>
        <w:t>次</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并提交巡检记录</w:t>
      </w:r>
      <w:r>
        <w:rPr>
          <w:rFonts w:hint="eastAsia" w:ascii="宋体" w:hAnsi="宋体" w:eastAsia="宋体" w:cs="宋体"/>
          <w:color w:val="auto"/>
          <w:sz w:val="24"/>
          <w:szCs w:val="24"/>
        </w:rPr>
        <w:t>。</w:t>
      </w:r>
      <w:r>
        <w:rPr>
          <w:rFonts w:hint="eastAsia" w:ascii="宋体" w:hAnsi="宋体" w:eastAsia="宋体" w:cs="宋体"/>
          <w:color w:val="auto"/>
          <w:sz w:val="24"/>
          <w:szCs w:val="24"/>
          <w:lang w:val="zh-CN" w:eastAsia="zh-CN"/>
        </w:rPr>
        <w:t>质保期内</w:t>
      </w:r>
      <w:r>
        <w:rPr>
          <w:rFonts w:hint="eastAsia" w:ascii="宋体" w:hAnsi="宋体" w:cs="宋体"/>
          <w:color w:val="auto"/>
          <w:sz w:val="24"/>
          <w:szCs w:val="24"/>
          <w:lang w:val="en-US" w:eastAsia="zh-CN"/>
        </w:rPr>
        <w:t>出现故障</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1小时响应，响应后24小时上门服务。</w:t>
      </w:r>
    </w:p>
    <w:p w14:paraId="54CCA0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6、在投标文件中必须提供相关技术资料并加盖投标人公章（如技术参数、技术白皮书、说明书、彩页等），并在响应表中对技术参数中“★”、“▲”以及要求提供佐证材料的条款备注该条参数响应或正偏离的佐证资料所在页码。</w:t>
      </w:r>
    </w:p>
    <w:p w14:paraId="6EA389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★7、设备如涉及网络接口费用，由中标人承担，采购人不再出具任何费用。</w:t>
      </w:r>
      <w:r>
        <w:rPr>
          <w:rFonts w:hint="default" w:ascii="宋体" w:hAnsi="宋体" w:eastAsia="宋体" w:cs="宋体"/>
          <w:color w:val="auto"/>
          <w:sz w:val="24"/>
          <w:szCs w:val="24"/>
          <w:lang w:val="en-US" w:eastAsia="zh-CN"/>
        </w:rPr>
        <w:t xml:space="preserve"> </w:t>
      </w:r>
    </w:p>
    <w:p w14:paraId="6DC1C957">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黑体" w:hAnsi="黑体" w:eastAsia="黑体" w:cs="黑体"/>
          <w:bCs/>
          <w:color w:val="auto"/>
          <w:kern w:val="0"/>
          <w:sz w:val="28"/>
          <w:szCs w:val="28"/>
          <w:lang w:val="en-US" w:eastAsia="zh-CN" w:bidi="ar-SA"/>
        </w:rPr>
      </w:pPr>
    </w:p>
    <w:p w14:paraId="05633B07">
      <w:pPr>
        <w:pStyle w:val="13"/>
        <w:keepNext w:val="0"/>
        <w:keepLines w:val="0"/>
        <w:pageBreakBefore w:val="0"/>
        <w:kinsoku/>
        <w:wordWrap/>
        <w:topLinePunct w:val="0"/>
        <w:bidi w:val="0"/>
        <w:ind w:left="0" w:leftChars="0" w:firstLine="640" w:firstLineChars="200"/>
        <w:rPr>
          <w:rFonts w:hint="eastAsia" w:ascii="仿宋" w:hAnsi="仿宋" w:eastAsia="仿宋" w:cs="Times New Roman"/>
          <w:b w:val="0"/>
          <w:bCs w:val="0"/>
          <w:sz w:val="28"/>
          <w:szCs w:val="28"/>
          <w:lang w:val="en-US" w:eastAsia="zh-CN"/>
        </w:rPr>
      </w:pPr>
      <w:r>
        <w:rPr>
          <w:rFonts w:hint="eastAsia" w:ascii="黑体" w:hAnsi="黑体" w:eastAsia="黑体" w:cs="Times New Roman"/>
          <w:b w:val="0"/>
          <w:bCs w:val="0"/>
          <w:sz w:val="32"/>
          <w:szCs w:val="32"/>
          <w:lang w:val="en-US" w:eastAsia="zh-CN"/>
        </w:rPr>
        <w:t>包2：结肠途径治疗仪（水疗仪）</w:t>
      </w:r>
      <w:r>
        <w:rPr>
          <w:rFonts w:hint="eastAsia" w:ascii="仿宋" w:hAnsi="仿宋" w:eastAsia="仿宋" w:cs="Times New Roman"/>
          <w:b w:val="0"/>
          <w:bCs w:val="0"/>
          <w:sz w:val="28"/>
          <w:szCs w:val="28"/>
          <w:lang w:val="en-US" w:eastAsia="zh-CN"/>
        </w:rPr>
        <w:t xml:space="preserve"> </w:t>
      </w:r>
    </w:p>
    <w:p w14:paraId="49D9A819">
      <w:pPr>
        <w:pStyle w:val="13"/>
        <w:keepNext w:val="0"/>
        <w:keepLines w:val="0"/>
        <w:pageBreakBefore w:val="0"/>
        <w:kinsoku/>
        <w:wordWrap/>
        <w:topLinePunct w:val="0"/>
        <w:bidi w:val="0"/>
        <w:ind w:left="0" w:leftChars="0" w:firstLine="562" w:firstLineChars="200"/>
        <w:rPr>
          <w:rFonts w:hint="default" w:ascii="仿宋" w:hAnsi="仿宋" w:eastAsia="仿宋" w:cs="仿宋"/>
          <w:sz w:val="28"/>
          <w:szCs w:val="28"/>
          <w:lang w:val="en-US" w:eastAsia="zh-CN"/>
        </w:rPr>
      </w:pPr>
      <w:r>
        <w:rPr>
          <w:rFonts w:hint="eastAsia" w:ascii="仿宋" w:hAnsi="仿宋" w:eastAsia="仿宋" w:cs="Times New Roman"/>
          <w:b/>
          <w:bCs/>
          <w:sz w:val="28"/>
          <w:szCs w:val="28"/>
          <w:lang w:val="en-US" w:eastAsia="zh-CN"/>
        </w:rPr>
        <w:t>（一）技术参数</w:t>
      </w:r>
      <w:r>
        <w:rPr>
          <w:rFonts w:hint="eastAsia" w:ascii="仿宋" w:hAnsi="仿宋" w:eastAsia="仿宋" w:cs="仿宋"/>
          <w:b/>
          <w:bCs/>
          <w:sz w:val="28"/>
          <w:szCs w:val="28"/>
          <w:lang w:val="en-US" w:eastAsia="zh-CN"/>
        </w:rPr>
        <w:t xml:space="preserve">  </w:t>
      </w:r>
      <w:r>
        <w:rPr>
          <w:rFonts w:hint="eastAsia" w:ascii="仿宋" w:hAnsi="仿宋" w:eastAsia="仿宋" w:cs="仿宋"/>
          <w:sz w:val="28"/>
          <w:szCs w:val="28"/>
          <w:lang w:val="en-US" w:eastAsia="zh-CN"/>
        </w:rPr>
        <w:t xml:space="preserve">        </w:t>
      </w:r>
    </w:p>
    <w:p w14:paraId="546F7C59">
      <w:pPr>
        <w:pStyle w:val="26"/>
        <w:keepNext w:val="0"/>
        <w:keepLines w:val="0"/>
        <w:pageBreakBefore w:val="0"/>
        <w:kinsoku/>
        <w:wordWrap/>
        <w:topLinePunct w:val="0"/>
        <w:bidi w:val="0"/>
        <w:spacing w:line="160" w:lineRule="atLeast"/>
        <w:ind w:firstLine="480" w:firstLineChars="200"/>
        <w:jc w:val="left"/>
        <w:rPr>
          <w:rFonts w:ascii="宋体" w:hAnsi="宋体"/>
          <w:sz w:val="24"/>
        </w:rPr>
      </w:pPr>
      <w:r>
        <w:rPr>
          <w:rFonts w:hint="eastAsia" w:ascii="宋体" w:hAnsi="宋体"/>
          <w:sz w:val="24"/>
        </w:rPr>
        <w:t xml:space="preserve">1、工作条件： </w:t>
      </w:r>
    </w:p>
    <w:p w14:paraId="79307CD4">
      <w:pPr>
        <w:keepNext w:val="0"/>
        <w:keepLines w:val="0"/>
        <w:pageBreakBefore w:val="0"/>
        <w:kinsoku/>
        <w:wordWrap/>
        <w:topLinePunct w:val="0"/>
        <w:bidi w:val="0"/>
        <w:spacing w:line="276" w:lineRule="auto"/>
        <w:ind w:firstLine="480" w:firstLineChars="200"/>
        <w:rPr>
          <w:rFonts w:hint="eastAsia" w:ascii="宋体" w:hAnsi="宋体"/>
          <w:sz w:val="24"/>
        </w:rPr>
      </w:pPr>
      <w:r>
        <w:rPr>
          <w:rFonts w:hint="eastAsia" w:ascii="宋体" w:hAnsi="宋体"/>
          <w:sz w:val="24"/>
        </w:rPr>
        <w:t xml:space="preserve">  （1）环境温度5℃～40℃；</w:t>
      </w:r>
    </w:p>
    <w:p w14:paraId="3585EC25">
      <w:pPr>
        <w:keepNext w:val="0"/>
        <w:keepLines w:val="0"/>
        <w:pageBreakBefore w:val="0"/>
        <w:kinsoku/>
        <w:wordWrap/>
        <w:topLinePunct w:val="0"/>
        <w:bidi w:val="0"/>
        <w:spacing w:line="276" w:lineRule="auto"/>
        <w:ind w:firstLine="480" w:firstLineChars="200"/>
        <w:rPr>
          <w:rFonts w:hint="eastAsia" w:ascii="宋体" w:hAnsi="宋体"/>
          <w:sz w:val="24"/>
        </w:rPr>
      </w:pPr>
      <w:r>
        <w:rPr>
          <w:rFonts w:hint="eastAsia" w:ascii="宋体" w:hAnsi="宋体"/>
          <w:sz w:val="24"/>
        </w:rPr>
        <w:t xml:space="preserve">  （2）相对湿度30%～85%；</w:t>
      </w:r>
    </w:p>
    <w:p w14:paraId="3074CCF0">
      <w:pPr>
        <w:keepNext w:val="0"/>
        <w:keepLines w:val="0"/>
        <w:pageBreakBefore w:val="0"/>
        <w:kinsoku/>
        <w:wordWrap/>
        <w:topLinePunct w:val="0"/>
        <w:bidi w:val="0"/>
        <w:spacing w:line="276" w:lineRule="auto"/>
        <w:ind w:firstLine="480" w:firstLineChars="200"/>
        <w:rPr>
          <w:rFonts w:hint="eastAsia" w:ascii="宋体" w:hAnsi="宋体"/>
          <w:sz w:val="24"/>
        </w:rPr>
      </w:pPr>
      <w:r>
        <w:rPr>
          <w:rFonts w:hint="eastAsia" w:ascii="宋体" w:hAnsi="宋体"/>
          <w:sz w:val="24"/>
        </w:rPr>
        <w:t xml:space="preserve">  （3）大气压力700hPa～1060hPa；</w:t>
      </w:r>
    </w:p>
    <w:p w14:paraId="0E3A0524">
      <w:pPr>
        <w:keepNext w:val="0"/>
        <w:keepLines w:val="0"/>
        <w:pageBreakBefore w:val="0"/>
        <w:kinsoku/>
        <w:wordWrap/>
        <w:topLinePunct w:val="0"/>
        <w:bidi w:val="0"/>
        <w:spacing w:line="276" w:lineRule="auto"/>
        <w:ind w:firstLine="480" w:firstLineChars="200"/>
        <w:rPr>
          <w:rFonts w:hint="eastAsia" w:ascii="宋体" w:hAnsi="宋体"/>
          <w:sz w:val="24"/>
        </w:rPr>
      </w:pPr>
      <w:r>
        <w:rPr>
          <w:rFonts w:hint="eastAsia" w:ascii="宋体" w:hAnsi="宋体"/>
          <w:sz w:val="24"/>
        </w:rPr>
        <w:t xml:space="preserve">  （4）电源电压220V±1</w:t>
      </w:r>
      <w:r>
        <w:rPr>
          <w:rFonts w:ascii="宋体" w:hAnsi="宋体"/>
          <w:sz w:val="24"/>
        </w:rPr>
        <w:t>0%</w:t>
      </w:r>
      <w:r>
        <w:rPr>
          <w:rFonts w:hint="eastAsia" w:ascii="宋体" w:hAnsi="宋体"/>
          <w:sz w:val="24"/>
        </w:rPr>
        <w:t>；</w:t>
      </w:r>
    </w:p>
    <w:p w14:paraId="07242AB8">
      <w:pPr>
        <w:keepNext w:val="0"/>
        <w:keepLines w:val="0"/>
        <w:pageBreakBefore w:val="0"/>
        <w:kinsoku/>
        <w:wordWrap/>
        <w:topLinePunct w:val="0"/>
        <w:bidi w:val="0"/>
        <w:spacing w:line="276" w:lineRule="auto"/>
        <w:ind w:firstLine="480" w:firstLineChars="200"/>
        <w:rPr>
          <w:rFonts w:hint="eastAsia" w:ascii="宋体" w:hAnsi="宋体"/>
          <w:sz w:val="24"/>
        </w:rPr>
      </w:pPr>
      <w:r>
        <w:rPr>
          <w:rFonts w:hint="eastAsia" w:ascii="宋体" w:hAnsi="宋体"/>
          <w:sz w:val="24"/>
        </w:rPr>
        <w:t xml:space="preserve">  （5）电源频率50Hz±2</w:t>
      </w:r>
      <w:r>
        <w:rPr>
          <w:rFonts w:ascii="宋体" w:hAnsi="宋体"/>
          <w:sz w:val="24"/>
        </w:rPr>
        <w:t>%</w:t>
      </w:r>
      <w:r>
        <w:rPr>
          <w:rFonts w:hint="eastAsia" w:ascii="宋体" w:hAnsi="宋体"/>
          <w:sz w:val="24"/>
        </w:rPr>
        <w:t>；</w:t>
      </w:r>
    </w:p>
    <w:p w14:paraId="3B8B177A">
      <w:pPr>
        <w:keepNext w:val="0"/>
        <w:keepLines w:val="0"/>
        <w:pageBreakBefore w:val="0"/>
        <w:kinsoku/>
        <w:wordWrap/>
        <w:topLinePunct w:val="0"/>
        <w:bidi w:val="0"/>
        <w:spacing w:line="276" w:lineRule="auto"/>
        <w:ind w:firstLine="480" w:firstLineChars="200"/>
        <w:rPr>
          <w:rFonts w:hint="eastAsia" w:ascii="宋体" w:hAnsi="宋体"/>
          <w:sz w:val="24"/>
        </w:rPr>
      </w:pPr>
      <w:r>
        <w:rPr>
          <w:rFonts w:hint="eastAsia" w:ascii="宋体" w:hAnsi="宋体" w:eastAsia="宋体" w:cs="宋体"/>
          <w:color w:val="auto"/>
          <w:sz w:val="24"/>
          <w:szCs w:val="24"/>
        </w:rPr>
        <w:t>★</w:t>
      </w:r>
      <w:r>
        <w:rPr>
          <w:rFonts w:ascii="宋体" w:hAnsi="宋体"/>
          <w:sz w:val="24"/>
        </w:rPr>
        <w:t>2</w:t>
      </w:r>
      <w:r>
        <w:rPr>
          <w:rFonts w:hint="eastAsia" w:ascii="宋体" w:hAnsi="宋体"/>
          <w:sz w:val="24"/>
        </w:rPr>
        <w:t xml:space="preserve">、柜式一体机型，推车设计带锁止万向轮，各种角度灵活转动； </w:t>
      </w:r>
    </w:p>
    <w:p w14:paraId="54669F1D">
      <w:pPr>
        <w:keepNext w:val="0"/>
        <w:keepLines w:val="0"/>
        <w:pageBreakBefore w:val="0"/>
        <w:kinsoku/>
        <w:wordWrap/>
        <w:topLinePunct w:val="0"/>
        <w:bidi w:val="0"/>
        <w:spacing w:line="276" w:lineRule="auto"/>
        <w:ind w:firstLine="480" w:firstLineChars="200"/>
        <w:rPr>
          <w:rFonts w:ascii="宋体" w:hAnsi="宋体"/>
          <w:sz w:val="24"/>
        </w:rPr>
      </w:pPr>
      <w:r>
        <w:rPr>
          <w:rFonts w:ascii="宋体" w:hAnsi="宋体"/>
          <w:sz w:val="24"/>
        </w:rPr>
        <w:t>3</w:t>
      </w:r>
      <w:r>
        <w:rPr>
          <w:rFonts w:hint="eastAsia" w:ascii="宋体" w:hAnsi="宋体"/>
          <w:sz w:val="24"/>
        </w:rPr>
        <w:t>、计算机控制，实时监控数据：储液量、灌注量、灌注温度、灌注压力、灌注时间、间歇时间、实时泵速等；</w:t>
      </w:r>
      <w:r>
        <w:rPr>
          <w:rFonts w:ascii="宋体" w:hAnsi="宋体"/>
          <w:sz w:val="24"/>
        </w:rPr>
        <w:t xml:space="preserve"> </w:t>
      </w:r>
    </w:p>
    <w:p w14:paraId="47549342">
      <w:pPr>
        <w:keepNext w:val="0"/>
        <w:keepLines w:val="0"/>
        <w:pageBreakBefore w:val="0"/>
        <w:kinsoku/>
        <w:wordWrap/>
        <w:topLinePunct w:val="0"/>
        <w:bidi w:val="0"/>
        <w:spacing w:line="276" w:lineRule="auto"/>
        <w:ind w:firstLine="480" w:firstLineChars="200"/>
        <w:rPr>
          <w:rFonts w:ascii="宋体" w:hAnsi="宋体"/>
          <w:sz w:val="24"/>
        </w:rPr>
      </w:pPr>
      <w:r>
        <w:rPr>
          <w:rFonts w:ascii="宋体" w:hAnsi="宋体"/>
          <w:sz w:val="24"/>
        </w:rPr>
        <w:t>4</w:t>
      </w:r>
      <w:r>
        <w:rPr>
          <w:rFonts w:hint="eastAsia" w:ascii="宋体" w:hAnsi="宋体"/>
          <w:sz w:val="24"/>
        </w:rPr>
        <w:t>、可建立患者数据档案，可实现临床科研需要；</w:t>
      </w:r>
      <w:r>
        <w:rPr>
          <w:rFonts w:ascii="宋体" w:hAnsi="宋体"/>
          <w:sz w:val="24"/>
        </w:rPr>
        <w:t xml:space="preserve"> </w:t>
      </w:r>
    </w:p>
    <w:p w14:paraId="37FAEEA5">
      <w:pPr>
        <w:keepNext w:val="0"/>
        <w:keepLines w:val="0"/>
        <w:pageBreakBefore w:val="0"/>
        <w:kinsoku/>
        <w:wordWrap/>
        <w:topLinePunct w:val="0"/>
        <w:bidi w:val="0"/>
        <w:spacing w:line="276" w:lineRule="auto"/>
        <w:ind w:firstLine="480" w:firstLineChars="200"/>
        <w:rPr>
          <w:rFonts w:ascii="宋体" w:hAnsi="宋体"/>
          <w:sz w:val="24"/>
        </w:rPr>
      </w:pPr>
      <w:r>
        <w:rPr>
          <w:rFonts w:hint="eastAsia" w:ascii="宋体" w:hAnsi="宋体" w:eastAsia="宋体" w:cs="宋体"/>
          <w:sz w:val="24"/>
        </w:rPr>
        <w:t>▲</w:t>
      </w:r>
      <w:r>
        <w:rPr>
          <w:rFonts w:hint="eastAsia" w:ascii="宋体" w:hAnsi="宋体"/>
          <w:sz w:val="24"/>
        </w:rPr>
        <w:t>5、安全报警系统：超温、超压、缺液、堵塞时报警，仪器停止治疗，并有界面提示；</w:t>
      </w:r>
      <w:r>
        <w:rPr>
          <w:rFonts w:ascii="宋体" w:hAnsi="宋体"/>
          <w:sz w:val="24"/>
        </w:rPr>
        <w:t xml:space="preserve"> </w:t>
      </w:r>
    </w:p>
    <w:p w14:paraId="2F947C28">
      <w:pPr>
        <w:keepNext w:val="0"/>
        <w:keepLines w:val="0"/>
        <w:pageBreakBefore w:val="0"/>
        <w:kinsoku/>
        <w:wordWrap/>
        <w:topLinePunct w:val="0"/>
        <w:bidi w:val="0"/>
        <w:spacing w:line="276" w:lineRule="auto"/>
        <w:ind w:firstLine="480" w:firstLineChars="200"/>
        <w:rPr>
          <w:rFonts w:ascii="宋体" w:hAnsi="宋体"/>
          <w:sz w:val="24"/>
        </w:rPr>
      </w:pPr>
      <w:r>
        <w:rPr>
          <w:rFonts w:hint="eastAsia" w:ascii="宋体" w:hAnsi="宋体"/>
          <w:sz w:val="24"/>
        </w:rPr>
        <w:t>6、外置给药、灌注切换阀门，一步实现治疗功能转换；</w:t>
      </w:r>
      <w:r>
        <w:rPr>
          <w:rFonts w:ascii="宋体" w:hAnsi="宋体"/>
          <w:sz w:val="24"/>
        </w:rPr>
        <w:t xml:space="preserve"> </w:t>
      </w:r>
    </w:p>
    <w:p w14:paraId="36358985">
      <w:pPr>
        <w:keepNext w:val="0"/>
        <w:keepLines w:val="0"/>
        <w:pageBreakBefore w:val="0"/>
        <w:kinsoku/>
        <w:wordWrap/>
        <w:topLinePunct w:val="0"/>
        <w:bidi w:val="0"/>
        <w:spacing w:line="276" w:lineRule="auto"/>
        <w:ind w:firstLine="480" w:firstLineChars="200"/>
        <w:rPr>
          <w:rFonts w:hint="eastAsia" w:ascii="宋体" w:hAnsi="宋体"/>
          <w:sz w:val="24"/>
        </w:rPr>
      </w:pPr>
      <w:r>
        <w:rPr>
          <w:rFonts w:hint="eastAsia" w:ascii="宋体" w:hAnsi="宋体"/>
          <w:sz w:val="24"/>
        </w:rPr>
        <w:t>7、预灌注量：4000～16000m</w:t>
      </w:r>
      <w:r>
        <w:rPr>
          <w:rFonts w:ascii="宋体" w:hAnsi="宋体"/>
          <w:sz w:val="24"/>
        </w:rPr>
        <w:t>L</w:t>
      </w:r>
      <w:r>
        <w:rPr>
          <w:rFonts w:hint="eastAsia" w:ascii="宋体" w:hAnsi="宋体"/>
          <w:sz w:val="24"/>
        </w:rPr>
        <w:t xml:space="preserve">，任意设置； </w:t>
      </w:r>
    </w:p>
    <w:p w14:paraId="039C9951">
      <w:pPr>
        <w:keepNext w:val="0"/>
        <w:keepLines w:val="0"/>
        <w:pageBreakBefore w:val="0"/>
        <w:kinsoku/>
        <w:wordWrap/>
        <w:topLinePunct w:val="0"/>
        <w:bidi w:val="0"/>
        <w:spacing w:line="276" w:lineRule="auto"/>
        <w:ind w:firstLine="480" w:firstLineChars="200"/>
        <w:rPr>
          <w:rFonts w:hint="eastAsia" w:ascii="宋体" w:hAnsi="宋体"/>
          <w:sz w:val="24"/>
        </w:rPr>
      </w:pPr>
      <w:r>
        <w:rPr>
          <w:rFonts w:hint="eastAsia" w:ascii="宋体" w:hAnsi="宋体"/>
          <w:sz w:val="24"/>
        </w:rPr>
        <w:t>8、灌注桶有效容积：16000m</w:t>
      </w:r>
      <w:r>
        <w:rPr>
          <w:rFonts w:ascii="宋体" w:hAnsi="宋体"/>
          <w:sz w:val="24"/>
        </w:rPr>
        <w:t>L</w:t>
      </w:r>
      <w:r>
        <w:rPr>
          <w:rFonts w:hint="eastAsia" w:ascii="宋体" w:hAnsi="宋体"/>
          <w:sz w:val="24"/>
        </w:rPr>
        <w:t>±</w:t>
      </w:r>
      <w:r>
        <w:rPr>
          <w:rFonts w:ascii="宋体" w:hAnsi="宋体"/>
          <w:sz w:val="24"/>
        </w:rPr>
        <w:t>500</w:t>
      </w:r>
      <w:r>
        <w:rPr>
          <w:rFonts w:hint="eastAsia" w:ascii="宋体" w:hAnsi="宋体"/>
          <w:sz w:val="24"/>
        </w:rPr>
        <w:t>m</w:t>
      </w:r>
      <w:r>
        <w:rPr>
          <w:rFonts w:ascii="宋体" w:hAnsi="宋体"/>
          <w:sz w:val="24"/>
        </w:rPr>
        <w:t>L</w:t>
      </w:r>
      <w:r>
        <w:rPr>
          <w:rFonts w:hint="eastAsia" w:ascii="宋体" w:hAnsi="宋体"/>
          <w:sz w:val="24"/>
        </w:rPr>
        <w:t>，给药罐有效容积：1000m</w:t>
      </w:r>
      <w:r>
        <w:rPr>
          <w:rFonts w:ascii="宋体" w:hAnsi="宋体"/>
          <w:sz w:val="24"/>
        </w:rPr>
        <w:t>L</w:t>
      </w:r>
      <w:r>
        <w:rPr>
          <w:rFonts w:hint="eastAsia" w:ascii="宋体" w:hAnsi="宋体"/>
          <w:sz w:val="24"/>
        </w:rPr>
        <w:t>±</w:t>
      </w:r>
      <w:r>
        <w:rPr>
          <w:rFonts w:ascii="宋体" w:hAnsi="宋体"/>
          <w:sz w:val="24"/>
        </w:rPr>
        <w:t>100</w:t>
      </w:r>
      <w:r>
        <w:rPr>
          <w:rFonts w:hint="eastAsia" w:ascii="宋体" w:hAnsi="宋体"/>
          <w:sz w:val="24"/>
        </w:rPr>
        <w:t>m</w:t>
      </w:r>
      <w:r>
        <w:rPr>
          <w:rFonts w:ascii="宋体" w:hAnsi="宋体"/>
          <w:sz w:val="24"/>
        </w:rPr>
        <w:t>L</w:t>
      </w:r>
      <w:r>
        <w:rPr>
          <w:rFonts w:hint="eastAsia" w:ascii="宋体" w:hAnsi="宋体"/>
          <w:sz w:val="24"/>
        </w:rPr>
        <w:t xml:space="preserve">； </w:t>
      </w:r>
    </w:p>
    <w:p w14:paraId="0F51DF8C">
      <w:pPr>
        <w:keepNext w:val="0"/>
        <w:keepLines w:val="0"/>
        <w:pageBreakBefore w:val="0"/>
        <w:kinsoku/>
        <w:wordWrap/>
        <w:topLinePunct w:val="0"/>
        <w:bidi w:val="0"/>
        <w:spacing w:line="276" w:lineRule="auto"/>
        <w:ind w:firstLine="480" w:firstLineChars="200"/>
        <w:rPr>
          <w:rFonts w:ascii="宋体" w:hAnsi="宋体"/>
          <w:sz w:val="24"/>
        </w:rPr>
      </w:pPr>
      <w:r>
        <w:rPr>
          <w:rFonts w:hint="eastAsia" w:ascii="宋体" w:hAnsi="宋体"/>
          <w:sz w:val="24"/>
        </w:rPr>
        <w:t>9、</w:t>
      </w:r>
      <w:bookmarkStart w:id="1" w:name="_Hlk87002153"/>
      <w:r>
        <w:rPr>
          <w:rFonts w:hint="eastAsia" w:ascii="宋体" w:hAnsi="宋体"/>
          <w:sz w:val="24"/>
        </w:rPr>
        <w:t>注液速度：</w:t>
      </w:r>
    </w:p>
    <w:p w14:paraId="39DE3CAD">
      <w:pPr>
        <w:keepNext w:val="0"/>
        <w:keepLines w:val="0"/>
        <w:pageBreakBefore w:val="0"/>
        <w:kinsoku/>
        <w:wordWrap/>
        <w:topLinePunct w:val="0"/>
        <w:bidi w:val="0"/>
        <w:spacing w:line="276" w:lineRule="auto"/>
        <w:ind w:firstLine="480" w:firstLineChars="200"/>
        <w:rPr>
          <w:rFonts w:ascii="宋体" w:hAnsi="宋体"/>
          <w:sz w:val="24"/>
        </w:rPr>
      </w:pPr>
      <w:r>
        <w:rPr>
          <w:rFonts w:hint="eastAsia" w:ascii="宋体" w:hAnsi="宋体"/>
          <w:sz w:val="24"/>
        </w:rPr>
        <w:t>手动方式0～750m</w:t>
      </w:r>
      <w:r>
        <w:rPr>
          <w:rFonts w:ascii="宋体" w:hAnsi="宋体"/>
          <w:sz w:val="24"/>
        </w:rPr>
        <w:t>L</w:t>
      </w:r>
      <w:r>
        <w:rPr>
          <w:rFonts w:hint="eastAsia" w:ascii="宋体" w:hAnsi="宋体"/>
          <w:sz w:val="24"/>
        </w:rPr>
        <w:t>/min连续可调，误差±5</w:t>
      </w:r>
      <w:r>
        <w:rPr>
          <w:rFonts w:ascii="宋体" w:hAnsi="宋体"/>
          <w:sz w:val="24"/>
        </w:rPr>
        <w:t>0</w:t>
      </w:r>
      <w:r>
        <w:rPr>
          <w:rFonts w:hint="eastAsia" w:ascii="宋体" w:hAnsi="宋体"/>
          <w:sz w:val="24"/>
        </w:rPr>
        <w:t>m</w:t>
      </w:r>
      <w:r>
        <w:rPr>
          <w:rFonts w:ascii="宋体" w:hAnsi="宋体"/>
          <w:sz w:val="24"/>
        </w:rPr>
        <w:t>L</w:t>
      </w:r>
      <w:r>
        <w:rPr>
          <w:rFonts w:hint="eastAsia" w:ascii="宋体" w:hAnsi="宋体"/>
          <w:sz w:val="24"/>
        </w:rPr>
        <w:t>/min；</w:t>
      </w:r>
      <w:r>
        <w:rPr>
          <w:rFonts w:ascii="宋体" w:hAnsi="宋体"/>
          <w:sz w:val="24"/>
        </w:rPr>
        <w:t xml:space="preserve"> </w:t>
      </w:r>
    </w:p>
    <w:p w14:paraId="65EEE7E9">
      <w:pPr>
        <w:keepNext w:val="0"/>
        <w:keepLines w:val="0"/>
        <w:pageBreakBefore w:val="0"/>
        <w:kinsoku/>
        <w:wordWrap/>
        <w:topLinePunct w:val="0"/>
        <w:bidi w:val="0"/>
        <w:spacing w:line="276" w:lineRule="auto"/>
        <w:ind w:firstLine="480" w:firstLineChars="200"/>
        <w:rPr>
          <w:rFonts w:ascii="宋体" w:hAnsi="宋体"/>
          <w:sz w:val="24"/>
        </w:rPr>
      </w:pPr>
      <w:r>
        <w:rPr>
          <w:rFonts w:hint="eastAsia" w:ascii="宋体" w:hAnsi="宋体"/>
          <w:sz w:val="24"/>
        </w:rPr>
        <w:t>标准方式1～</w:t>
      </w:r>
      <w:r>
        <w:rPr>
          <w:rFonts w:ascii="宋体" w:hAnsi="宋体"/>
          <w:sz w:val="24"/>
        </w:rPr>
        <w:t>8</w:t>
      </w:r>
      <w:r>
        <w:rPr>
          <w:rFonts w:hint="eastAsia" w:ascii="宋体" w:hAnsi="宋体"/>
          <w:sz w:val="24"/>
        </w:rPr>
        <w:t>档可调；</w:t>
      </w:r>
      <w:bookmarkEnd w:id="1"/>
      <w:r>
        <w:rPr>
          <w:rFonts w:ascii="宋体" w:hAnsi="宋体"/>
          <w:sz w:val="24"/>
        </w:rPr>
        <w:t xml:space="preserve"> </w:t>
      </w:r>
    </w:p>
    <w:p w14:paraId="66640DCF">
      <w:pPr>
        <w:keepNext w:val="0"/>
        <w:keepLines w:val="0"/>
        <w:pageBreakBefore w:val="0"/>
        <w:kinsoku/>
        <w:wordWrap/>
        <w:topLinePunct w:val="0"/>
        <w:bidi w:val="0"/>
        <w:spacing w:line="276" w:lineRule="auto"/>
        <w:ind w:firstLine="480" w:firstLineChars="200"/>
        <w:rPr>
          <w:rFonts w:hint="eastAsia" w:ascii="宋体" w:hAnsi="宋体"/>
          <w:sz w:val="24"/>
        </w:rPr>
      </w:pPr>
      <w:r>
        <w:rPr>
          <w:rFonts w:ascii="宋体" w:hAnsi="宋体"/>
          <w:sz w:val="24"/>
        </w:rPr>
        <w:t>1</w:t>
      </w:r>
      <w:r>
        <w:rPr>
          <w:rFonts w:hint="eastAsia" w:ascii="宋体" w:hAnsi="宋体"/>
          <w:sz w:val="24"/>
        </w:rPr>
        <w:t>0、转速补偿能力：0～1</w:t>
      </w:r>
      <w:r>
        <w:rPr>
          <w:rFonts w:ascii="宋体" w:hAnsi="宋体"/>
          <w:sz w:val="24"/>
        </w:rPr>
        <w:t>00</w:t>
      </w:r>
      <w:r>
        <w:rPr>
          <w:rFonts w:hint="eastAsia" w:ascii="宋体" w:hAnsi="宋体"/>
          <w:sz w:val="24"/>
        </w:rPr>
        <w:t>m</w:t>
      </w:r>
      <w:r>
        <w:rPr>
          <w:rFonts w:ascii="宋体" w:hAnsi="宋体"/>
          <w:sz w:val="24"/>
        </w:rPr>
        <w:t>L/</w:t>
      </w:r>
      <w:r>
        <w:rPr>
          <w:rFonts w:hint="eastAsia" w:ascii="宋体" w:hAnsi="宋体"/>
          <w:sz w:val="24"/>
        </w:rPr>
        <w:t xml:space="preserve">min； </w:t>
      </w:r>
    </w:p>
    <w:p w14:paraId="6A643392">
      <w:pPr>
        <w:keepNext w:val="0"/>
        <w:keepLines w:val="0"/>
        <w:pageBreakBefore w:val="0"/>
        <w:kinsoku/>
        <w:wordWrap/>
        <w:topLinePunct w:val="0"/>
        <w:bidi w:val="0"/>
        <w:spacing w:line="276" w:lineRule="auto"/>
        <w:ind w:firstLine="480" w:firstLineChars="200"/>
        <w:rPr>
          <w:rFonts w:ascii="宋体" w:hAnsi="宋体"/>
          <w:sz w:val="24"/>
        </w:rPr>
      </w:pPr>
      <w:r>
        <w:rPr>
          <w:rFonts w:ascii="宋体" w:hAnsi="宋体"/>
          <w:sz w:val="24"/>
        </w:rPr>
        <w:t>1</w:t>
      </w:r>
      <w:r>
        <w:rPr>
          <w:rFonts w:hint="eastAsia" w:ascii="宋体" w:hAnsi="宋体"/>
          <w:sz w:val="24"/>
        </w:rPr>
        <w:t>1、灌注压力：800×10</w:t>
      </w:r>
      <w:r>
        <w:rPr>
          <w:rFonts w:ascii="宋体" w:hAnsi="宋体"/>
          <w:sz w:val="24"/>
        </w:rPr>
        <w:t>P</w:t>
      </w:r>
      <w:r>
        <w:rPr>
          <w:rFonts w:hint="eastAsia" w:ascii="宋体" w:hAnsi="宋体"/>
          <w:sz w:val="24"/>
        </w:rPr>
        <w:t>a～2500×10</w:t>
      </w:r>
      <w:r>
        <w:rPr>
          <w:rFonts w:ascii="宋体" w:hAnsi="宋体"/>
          <w:sz w:val="24"/>
        </w:rPr>
        <w:t>P</w:t>
      </w:r>
      <w:r>
        <w:rPr>
          <w:rFonts w:hint="eastAsia" w:ascii="宋体" w:hAnsi="宋体"/>
          <w:sz w:val="24"/>
        </w:rPr>
        <w:t>a，任意设置；</w:t>
      </w:r>
      <w:r>
        <w:rPr>
          <w:rFonts w:ascii="宋体" w:hAnsi="宋体"/>
          <w:sz w:val="24"/>
        </w:rPr>
        <w:t xml:space="preserve"> </w:t>
      </w:r>
    </w:p>
    <w:p w14:paraId="6BB07DE2">
      <w:pPr>
        <w:keepNext w:val="0"/>
        <w:keepLines w:val="0"/>
        <w:pageBreakBefore w:val="0"/>
        <w:kinsoku/>
        <w:wordWrap/>
        <w:topLinePunct w:val="0"/>
        <w:bidi w:val="0"/>
        <w:spacing w:line="276" w:lineRule="auto"/>
        <w:ind w:firstLine="480" w:firstLineChars="200"/>
        <w:rPr>
          <w:rFonts w:hint="eastAsia" w:ascii="宋体" w:hAnsi="宋体"/>
          <w:sz w:val="24"/>
        </w:rPr>
      </w:pPr>
      <w:r>
        <w:rPr>
          <w:rFonts w:ascii="宋体" w:hAnsi="宋体"/>
          <w:sz w:val="24"/>
        </w:rPr>
        <w:t>1</w:t>
      </w:r>
      <w:r>
        <w:rPr>
          <w:rFonts w:hint="eastAsia" w:ascii="宋体" w:hAnsi="宋体"/>
          <w:sz w:val="24"/>
        </w:rPr>
        <w:t>2、水压：0.7～5.0Kgf</w:t>
      </w:r>
      <w:r>
        <w:rPr>
          <w:rFonts w:ascii="宋体" w:hAnsi="宋体"/>
          <w:sz w:val="24"/>
        </w:rPr>
        <w:t>/</w:t>
      </w:r>
      <w:r>
        <w:rPr>
          <w:rFonts w:hint="eastAsia" w:ascii="宋体" w:hAnsi="宋体"/>
          <w:sz w:val="24"/>
        </w:rPr>
        <w:t xml:space="preserve">cm2；最大排出高度0.5m； </w:t>
      </w:r>
    </w:p>
    <w:p w14:paraId="0DC405E6">
      <w:pPr>
        <w:keepNext w:val="0"/>
        <w:keepLines w:val="0"/>
        <w:pageBreakBefore w:val="0"/>
        <w:kinsoku/>
        <w:wordWrap/>
        <w:topLinePunct w:val="0"/>
        <w:bidi w:val="0"/>
        <w:spacing w:line="276" w:lineRule="auto"/>
        <w:ind w:firstLine="480" w:firstLineChars="200"/>
        <w:rPr>
          <w:rFonts w:hint="eastAsia" w:ascii="宋体" w:hAnsi="宋体"/>
          <w:sz w:val="24"/>
        </w:rPr>
      </w:pPr>
      <w:r>
        <w:rPr>
          <w:rFonts w:ascii="宋体" w:hAnsi="宋体"/>
          <w:sz w:val="24"/>
        </w:rPr>
        <w:t>1</w:t>
      </w:r>
      <w:r>
        <w:rPr>
          <w:rFonts w:hint="eastAsia" w:ascii="宋体" w:hAnsi="宋体"/>
          <w:sz w:val="24"/>
        </w:rPr>
        <w:t>3、灌注时间：1～60s连续可调，间歇时间：0～60s连续可调</w:t>
      </w:r>
      <w:bookmarkStart w:id="2" w:name="_Hlk144456920"/>
      <w:r>
        <w:rPr>
          <w:rFonts w:hint="eastAsia" w:ascii="宋体" w:hAnsi="宋体"/>
          <w:sz w:val="24"/>
        </w:rPr>
        <w:t>，误差±5s</w:t>
      </w:r>
      <w:bookmarkEnd w:id="2"/>
      <w:r>
        <w:rPr>
          <w:rFonts w:hint="eastAsia" w:ascii="宋体" w:hAnsi="宋体"/>
          <w:sz w:val="24"/>
        </w:rPr>
        <w:t xml:space="preserve">； </w:t>
      </w:r>
    </w:p>
    <w:p w14:paraId="739AB653">
      <w:pPr>
        <w:keepNext w:val="0"/>
        <w:keepLines w:val="0"/>
        <w:pageBreakBefore w:val="0"/>
        <w:kinsoku/>
        <w:wordWrap/>
        <w:topLinePunct w:val="0"/>
        <w:bidi w:val="0"/>
        <w:spacing w:line="276" w:lineRule="auto"/>
        <w:ind w:firstLine="480" w:firstLineChars="200"/>
        <w:rPr>
          <w:rFonts w:ascii="宋体" w:hAnsi="宋体"/>
          <w:sz w:val="24"/>
        </w:rPr>
      </w:pPr>
      <w:r>
        <w:rPr>
          <w:rFonts w:ascii="宋体" w:hAnsi="宋体"/>
          <w:sz w:val="24"/>
        </w:rPr>
        <w:t>1</w:t>
      </w:r>
      <w:r>
        <w:rPr>
          <w:rFonts w:hint="eastAsia" w:ascii="宋体" w:hAnsi="宋体"/>
          <w:sz w:val="24"/>
        </w:rPr>
        <w:t>4、自动排出灌注液桶中部分液体；</w:t>
      </w:r>
      <w:r>
        <w:rPr>
          <w:rFonts w:ascii="宋体" w:hAnsi="宋体"/>
          <w:sz w:val="24"/>
        </w:rPr>
        <w:t xml:space="preserve"> </w:t>
      </w:r>
    </w:p>
    <w:p w14:paraId="0DAE4430">
      <w:pPr>
        <w:keepNext w:val="0"/>
        <w:keepLines w:val="0"/>
        <w:pageBreakBefore w:val="0"/>
        <w:kinsoku/>
        <w:wordWrap/>
        <w:topLinePunct w:val="0"/>
        <w:bidi w:val="0"/>
        <w:spacing w:line="276" w:lineRule="auto"/>
        <w:ind w:firstLine="480" w:firstLineChars="200"/>
        <w:rPr>
          <w:rFonts w:ascii="宋体" w:hAnsi="宋体"/>
          <w:sz w:val="24"/>
        </w:rPr>
      </w:pPr>
      <w:r>
        <w:rPr>
          <w:rFonts w:ascii="宋体" w:hAnsi="宋体"/>
          <w:sz w:val="24"/>
        </w:rPr>
        <w:t>1</w:t>
      </w:r>
      <w:r>
        <w:rPr>
          <w:rFonts w:hint="eastAsia" w:ascii="宋体" w:hAnsi="宋体"/>
          <w:sz w:val="24"/>
        </w:rPr>
        <w:t xml:space="preserve">5、计算灌注液量自动归零； </w:t>
      </w:r>
    </w:p>
    <w:p w14:paraId="6C6A8768">
      <w:pPr>
        <w:keepNext w:val="0"/>
        <w:keepLines w:val="0"/>
        <w:pageBreakBefore w:val="0"/>
        <w:kinsoku/>
        <w:wordWrap/>
        <w:topLinePunct w:val="0"/>
        <w:bidi w:val="0"/>
        <w:spacing w:line="276" w:lineRule="auto"/>
        <w:ind w:firstLine="480" w:firstLineChars="200"/>
        <w:rPr>
          <w:rFonts w:ascii="宋体" w:hAnsi="宋体"/>
          <w:sz w:val="24"/>
        </w:rPr>
      </w:pPr>
      <w:r>
        <w:rPr>
          <w:rFonts w:hint="eastAsia" w:ascii="宋体" w:hAnsi="宋体" w:eastAsia="宋体" w:cs="宋体"/>
          <w:sz w:val="24"/>
        </w:rPr>
        <w:t>▲</w:t>
      </w:r>
      <w:r>
        <w:rPr>
          <w:rFonts w:hint="eastAsia" w:ascii="宋体" w:hAnsi="宋体"/>
          <w:sz w:val="24"/>
        </w:rPr>
        <w:t>16、灌注温度控温范围：25℃～43℃，任意设定</w:t>
      </w:r>
      <w:bookmarkStart w:id="3" w:name="_Hlk144456953"/>
      <w:r>
        <w:rPr>
          <w:rFonts w:hint="eastAsia" w:ascii="宋体" w:hAnsi="宋体"/>
          <w:sz w:val="24"/>
        </w:rPr>
        <w:t>，误差±0.5℃</w:t>
      </w:r>
      <w:bookmarkEnd w:id="3"/>
      <w:r>
        <w:rPr>
          <w:rFonts w:hint="eastAsia" w:ascii="宋体" w:hAnsi="宋体"/>
          <w:sz w:val="24"/>
        </w:rPr>
        <w:t>；</w:t>
      </w:r>
    </w:p>
    <w:p w14:paraId="7538CD79">
      <w:pPr>
        <w:keepNext w:val="0"/>
        <w:keepLines w:val="0"/>
        <w:pageBreakBefore w:val="0"/>
        <w:kinsoku/>
        <w:wordWrap/>
        <w:topLinePunct w:val="0"/>
        <w:bidi w:val="0"/>
        <w:spacing w:line="276" w:lineRule="auto"/>
        <w:ind w:firstLine="480" w:firstLineChars="200"/>
        <w:rPr>
          <w:rFonts w:ascii="宋体" w:hAnsi="宋体"/>
          <w:sz w:val="24"/>
        </w:rPr>
      </w:pPr>
      <w:r>
        <w:rPr>
          <w:rFonts w:hint="eastAsia" w:ascii="宋体" w:hAnsi="宋体"/>
          <w:sz w:val="24"/>
        </w:rPr>
        <w:t>17、自动对净水器进行清洗；</w:t>
      </w:r>
    </w:p>
    <w:p w14:paraId="40F1A063">
      <w:pPr>
        <w:keepNext w:val="0"/>
        <w:keepLines w:val="0"/>
        <w:pageBreakBefore w:val="0"/>
        <w:kinsoku/>
        <w:wordWrap/>
        <w:topLinePunct w:val="0"/>
        <w:bidi w:val="0"/>
        <w:spacing w:line="276" w:lineRule="auto"/>
        <w:ind w:firstLine="480" w:firstLineChars="200"/>
        <w:rPr>
          <w:rFonts w:hint="eastAsia" w:ascii="宋体" w:hAnsi="宋体"/>
          <w:sz w:val="24"/>
        </w:rPr>
      </w:pPr>
      <w:r>
        <w:rPr>
          <w:rFonts w:hint="eastAsia" w:ascii="宋体" w:hAnsi="宋体"/>
          <w:sz w:val="24"/>
        </w:rPr>
        <w:t>▲</w:t>
      </w:r>
      <w:r>
        <w:rPr>
          <w:rFonts w:ascii="宋体" w:hAnsi="宋体"/>
          <w:sz w:val="24"/>
        </w:rPr>
        <w:t>1</w:t>
      </w:r>
      <w:r>
        <w:rPr>
          <w:rFonts w:hint="eastAsia" w:ascii="宋体" w:hAnsi="宋体"/>
          <w:sz w:val="24"/>
        </w:rPr>
        <w:t xml:space="preserve">8、过滤系统：采用国际流行的自动清洁净水器，水质达到饮用标准； </w:t>
      </w:r>
    </w:p>
    <w:p w14:paraId="06023BF0">
      <w:pPr>
        <w:keepNext w:val="0"/>
        <w:keepLines w:val="0"/>
        <w:pageBreakBefore w:val="0"/>
        <w:kinsoku/>
        <w:wordWrap/>
        <w:topLinePunct w:val="0"/>
        <w:bidi w:val="0"/>
        <w:spacing w:line="276" w:lineRule="auto"/>
        <w:ind w:firstLine="480" w:firstLineChars="200"/>
        <w:rPr>
          <w:rFonts w:ascii="宋体" w:hAnsi="宋体"/>
          <w:sz w:val="24"/>
        </w:rPr>
      </w:pPr>
      <w:r>
        <w:rPr>
          <w:rFonts w:hint="eastAsia" w:ascii="宋体" w:hAnsi="宋体"/>
          <w:sz w:val="24"/>
        </w:rPr>
        <w:t>▲19、臭氧消毒系统：水中臭氧浓度0.2 mg/L～0.8mg/L，在最大工作周期下，泄露到空气中的臭氧浓度≤0</w:t>
      </w:r>
      <w:r>
        <w:rPr>
          <w:rFonts w:ascii="宋体" w:hAnsi="宋体"/>
          <w:sz w:val="24"/>
        </w:rPr>
        <w:t>.15</w:t>
      </w:r>
      <w:r>
        <w:rPr>
          <w:rFonts w:hint="eastAsia" w:ascii="宋体" w:hAnsi="宋体"/>
          <w:sz w:val="24"/>
        </w:rPr>
        <w:t>mg</w:t>
      </w:r>
      <w:r>
        <w:rPr>
          <w:rFonts w:ascii="宋体" w:hAnsi="宋体"/>
          <w:sz w:val="24"/>
        </w:rPr>
        <w:t>/</w:t>
      </w:r>
      <w:r>
        <w:rPr>
          <w:rFonts w:hint="eastAsia" w:ascii="宋体" w:hAnsi="宋体"/>
          <w:sz w:val="24"/>
        </w:rPr>
        <w:t>m³；臭氧时间1～10分钟连续可调；</w:t>
      </w:r>
    </w:p>
    <w:p w14:paraId="5843812A">
      <w:pPr>
        <w:keepNext w:val="0"/>
        <w:keepLines w:val="0"/>
        <w:pageBreakBefore w:val="0"/>
        <w:numPr>
          <w:ilvl w:val="0"/>
          <w:numId w:val="4"/>
        </w:numPr>
        <w:kinsoku/>
        <w:wordWrap/>
        <w:topLinePunct w:val="0"/>
        <w:bidi w:val="0"/>
        <w:spacing w:line="276" w:lineRule="auto"/>
        <w:ind w:firstLine="480" w:firstLineChars="200"/>
        <w:rPr>
          <w:rFonts w:hint="eastAsia" w:ascii="宋体" w:hAnsi="宋体"/>
          <w:sz w:val="24"/>
          <w:lang w:eastAsia="zh-CN"/>
        </w:rPr>
      </w:pPr>
      <w:r>
        <w:rPr>
          <w:rFonts w:hint="eastAsia" w:ascii="宋体" w:hAnsi="宋体"/>
          <w:sz w:val="24"/>
        </w:rPr>
        <w:t>包含嵌入式软件，《计算机软件著作权登记证书》</w:t>
      </w:r>
      <w:r>
        <w:rPr>
          <w:rFonts w:hint="eastAsia" w:ascii="宋体" w:hAnsi="宋体"/>
          <w:sz w:val="24"/>
          <w:lang w:eastAsia="zh-CN"/>
        </w:rPr>
        <w:t>；</w:t>
      </w:r>
    </w:p>
    <w:p w14:paraId="48FF7595">
      <w:pPr>
        <w:keepNext w:val="0"/>
        <w:keepLines w:val="0"/>
        <w:pageBreakBefore w:val="0"/>
        <w:numPr>
          <w:ilvl w:val="0"/>
          <w:numId w:val="4"/>
        </w:numPr>
        <w:kinsoku/>
        <w:wordWrap/>
        <w:topLinePunct w:val="0"/>
        <w:bidi w:val="0"/>
        <w:spacing w:line="276" w:lineRule="auto"/>
        <w:ind w:firstLine="480" w:firstLineChars="200"/>
        <w:rPr>
          <w:rFonts w:hint="eastAsia" w:ascii="宋体" w:hAnsi="宋体"/>
          <w:sz w:val="24"/>
          <w:lang w:eastAsia="zh-CN"/>
        </w:rPr>
      </w:pPr>
      <w:r>
        <w:rPr>
          <w:rFonts w:hint="eastAsia" w:ascii="宋体" w:hAnsi="宋体"/>
          <w:sz w:val="24"/>
          <w:lang w:val="en-US" w:eastAsia="zh-CN"/>
        </w:rPr>
        <w:t>功率</w:t>
      </w:r>
      <w:r>
        <w:rPr>
          <w:rFonts w:hint="default" w:ascii="Arial" w:hAnsi="Arial" w:cs="Arial"/>
          <w:sz w:val="24"/>
          <w:lang w:val="en-US" w:eastAsia="zh-CN"/>
        </w:rPr>
        <w:t>≤</w:t>
      </w:r>
      <w:r>
        <w:rPr>
          <w:rFonts w:hint="eastAsia" w:ascii="宋体" w:hAnsi="宋体"/>
          <w:sz w:val="24"/>
          <w:lang w:val="en-US" w:eastAsia="zh-CN"/>
        </w:rPr>
        <w:t>2500VA</w:t>
      </w:r>
    </w:p>
    <w:p w14:paraId="34BE3A43">
      <w:pPr>
        <w:keepNext w:val="0"/>
        <w:keepLines w:val="0"/>
        <w:pageBreakBefore w:val="0"/>
        <w:numPr>
          <w:ilvl w:val="0"/>
          <w:numId w:val="4"/>
        </w:numPr>
        <w:kinsoku/>
        <w:wordWrap/>
        <w:topLinePunct w:val="0"/>
        <w:bidi w:val="0"/>
        <w:spacing w:line="276" w:lineRule="auto"/>
        <w:ind w:firstLine="480" w:firstLineChars="200"/>
        <w:rPr>
          <w:rFonts w:hint="eastAsia" w:ascii="宋体" w:hAnsi="宋体"/>
          <w:sz w:val="24"/>
          <w:lang w:eastAsia="zh-CN"/>
        </w:rPr>
      </w:pPr>
      <w:r>
        <w:rPr>
          <w:rFonts w:hint="eastAsia" w:ascii="宋体" w:hAnsi="宋体"/>
          <w:sz w:val="24"/>
          <w:lang w:val="en-US" w:eastAsia="zh-CN"/>
        </w:rPr>
        <w:t>显示屏</w:t>
      </w:r>
      <w:r>
        <w:rPr>
          <w:rFonts w:hint="default" w:ascii="Arial" w:hAnsi="Arial" w:cs="Arial"/>
          <w:sz w:val="24"/>
          <w:lang w:val="en-US" w:eastAsia="zh-CN"/>
        </w:rPr>
        <w:t>≥</w:t>
      </w:r>
      <w:r>
        <w:rPr>
          <w:rFonts w:hint="eastAsia" w:ascii="宋体" w:hAnsi="宋体"/>
          <w:sz w:val="24"/>
          <w:lang w:val="en-US" w:eastAsia="zh-CN"/>
        </w:rPr>
        <w:t>93*275mm</w:t>
      </w:r>
    </w:p>
    <w:p w14:paraId="3EB862BD">
      <w:pPr>
        <w:keepNext w:val="0"/>
        <w:keepLines w:val="0"/>
        <w:pageBreakBefore w:val="0"/>
        <w:numPr>
          <w:ilvl w:val="0"/>
          <w:numId w:val="4"/>
        </w:numPr>
        <w:kinsoku/>
        <w:wordWrap/>
        <w:topLinePunct w:val="0"/>
        <w:bidi w:val="0"/>
        <w:spacing w:line="276" w:lineRule="auto"/>
        <w:ind w:firstLine="562" w:firstLineChars="200"/>
        <w:rPr>
          <w:rFonts w:hint="eastAsia" w:ascii="宋体" w:hAnsi="宋体"/>
          <w:b/>
          <w:bCs/>
          <w:sz w:val="28"/>
          <w:szCs w:val="28"/>
          <w:lang w:eastAsia="zh-CN"/>
        </w:rPr>
      </w:pPr>
      <w:r>
        <w:rPr>
          <w:rFonts w:hint="eastAsia" w:ascii="宋体" w:hAnsi="宋体"/>
          <w:b/>
          <w:bCs/>
          <w:sz w:val="28"/>
          <w:szCs w:val="28"/>
          <w:lang w:val="en-US" w:eastAsia="zh-CN"/>
        </w:rPr>
        <w:t>一次性结肠冲洗套件入院价格不高于22元/套。</w:t>
      </w:r>
      <w:r>
        <w:rPr>
          <w:rFonts w:hint="eastAsia" w:ascii="仿宋" w:hAnsi="仿宋" w:eastAsia="仿宋" w:cs="仿宋"/>
          <w:sz w:val="28"/>
          <w:szCs w:val="28"/>
          <w:lang w:val="en-US" w:eastAsia="zh-CN"/>
        </w:rPr>
        <w:t>耗材供货期限为3年，配送期间耗材价格不得高于湖南省药品和医用耗材招采管理子系统中标价</w:t>
      </w:r>
    </w:p>
    <w:p w14:paraId="218F1736">
      <w:pPr>
        <w:pStyle w:val="13"/>
        <w:keepNext w:val="0"/>
        <w:keepLines w:val="0"/>
        <w:pageBreakBefore w:val="0"/>
        <w:numPr>
          <w:ilvl w:val="0"/>
          <w:numId w:val="0"/>
        </w:numPr>
        <w:kinsoku/>
        <w:wordWrap/>
        <w:topLinePunct w:val="0"/>
        <w:bidi w:val="0"/>
        <w:ind w:leftChars="0" w:firstLine="562" w:firstLineChars="200"/>
        <w:jc w:val="both"/>
        <w:rPr>
          <w:rFonts w:hint="eastAsia" w:ascii="宋体" w:hAnsi="宋体" w:eastAsia="宋体" w:cs="宋体"/>
          <w:b/>
          <w:bCs/>
          <w:color w:val="000000"/>
          <w:kern w:val="2"/>
          <w:sz w:val="28"/>
          <w:szCs w:val="28"/>
          <w:lang w:val="en-US" w:eastAsia="zh-CN" w:bidi="ar-SA"/>
        </w:rPr>
      </w:pPr>
      <w:r>
        <w:rPr>
          <w:rFonts w:hint="eastAsia" w:ascii="宋体" w:hAnsi="宋体" w:eastAsia="宋体" w:cs="宋体"/>
          <w:b/>
          <w:bCs/>
          <w:color w:val="000000"/>
          <w:kern w:val="2"/>
          <w:sz w:val="28"/>
          <w:szCs w:val="28"/>
          <w:lang w:val="en-US" w:eastAsia="zh-CN" w:bidi="ar-SA"/>
        </w:rPr>
        <w:t>24、配置清单</w:t>
      </w:r>
    </w:p>
    <w:tbl>
      <w:tblPr>
        <w:tblStyle w:val="15"/>
        <w:tblW w:w="6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2652"/>
        <w:gridCol w:w="1591"/>
        <w:gridCol w:w="1591"/>
      </w:tblGrid>
      <w:tr w14:paraId="1A61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1D31E152">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序号</w:t>
            </w:r>
          </w:p>
        </w:tc>
        <w:tc>
          <w:tcPr>
            <w:tcW w:w="2652" w:type="dxa"/>
            <w:noWrap w:val="0"/>
            <w:vAlign w:val="center"/>
          </w:tcPr>
          <w:p w14:paraId="51EDC2C5">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名称</w:t>
            </w:r>
          </w:p>
        </w:tc>
        <w:tc>
          <w:tcPr>
            <w:tcW w:w="1591" w:type="dxa"/>
            <w:noWrap w:val="0"/>
            <w:vAlign w:val="center"/>
          </w:tcPr>
          <w:p w14:paraId="7F85A7F4">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单位</w:t>
            </w:r>
          </w:p>
        </w:tc>
        <w:tc>
          <w:tcPr>
            <w:tcW w:w="1591" w:type="dxa"/>
            <w:noWrap w:val="0"/>
            <w:vAlign w:val="center"/>
          </w:tcPr>
          <w:p w14:paraId="269A7253">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数量</w:t>
            </w:r>
          </w:p>
        </w:tc>
      </w:tr>
      <w:tr w14:paraId="6E575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1C5FDACB">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1</w:t>
            </w:r>
          </w:p>
        </w:tc>
        <w:tc>
          <w:tcPr>
            <w:tcW w:w="2652" w:type="dxa"/>
            <w:noWrap w:val="0"/>
            <w:vAlign w:val="center"/>
          </w:tcPr>
          <w:p w14:paraId="3799CE07">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整机</w:t>
            </w:r>
          </w:p>
        </w:tc>
        <w:tc>
          <w:tcPr>
            <w:tcW w:w="1591" w:type="dxa"/>
            <w:noWrap w:val="0"/>
            <w:vAlign w:val="center"/>
          </w:tcPr>
          <w:p w14:paraId="07B49903">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台</w:t>
            </w:r>
          </w:p>
        </w:tc>
        <w:tc>
          <w:tcPr>
            <w:tcW w:w="1591" w:type="dxa"/>
            <w:noWrap w:val="0"/>
            <w:vAlign w:val="center"/>
          </w:tcPr>
          <w:p w14:paraId="64D773CB">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1</w:t>
            </w:r>
          </w:p>
        </w:tc>
      </w:tr>
      <w:tr w14:paraId="0F1B3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702ECD21">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2</w:t>
            </w:r>
          </w:p>
        </w:tc>
        <w:tc>
          <w:tcPr>
            <w:tcW w:w="2652" w:type="dxa"/>
            <w:noWrap w:val="0"/>
            <w:vAlign w:val="center"/>
          </w:tcPr>
          <w:p w14:paraId="5BB355D0">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嵌入式软件</w:t>
            </w:r>
          </w:p>
        </w:tc>
        <w:tc>
          <w:tcPr>
            <w:tcW w:w="1591" w:type="dxa"/>
            <w:noWrap w:val="0"/>
            <w:vAlign w:val="center"/>
          </w:tcPr>
          <w:p w14:paraId="307A9634">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套</w:t>
            </w:r>
          </w:p>
        </w:tc>
        <w:tc>
          <w:tcPr>
            <w:tcW w:w="1591" w:type="dxa"/>
            <w:noWrap w:val="0"/>
            <w:vAlign w:val="center"/>
          </w:tcPr>
          <w:p w14:paraId="1B4B935E">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w:t>
            </w:r>
          </w:p>
        </w:tc>
      </w:tr>
      <w:tr w14:paraId="420A0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69AE7C96">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3</w:t>
            </w:r>
          </w:p>
        </w:tc>
        <w:tc>
          <w:tcPr>
            <w:tcW w:w="2652" w:type="dxa"/>
            <w:noWrap w:val="0"/>
            <w:vAlign w:val="center"/>
          </w:tcPr>
          <w:p w14:paraId="79C978CA">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电源线</w:t>
            </w:r>
          </w:p>
        </w:tc>
        <w:tc>
          <w:tcPr>
            <w:tcW w:w="1591" w:type="dxa"/>
            <w:noWrap w:val="0"/>
            <w:vAlign w:val="center"/>
          </w:tcPr>
          <w:p w14:paraId="35B3B822">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根</w:t>
            </w:r>
          </w:p>
        </w:tc>
        <w:tc>
          <w:tcPr>
            <w:tcW w:w="1591" w:type="dxa"/>
            <w:noWrap w:val="0"/>
            <w:vAlign w:val="center"/>
          </w:tcPr>
          <w:p w14:paraId="397C98F6">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1</w:t>
            </w:r>
          </w:p>
        </w:tc>
      </w:tr>
      <w:tr w14:paraId="66914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527BF62A">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4</w:t>
            </w:r>
          </w:p>
        </w:tc>
        <w:tc>
          <w:tcPr>
            <w:tcW w:w="2652" w:type="dxa"/>
            <w:noWrap w:val="0"/>
            <w:vAlign w:val="center"/>
          </w:tcPr>
          <w:p w14:paraId="6E2F21CF">
            <w:pPr>
              <w:keepNext w:val="0"/>
              <w:keepLines w:val="0"/>
              <w:widowControl/>
              <w:suppressLineNumbers w:val="0"/>
              <w:jc w:val="center"/>
              <w:textAlignment w:val="top"/>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i w:val="0"/>
                <w:color w:val="000000"/>
                <w:kern w:val="0"/>
                <w:sz w:val="24"/>
                <w:szCs w:val="24"/>
                <w:u w:val="none"/>
                <w:lang w:val="en-US" w:eastAsia="zh-CN" w:bidi="ar"/>
              </w:rPr>
              <w:t>硅胶管</w:t>
            </w:r>
          </w:p>
        </w:tc>
        <w:tc>
          <w:tcPr>
            <w:tcW w:w="1591" w:type="dxa"/>
            <w:noWrap w:val="0"/>
            <w:vAlign w:val="center"/>
          </w:tcPr>
          <w:p w14:paraId="4235B740">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根</w:t>
            </w:r>
          </w:p>
        </w:tc>
        <w:tc>
          <w:tcPr>
            <w:tcW w:w="1591" w:type="dxa"/>
            <w:noWrap w:val="0"/>
            <w:vAlign w:val="center"/>
          </w:tcPr>
          <w:p w14:paraId="763E4909">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2</w:t>
            </w:r>
          </w:p>
        </w:tc>
      </w:tr>
      <w:tr w14:paraId="1A757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2A3DB0FA">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5</w:t>
            </w:r>
          </w:p>
        </w:tc>
        <w:tc>
          <w:tcPr>
            <w:tcW w:w="2652" w:type="dxa"/>
            <w:noWrap w:val="0"/>
            <w:vAlign w:val="center"/>
          </w:tcPr>
          <w:p w14:paraId="5634EB51">
            <w:pPr>
              <w:keepNext w:val="0"/>
              <w:keepLines w:val="0"/>
              <w:widowControl/>
              <w:suppressLineNumbers w:val="0"/>
              <w:jc w:val="center"/>
              <w:textAlignment w:val="top"/>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i w:val="0"/>
                <w:color w:val="000000"/>
                <w:kern w:val="0"/>
                <w:sz w:val="24"/>
                <w:szCs w:val="24"/>
                <w:u w:val="none"/>
                <w:lang w:val="en-US" w:eastAsia="zh-CN" w:bidi="ar"/>
              </w:rPr>
              <w:t>PU</w:t>
            </w:r>
            <w:r>
              <w:rPr>
                <w:rFonts w:hint="eastAsia" w:ascii="Times New Roman" w:hAnsi="Times New Roman" w:eastAsia="宋体" w:cs="Times New Roman"/>
                <w:b w:val="0"/>
                <w:bCs w:val="0"/>
                <w:sz w:val="24"/>
                <w:szCs w:val="24"/>
                <w:vertAlign w:val="baseline"/>
                <w:lang w:val="en-US" w:eastAsia="zh-CN"/>
              </w:rPr>
              <w:t>进水管</w:t>
            </w:r>
          </w:p>
        </w:tc>
        <w:tc>
          <w:tcPr>
            <w:tcW w:w="1591" w:type="dxa"/>
            <w:noWrap w:val="0"/>
            <w:vAlign w:val="center"/>
          </w:tcPr>
          <w:p w14:paraId="0586D784">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根</w:t>
            </w:r>
          </w:p>
        </w:tc>
        <w:tc>
          <w:tcPr>
            <w:tcW w:w="1591" w:type="dxa"/>
            <w:noWrap w:val="0"/>
            <w:vAlign w:val="center"/>
          </w:tcPr>
          <w:p w14:paraId="1F486D3E">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w:t>
            </w:r>
          </w:p>
        </w:tc>
      </w:tr>
      <w:tr w14:paraId="477B3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10925C97">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6</w:t>
            </w:r>
          </w:p>
        </w:tc>
        <w:tc>
          <w:tcPr>
            <w:tcW w:w="2652" w:type="dxa"/>
            <w:noWrap w:val="0"/>
            <w:vAlign w:val="center"/>
          </w:tcPr>
          <w:p w14:paraId="0363CB56">
            <w:pPr>
              <w:keepNext w:val="0"/>
              <w:keepLines w:val="0"/>
              <w:widowControl/>
              <w:suppressLineNumbers w:val="0"/>
              <w:jc w:val="center"/>
              <w:textAlignment w:val="top"/>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i w:val="0"/>
                <w:color w:val="000000"/>
                <w:kern w:val="0"/>
                <w:sz w:val="24"/>
                <w:szCs w:val="24"/>
                <w:u w:val="none"/>
                <w:lang w:val="en-US" w:eastAsia="zh-CN" w:bidi="ar"/>
              </w:rPr>
              <w:t>PU</w:t>
            </w:r>
            <w:r>
              <w:rPr>
                <w:rFonts w:hint="eastAsia" w:ascii="Times New Roman" w:hAnsi="Times New Roman" w:eastAsia="宋体" w:cs="Times New Roman"/>
                <w:b w:val="0"/>
                <w:bCs w:val="0"/>
                <w:sz w:val="24"/>
                <w:szCs w:val="24"/>
                <w:vertAlign w:val="baseline"/>
                <w:lang w:val="en-US" w:eastAsia="zh-CN"/>
              </w:rPr>
              <w:t>进水管</w:t>
            </w:r>
          </w:p>
        </w:tc>
        <w:tc>
          <w:tcPr>
            <w:tcW w:w="1591" w:type="dxa"/>
            <w:noWrap w:val="0"/>
            <w:vAlign w:val="center"/>
          </w:tcPr>
          <w:p w14:paraId="46698655">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根</w:t>
            </w:r>
          </w:p>
        </w:tc>
        <w:tc>
          <w:tcPr>
            <w:tcW w:w="1591" w:type="dxa"/>
            <w:noWrap w:val="0"/>
            <w:vAlign w:val="center"/>
          </w:tcPr>
          <w:p w14:paraId="286F3F5A">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w:t>
            </w:r>
          </w:p>
        </w:tc>
      </w:tr>
      <w:tr w14:paraId="39718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63E86960">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eastAsia" w:ascii="Times New Roman" w:hAnsi="Times New Roman" w:eastAsia="宋体" w:cs="Times New Roman"/>
                <w:b w:val="0"/>
                <w:bCs w:val="0"/>
                <w:sz w:val="24"/>
                <w:szCs w:val="24"/>
                <w:vertAlign w:val="baseline"/>
                <w:lang w:val="en-US" w:eastAsia="zh-CN"/>
              </w:rPr>
              <w:t>7</w:t>
            </w:r>
          </w:p>
        </w:tc>
        <w:tc>
          <w:tcPr>
            <w:tcW w:w="2652" w:type="dxa"/>
            <w:noWrap w:val="0"/>
            <w:vAlign w:val="center"/>
          </w:tcPr>
          <w:p w14:paraId="16E70B6F">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i w:val="0"/>
                <w:color w:val="000000"/>
                <w:kern w:val="0"/>
                <w:sz w:val="24"/>
                <w:szCs w:val="24"/>
                <w:u w:val="none"/>
                <w:lang w:val="en-US" w:eastAsia="zh-CN" w:bidi="ar"/>
              </w:rPr>
              <w:t>PU</w:t>
            </w:r>
            <w:r>
              <w:rPr>
                <w:rFonts w:hint="eastAsia" w:ascii="Times New Roman" w:hAnsi="Times New Roman" w:eastAsia="宋体" w:cs="Times New Roman"/>
                <w:b w:val="0"/>
                <w:bCs w:val="0"/>
                <w:sz w:val="24"/>
                <w:szCs w:val="24"/>
                <w:vertAlign w:val="baseline"/>
                <w:lang w:val="en-US" w:eastAsia="zh-CN"/>
              </w:rPr>
              <w:t>排液管</w:t>
            </w:r>
          </w:p>
        </w:tc>
        <w:tc>
          <w:tcPr>
            <w:tcW w:w="1591" w:type="dxa"/>
            <w:noWrap w:val="0"/>
            <w:vAlign w:val="center"/>
          </w:tcPr>
          <w:p w14:paraId="69566808">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根</w:t>
            </w:r>
          </w:p>
        </w:tc>
        <w:tc>
          <w:tcPr>
            <w:tcW w:w="1591" w:type="dxa"/>
            <w:noWrap w:val="0"/>
            <w:vAlign w:val="center"/>
          </w:tcPr>
          <w:p w14:paraId="3506E139">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w:t>
            </w:r>
          </w:p>
        </w:tc>
      </w:tr>
      <w:tr w14:paraId="69F77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489AC7D9">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8</w:t>
            </w:r>
          </w:p>
        </w:tc>
        <w:tc>
          <w:tcPr>
            <w:tcW w:w="2652" w:type="dxa"/>
            <w:noWrap w:val="0"/>
            <w:vAlign w:val="center"/>
          </w:tcPr>
          <w:p w14:paraId="204DA751">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导流管（洗肠）</w:t>
            </w:r>
          </w:p>
        </w:tc>
        <w:tc>
          <w:tcPr>
            <w:tcW w:w="1591" w:type="dxa"/>
            <w:noWrap w:val="0"/>
            <w:vAlign w:val="center"/>
          </w:tcPr>
          <w:p w14:paraId="4AAB6CDD">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包</w:t>
            </w:r>
          </w:p>
        </w:tc>
        <w:tc>
          <w:tcPr>
            <w:tcW w:w="1591" w:type="dxa"/>
            <w:noWrap w:val="0"/>
            <w:vAlign w:val="center"/>
          </w:tcPr>
          <w:p w14:paraId="70C8A48B">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w:t>
            </w:r>
          </w:p>
        </w:tc>
      </w:tr>
      <w:tr w14:paraId="6270A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64F43172">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9</w:t>
            </w:r>
          </w:p>
        </w:tc>
        <w:tc>
          <w:tcPr>
            <w:tcW w:w="2652" w:type="dxa"/>
            <w:noWrap w:val="0"/>
            <w:vAlign w:val="center"/>
          </w:tcPr>
          <w:p w14:paraId="3F9AFCF8">
            <w:pPr>
              <w:keepNext w:val="0"/>
              <w:keepLines w:val="0"/>
              <w:widowControl/>
              <w:suppressLineNumbers w:val="0"/>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进水安装包</w:t>
            </w:r>
          </w:p>
        </w:tc>
        <w:tc>
          <w:tcPr>
            <w:tcW w:w="1591" w:type="dxa"/>
            <w:noWrap w:val="0"/>
            <w:vAlign w:val="center"/>
          </w:tcPr>
          <w:p w14:paraId="7FC04547">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包</w:t>
            </w:r>
          </w:p>
        </w:tc>
        <w:tc>
          <w:tcPr>
            <w:tcW w:w="1591" w:type="dxa"/>
            <w:noWrap w:val="0"/>
            <w:vAlign w:val="center"/>
          </w:tcPr>
          <w:p w14:paraId="18D33648">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w:t>
            </w:r>
          </w:p>
        </w:tc>
      </w:tr>
      <w:tr w14:paraId="65B1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737A38A2">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10</w:t>
            </w:r>
          </w:p>
        </w:tc>
        <w:tc>
          <w:tcPr>
            <w:tcW w:w="2652" w:type="dxa"/>
            <w:noWrap w:val="0"/>
            <w:vAlign w:val="center"/>
          </w:tcPr>
          <w:p w14:paraId="693D86CD">
            <w:pPr>
              <w:keepNext w:val="0"/>
              <w:keepLines w:val="0"/>
              <w:widowControl/>
              <w:suppressLineNumbers w:val="0"/>
              <w:spacing w:line="360" w:lineRule="auto"/>
              <w:jc w:val="center"/>
              <w:textAlignment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探头包（结肠）</w:t>
            </w:r>
          </w:p>
        </w:tc>
        <w:tc>
          <w:tcPr>
            <w:tcW w:w="1591" w:type="dxa"/>
            <w:noWrap w:val="0"/>
            <w:vAlign w:val="center"/>
          </w:tcPr>
          <w:p w14:paraId="74DB8339">
            <w:pPr>
              <w:spacing w:line="360" w:lineRule="auto"/>
              <w:jc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包</w:t>
            </w:r>
          </w:p>
        </w:tc>
        <w:tc>
          <w:tcPr>
            <w:tcW w:w="1591" w:type="dxa"/>
            <w:noWrap w:val="0"/>
            <w:vAlign w:val="center"/>
          </w:tcPr>
          <w:p w14:paraId="4481AECD">
            <w:pPr>
              <w:spacing w:line="360" w:lineRule="auto"/>
              <w:jc w:val="center"/>
              <w:rPr>
                <w:rFonts w:hint="eastAsia"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15</w:t>
            </w:r>
          </w:p>
        </w:tc>
      </w:tr>
      <w:tr w14:paraId="13AB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625D2B1A">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11</w:t>
            </w:r>
          </w:p>
        </w:tc>
        <w:tc>
          <w:tcPr>
            <w:tcW w:w="2652" w:type="dxa"/>
            <w:noWrap w:val="0"/>
            <w:vAlign w:val="center"/>
          </w:tcPr>
          <w:p w14:paraId="511515FF">
            <w:pPr>
              <w:keepNext w:val="0"/>
              <w:keepLines w:val="0"/>
              <w:widowControl/>
              <w:suppressLineNumbers w:val="0"/>
              <w:spacing w:line="360" w:lineRule="auto"/>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洗肠治疗探头</w:t>
            </w:r>
          </w:p>
        </w:tc>
        <w:tc>
          <w:tcPr>
            <w:tcW w:w="1591" w:type="dxa"/>
            <w:noWrap w:val="0"/>
            <w:vAlign w:val="center"/>
          </w:tcPr>
          <w:p w14:paraId="596CACFE">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包</w:t>
            </w:r>
          </w:p>
        </w:tc>
        <w:tc>
          <w:tcPr>
            <w:tcW w:w="1591" w:type="dxa"/>
            <w:noWrap w:val="0"/>
            <w:vAlign w:val="center"/>
          </w:tcPr>
          <w:p w14:paraId="03AFA660">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15</w:t>
            </w:r>
          </w:p>
        </w:tc>
      </w:tr>
      <w:tr w14:paraId="75AB5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6FB1FB4F">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eastAsia" w:ascii="Times New Roman" w:hAnsi="Times New Roman" w:eastAsia="宋体" w:cs="Times New Roman"/>
                <w:b w:val="0"/>
                <w:bCs w:val="0"/>
                <w:sz w:val="24"/>
                <w:szCs w:val="24"/>
                <w:vertAlign w:val="baseline"/>
                <w:lang w:val="en-US" w:eastAsia="zh-CN"/>
              </w:rPr>
              <w:t>12</w:t>
            </w:r>
          </w:p>
        </w:tc>
        <w:tc>
          <w:tcPr>
            <w:tcW w:w="2652" w:type="dxa"/>
            <w:noWrap w:val="0"/>
            <w:vAlign w:val="center"/>
          </w:tcPr>
          <w:p w14:paraId="12C51F50">
            <w:pPr>
              <w:keepNext w:val="0"/>
              <w:keepLines w:val="0"/>
              <w:widowControl/>
              <w:suppressLineNumbers w:val="0"/>
              <w:spacing w:line="360" w:lineRule="auto"/>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保险丝</w:t>
            </w:r>
          </w:p>
        </w:tc>
        <w:tc>
          <w:tcPr>
            <w:tcW w:w="1591" w:type="dxa"/>
            <w:noWrap w:val="0"/>
            <w:vAlign w:val="center"/>
          </w:tcPr>
          <w:p w14:paraId="55E26C00">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个</w:t>
            </w:r>
          </w:p>
        </w:tc>
        <w:tc>
          <w:tcPr>
            <w:tcW w:w="1591" w:type="dxa"/>
            <w:noWrap w:val="0"/>
            <w:vAlign w:val="center"/>
          </w:tcPr>
          <w:p w14:paraId="604E1378">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2</w:t>
            </w:r>
          </w:p>
        </w:tc>
      </w:tr>
      <w:tr w14:paraId="333D0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6F2653C3">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eastAsia" w:ascii="Times New Roman" w:hAnsi="Times New Roman" w:eastAsia="宋体" w:cs="Times New Roman"/>
                <w:b w:val="0"/>
                <w:bCs w:val="0"/>
                <w:sz w:val="24"/>
                <w:szCs w:val="24"/>
                <w:vertAlign w:val="baseline"/>
                <w:lang w:val="en-US" w:eastAsia="zh-CN"/>
              </w:rPr>
              <w:t>13</w:t>
            </w:r>
          </w:p>
        </w:tc>
        <w:tc>
          <w:tcPr>
            <w:tcW w:w="2652" w:type="dxa"/>
            <w:noWrap w:val="0"/>
            <w:vAlign w:val="center"/>
          </w:tcPr>
          <w:p w14:paraId="3FE6C1AD">
            <w:pPr>
              <w:spacing w:line="360" w:lineRule="auto"/>
              <w:jc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auto"/>
                <w:kern w:val="0"/>
                <w:sz w:val="24"/>
                <w:szCs w:val="24"/>
                <w:u w:val="none"/>
                <w:lang w:val="en-US" w:eastAsia="zh-CN" w:bidi="ar"/>
              </w:rPr>
              <w:t>塑料宝塔接头</w:t>
            </w:r>
          </w:p>
        </w:tc>
        <w:tc>
          <w:tcPr>
            <w:tcW w:w="1591" w:type="dxa"/>
            <w:noWrap w:val="0"/>
            <w:vAlign w:val="center"/>
          </w:tcPr>
          <w:p w14:paraId="17B1CC29">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个</w:t>
            </w:r>
          </w:p>
        </w:tc>
        <w:tc>
          <w:tcPr>
            <w:tcW w:w="1591" w:type="dxa"/>
            <w:noWrap w:val="0"/>
            <w:vAlign w:val="center"/>
          </w:tcPr>
          <w:p w14:paraId="21CFCF01">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2</w:t>
            </w:r>
          </w:p>
        </w:tc>
      </w:tr>
      <w:tr w14:paraId="73E91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32B5FCF6">
            <w:pPr>
              <w:spacing w:line="360" w:lineRule="auto"/>
              <w:jc w:val="center"/>
              <w:rPr>
                <w:rFonts w:hint="eastAsia" w:ascii="Times New Roman" w:hAnsi="Times New Roman" w:eastAsia="宋体" w:cs="Times New Roman"/>
                <w:b w:val="0"/>
                <w:bCs w:val="0"/>
                <w:kern w:val="2"/>
                <w:sz w:val="24"/>
                <w:szCs w:val="24"/>
                <w:vertAlign w:val="baseline"/>
                <w:lang w:val="en-US" w:eastAsia="zh-CN" w:bidi="ar-SA"/>
              </w:rPr>
            </w:pPr>
            <w:r>
              <w:rPr>
                <w:rFonts w:hint="eastAsia" w:ascii="Times New Roman" w:hAnsi="Times New Roman" w:eastAsia="宋体" w:cs="Times New Roman"/>
                <w:b w:val="0"/>
                <w:bCs w:val="0"/>
                <w:sz w:val="24"/>
                <w:szCs w:val="24"/>
                <w:vertAlign w:val="baseline"/>
                <w:lang w:val="en-US" w:eastAsia="zh-CN"/>
              </w:rPr>
              <w:t>14</w:t>
            </w:r>
          </w:p>
        </w:tc>
        <w:tc>
          <w:tcPr>
            <w:tcW w:w="2652" w:type="dxa"/>
            <w:noWrap w:val="0"/>
            <w:vAlign w:val="center"/>
          </w:tcPr>
          <w:p w14:paraId="2FDD3D31">
            <w:pPr>
              <w:spacing w:line="360" w:lineRule="auto"/>
              <w:jc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b w:val="0"/>
                <w:bCs w:val="0"/>
                <w:sz w:val="24"/>
                <w:szCs w:val="24"/>
                <w:vertAlign w:val="baseline"/>
                <w:lang w:val="en-US" w:eastAsia="zh-CN"/>
              </w:rPr>
              <w:t>合格证</w:t>
            </w:r>
          </w:p>
        </w:tc>
        <w:tc>
          <w:tcPr>
            <w:tcW w:w="1591" w:type="dxa"/>
            <w:noWrap w:val="0"/>
            <w:vAlign w:val="center"/>
          </w:tcPr>
          <w:p w14:paraId="646F9886">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份</w:t>
            </w:r>
          </w:p>
        </w:tc>
        <w:tc>
          <w:tcPr>
            <w:tcW w:w="1591" w:type="dxa"/>
            <w:noWrap w:val="0"/>
            <w:vAlign w:val="center"/>
          </w:tcPr>
          <w:p w14:paraId="02308235">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1</w:t>
            </w:r>
          </w:p>
        </w:tc>
      </w:tr>
      <w:tr w14:paraId="5E17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4127E672">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eastAsia" w:ascii="Times New Roman" w:hAnsi="Times New Roman" w:eastAsia="宋体" w:cs="Times New Roman"/>
                <w:b w:val="0"/>
                <w:bCs w:val="0"/>
                <w:sz w:val="24"/>
                <w:szCs w:val="24"/>
                <w:vertAlign w:val="baseline"/>
                <w:lang w:val="en-US" w:eastAsia="zh-CN"/>
              </w:rPr>
              <w:t>15</w:t>
            </w:r>
          </w:p>
        </w:tc>
        <w:tc>
          <w:tcPr>
            <w:tcW w:w="2652" w:type="dxa"/>
            <w:noWrap w:val="0"/>
            <w:vAlign w:val="center"/>
          </w:tcPr>
          <w:p w14:paraId="7EB883D3">
            <w:pPr>
              <w:spacing w:line="360" w:lineRule="auto"/>
              <w:jc w:val="center"/>
              <w:rPr>
                <w:rFonts w:hint="default" w:ascii="Times New Roman" w:hAnsi="Times New Roman" w:eastAsia="宋体" w:cs="Times New Roman"/>
                <w:i w:val="0"/>
                <w:color w:val="FF0000"/>
                <w:kern w:val="0"/>
                <w:sz w:val="24"/>
                <w:szCs w:val="24"/>
                <w:u w:val="none"/>
                <w:lang w:val="en-US" w:eastAsia="zh-CN" w:bidi="ar"/>
              </w:rPr>
            </w:pPr>
            <w:r>
              <w:rPr>
                <w:rFonts w:hint="default" w:ascii="Times New Roman" w:hAnsi="Times New Roman" w:eastAsia="宋体" w:cs="Times New Roman"/>
                <w:b w:val="0"/>
                <w:bCs w:val="0"/>
                <w:sz w:val="24"/>
                <w:szCs w:val="24"/>
                <w:vertAlign w:val="baseline"/>
                <w:lang w:val="en-US" w:eastAsia="zh-CN"/>
              </w:rPr>
              <w:t>保修卡</w:t>
            </w:r>
          </w:p>
        </w:tc>
        <w:tc>
          <w:tcPr>
            <w:tcW w:w="1591" w:type="dxa"/>
            <w:noWrap w:val="0"/>
            <w:vAlign w:val="center"/>
          </w:tcPr>
          <w:p w14:paraId="232A753D">
            <w:pPr>
              <w:spacing w:line="360" w:lineRule="auto"/>
              <w:jc w:val="center"/>
              <w:rPr>
                <w:rFonts w:hint="default" w:ascii="Times New Roman" w:hAnsi="Times New Roman" w:eastAsia="宋体" w:cs="Times New Roman"/>
                <w:b w:val="0"/>
                <w:bCs w:val="0"/>
                <w:color w:val="FF000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份</w:t>
            </w:r>
          </w:p>
        </w:tc>
        <w:tc>
          <w:tcPr>
            <w:tcW w:w="1591" w:type="dxa"/>
            <w:noWrap w:val="0"/>
            <w:vAlign w:val="center"/>
          </w:tcPr>
          <w:p w14:paraId="13C7B0EF">
            <w:pPr>
              <w:spacing w:line="360" w:lineRule="auto"/>
              <w:jc w:val="center"/>
              <w:rPr>
                <w:rFonts w:hint="default" w:ascii="Times New Roman" w:hAnsi="Times New Roman" w:eastAsia="宋体" w:cs="Times New Roman"/>
                <w:b w:val="0"/>
                <w:bCs w:val="0"/>
                <w:color w:val="FF000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1</w:t>
            </w:r>
          </w:p>
        </w:tc>
      </w:tr>
      <w:tr w14:paraId="1FEF8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74FFDBCB">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eastAsia" w:ascii="Times New Roman" w:hAnsi="Times New Roman" w:eastAsia="宋体" w:cs="Times New Roman"/>
                <w:b w:val="0"/>
                <w:bCs w:val="0"/>
                <w:sz w:val="24"/>
                <w:szCs w:val="24"/>
                <w:vertAlign w:val="baseline"/>
                <w:lang w:val="en-US" w:eastAsia="zh-CN"/>
              </w:rPr>
              <w:t>16</w:t>
            </w:r>
          </w:p>
        </w:tc>
        <w:tc>
          <w:tcPr>
            <w:tcW w:w="2652" w:type="dxa"/>
            <w:noWrap w:val="0"/>
            <w:vAlign w:val="center"/>
          </w:tcPr>
          <w:p w14:paraId="772DA76C">
            <w:pPr>
              <w:spacing w:line="360" w:lineRule="auto"/>
              <w:jc w:val="center"/>
              <w:rPr>
                <w:rFonts w:hint="eastAsia"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说明书</w:t>
            </w:r>
          </w:p>
        </w:tc>
        <w:tc>
          <w:tcPr>
            <w:tcW w:w="1591" w:type="dxa"/>
            <w:noWrap w:val="0"/>
            <w:vAlign w:val="center"/>
          </w:tcPr>
          <w:p w14:paraId="49ADD0DB">
            <w:pPr>
              <w:spacing w:line="360" w:lineRule="auto"/>
              <w:jc w:val="center"/>
              <w:rPr>
                <w:rFonts w:hint="eastAsia"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份</w:t>
            </w:r>
          </w:p>
        </w:tc>
        <w:tc>
          <w:tcPr>
            <w:tcW w:w="1591" w:type="dxa"/>
            <w:noWrap w:val="0"/>
            <w:vAlign w:val="center"/>
          </w:tcPr>
          <w:p w14:paraId="5C05AE4E">
            <w:pPr>
              <w:spacing w:line="360" w:lineRule="auto"/>
              <w:jc w:val="center"/>
              <w:rPr>
                <w:rFonts w:hint="eastAsia"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1</w:t>
            </w:r>
          </w:p>
        </w:tc>
      </w:tr>
      <w:tr w14:paraId="5DC3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4970E0B1">
            <w:pPr>
              <w:spacing w:line="360" w:lineRule="auto"/>
              <w:jc w:val="center"/>
              <w:rPr>
                <w:rFonts w:hint="default" w:ascii="Times New Roman" w:hAnsi="Times New Roman" w:eastAsia="宋体" w:cs="Times New Roman"/>
                <w:b w:val="0"/>
                <w:bCs w:val="0"/>
                <w:kern w:val="2"/>
                <w:sz w:val="24"/>
                <w:szCs w:val="24"/>
                <w:vertAlign w:val="baseline"/>
                <w:lang w:val="en-US" w:eastAsia="zh-CN" w:bidi="ar-SA"/>
              </w:rPr>
            </w:pPr>
            <w:r>
              <w:rPr>
                <w:rFonts w:hint="eastAsia" w:ascii="Times New Roman" w:hAnsi="Times New Roman" w:eastAsia="宋体" w:cs="Times New Roman"/>
                <w:b w:val="0"/>
                <w:bCs w:val="0"/>
                <w:sz w:val="24"/>
                <w:szCs w:val="24"/>
                <w:vertAlign w:val="baseline"/>
                <w:lang w:val="en-US" w:eastAsia="zh-CN"/>
              </w:rPr>
              <w:t>17</w:t>
            </w:r>
          </w:p>
        </w:tc>
        <w:tc>
          <w:tcPr>
            <w:tcW w:w="2652" w:type="dxa"/>
            <w:noWrap w:val="0"/>
            <w:vAlign w:val="center"/>
          </w:tcPr>
          <w:p w14:paraId="3CD0CA84">
            <w:pPr>
              <w:spacing w:line="360" w:lineRule="auto"/>
              <w:jc w:val="center"/>
              <w:rPr>
                <w:rFonts w:hint="eastAsia"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使用注意事项</w:t>
            </w:r>
          </w:p>
        </w:tc>
        <w:tc>
          <w:tcPr>
            <w:tcW w:w="1591" w:type="dxa"/>
            <w:noWrap w:val="0"/>
            <w:vAlign w:val="center"/>
          </w:tcPr>
          <w:p w14:paraId="10BFF5BC">
            <w:pPr>
              <w:spacing w:line="360" w:lineRule="auto"/>
              <w:jc w:val="center"/>
              <w:rPr>
                <w:rFonts w:hint="eastAsia"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份</w:t>
            </w:r>
          </w:p>
        </w:tc>
        <w:tc>
          <w:tcPr>
            <w:tcW w:w="1591" w:type="dxa"/>
            <w:noWrap w:val="0"/>
            <w:vAlign w:val="center"/>
          </w:tcPr>
          <w:p w14:paraId="68EAAA4E">
            <w:pPr>
              <w:spacing w:line="360" w:lineRule="auto"/>
              <w:jc w:val="center"/>
              <w:rPr>
                <w:rFonts w:hint="eastAsia"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1</w:t>
            </w:r>
          </w:p>
        </w:tc>
      </w:tr>
      <w:tr w14:paraId="0E345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120A8938">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18</w:t>
            </w:r>
          </w:p>
        </w:tc>
        <w:tc>
          <w:tcPr>
            <w:tcW w:w="2652" w:type="dxa"/>
            <w:noWrap w:val="0"/>
            <w:vAlign w:val="center"/>
          </w:tcPr>
          <w:p w14:paraId="4B346BC8">
            <w:pPr>
              <w:spacing w:line="360" w:lineRule="auto"/>
              <w:jc w:val="center"/>
              <w:rPr>
                <w:rFonts w:hint="eastAsia"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签收单（2联）</w:t>
            </w:r>
          </w:p>
        </w:tc>
        <w:tc>
          <w:tcPr>
            <w:tcW w:w="1591" w:type="dxa"/>
            <w:noWrap w:val="0"/>
            <w:vAlign w:val="center"/>
          </w:tcPr>
          <w:p w14:paraId="31DD332C">
            <w:pPr>
              <w:spacing w:line="360" w:lineRule="auto"/>
              <w:jc w:val="center"/>
              <w:rPr>
                <w:rFonts w:hint="eastAsia"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份</w:t>
            </w:r>
          </w:p>
        </w:tc>
        <w:tc>
          <w:tcPr>
            <w:tcW w:w="1591" w:type="dxa"/>
            <w:noWrap w:val="0"/>
            <w:vAlign w:val="center"/>
          </w:tcPr>
          <w:p w14:paraId="0E24B265">
            <w:pPr>
              <w:spacing w:line="360" w:lineRule="auto"/>
              <w:jc w:val="center"/>
              <w:rPr>
                <w:rFonts w:hint="eastAsia" w:ascii="Times New Roman" w:hAnsi="Times New Roman" w:eastAsia="宋体" w:cs="Times New Roman"/>
                <w:b w:val="0"/>
                <w:bCs w:val="0"/>
                <w:kern w:val="2"/>
                <w:sz w:val="24"/>
                <w:szCs w:val="24"/>
                <w:vertAlign w:val="baseline"/>
                <w:lang w:val="en-US" w:eastAsia="zh-CN" w:bidi="ar-SA"/>
              </w:rPr>
            </w:pPr>
            <w:r>
              <w:rPr>
                <w:rFonts w:hint="default" w:ascii="Times New Roman" w:hAnsi="Times New Roman" w:eastAsia="宋体" w:cs="Times New Roman"/>
                <w:b w:val="0"/>
                <w:bCs w:val="0"/>
                <w:sz w:val="24"/>
                <w:szCs w:val="24"/>
                <w:vertAlign w:val="baseline"/>
                <w:lang w:val="en-US" w:eastAsia="zh-CN"/>
              </w:rPr>
              <w:t>1</w:t>
            </w:r>
          </w:p>
        </w:tc>
      </w:tr>
      <w:tr w14:paraId="0287C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2" w:type="dxa"/>
            <w:noWrap w:val="0"/>
            <w:vAlign w:val="center"/>
          </w:tcPr>
          <w:p w14:paraId="328D5A9A">
            <w:pPr>
              <w:spacing w:line="360" w:lineRule="auto"/>
              <w:jc w:val="center"/>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val="0"/>
                <w:bCs w:val="0"/>
                <w:sz w:val="24"/>
                <w:szCs w:val="24"/>
                <w:vertAlign w:val="baseline"/>
                <w:lang w:val="en-US" w:eastAsia="zh-CN"/>
              </w:rPr>
              <w:t>19</w:t>
            </w:r>
          </w:p>
        </w:tc>
        <w:tc>
          <w:tcPr>
            <w:tcW w:w="2652" w:type="dxa"/>
            <w:noWrap w:val="0"/>
            <w:vAlign w:val="center"/>
          </w:tcPr>
          <w:p w14:paraId="2ED4C151">
            <w:pPr>
              <w:spacing w:line="360" w:lineRule="auto"/>
              <w:jc w:val="center"/>
              <w:rPr>
                <w:rFonts w:hint="eastAsia" w:ascii="Times New Roman" w:hAnsi="Times New Roman" w:eastAsia="宋体" w:cs="Times New Roman"/>
                <w:b w:val="0"/>
                <w:bCs w:val="0"/>
                <w:kern w:val="2"/>
                <w:sz w:val="24"/>
                <w:szCs w:val="24"/>
                <w:vertAlign w:val="baseline"/>
                <w:lang w:val="en-US" w:eastAsia="zh-CN" w:bidi="ar-SA"/>
              </w:rPr>
            </w:pPr>
            <w:r>
              <w:rPr>
                <w:rFonts w:hint="eastAsia" w:ascii="Times New Roman" w:hAnsi="Times New Roman" w:eastAsia="宋体" w:cs="Times New Roman"/>
                <w:b w:val="0"/>
                <w:bCs w:val="0"/>
                <w:sz w:val="24"/>
                <w:szCs w:val="24"/>
                <w:vertAlign w:val="baseline"/>
                <w:lang w:val="en-US" w:eastAsia="zh-CN"/>
              </w:rPr>
              <w:t>防尘罩</w:t>
            </w:r>
          </w:p>
        </w:tc>
        <w:tc>
          <w:tcPr>
            <w:tcW w:w="1591" w:type="dxa"/>
            <w:noWrap w:val="0"/>
            <w:vAlign w:val="center"/>
          </w:tcPr>
          <w:p w14:paraId="0B2DA3FF">
            <w:pPr>
              <w:spacing w:line="360" w:lineRule="auto"/>
              <w:jc w:val="center"/>
              <w:rPr>
                <w:rFonts w:hint="eastAsia" w:ascii="Times New Roman" w:hAnsi="Times New Roman" w:eastAsia="宋体" w:cs="Times New Roman"/>
                <w:b w:val="0"/>
                <w:bCs w:val="0"/>
                <w:kern w:val="2"/>
                <w:sz w:val="24"/>
                <w:szCs w:val="24"/>
                <w:vertAlign w:val="baseline"/>
                <w:lang w:val="en-US" w:eastAsia="zh-CN" w:bidi="ar-SA"/>
              </w:rPr>
            </w:pPr>
            <w:r>
              <w:rPr>
                <w:rFonts w:hint="eastAsia" w:ascii="Times New Roman" w:hAnsi="Times New Roman" w:eastAsia="宋体" w:cs="Times New Roman"/>
                <w:b w:val="0"/>
                <w:bCs w:val="0"/>
                <w:sz w:val="24"/>
                <w:szCs w:val="24"/>
                <w:vertAlign w:val="baseline"/>
                <w:lang w:val="en-US" w:eastAsia="zh-CN"/>
              </w:rPr>
              <w:t>个</w:t>
            </w:r>
          </w:p>
        </w:tc>
        <w:tc>
          <w:tcPr>
            <w:tcW w:w="1591" w:type="dxa"/>
            <w:noWrap w:val="0"/>
            <w:vAlign w:val="center"/>
          </w:tcPr>
          <w:p w14:paraId="26B09BDA">
            <w:pPr>
              <w:spacing w:line="360" w:lineRule="auto"/>
              <w:jc w:val="center"/>
              <w:rPr>
                <w:rFonts w:hint="eastAsia" w:ascii="Times New Roman" w:hAnsi="Times New Roman" w:eastAsia="宋体" w:cs="Times New Roman"/>
                <w:b w:val="0"/>
                <w:bCs w:val="0"/>
                <w:kern w:val="2"/>
                <w:sz w:val="24"/>
                <w:szCs w:val="24"/>
                <w:vertAlign w:val="baseline"/>
                <w:lang w:val="en-US" w:eastAsia="zh-CN" w:bidi="ar-SA"/>
              </w:rPr>
            </w:pPr>
            <w:r>
              <w:rPr>
                <w:rFonts w:hint="eastAsia" w:ascii="Times New Roman" w:hAnsi="Times New Roman" w:eastAsia="宋体" w:cs="Times New Roman"/>
                <w:b w:val="0"/>
                <w:bCs w:val="0"/>
                <w:sz w:val="24"/>
                <w:szCs w:val="24"/>
                <w:vertAlign w:val="baseline"/>
                <w:lang w:val="en-US" w:eastAsia="zh-CN"/>
              </w:rPr>
              <w:t>1</w:t>
            </w:r>
          </w:p>
        </w:tc>
      </w:tr>
      <w:tr w14:paraId="45EF0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jc w:val="center"/>
        </w:trPr>
        <w:tc>
          <w:tcPr>
            <w:tcW w:w="6566" w:type="dxa"/>
            <w:gridSpan w:val="4"/>
            <w:noWrap w:val="0"/>
            <w:vAlign w:val="top"/>
          </w:tcPr>
          <w:p w14:paraId="23F982EF">
            <w:pPr>
              <w:spacing w:line="360" w:lineRule="auto"/>
              <w:jc w:val="both"/>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备注：</w:t>
            </w:r>
            <w:r>
              <w:rPr>
                <w:rFonts w:hint="eastAsia" w:ascii="Times New Roman" w:hAnsi="Times New Roman" w:eastAsia="宋体" w:cs="Times New Roman"/>
                <w:b w:val="0"/>
                <w:bCs w:val="0"/>
                <w:sz w:val="24"/>
                <w:szCs w:val="24"/>
                <w:vertAlign w:val="baseline"/>
                <w:lang w:val="en-US" w:eastAsia="zh-CN"/>
              </w:rPr>
              <w:t>嵌入式软件已导入到主机</w:t>
            </w:r>
          </w:p>
        </w:tc>
      </w:tr>
    </w:tbl>
    <w:p w14:paraId="49490E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eastAsia" w:ascii="宋体" w:hAnsi="宋体" w:cs="宋体"/>
          <w:color w:val="auto"/>
          <w:sz w:val="24"/>
          <w:szCs w:val="24"/>
          <w:lang w:val="en-US" w:eastAsia="zh-CN"/>
        </w:rPr>
      </w:pPr>
      <w:r>
        <w:rPr>
          <w:rFonts w:hint="eastAsia" w:ascii="仿宋" w:hAnsi="仿宋" w:eastAsia="仿宋" w:cs="Times New Roman"/>
          <w:b/>
          <w:bCs/>
          <w:kern w:val="2"/>
          <w:sz w:val="28"/>
          <w:szCs w:val="28"/>
          <w:lang w:val="en-US" w:eastAsia="zh-CN" w:bidi="ar-SA"/>
        </w:rPr>
        <w:t>（二）商务参数</w:t>
      </w:r>
      <w:r>
        <w:rPr>
          <w:rStyle w:val="24"/>
          <w:rFonts w:hint="eastAsia" w:ascii="宋体" w:hAnsi="宋体"/>
          <w:b/>
          <w:color w:val="auto"/>
          <w:sz w:val="36"/>
          <w:lang w:val="en-US" w:eastAsia="zh-CN"/>
        </w:rPr>
        <w:cr/>
      </w:r>
      <w:r>
        <w:rPr>
          <w:rFonts w:hint="eastAsia" w:ascii="宋体" w:hAnsi="宋体" w:eastAsia="宋体" w:cs="宋体"/>
          <w:color w:val="auto"/>
          <w:sz w:val="24"/>
          <w:szCs w:val="24"/>
        </w:rPr>
        <w:t>★1、运输、装卸、培训、安装</w:t>
      </w:r>
      <w:r>
        <w:rPr>
          <w:rFonts w:hint="eastAsia" w:ascii="宋体" w:hAnsi="宋体" w:eastAsia="宋体" w:cs="宋体"/>
          <w:color w:val="auto"/>
          <w:sz w:val="24"/>
          <w:szCs w:val="24"/>
          <w:highlight w:val="none"/>
        </w:rPr>
        <w:t>调试：由中标人负责承担，最终通过使用科室、设备科及相关部门确认验收交付使用</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国产设备交付，设备必须为6个月内生产的产品；进口设备交付，设备必须为一年内生产的产品</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cr/>
      </w:r>
      <w:r>
        <w:rPr>
          <w:rFonts w:hint="eastAsia" w:ascii="宋体" w:hAnsi="宋体" w:eastAsia="宋体" w:cs="宋体"/>
          <w:color w:val="auto"/>
          <w:sz w:val="24"/>
          <w:szCs w:val="24"/>
          <w:highlight w:val="none"/>
        </w:rPr>
        <w:t>★2、交货时间：按</w:t>
      </w:r>
      <w:r>
        <w:rPr>
          <w:rFonts w:hint="eastAsia" w:ascii="宋体" w:hAnsi="宋体" w:cs="宋体"/>
          <w:color w:val="auto"/>
          <w:sz w:val="24"/>
          <w:szCs w:val="24"/>
          <w:highlight w:val="none"/>
          <w:lang w:val="en-US" w:eastAsia="zh-CN"/>
        </w:rPr>
        <w:t>合同约定的日期交货</w:t>
      </w:r>
      <w:r>
        <w:rPr>
          <w:rFonts w:hint="eastAsia" w:ascii="宋体" w:hAnsi="宋体" w:cs="宋体"/>
          <w:color w:val="auto"/>
          <w:sz w:val="24"/>
          <w:szCs w:val="24"/>
          <w:lang w:val="en-US" w:eastAsia="zh-CN"/>
        </w:rPr>
        <w:t>。</w:t>
      </w:r>
    </w:p>
    <w:p w14:paraId="41EA10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lang w:val="en-US" w:eastAsia="zh-CN"/>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、交货地点：娄底市中心医院</w:t>
      </w:r>
      <w:r>
        <w:rPr>
          <w:rFonts w:hint="eastAsia" w:ascii="宋体" w:hAnsi="宋体" w:cs="宋体"/>
          <w:color w:val="auto"/>
          <w:sz w:val="24"/>
          <w:szCs w:val="24"/>
          <w:lang w:val="en-US" w:eastAsia="zh-CN"/>
        </w:rPr>
        <w:t>指定地点</w:t>
      </w:r>
      <w:r>
        <w:rPr>
          <w:rFonts w:hint="eastAsia" w:ascii="宋体" w:hAnsi="宋体" w:eastAsia="宋体" w:cs="宋体"/>
          <w:color w:val="auto"/>
          <w:sz w:val="24"/>
          <w:szCs w:val="24"/>
        </w:rPr>
        <w:t>。</w:t>
      </w:r>
    </w:p>
    <w:p w14:paraId="2EEA0AC9">
      <w:pPr>
        <w:keepNext w:val="0"/>
        <w:keepLines w:val="0"/>
        <w:pageBreakBefore w:val="0"/>
        <w:widowControl/>
        <w:numPr>
          <w:ilvl w:val="0"/>
          <w:numId w:val="0"/>
        </w:numPr>
        <w:kinsoku/>
        <w:wordWrap/>
        <w:overflowPunct/>
        <w:topLinePunct w:val="0"/>
        <w:autoSpaceDE/>
        <w:autoSpaceDN/>
        <w:bidi w:val="0"/>
        <w:adjustRightInd w:val="0"/>
        <w:snapToGrid w:val="0"/>
        <w:spacing w:after="0" w:line="400" w:lineRule="exact"/>
        <w:ind w:leftChars="0" w:firstLine="480" w:firstLineChars="200"/>
        <w:textAlignment w:val="auto"/>
        <w:rPr>
          <w:rFonts w:hint="eastAsia" w:ascii="思源黑体 CN Medium" w:hAnsi="思源黑体 CN Medium" w:eastAsia="思源黑体 CN Medium" w:cs="思源黑体 CN Medium"/>
          <w:sz w:val="21"/>
          <w:szCs w:val="21"/>
          <w:lang w:val="en-US" w:eastAsia="zh-CN"/>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、付款方式：设备验收合格后，供应商将发票交到娄底市中心医院后按程序支付货款90%（一般情况下4个月内支付、特殊情况下最多不超过6个月），甲方在设备验收合格</w:t>
      </w:r>
      <w:r>
        <w:rPr>
          <w:rFonts w:hint="eastAsia" w:ascii="宋体" w:hAnsi="宋体" w:cs="宋体"/>
          <w:color w:val="auto"/>
          <w:sz w:val="24"/>
          <w:szCs w:val="24"/>
          <w:lang w:val="en-US" w:eastAsia="zh-CN"/>
        </w:rPr>
        <w:t>且质保期届满</w:t>
      </w:r>
      <w:r>
        <w:rPr>
          <w:rFonts w:hint="eastAsia" w:ascii="宋体" w:hAnsi="宋体" w:eastAsia="宋体" w:cs="宋体"/>
          <w:color w:val="auto"/>
          <w:sz w:val="24"/>
          <w:szCs w:val="24"/>
        </w:rPr>
        <w:t>后支付10%余款给乙方。</w:t>
      </w:r>
      <w:r>
        <w:rPr>
          <w:rFonts w:hint="eastAsia" w:ascii="宋体" w:hAnsi="宋体" w:eastAsia="宋体" w:cs="宋体"/>
          <w:color w:val="auto"/>
          <w:sz w:val="24"/>
          <w:szCs w:val="24"/>
        </w:rPr>
        <w:cr/>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★5、质保与售后：整机保修</w:t>
      </w:r>
      <w:r>
        <w:rPr>
          <w:rFonts w:hint="eastAsia" w:ascii="宋体" w:hAnsi="宋体" w:cs="宋体"/>
          <w:color w:val="auto"/>
          <w:sz w:val="24"/>
          <w:szCs w:val="24"/>
          <w:lang w:val="en-US" w:eastAsia="zh-CN"/>
        </w:rPr>
        <w:t xml:space="preserve"> 3 </w:t>
      </w:r>
      <w:r>
        <w:rPr>
          <w:rFonts w:hint="eastAsia" w:ascii="宋体" w:hAnsi="宋体" w:eastAsia="宋体" w:cs="宋体"/>
          <w:color w:val="auto"/>
          <w:sz w:val="24"/>
          <w:szCs w:val="24"/>
        </w:rPr>
        <w:t>年，终身维修。</w:t>
      </w:r>
      <w:r>
        <w:rPr>
          <w:rFonts w:hint="eastAsia" w:ascii="宋体" w:hAnsi="宋体" w:cs="宋体"/>
          <w:color w:val="auto"/>
          <w:sz w:val="24"/>
          <w:szCs w:val="24"/>
          <w:lang w:val="en-US" w:eastAsia="zh-CN"/>
        </w:rPr>
        <w:t>验收时</w:t>
      </w:r>
      <w:r>
        <w:rPr>
          <w:rFonts w:hint="eastAsia" w:ascii="宋体" w:hAnsi="宋体" w:eastAsia="宋体" w:cs="宋体"/>
          <w:color w:val="auto"/>
          <w:sz w:val="24"/>
          <w:szCs w:val="24"/>
        </w:rPr>
        <w:t>出具原厂售后质保承诺书，质保期内每年巡检</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rPr>
        <w:t>次</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并提交巡检记录</w:t>
      </w:r>
      <w:r>
        <w:rPr>
          <w:rFonts w:hint="eastAsia" w:ascii="宋体" w:hAnsi="宋体" w:eastAsia="宋体" w:cs="宋体"/>
          <w:color w:val="auto"/>
          <w:sz w:val="24"/>
          <w:szCs w:val="24"/>
        </w:rPr>
        <w:t>。</w:t>
      </w:r>
      <w:r>
        <w:rPr>
          <w:rFonts w:hint="eastAsia" w:ascii="宋体" w:hAnsi="宋体" w:eastAsia="宋体" w:cs="宋体"/>
          <w:color w:val="auto"/>
          <w:sz w:val="24"/>
          <w:szCs w:val="24"/>
          <w:lang w:val="zh-CN" w:eastAsia="zh-CN"/>
        </w:rPr>
        <w:t>质保期内</w:t>
      </w:r>
      <w:r>
        <w:rPr>
          <w:rFonts w:hint="eastAsia" w:ascii="宋体" w:hAnsi="宋体" w:cs="宋体"/>
          <w:color w:val="auto"/>
          <w:sz w:val="24"/>
          <w:szCs w:val="24"/>
          <w:lang w:val="en-US" w:eastAsia="zh-CN"/>
        </w:rPr>
        <w:t>出现故障</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1小时响应，响应后24小时上门服务。</w:t>
      </w:r>
    </w:p>
    <w:p w14:paraId="07B1D5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6、在投标文件中必须提供相关技术资料并加盖投标人公章（如技术参数、技术白皮书、说明书、彩页等），并在响应表中对技术参数中“★”、“▲”以及要求提供佐证材料的条款备注该条参数响应或正偏离的佐证资料所在页码。</w:t>
      </w:r>
    </w:p>
    <w:p w14:paraId="6D468025">
      <w:pPr>
        <w:pStyle w:val="13"/>
        <w:keepNext w:val="0"/>
        <w:keepLines w:val="0"/>
        <w:pageBreakBefore w:val="0"/>
        <w:kinsoku/>
        <w:wordWrap/>
        <w:topLinePunct w:val="0"/>
        <w:bidi w:val="0"/>
        <w:ind w:left="0" w:leftChars="0" w:firstLine="480" w:firstLineChars="200"/>
        <w:rPr>
          <w:rFonts w:hint="eastAsia" w:ascii="仿宋" w:hAnsi="仿宋" w:eastAsia="仿宋" w:cs="仿宋"/>
          <w:sz w:val="28"/>
          <w:szCs w:val="28"/>
        </w:rPr>
      </w:pPr>
      <w:r>
        <w:rPr>
          <w:rFonts w:hint="eastAsia" w:ascii="宋体" w:hAnsi="宋体" w:eastAsia="宋体" w:cs="宋体"/>
          <w:color w:val="auto"/>
          <w:sz w:val="24"/>
          <w:szCs w:val="24"/>
          <w:lang w:val="en-US" w:eastAsia="zh-CN"/>
        </w:rPr>
        <w:t>★7、设备如涉及网络接口费用，由中标人承担，采购人不再出具任何费用。</w:t>
      </w:r>
    </w:p>
    <w:p w14:paraId="08E89011">
      <w:pPr>
        <w:widowControl/>
        <w:adjustRightInd w:val="0"/>
        <w:snapToGrid w:val="0"/>
        <w:spacing w:line="360" w:lineRule="auto"/>
        <w:rPr>
          <w:rFonts w:hint="eastAsia" w:hAnsi="Times New Roman" w:eastAsia="宋体" w:cs="Times New Roman"/>
          <w:b/>
          <w:bCs/>
          <w:sz w:val="36"/>
          <w:szCs w:val="36"/>
          <w:lang w:val="en-US" w:eastAsia="zh-CN"/>
        </w:rPr>
      </w:pPr>
    </w:p>
    <w:p w14:paraId="46A704C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textAlignment w:val="auto"/>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三、标书要求</w:t>
      </w:r>
    </w:p>
    <w:p w14:paraId="25ED71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1、封面：需注明标</w:t>
      </w:r>
      <w:r>
        <w:rPr>
          <w:rFonts w:hint="eastAsia" w:asciiTheme="minorEastAsia" w:hAnsiTheme="minorEastAsia" w:eastAsiaTheme="minorEastAsia" w:cstheme="minorEastAsia"/>
          <w:bCs/>
          <w:color w:val="FF0000"/>
          <w:kern w:val="0"/>
          <w:sz w:val="24"/>
          <w:szCs w:val="24"/>
          <w:lang w:val="en-US" w:eastAsia="zh-CN" w:bidi="ar-SA"/>
        </w:rPr>
        <w:t>的包号、名称</w:t>
      </w:r>
      <w:r>
        <w:rPr>
          <w:rFonts w:hint="eastAsia" w:asciiTheme="minorEastAsia" w:hAnsiTheme="minorEastAsia" w:eastAsiaTheme="minorEastAsia" w:cstheme="minorEastAsia"/>
          <w:bCs/>
          <w:color w:val="auto"/>
          <w:kern w:val="0"/>
          <w:sz w:val="24"/>
          <w:szCs w:val="24"/>
          <w:lang w:val="en-US" w:eastAsia="zh-CN" w:bidi="ar-SA"/>
        </w:rPr>
        <w:t>、投标文件、单位、时间；</w:t>
      </w:r>
    </w:p>
    <w:p w14:paraId="040BE2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2、“三证合一”或“五证合一”营业执照，医疗器械经营许可证或医疗器械经营备案凭证、生产厂家营业执照、生产许可证、产品注册证；</w:t>
      </w:r>
    </w:p>
    <w:p w14:paraId="241C0F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3、投标人身份证复印件；</w:t>
      </w:r>
    </w:p>
    <w:p w14:paraId="56F2FD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4、如投标人不是法定代表人，须持法定代表人亲笔签名的授权委托书,并提供法定代表人身份证明和法定代表人身份证复印件，同时要求法定代表人在身份证复印件上注明用途及签全名。</w:t>
      </w:r>
    </w:p>
    <w:p w14:paraId="3A6CE9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5、履行本项目所必需的资质证明；</w:t>
      </w:r>
    </w:p>
    <w:p w14:paraId="2DF147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6、针对此项目的技术、服务方案；</w:t>
      </w:r>
    </w:p>
    <w:p w14:paraId="09A42D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7、投标人认为需提供的其他和评审有关的资料；</w:t>
      </w:r>
    </w:p>
    <w:p w14:paraId="79C9DC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8、投标文件的每一页都必须加盖投标单位的公章；</w:t>
      </w:r>
    </w:p>
    <w:p w14:paraId="4A5603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9、投标文件参数响应表中必须标注响应项佐证材料所对应页面。</w:t>
      </w:r>
    </w:p>
    <w:p w14:paraId="1DEAF0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所有资料均应编入投标文件，胶装并用纸质文件袋封好（一正一副），标书必须“A4规格纸张胶制（非打孔或夹装）装订成册，并编制总目录”,要求密封，否则视为符合性审查不合格，作无效投标处理，在开标现场验证时打开，采用现场开标的方式。</w:t>
      </w:r>
    </w:p>
    <w:p w14:paraId="1386DB41">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auto"/>
          <w:kern w:val="0"/>
          <w:sz w:val="28"/>
          <w:szCs w:val="28"/>
          <w:lang w:val="en-US" w:eastAsia="zh-CN" w:bidi="ar-SA"/>
        </w:rPr>
        <w:t>四、合同</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w:t>
      </w:r>
    </w:p>
    <w:p w14:paraId="3DFE3FEF">
      <w:pPr>
        <w:keepNext w:val="0"/>
        <w:keepLines w:val="0"/>
        <w:pageBreakBefore w:val="0"/>
        <w:widowControl w:val="0"/>
        <w:kinsoku/>
        <w:wordWrap/>
        <w:overflowPunct/>
        <w:topLinePunct w:val="0"/>
        <w:autoSpaceDE/>
        <w:autoSpaceDN/>
        <w:bidi w:val="0"/>
        <w:adjustRightInd/>
        <w:snapToGrid/>
        <w:spacing w:line="520" w:lineRule="exact"/>
        <w:ind w:firstLine="6720" w:firstLineChars="2800"/>
        <w:textAlignment w:val="auto"/>
        <w:rPr>
          <w:rFonts w:hint="eastAsia" w:ascii="宋体" w:hAnsi="宋体" w:eastAsia="宋体" w:cs="宋体"/>
          <w:sz w:val="24"/>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sz w:val="24"/>
        </w:rPr>
        <w:t>合同编号：</w:t>
      </w:r>
    </w:p>
    <w:p w14:paraId="5DE777B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24"/>
        </w:rPr>
      </w:pPr>
      <w:r>
        <w:rPr>
          <w:rFonts w:hint="eastAsia" w:ascii="黑体" w:hAnsi="黑体" w:eastAsia="黑体" w:cs="黑体"/>
          <w:sz w:val="44"/>
          <w:szCs w:val="44"/>
        </w:rPr>
        <w:t>医疗设备及专机专用耗材采购合同</w:t>
      </w:r>
    </w:p>
    <w:p w14:paraId="13E84A53">
      <w:pPr>
        <w:spacing w:line="480" w:lineRule="exact"/>
        <w:rPr>
          <w:rFonts w:hint="eastAsia" w:ascii="宋体" w:hAnsi="宋体" w:eastAsia="宋体" w:cs="宋体"/>
          <w:b/>
          <w:bCs/>
          <w:sz w:val="24"/>
        </w:rPr>
      </w:pPr>
    </w:p>
    <w:p w14:paraId="51781763">
      <w:pPr>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eastAsia" w:ascii="宋体" w:hAnsi="宋体" w:eastAsia="宋体" w:cs="宋体"/>
          <w:sz w:val="24"/>
        </w:rPr>
      </w:pPr>
      <w:r>
        <w:rPr>
          <w:rFonts w:hint="eastAsia" w:ascii="宋体" w:hAnsi="宋体" w:eastAsia="宋体" w:cs="宋体"/>
          <w:b/>
          <w:bCs/>
          <w:sz w:val="24"/>
        </w:rPr>
        <w:t>甲方（采购方）：</w:t>
      </w:r>
      <w:r>
        <w:rPr>
          <w:rFonts w:hint="eastAsia" w:ascii="宋体" w:hAnsi="宋体" w:eastAsia="宋体" w:cs="宋体"/>
          <w:sz w:val="24"/>
        </w:rPr>
        <w:t>娄底市中心医院</w:t>
      </w:r>
    </w:p>
    <w:p w14:paraId="07260484">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法定代表人：杨吉军</w:t>
      </w:r>
    </w:p>
    <w:p w14:paraId="5887DD5F">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统一社会信用代码：12431300447162073W</w:t>
      </w:r>
    </w:p>
    <w:p w14:paraId="6F445FCC">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地址：湖南省娄底市娄星区长青中街51号</w:t>
      </w:r>
    </w:p>
    <w:p w14:paraId="2D1C1098">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lang w:eastAsia="zh-CN"/>
        </w:rPr>
      </w:pPr>
      <w:r>
        <w:rPr>
          <w:rFonts w:hint="eastAsia" w:ascii="宋体" w:hAnsi="宋体" w:eastAsia="宋体" w:cs="宋体"/>
          <w:sz w:val="24"/>
        </w:rPr>
        <w:t>联系人：</w:t>
      </w:r>
      <w:r>
        <w:rPr>
          <w:rFonts w:hint="eastAsia" w:ascii="宋体" w:hAnsi="宋体" w:eastAsia="宋体" w:cs="宋体"/>
          <w:sz w:val="24"/>
          <w:lang w:val="en-US" w:eastAsia="zh-CN"/>
        </w:rPr>
        <w:t>彭春涛</w:t>
      </w:r>
    </w:p>
    <w:p w14:paraId="28B557E2">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宋体" w:hAnsi="宋体" w:eastAsia="宋体" w:cs="宋体"/>
          <w:sz w:val="24"/>
          <w:lang w:val="en-US" w:eastAsia="zh-CN"/>
        </w:rPr>
      </w:pPr>
      <w:r>
        <w:rPr>
          <w:rFonts w:hint="eastAsia" w:ascii="宋体" w:hAnsi="宋体" w:eastAsia="宋体" w:cs="宋体"/>
          <w:sz w:val="24"/>
        </w:rPr>
        <w:t>联系电话：</w:t>
      </w:r>
      <w:r>
        <w:rPr>
          <w:rFonts w:hint="eastAsia" w:ascii="宋体" w:hAnsi="宋体" w:eastAsia="宋体" w:cs="宋体"/>
          <w:sz w:val="24"/>
          <w:lang w:val="en-US" w:eastAsia="zh-CN"/>
        </w:rPr>
        <w:t>13027388172</w:t>
      </w:r>
    </w:p>
    <w:p w14:paraId="4FF94993">
      <w:pPr>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eastAsia" w:ascii="宋体" w:hAnsi="宋体" w:eastAsia="宋体" w:cs="宋体"/>
          <w:b w:val="0"/>
          <w:bCs w:val="0"/>
          <w:sz w:val="24"/>
        </w:rPr>
      </w:pPr>
      <w:r>
        <w:rPr>
          <w:rFonts w:hint="eastAsia" w:ascii="宋体" w:hAnsi="宋体" w:eastAsia="宋体" w:cs="宋体"/>
          <w:b/>
          <w:bCs/>
          <w:sz w:val="24"/>
        </w:rPr>
        <w:t>乙方（供货方）：</w:t>
      </w:r>
    </w:p>
    <w:p w14:paraId="15A30D1E">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lang w:val="en-US" w:eastAsia="zh-CN"/>
        </w:rPr>
      </w:pPr>
      <w:r>
        <w:rPr>
          <w:rFonts w:hint="eastAsia" w:ascii="宋体" w:hAnsi="宋体" w:eastAsia="宋体" w:cs="宋体"/>
          <w:sz w:val="24"/>
        </w:rPr>
        <w:t>法定代表人：</w:t>
      </w:r>
    </w:p>
    <w:p w14:paraId="53640530">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统一社会信用代码：</w:t>
      </w:r>
    </w:p>
    <w:p w14:paraId="34C4B268">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cs="宋体"/>
          <w:sz w:val="24"/>
        </w:rPr>
      </w:pPr>
      <w:r>
        <w:rPr>
          <w:rFonts w:hint="eastAsia" w:ascii="宋体" w:hAnsi="宋体" w:eastAsia="宋体" w:cs="宋体"/>
          <w:sz w:val="24"/>
        </w:rPr>
        <w:t>地址：</w:t>
      </w:r>
    </w:p>
    <w:p w14:paraId="7218A9E6">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宋体" w:hAnsi="宋体" w:eastAsia="宋体" w:cs="宋体"/>
          <w:sz w:val="24"/>
          <w:lang w:val="en-US" w:eastAsia="zh-CN"/>
        </w:rPr>
      </w:pPr>
      <w:r>
        <w:rPr>
          <w:rFonts w:hint="eastAsia" w:ascii="宋体" w:hAnsi="宋体" w:eastAsia="宋体" w:cs="宋体"/>
          <w:sz w:val="24"/>
        </w:rPr>
        <w:t>联系人：</w:t>
      </w:r>
    </w:p>
    <w:p w14:paraId="36F8EEAF">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联系电话：</w:t>
      </w:r>
    </w:p>
    <w:p w14:paraId="33A7DAE7">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宋体" w:hAnsi="宋体" w:eastAsia="宋体" w:cs="宋体"/>
          <w:sz w:val="24"/>
          <w:lang w:val="en-US" w:eastAsia="zh-CN"/>
        </w:rPr>
      </w:pPr>
    </w:p>
    <w:p w14:paraId="06E98885">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甲方通过</w:t>
      </w:r>
      <w:r>
        <w:rPr>
          <w:rFonts w:hint="eastAsia" w:ascii="宋体" w:hAnsi="宋体" w:eastAsia="宋体" w:cs="宋体"/>
          <w:color w:val="000000" w:themeColor="text1"/>
          <w:sz w:val="24"/>
          <w:u w:val="single"/>
          <w14:textFill>
            <w14:solidFill>
              <w14:schemeClr w14:val="tx1"/>
            </w14:solidFill>
          </w14:textFill>
        </w:rPr>
        <w:t>医院公开挂网</w:t>
      </w:r>
      <w:r>
        <w:rPr>
          <w:rFonts w:hint="eastAsia" w:ascii="宋体" w:hAnsi="宋体" w:eastAsia="宋体" w:cs="宋体"/>
          <w:color w:val="000000" w:themeColor="text1"/>
          <w:sz w:val="24"/>
          <w14:textFill>
            <w14:solidFill>
              <w14:schemeClr w14:val="tx1"/>
            </w14:solidFill>
          </w14:textFill>
        </w:rPr>
        <w:t>方式采购</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结肠透析仪+结肠途径治疗仪（水疗仪） </w:t>
      </w:r>
      <w:r>
        <w:rPr>
          <w:rFonts w:hint="eastAsia" w:ascii="宋体" w:hAnsi="宋体" w:eastAsia="宋体" w:cs="宋体"/>
          <w:color w:val="000000" w:themeColor="text1"/>
          <w:sz w:val="24"/>
          <w14:textFill>
            <w14:solidFill>
              <w14:schemeClr w14:val="tx1"/>
            </w14:solidFill>
          </w14:textFill>
        </w:rPr>
        <w:t>，乙方为成交供应商。根据《中华人民共和国民法典》《中华人民共和国政府采购法》等相关法律规定，甲乙双方在采购项目确定的基础上，就采购</w:t>
      </w:r>
      <w:r>
        <w:rPr>
          <w:rFonts w:hint="eastAsia" w:ascii="宋体" w:hAnsi="宋体" w:eastAsia="宋体" w:cs="宋体"/>
          <w:color w:val="000000" w:themeColor="text1"/>
          <w:sz w:val="24"/>
          <w:u w:val="single"/>
          <w:lang w:val="en-US" w:eastAsia="zh-CN"/>
          <w14:textFill>
            <w14:solidFill>
              <w14:schemeClr w14:val="tx1"/>
            </w14:solidFill>
          </w14:textFill>
        </w:rPr>
        <w:t xml:space="preserve"> 结肠透析仪+结肠途径治疗仪（水疗仪） </w:t>
      </w:r>
      <w:r>
        <w:rPr>
          <w:rFonts w:hint="eastAsia" w:ascii="宋体" w:hAnsi="宋体" w:eastAsia="宋体" w:cs="宋体"/>
          <w:color w:val="000000" w:themeColor="text1"/>
          <w:sz w:val="24"/>
          <w14:textFill>
            <w14:solidFill>
              <w14:schemeClr w14:val="tx1"/>
            </w14:solidFill>
          </w14:textFill>
        </w:rPr>
        <w:t>事宜平等、自愿、公平、诚信协商，达成一致，特订立本合同，以资共同遵守。</w:t>
      </w:r>
    </w:p>
    <w:p w14:paraId="4826FABB">
      <w:pPr>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eastAsia" w:ascii="宋体" w:hAnsi="宋体" w:eastAsia="宋体" w:cs="宋体"/>
          <w:b/>
          <w:bCs/>
          <w:sz w:val="24"/>
        </w:rPr>
      </w:pPr>
      <w:r>
        <w:rPr>
          <w:rFonts w:hint="eastAsia" w:ascii="宋体" w:hAnsi="宋体" w:eastAsia="宋体" w:cs="宋体"/>
          <w:b/>
          <w:bCs/>
          <w:sz w:val="24"/>
        </w:rPr>
        <w:t>第一条  采购内容</w:t>
      </w:r>
    </w:p>
    <w:p w14:paraId="1A6DBC6A">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left="0" w:leftChars="0" w:firstLine="482" w:firstLineChars="200"/>
        <w:textAlignment w:val="auto"/>
        <w:rPr>
          <w:rFonts w:hint="eastAsia" w:ascii="宋体" w:hAnsi="宋体" w:eastAsia="宋体" w:cs="宋体"/>
          <w:b/>
          <w:bCs/>
          <w:sz w:val="24"/>
        </w:rPr>
      </w:pPr>
      <w:r>
        <w:rPr>
          <w:rFonts w:ascii="宋体" w:hAnsi="宋体" w:eastAsia="宋体" w:cs="宋体"/>
          <w:b/>
          <w:bCs/>
          <w:sz w:val="24"/>
        </w:rPr>
        <w:t>1.1</w:t>
      </w:r>
      <w:r>
        <w:rPr>
          <w:rFonts w:hint="eastAsia" w:ascii="宋体" w:hAnsi="宋体" w:eastAsia="宋体" w:cs="宋体"/>
          <w:b/>
          <w:bCs/>
          <w:sz w:val="24"/>
        </w:rPr>
        <w:t xml:space="preserve"> 采购设备</w:t>
      </w:r>
    </w:p>
    <w:p w14:paraId="7EE1F83C">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1.1.1 设备名称、品牌、型号、价格</w:t>
      </w:r>
    </w:p>
    <w:tbl>
      <w:tblPr>
        <w:tblStyle w:val="14"/>
        <w:tblW w:w="87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6"/>
        <w:gridCol w:w="1500"/>
        <w:gridCol w:w="1457"/>
        <w:gridCol w:w="1320"/>
        <w:gridCol w:w="1377"/>
        <w:gridCol w:w="1388"/>
      </w:tblGrid>
      <w:tr w14:paraId="2ECA5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726" w:type="dxa"/>
            <w:vAlign w:val="center"/>
          </w:tcPr>
          <w:p w14:paraId="3DFD0BCF">
            <w:pPr>
              <w:widowControl/>
              <w:spacing w:line="480" w:lineRule="exact"/>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设备名称</w:t>
            </w:r>
          </w:p>
        </w:tc>
        <w:tc>
          <w:tcPr>
            <w:tcW w:w="1500" w:type="dxa"/>
            <w:vAlign w:val="center"/>
          </w:tcPr>
          <w:p w14:paraId="2FBAE156">
            <w:pPr>
              <w:widowControl/>
              <w:spacing w:line="480" w:lineRule="exact"/>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品牌</w:t>
            </w:r>
          </w:p>
        </w:tc>
        <w:tc>
          <w:tcPr>
            <w:tcW w:w="1457" w:type="dxa"/>
            <w:vAlign w:val="center"/>
          </w:tcPr>
          <w:p w14:paraId="2F63719E">
            <w:pPr>
              <w:widowControl/>
              <w:spacing w:line="480" w:lineRule="exact"/>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型号</w:t>
            </w:r>
          </w:p>
        </w:tc>
        <w:tc>
          <w:tcPr>
            <w:tcW w:w="1320" w:type="dxa"/>
            <w:vAlign w:val="center"/>
          </w:tcPr>
          <w:p w14:paraId="150A77EB">
            <w:pPr>
              <w:widowControl/>
              <w:spacing w:line="480" w:lineRule="exact"/>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单价（元）</w:t>
            </w:r>
          </w:p>
        </w:tc>
        <w:tc>
          <w:tcPr>
            <w:tcW w:w="1377" w:type="dxa"/>
            <w:vAlign w:val="center"/>
          </w:tcPr>
          <w:p w14:paraId="4DA72AB7">
            <w:pPr>
              <w:widowControl/>
              <w:spacing w:line="480" w:lineRule="exact"/>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数量</w:t>
            </w:r>
          </w:p>
        </w:tc>
        <w:tc>
          <w:tcPr>
            <w:tcW w:w="1388" w:type="dxa"/>
            <w:vAlign w:val="center"/>
          </w:tcPr>
          <w:p w14:paraId="211E9F1A">
            <w:pPr>
              <w:widowControl/>
              <w:spacing w:line="480" w:lineRule="exact"/>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金额（元）</w:t>
            </w:r>
          </w:p>
        </w:tc>
      </w:tr>
      <w:tr w14:paraId="4962E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726" w:type="dxa"/>
            <w:vAlign w:val="center"/>
          </w:tcPr>
          <w:p w14:paraId="243DDE05">
            <w:pPr>
              <w:widowControl/>
              <w:spacing w:line="320" w:lineRule="exact"/>
              <w:rPr>
                <w:rFonts w:hint="eastAsia" w:ascii="宋体" w:hAnsi="宋体" w:eastAsia="宋体" w:cs="宋体"/>
                <w:color w:val="000000" w:themeColor="text1"/>
                <w:kern w:val="0"/>
                <w:sz w:val="18"/>
                <w:szCs w:val="18"/>
                <w:lang w:eastAsia="zh-CN"/>
                <w14:textFill>
                  <w14:solidFill>
                    <w14:schemeClr w14:val="tx1"/>
                  </w14:solidFill>
                </w14:textFill>
              </w:rPr>
            </w:pPr>
            <w:r>
              <w:rPr>
                <w:rFonts w:hint="eastAsia" w:ascii="宋体" w:hAnsi="宋体" w:eastAsia="宋体" w:cs="宋体"/>
                <w:color w:val="000000" w:themeColor="text1"/>
                <w:sz w:val="24"/>
                <w:u w:val="none"/>
                <w:lang w:val="en-US" w:eastAsia="zh-CN"/>
                <w14:textFill>
                  <w14:solidFill>
                    <w14:schemeClr w14:val="tx1"/>
                  </w14:solidFill>
                </w14:textFill>
              </w:rPr>
              <w:t>结肠透析仪</w:t>
            </w:r>
          </w:p>
        </w:tc>
        <w:tc>
          <w:tcPr>
            <w:tcW w:w="1500" w:type="dxa"/>
            <w:vAlign w:val="center"/>
          </w:tcPr>
          <w:p w14:paraId="747B32D7">
            <w:pPr>
              <w:widowControl/>
              <w:spacing w:line="320" w:lineRule="exact"/>
              <w:jc w:val="center"/>
              <w:rPr>
                <w:rFonts w:hint="eastAsia" w:ascii="宋体" w:hAnsi="宋体" w:eastAsia="宋体" w:cs="宋体"/>
                <w:color w:val="000000" w:themeColor="text1"/>
                <w:kern w:val="0"/>
                <w:sz w:val="18"/>
                <w:szCs w:val="18"/>
                <w14:textFill>
                  <w14:solidFill>
                    <w14:schemeClr w14:val="tx1"/>
                  </w14:solidFill>
                </w14:textFill>
              </w:rPr>
            </w:pPr>
          </w:p>
        </w:tc>
        <w:tc>
          <w:tcPr>
            <w:tcW w:w="1457" w:type="dxa"/>
            <w:vAlign w:val="center"/>
          </w:tcPr>
          <w:p w14:paraId="355A57D2">
            <w:pPr>
              <w:widowControl/>
              <w:spacing w:line="320" w:lineRule="exact"/>
              <w:jc w:val="center"/>
              <w:rPr>
                <w:rFonts w:hint="eastAsia" w:ascii="宋体" w:hAnsi="宋体" w:eastAsia="宋体" w:cs="宋体"/>
                <w:color w:val="000000" w:themeColor="text1"/>
                <w:kern w:val="0"/>
                <w:sz w:val="18"/>
                <w:szCs w:val="18"/>
                <w14:textFill>
                  <w14:solidFill>
                    <w14:schemeClr w14:val="tx1"/>
                  </w14:solidFill>
                </w14:textFill>
              </w:rPr>
            </w:pPr>
          </w:p>
        </w:tc>
        <w:tc>
          <w:tcPr>
            <w:tcW w:w="1320" w:type="dxa"/>
            <w:vAlign w:val="center"/>
          </w:tcPr>
          <w:p w14:paraId="65E7D48D">
            <w:pPr>
              <w:widowControl/>
              <w:spacing w:line="320" w:lineRule="exact"/>
              <w:jc w:val="center"/>
              <w:rPr>
                <w:rFonts w:hint="default" w:ascii="宋体" w:hAnsi="宋体" w:eastAsia="宋体" w:cs="宋体"/>
                <w:color w:val="000000" w:themeColor="text1"/>
                <w:kern w:val="0"/>
                <w:sz w:val="18"/>
                <w:szCs w:val="18"/>
                <w:lang w:val="en-US" w:eastAsia="zh-CN"/>
                <w14:textFill>
                  <w14:solidFill>
                    <w14:schemeClr w14:val="tx1"/>
                  </w14:solidFill>
                </w14:textFill>
              </w:rPr>
            </w:pPr>
          </w:p>
        </w:tc>
        <w:tc>
          <w:tcPr>
            <w:tcW w:w="1377" w:type="dxa"/>
            <w:vAlign w:val="center"/>
          </w:tcPr>
          <w:p w14:paraId="09D20715">
            <w:pPr>
              <w:widowControl/>
              <w:spacing w:line="320" w:lineRule="exact"/>
              <w:jc w:val="center"/>
              <w:rPr>
                <w:rFonts w:hint="default"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eastAsia="宋体" w:cs="宋体"/>
                <w:color w:val="000000" w:themeColor="text1"/>
                <w:kern w:val="0"/>
                <w:sz w:val="18"/>
                <w:szCs w:val="18"/>
                <w:lang w:val="en-US" w:eastAsia="zh-CN"/>
                <w14:textFill>
                  <w14:solidFill>
                    <w14:schemeClr w14:val="tx1"/>
                  </w14:solidFill>
                </w14:textFill>
              </w:rPr>
              <w:t>1台</w:t>
            </w:r>
          </w:p>
        </w:tc>
        <w:tc>
          <w:tcPr>
            <w:tcW w:w="1388" w:type="dxa"/>
            <w:vAlign w:val="center"/>
          </w:tcPr>
          <w:p w14:paraId="59666CA5">
            <w:pPr>
              <w:widowControl/>
              <w:spacing w:line="320" w:lineRule="exact"/>
              <w:jc w:val="center"/>
              <w:rPr>
                <w:rFonts w:hint="default" w:ascii="宋体" w:hAnsi="宋体" w:eastAsia="宋体" w:cs="宋体"/>
                <w:color w:val="000000" w:themeColor="text1"/>
                <w:kern w:val="0"/>
                <w:sz w:val="18"/>
                <w:szCs w:val="18"/>
                <w:lang w:val="en-US" w:eastAsia="zh-CN"/>
                <w14:textFill>
                  <w14:solidFill>
                    <w14:schemeClr w14:val="tx1"/>
                  </w14:solidFill>
                </w14:textFill>
              </w:rPr>
            </w:pPr>
          </w:p>
        </w:tc>
      </w:tr>
      <w:tr w14:paraId="1EAC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726" w:type="dxa"/>
            <w:vAlign w:val="center"/>
          </w:tcPr>
          <w:p w14:paraId="0DF62C5A">
            <w:pPr>
              <w:widowControl/>
              <w:spacing w:line="320" w:lineRule="exact"/>
              <w:rPr>
                <w:rFonts w:hint="eastAsia" w:ascii="宋体" w:hAnsi="宋体" w:eastAsia="宋体" w:cs="宋体"/>
                <w:color w:val="000000" w:themeColor="text1"/>
                <w:sz w:val="24"/>
                <w:u w:val="none"/>
                <w:lang w:val="en-US" w:eastAsia="zh-CN"/>
                <w14:textFill>
                  <w14:solidFill>
                    <w14:schemeClr w14:val="tx1"/>
                  </w14:solidFill>
                </w14:textFill>
              </w:rPr>
            </w:pPr>
            <w:r>
              <w:rPr>
                <w:rFonts w:hint="eastAsia" w:ascii="宋体" w:hAnsi="宋体" w:eastAsia="宋体" w:cs="宋体"/>
                <w:color w:val="000000" w:themeColor="text1"/>
                <w:sz w:val="24"/>
                <w:u w:val="none"/>
                <w:lang w:val="en-US" w:eastAsia="zh-CN"/>
                <w14:textFill>
                  <w14:solidFill>
                    <w14:schemeClr w14:val="tx1"/>
                  </w14:solidFill>
                </w14:textFill>
              </w:rPr>
              <w:t>结肠途径治疗仪（水疗仪）</w:t>
            </w:r>
          </w:p>
        </w:tc>
        <w:tc>
          <w:tcPr>
            <w:tcW w:w="1500" w:type="dxa"/>
            <w:vAlign w:val="center"/>
          </w:tcPr>
          <w:p w14:paraId="5E275146">
            <w:pPr>
              <w:widowControl/>
              <w:spacing w:line="320" w:lineRule="exact"/>
              <w:jc w:val="center"/>
              <w:rPr>
                <w:rFonts w:hint="eastAsia" w:ascii="宋体" w:hAnsi="宋体" w:eastAsia="宋体" w:cs="宋体"/>
                <w:color w:val="000000" w:themeColor="text1"/>
                <w:kern w:val="0"/>
                <w:sz w:val="18"/>
                <w:szCs w:val="18"/>
                <w14:textFill>
                  <w14:solidFill>
                    <w14:schemeClr w14:val="tx1"/>
                  </w14:solidFill>
                </w14:textFill>
              </w:rPr>
            </w:pPr>
          </w:p>
        </w:tc>
        <w:tc>
          <w:tcPr>
            <w:tcW w:w="1457" w:type="dxa"/>
            <w:vAlign w:val="center"/>
          </w:tcPr>
          <w:p w14:paraId="5BD69BF9">
            <w:pPr>
              <w:widowControl/>
              <w:spacing w:line="320" w:lineRule="exact"/>
              <w:jc w:val="center"/>
              <w:rPr>
                <w:rFonts w:hint="eastAsia" w:ascii="宋体" w:hAnsi="宋体" w:eastAsia="宋体" w:cs="宋体"/>
                <w:color w:val="000000" w:themeColor="text1"/>
                <w:kern w:val="0"/>
                <w:sz w:val="18"/>
                <w:szCs w:val="18"/>
                <w14:textFill>
                  <w14:solidFill>
                    <w14:schemeClr w14:val="tx1"/>
                  </w14:solidFill>
                </w14:textFill>
              </w:rPr>
            </w:pPr>
          </w:p>
        </w:tc>
        <w:tc>
          <w:tcPr>
            <w:tcW w:w="1320" w:type="dxa"/>
            <w:vAlign w:val="center"/>
          </w:tcPr>
          <w:p w14:paraId="3944E455">
            <w:pPr>
              <w:widowControl/>
              <w:spacing w:line="320" w:lineRule="exact"/>
              <w:jc w:val="center"/>
              <w:rPr>
                <w:rFonts w:hint="default" w:ascii="宋体" w:hAnsi="宋体" w:eastAsia="宋体" w:cs="宋体"/>
                <w:color w:val="000000" w:themeColor="text1"/>
                <w:kern w:val="0"/>
                <w:sz w:val="18"/>
                <w:szCs w:val="18"/>
                <w:lang w:val="en-US" w:eastAsia="zh-CN"/>
                <w14:textFill>
                  <w14:solidFill>
                    <w14:schemeClr w14:val="tx1"/>
                  </w14:solidFill>
                </w14:textFill>
              </w:rPr>
            </w:pPr>
          </w:p>
        </w:tc>
        <w:tc>
          <w:tcPr>
            <w:tcW w:w="1377" w:type="dxa"/>
            <w:vAlign w:val="center"/>
          </w:tcPr>
          <w:p w14:paraId="5AFF5210">
            <w:pPr>
              <w:widowControl/>
              <w:spacing w:line="320" w:lineRule="exact"/>
              <w:jc w:val="center"/>
              <w:rPr>
                <w:rFonts w:hint="default"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eastAsia="宋体" w:cs="宋体"/>
                <w:color w:val="000000" w:themeColor="text1"/>
                <w:kern w:val="0"/>
                <w:sz w:val="18"/>
                <w:szCs w:val="18"/>
                <w:lang w:val="en-US" w:eastAsia="zh-CN"/>
                <w14:textFill>
                  <w14:solidFill>
                    <w14:schemeClr w14:val="tx1"/>
                  </w14:solidFill>
                </w14:textFill>
              </w:rPr>
              <w:t>1台</w:t>
            </w:r>
          </w:p>
        </w:tc>
        <w:tc>
          <w:tcPr>
            <w:tcW w:w="1388" w:type="dxa"/>
            <w:vAlign w:val="center"/>
          </w:tcPr>
          <w:p w14:paraId="63D339FD">
            <w:pPr>
              <w:widowControl/>
              <w:spacing w:line="320" w:lineRule="exact"/>
              <w:jc w:val="center"/>
              <w:rPr>
                <w:rFonts w:hint="default" w:ascii="宋体" w:hAnsi="宋体" w:eastAsia="宋体" w:cs="宋体"/>
                <w:color w:val="000000" w:themeColor="text1"/>
                <w:kern w:val="0"/>
                <w:sz w:val="18"/>
                <w:szCs w:val="18"/>
                <w:lang w:val="en-US" w:eastAsia="zh-CN"/>
                <w14:textFill>
                  <w14:solidFill>
                    <w14:schemeClr w14:val="tx1"/>
                  </w14:solidFill>
                </w14:textFill>
              </w:rPr>
            </w:pPr>
          </w:p>
        </w:tc>
      </w:tr>
      <w:tr w14:paraId="519EF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768" w:type="dxa"/>
            <w:gridSpan w:val="6"/>
          </w:tcPr>
          <w:p w14:paraId="71A13C9B">
            <w:pPr>
              <w:widowControl/>
              <w:spacing w:line="480" w:lineRule="exact"/>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合计价款金额（大写）：</w:t>
            </w:r>
            <w:r>
              <w:rPr>
                <w:rFonts w:hint="eastAsia" w:ascii="宋体" w:hAnsi="宋体" w:eastAsia="宋体" w:cs="宋体"/>
                <w:color w:val="000000" w:themeColor="text1"/>
                <w:kern w:val="0"/>
                <w:sz w:val="24"/>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u w:val="none"/>
                <w:lang w:val="en-US" w:eastAsia="zh-CN"/>
                <w14:textFill>
                  <w14:solidFill>
                    <w14:schemeClr w14:val="tx1"/>
                  </w14:solidFill>
                </w14:textFill>
              </w:rPr>
              <w:t>元整</w:t>
            </w:r>
            <w:r>
              <w:rPr>
                <w:rFonts w:hint="eastAsia" w:ascii="宋体" w:hAnsi="宋体" w:eastAsia="宋体" w:cs="宋体"/>
                <w:color w:val="000000" w:themeColor="text1"/>
                <w:kern w:val="0"/>
                <w:sz w:val="24"/>
                <w14:textFill>
                  <w14:solidFill>
                    <w14:schemeClr w14:val="tx1"/>
                  </w14:solidFill>
                </w14:textFill>
              </w:rPr>
              <w:t xml:space="preserve">      人民币（小写）：</w:t>
            </w:r>
            <w:r>
              <w:rPr>
                <w:rFonts w:hint="eastAsia" w:ascii="宋体" w:hAnsi="宋体" w:eastAsia="宋体" w:cs="宋体"/>
                <w:color w:val="000000" w:themeColor="text1"/>
                <w:kern w:val="0"/>
                <w:sz w:val="24"/>
                <w:u w:val="single"/>
                <w14:textFill>
                  <w14:solidFill>
                    <w14:schemeClr w14:val="tx1"/>
                  </w14:solidFill>
                </w14:textFill>
              </w:rPr>
              <w:t xml:space="preserve"> </w:t>
            </w:r>
            <w:r>
              <w:rPr>
                <w:rFonts w:hint="eastAsia" w:ascii="宋体" w:hAnsi="宋体" w:eastAsia="宋体" w:cs="宋体"/>
                <w:color w:val="000000" w:themeColor="text1"/>
                <w:kern w:val="0"/>
                <w:sz w:val="24"/>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14:textFill>
                  <w14:solidFill>
                    <w14:schemeClr w14:val="tx1"/>
                  </w14:solidFill>
                </w14:textFill>
              </w:rPr>
              <w:t>元</w:t>
            </w:r>
          </w:p>
        </w:tc>
      </w:tr>
    </w:tbl>
    <w:p w14:paraId="5F4B0B1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rPr>
      </w:pPr>
      <w:r>
        <w:rPr>
          <w:rFonts w:hint="eastAsia" w:ascii="宋体" w:hAnsi="宋体" w:eastAsia="宋体" w:cs="宋体"/>
          <w:sz w:val="24"/>
        </w:rPr>
        <w:t>1.1.2 本合同约定价格为（</w:t>
      </w:r>
      <w:r>
        <w:rPr>
          <w:rFonts w:hint="eastAsia" w:ascii="宋体" w:hAnsi="宋体" w:eastAsia="宋体" w:cs="宋体"/>
          <w:sz w:val="24"/>
          <w:lang w:eastAsia="zh-CN"/>
        </w:rPr>
        <w:t>□</w:t>
      </w:r>
      <w:r>
        <w:rPr>
          <w:rFonts w:hint="eastAsia" w:ascii="宋体" w:hAnsi="宋体" w:eastAsia="宋体" w:cs="宋体"/>
          <w:sz w:val="24"/>
        </w:rPr>
        <w:t>固定总价</w:t>
      </w:r>
      <w:r>
        <w:rPr>
          <w:rFonts w:hint="eastAsia" w:ascii="宋体" w:hAnsi="宋体" w:eastAsia="宋体" w:cs="宋体"/>
          <w:sz w:val="24"/>
          <w:lang w:eastAsia="zh-CN"/>
        </w:rPr>
        <w:t>☑</w:t>
      </w:r>
      <w:r>
        <w:rPr>
          <w:rFonts w:hint="eastAsia" w:ascii="宋体" w:hAnsi="宋体" w:eastAsia="宋体" w:cs="宋体"/>
          <w:sz w:val="24"/>
        </w:rPr>
        <w:t>固定单价），不因物价、市场波动变更，约定价格包括且不限于设计费、材料费、人工费、安装费、包装费、运输费、装卸费、调试费、接口费、检测费、检验费、税费、保险费、售后服务费、附随服务费等在内所有费用。</w:t>
      </w:r>
    </w:p>
    <w:p w14:paraId="7594011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1.1.3 </w:t>
      </w:r>
      <w:r>
        <w:rPr>
          <w:rFonts w:hint="eastAsia" w:ascii="宋体" w:hAnsi="宋体" w:cs="宋体"/>
          <w:color w:val="000000" w:themeColor="text1"/>
          <w:sz w:val="24"/>
          <w14:textFill>
            <w14:solidFill>
              <w14:schemeClr w14:val="tx1"/>
            </w14:solidFill>
          </w14:textFill>
        </w:rPr>
        <w:t>□本合同设备无需与甲方使用的信息系统对接。</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本合同设备需要与甲方使用的信息系统对接，因对接产生的接口开发等乙方及第三方需要收取的全部费用均由乙方承担。</w:t>
      </w:r>
    </w:p>
    <w:p w14:paraId="49FA2445">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sz w:val="24"/>
        </w:rPr>
      </w:pPr>
      <w:r>
        <w:rPr>
          <w:rFonts w:hint="eastAsia" w:ascii="宋体" w:hAnsi="宋体" w:eastAsia="宋体" w:cs="宋体"/>
          <w:b/>
          <w:bCs/>
          <w:sz w:val="24"/>
        </w:rPr>
        <w:t>1.2 设备专机专用耗材供应</w:t>
      </w:r>
    </w:p>
    <w:p w14:paraId="1C4E5A5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rPr>
      </w:pPr>
      <w:r>
        <w:rPr>
          <w:rFonts w:hint="eastAsia" w:ascii="宋体" w:hAnsi="宋体" w:eastAsia="宋体" w:cs="宋体"/>
          <w:sz w:val="24"/>
        </w:rPr>
        <w:t>1.2.1 耗材名称、规格型号、编号、单价</w:t>
      </w:r>
    </w:p>
    <w:tbl>
      <w:tblPr>
        <w:tblStyle w:val="14"/>
        <w:tblW w:w="8958" w:type="dxa"/>
        <w:tblInd w:w="-11" w:type="dxa"/>
        <w:tblLayout w:type="fixed"/>
        <w:tblCellMar>
          <w:top w:w="0" w:type="dxa"/>
          <w:left w:w="108" w:type="dxa"/>
          <w:bottom w:w="0" w:type="dxa"/>
          <w:right w:w="108" w:type="dxa"/>
        </w:tblCellMar>
      </w:tblPr>
      <w:tblGrid>
        <w:gridCol w:w="3113"/>
        <w:gridCol w:w="1800"/>
        <w:gridCol w:w="1710"/>
        <w:gridCol w:w="765"/>
        <w:gridCol w:w="1570"/>
      </w:tblGrid>
      <w:tr w14:paraId="3A6F5663">
        <w:tblPrEx>
          <w:tblCellMar>
            <w:top w:w="0" w:type="dxa"/>
            <w:left w:w="108" w:type="dxa"/>
            <w:bottom w:w="0" w:type="dxa"/>
            <w:right w:w="108" w:type="dxa"/>
          </w:tblCellMar>
        </w:tblPrEx>
        <w:trPr>
          <w:trHeight w:val="561" w:hRule="atLeast"/>
        </w:trPr>
        <w:tc>
          <w:tcPr>
            <w:tcW w:w="3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D6689">
            <w:pPr>
              <w:widowControl/>
              <w:spacing w:line="240" w:lineRule="auto"/>
              <w:jc w:val="center"/>
              <w:rPr>
                <w:rFonts w:hint="eastAsia" w:asciiTheme="minorEastAsia" w:hAnsiTheme="minorEastAsia" w:cstheme="minorEastAsia"/>
                <w:b/>
                <w:bCs/>
                <w:color w:val="000000" w:themeColor="text1"/>
                <w:kern w:val="0"/>
                <w:sz w:val="24"/>
                <w14:textFill>
                  <w14:solidFill>
                    <w14:schemeClr w14:val="tx1"/>
                  </w14:solidFill>
                </w14:textFill>
              </w:rPr>
            </w:pPr>
            <w:r>
              <w:rPr>
                <w:rFonts w:hint="eastAsia" w:asciiTheme="minorEastAsia" w:hAnsiTheme="minorEastAsia" w:cstheme="minorEastAsia"/>
                <w:b/>
                <w:bCs/>
                <w:color w:val="000000" w:themeColor="text1"/>
                <w:kern w:val="0"/>
                <w:sz w:val="24"/>
                <w14:textFill>
                  <w14:solidFill>
                    <w14:schemeClr w14:val="tx1"/>
                  </w14:solidFill>
                </w14:textFill>
              </w:rPr>
              <w:t>专机专用</w:t>
            </w:r>
          </w:p>
          <w:p w14:paraId="04EC64F8">
            <w:pPr>
              <w:widowControl/>
              <w:spacing w:line="240" w:lineRule="auto"/>
              <w:jc w:val="center"/>
              <w:rPr>
                <w:rFonts w:hint="eastAsia" w:asciiTheme="minorEastAsia" w:hAnsiTheme="minorEastAsia" w:cstheme="minorEastAsia"/>
                <w:b/>
                <w:bCs/>
                <w:color w:val="000000" w:themeColor="text1"/>
                <w:kern w:val="0"/>
                <w:sz w:val="24"/>
                <w14:textFill>
                  <w14:solidFill>
                    <w14:schemeClr w14:val="tx1"/>
                  </w14:solidFill>
                </w14:textFill>
              </w:rPr>
            </w:pPr>
            <w:r>
              <w:rPr>
                <w:rFonts w:hint="eastAsia" w:asciiTheme="minorEastAsia" w:hAnsiTheme="minorEastAsia" w:cstheme="minorEastAsia"/>
                <w:b/>
                <w:bCs/>
                <w:color w:val="000000" w:themeColor="text1"/>
                <w:kern w:val="0"/>
                <w:sz w:val="24"/>
                <w14:textFill>
                  <w14:solidFill>
                    <w14:schemeClr w14:val="tx1"/>
                  </w14:solidFill>
                </w14:textFill>
              </w:rPr>
              <w:t>耗材名称</w:t>
            </w:r>
          </w:p>
        </w:tc>
        <w:tc>
          <w:tcPr>
            <w:tcW w:w="1800" w:type="dxa"/>
            <w:tcBorders>
              <w:top w:val="single" w:color="auto" w:sz="4" w:space="0"/>
              <w:left w:val="single" w:color="000000" w:sz="4" w:space="0"/>
              <w:bottom w:val="single" w:color="000000" w:sz="4" w:space="0"/>
              <w:right w:val="single" w:color="auto" w:sz="4" w:space="0"/>
            </w:tcBorders>
            <w:shd w:val="clear" w:color="auto" w:fill="auto"/>
            <w:vAlign w:val="center"/>
          </w:tcPr>
          <w:p w14:paraId="7BEA3BC2">
            <w:pPr>
              <w:widowControl/>
              <w:spacing w:line="240" w:lineRule="auto"/>
              <w:jc w:val="center"/>
              <w:rPr>
                <w:rFonts w:hint="eastAsia" w:asciiTheme="minorEastAsia" w:hAnsiTheme="minorEastAsia" w:cstheme="minorEastAsia"/>
                <w:b/>
                <w:bCs/>
                <w:color w:val="000000" w:themeColor="text1"/>
                <w:kern w:val="0"/>
                <w:sz w:val="24"/>
                <w14:textFill>
                  <w14:solidFill>
                    <w14:schemeClr w14:val="tx1"/>
                  </w14:solidFill>
                </w14:textFill>
              </w:rPr>
            </w:pPr>
            <w:r>
              <w:rPr>
                <w:rFonts w:hint="eastAsia" w:asciiTheme="minorEastAsia" w:hAnsiTheme="minorEastAsia" w:cstheme="minorEastAsia"/>
                <w:b/>
                <w:bCs/>
                <w:color w:val="000000" w:themeColor="text1"/>
                <w:kern w:val="0"/>
                <w:sz w:val="24"/>
                <w14:textFill>
                  <w14:solidFill>
                    <w14:schemeClr w14:val="tx1"/>
                  </w14:solidFill>
                </w14:textFill>
              </w:rPr>
              <w:t>规格型号</w:t>
            </w:r>
          </w:p>
        </w:tc>
        <w:tc>
          <w:tcPr>
            <w:tcW w:w="1710" w:type="dxa"/>
            <w:tcBorders>
              <w:top w:val="single" w:color="auto" w:sz="4" w:space="0"/>
              <w:left w:val="single" w:color="auto" w:sz="4" w:space="0"/>
              <w:bottom w:val="single" w:color="000000" w:sz="4" w:space="0"/>
              <w:right w:val="single" w:color="000000" w:sz="4" w:space="0"/>
            </w:tcBorders>
            <w:shd w:val="clear" w:color="auto" w:fill="auto"/>
            <w:vAlign w:val="center"/>
          </w:tcPr>
          <w:p w14:paraId="64036E1F">
            <w:pPr>
              <w:widowControl/>
              <w:spacing w:line="240" w:lineRule="auto"/>
              <w:jc w:val="center"/>
              <w:rPr>
                <w:rFonts w:hint="default" w:asciiTheme="minorEastAsia" w:hAnsiTheme="minorEastAsia" w:eastAsiaTheme="minorEastAsia" w:cstheme="minorEastAsia"/>
                <w:b/>
                <w:bCs/>
                <w:color w:val="000000" w:themeColor="text1"/>
                <w:kern w:val="0"/>
                <w:sz w:val="24"/>
                <w:lang w:val="en-US" w:eastAsia="zh-CN"/>
                <w14:textFill>
                  <w14:solidFill>
                    <w14:schemeClr w14:val="tx1"/>
                  </w14:solidFill>
                </w14:textFill>
              </w:rPr>
            </w:pPr>
            <w:r>
              <w:rPr>
                <w:rFonts w:hint="eastAsia" w:asciiTheme="minorEastAsia" w:hAnsiTheme="minorEastAsia" w:cstheme="minorEastAsia"/>
                <w:b/>
                <w:bCs/>
                <w:color w:val="000000" w:themeColor="text1"/>
                <w:kern w:val="0"/>
                <w:sz w:val="24"/>
                <w:lang w:val="en-US" w:eastAsia="zh-CN"/>
                <w14:textFill>
                  <w14:solidFill>
                    <w14:schemeClr w14:val="tx1"/>
                  </w14:solidFill>
                </w14:textFill>
              </w:rPr>
              <w:t>生产厂家</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483C9">
            <w:pPr>
              <w:widowControl/>
              <w:spacing w:line="240" w:lineRule="auto"/>
              <w:jc w:val="center"/>
              <w:rPr>
                <w:rFonts w:hint="eastAsia" w:asciiTheme="minorEastAsia" w:hAnsiTheme="minorEastAsia" w:eastAsiaTheme="minorEastAsia" w:cstheme="minorEastAsia"/>
                <w:b/>
                <w:bCs/>
                <w:color w:val="000000" w:themeColor="text1"/>
                <w:kern w:val="0"/>
                <w:sz w:val="24"/>
                <w:lang w:val="en-US" w:eastAsia="zh-CN"/>
                <w14:textFill>
                  <w14:solidFill>
                    <w14:schemeClr w14:val="tx1"/>
                  </w14:solidFill>
                </w14:textFill>
              </w:rPr>
            </w:pPr>
            <w:r>
              <w:rPr>
                <w:rFonts w:hint="eastAsia" w:asciiTheme="minorEastAsia" w:hAnsiTheme="minorEastAsia" w:cstheme="minorEastAsia"/>
                <w:b/>
                <w:bCs/>
                <w:color w:val="000000" w:themeColor="text1"/>
                <w:kern w:val="0"/>
                <w:sz w:val="24"/>
                <w:lang w:val="en-US" w:eastAsia="zh-CN"/>
                <w14:textFill>
                  <w14:solidFill>
                    <w14:schemeClr w14:val="tx1"/>
                  </w14:solidFill>
                </w14:textFill>
              </w:rPr>
              <w:t>单位</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8C8A3">
            <w:pPr>
              <w:widowControl/>
              <w:spacing w:line="240" w:lineRule="auto"/>
              <w:jc w:val="center"/>
              <w:rPr>
                <w:rFonts w:hint="eastAsia" w:asciiTheme="minorEastAsia" w:hAnsiTheme="minorEastAsia" w:cstheme="minorEastAsia"/>
                <w:b/>
                <w:bCs/>
                <w:color w:val="000000" w:themeColor="text1"/>
                <w:kern w:val="0"/>
                <w:sz w:val="24"/>
                <w14:textFill>
                  <w14:solidFill>
                    <w14:schemeClr w14:val="tx1"/>
                  </w14:solidFill>
                </w14:textFill>
              </w:rPr>
            </w:pPr>
            <w:r>
              <w:rPr>
                <w:rFonts w:hint="eastAsia" w:asciiTheme="minorEastAsia" w:hAnsiTheme="minorEastAsia" w:cstheme="minorEastAsia"/>
                <w:b/>
                <w:bCs/>
                <w:color w:val="000000" w:themeColor="text1"/>
                <w:kern w:val="0"/>
                <w:sz w:val="24"/>
                <w14:textFill>
                  <w14:solidFill>
                    <w14:schemeClr w14:val="tx1"/>
                  </w14:solidFill>
                </w14:textFill>
              </w:rPr>
              <w:t>单价</w:t>
            </w:r>
          </w:p>
          <w:p w14:paraId="6B67F95F">
            <w:pPr>
              <w:widowControl/>
              <w:spacing w:line="240" w:lineRule="auto"/>
              <w:jc w:val="center"/>
              <w:rPr>
                <w:rFonts w:hint="eastAsia" w:asciiTheme="minorEastAsia" w:hAnsiTheme="minorEastAsia" w:cstheme="minorEastAsia"/>
                <w:b/>
                <w:bCs/>
                <w:color w:val="000000" w:themeColor="text1"/>
                <w:kern w:val="0"/>
                <w:sz w:val="24"/>
                <w14:textFill>
                  <w14:solidFill>
                    <w14:schemeClr w14:val="tx1"/>
                  </w14:solidFill>
                </w14:textFill>
              </w:rPr>
            </w:pPr>
            <w:r>
              <w:rPr>
                <w:rFonts w:hint="eastAsia" w:asciiTheme="minorEastAsia" w:hAnsiTheme="minorEastAsia" w:cstheme="minorEastAsia"/>
                <w:b/>
                <w:bCs/>
                <w:color w:val="000000" w:themeColor="text1"/>
                <w:kern w:val="0"/>
                <w:sz w:val="24"/>
                <w14:textFill>
                  <w14:solidFill>
                    <w14:schemeClr w14:val="tx1"/>
                  </w14:solidFill>
                </w14:textFill>
              </w:rPr>
              <w:t>（元）</w:t>
            </w:r>
          </w:p>
        </w:tc>
      </w:tr>
      <w:tr w14:paraId="1993F5CA">
        <w:tblPrEx>
          <w:tblCellMar>
            <w:top w:w="0" w:type="dxa"/>
            <w:left w:w="108" w:type="dxa"/>
            <w:bottom w:w="0" w:type="dxa"/>
            <w:right w:w="108" w:type="dxa"/>
          </w:tblCellMar>
        </w:tblPrEx>
        <w:trPr>
          <w:trHeight w:val="540" w:hRule="atLeast"/>
        </w:trPr>
        <w:tc>
          <w:tcPr>
            <w:tcW w:w="3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BB71A">
            <w:pPr>
              <w:spacing w:beforeLines="0" w:afterLines="0"/>
              <w:jc w:val="both"/>
              <w:rPr>
                <w:rFonts w:hint="default" w:ascii="宋体" w:hAnsi="宋体" w:eastAsiaTheme="minorEastAsia" w:cstheme="minorBidi"/>
                <w:color w:val="000000"/>
                <w:kern w:val="2"/>
                <w:sz w:val="18"/>
                <w:szCs w:val="18"/>
                <w:lang w:val="en-US" w:eastAsia="zh-CN" w:bidi="ar-SA"/>
              </w:rPr>
            </w:pPr>
            <w:r>
              <w:rPr>
                <w:rFonts w:hint="eastAsia" w:ascii="宋体" w:hAnsi="宋体" w:cs="宋体"/>
                <w:color w:val="000000" w:themeColor="text1"/>
                <w:sz w:val="24"/>
                <w:lang w:val="en-US" w:eastAsia="zh-CN"/>
                <w14:textFill>
                  <w14:solidFill>
                    <w14:schemeClr w14:val="tx1"/>
                  </w14:solidFill>
                </w14:textFill>
              </w:rPr>
              <w:t>一次性结肠冲洗套件</w:t>
            </w:r>
          </w:p>
        </w:tc>
        <w:tc>
          <w:tcPr>
            <w:tcW w:w="1800" w:type="dxa"/>
            <w:tcBorders>
              <w:top w:val="single" w:color="auto" w:sz="4" w:space="0"/>
              <w:left w:val="single" w:color="000000" w:sz="4" w:space="0"/>
              <w:bottom w:val="single" w:color="auto" w:sz="4" w:space="0"/>
              <w:right w:val="single" w:color="auto" w:sz="4" w:space="0"/>
            </w:tcBorders>
            <w:shd w:val="clear" w:color="auto" w:fill="auto"/>
            <w:vAlign w:val="center"/>
          </w:tcPr>
          <w:p w14:paraId="413A3406">
            <w:pPr>
              <w:spacing w:beforeLines="0" w:afterLines="0"/>
              <w:jc w:val="both"/>
              <w:rPr>
                <w:rFonts w:hint="eastAsia" w:ascii="宋体" w:hAnsi="宋体" w:eastAsiaTheme="minorEastAsia" w:cstheme="minorBidi"/>
                <w:color w:val="000000"/>
                <w:kern w:val="2"/>
                <w:sz w:val="18"/>
                <w:szCs w:val="18"/>
                <w:lang w:val="en-US" w:eastAsia="zh-CN" w:bidi="ar-SA"/>
              </w:rPr>
            </w:pPr>
          </w:p>
        </w:tc>
        <w:tc>
          <w:tcPr>
            <w:tcW w:w="1710" w:type="dxa"/>
            <w:tcBorders>
              <w:top w:val="single" w:color="auto" w:sz="4" w:space="0"/>
              <w:left w:val="single" w:color="auto" w:sz="4" w:space="0"/>
              <w:bottom w:val="single" w:color="auto" w:sz="4" w:space="0"/>
              <w:right w:val="single" w:color="000000" w:sz="4" w:space="0"/>
            </w:tcBorders>
            <w:shd w:val="clear" w:color="auto" w:fill="auto"/>
            <w:vAlign w:val="center"/>
          </w:tcPr>
          <w:p w14:paraId="71B97299">
            <w:pPr>
              <w:spacing w:beforeLines="0" w:afterLines="0"/>
              <w:jc w:val="both"/>
              <w:rPr>
                <w:rFonts w:hint="eastAsia" w:ascii="宋体" w:hAnsi="宋体" w:eastAsiaTheme="minorEastAsia" w:cstheme="minorBidi"/>
                <w:color w:val="000000"/>
                <w:kern w:val="2"/>
                <w:sz w:val="18"/>
                <w:szCs w:val="18"/>
                <w:lang w:val="en-US" w:eastAsia="zh-CN" w:bidi="ar-SA"/>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4C44C">
            <w:pPr>
              <w:spacing w:beforeLines="0" w:afterLines="0"/>
              <w:jc w:val="center"/>
              <w:rPr>
                <w:rFonts w:hint="default" w:ascii="宋体" w:hAnsi="宋体" w:eastAsiaTheme="minorEastAsia" w:cstheme="minorBidi"/>
                <w:color w:val="000000"/>
                <w:kern w:val="2"/>
                <w:sz w:val="18"/>
                <w:szCs w:val="18"/>
                <w:lang w:val="en-US" w:eastAsia="zh-CN" w:bidi="ar-SA"/>
              </w:rPr>
            </w:pPr>
            <w:r>
              <w:rPr>
                <w:rFonts w:hint="eastAsia" w:ascii="宋体" w:hAnsi="宋体" w:cs="宋体"/>
                <w:color w:val="000000" w:themeColor="text1"/>
                <w:sz w:val="24"/>
                <w:lang w:val="en-US" w:eastAsia="zh-CN"/>
                <w14:textFill>
                  <w14:solidFill>
                    <w14:schemeClr w14:val="tx1"/>
                  </w14:solidFill>
                </w14:textFill>
              </w:rPr>
              <w:t>套</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44D40">
            <w:pPr>
              <w:spacing w:beforeLines="0" w:afterLines="0"/>
              <w:jc w:val="center"/>
              <w:rPr>
                <w:rFonts w:hint="eastAsia" w:ascii="宋体" w:hAnsi="宋体" w:eastAsiaTheme="minorEastAsia" w:cstheme="minorBidi"/>
                <w:color w:val="000000"/>
                <w:kern w:val="2"/>
                <w:sz w:val="18"/>
                <w:szCs w:val="18"/>
                <w:lang w:val="en-US" w:eastAsia="zh-CN" w:bidi="ar-SA"/>
              </w:rPr>
            </w:pPr>
          </w:p>
        </w:tc>
      </w:tr>
    </w:tbl>
    <w:p w14:paraId="15674ED5">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1.2</w:t>
      </w:r>
      <w:r>
        <w:rPr>
          <w:rFonts w:hint="eastAsia" w:ascii="宋体" w:hAnsi="宋体" w:eastAsia="宋体" w:cs="宋体"/>
          <w:color w:val="000000" w:themeColor="text1"/>
          <w:sz w:val="24"/>
          <w14:textFill>
            <w14:solidFill>
              <w14:schemeClr w14:val="tx1"/>
            </w14:solidFill>
          </w14:textFill>
        </w:rPr>
        <w:t>.2  本合同专机专用耗材供货期限为</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 3</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年，自本合同设备经总体验收合格之日起算；供应期限内，如甲方停止使用</w:t>
      </w:r>
      <w:r>
        <w:rPr>
          <w:rFonts w:hint="eastAsia" w:ascii="宋体" w:hAnsi="宋体" w:eastAsia="宋体" w:cs="宋体"/>
          <w:color w:val="000000" w:themeColor="text1"/>
          <w:sz w:val="24"/>
          <w:u w:val="single"/>
          <w:lang w:val="en-US" w:eastAsia="zh-CN"/>
          <w14:textFill>
            <w14:solidFill>
              <w14:schemeClr w14:val="tx1"/>
            </w14:solidFill>
          </w14:textFill>
        </w:rPr>
        <w:t xml:space="preserve"> 结肠透析仪或结肠途径治疗仪（水疗仪） </w:t>
      </w:r>
      <w:r>
        <w:rPr>
          <w:rFonts w:hint="eastAsia" w:ascii="宋体" w:hAnsi="宋体" w:eastAsia="宋体" w:cs="宋体"/>
          <w:color w:val="000000" w:themeColor="text1"/>
          <w:kern w:val="0"/>
          <w:sz w:val="24"/>
          <w14:textFill>
            <w14:solidFill>
              <w14:schemeClr w14:val="tx1"/>
            </w14:solidFill>
          </w14:textFill>
        </w:rPr>
        <w:t>设备，</w:t>
      </w:r>
      <w:r>
        <w:rPr>
          <w:rFonts w:hint="eastAsia" w:ascii="宋体" w:hAnsi="宋体" w:eastAsia="宋体" w:cs="宋体"/>
          <w:color w:val="000000" w:themeColor="text1"/>
          <w:kern w:val="0"/>
          <w:sz w:val="24"/>
          <w:lang w:val="en-US" w:eastAsia="zh-CN"/>
          <w14:textFill>
            <w14:solidFill>
              <w14:schemeClr w14:val="tx1"/>
            </w14:solidFill>
          </w14:textFill>
        </w:rPr>
        <w:t>对应的</w:t>
      </w:r>
      <w:r>
        <w:rPr>
          <w:rFonts w:hint="eastAsia" w:ascii="宋体" w:hAnsi="宋体" w:eastAsia="宋体" w:cs="宋体"/>
          <w:color w:val="000000" w:themeColor="text1"/>
          <w:sz w:val="24"/>
          <w14:textFill>
            <w14:solidFill>
              <w14:schemeClr w14:val="tx1"/>
            </w14:solidFill>
          </w14:textFill>
        </w:rPr>
        <w:t>专机</w:t>
      </w:r>
      <w:r>
        <w:rPr>
          <w:rFonts w:hint="eastAsia" w:ascii="宋体" w:hAnsi="宋体" w:eastAsia="宋体" w:cs="宋体"/>
          <w:color w:val="000000" w:themeColor="text1"/>
          <w:kern w:val="0"/>
          <w:sz w:val="24"/>
          <w14:textFill>
            <w14:solidFill>
              <w14:schemeClr w14:val="tx1"/>
            </w14:solidFill>
          </w14:textFill>
        </w:rPr>
        <w:t xml:space="preserve">专用耗材供应自动终止。 </w:t>
      </w:r>
    </w:p>
    <w:p w14:paraId="3747F1DC">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1.2.3 本合同耗材约定价格包括但不限于材料费、运输费、包装费、装卸费、搬运费、附随服务费、税费、保险费等。</w:t>
      </w:r>
    </w:p>
    <w:p w14:paraId="5E166368">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1.2.4 本合同耗材供货期限内，如遇政府政策性或交易平台调价：调整后的价格低于本合同价格的，自调价之后发送的书面订单一律按调整后的价格执行；</w:t>
      </w:r>
      <w:r>
        <w:rPr>
          <w:rFonts w:hint="eastAsia" w:ascii="宋体" w:hAnsi="宋体" w:eastAsia="宋体" w:cs="宋体"/>
          <w:color w:val="000000" w:themeColor="text1"/>
          <w:sz w:val="24"/>
          <w:u w:val="single"/>
          <w14:textFill>
            <w14:solidFill>
              <w14:schemeClr w14:val="tx1"/>
            </w14:solidFill>
          </w14:textFill>
        </w:rPr>
        <w:t>调整后的价格高于本合同价格的，原则上按本合同约定价格执行，如乙方因特殊情况需要调整，应先书面通知甲方，经甲乙双方协商一致后按协商后的价格执行，如双方无法达成一致，甲方有权对该耗材公开遴选。</w:t>
      </w:r>
      <w:r>
        <w:rPr>
          <w:rFonts w:hint="eastAsia" w:ascii="宋体" w:hAnsi="宋体" w:eastAsia="宋体" w:cs="宋体"/>
          <w:b/>
          <w:bCs/>
          <w:color w:val="000000" w:themeColor="text1"/>
          <w:sz w:val="24"/>
          <w:u w:val="single"/>
          <w14:textFill>
            <w14:solidFill>
              <w14:schemeClr w14:val="tx1"/>
            </w14:solidFill>
          </w14:textFill>
        </w:rPr>
        <w:t>本合同约定的医用耗材集采后，甲方库存中剩余耗材均按新的集采价格进行结算。</w:t>
      </w:r>
    </w:p>
    <w:p w14:paraId="1BF0687F">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1.2.5 如无政府政策性或交易平台调价，甲方接受乙方对本合同约定价格进行下调，自乙方发出价格下调通知之日起，甲方发送的书面订单一律按下调后的价格执行。</w:t>
      </w:r>
    </w:p>
    <w:p w14:paraId="70E5903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1.2.6 乙方承诺严格遵守法律法规、政策和甲方制度履行合同，接受甲方供应商管理考核，无条件配合甲方管理，包括但不限于配合甲方耗材HRP系统信息录入、赋码、耗材SPD配送管理等工作，因SPD配送产生的服务费用由乙方自行承担。</w:t>
      </w:r>
    </w:p>
    <w:p w14:paraId="31D9D9FB">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 xml:space="preserve">第二条  </w:t>
      </w:r>
      <w:r>
        <w:rPr>
          <w:rFonts w:ascii="宋体" w:hAnsi="宋体" w:eastAsia="宋体" w:cs="宋体"/>
          <w:b/>
          <w:bCs/>
          <w:sz w:val="24"/>
        </w:rPr>
        <w:t>交货时间、地点、运输及装卸</w:t>
      </w:r>
    </w:p>
    <w:p w14:paraId="0D8C49EE">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2.1  设备</w:t>
      </w:r>
      <w:r>
        <w:rPr>
          <w:rFonts w:ascii="宋体" w:hAnsi="宋体" w:eastAsia="宋体" w:cs="宋体"/>
          <w:b/>
          <w:bCs/>
          <w:sz w:val="24"/>
        </w:rPr>
        <w:t>交货时间地点、运输及装卸</w:t>
      </w:r>
    </w:p>
    <w:p w14:paraId="59FCD77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hint="eastAsia" w:ascii="宋体" w:hAnsi="宋体" w:eastAsia="宋体" w:cs="宋体"/>
          <w:color w:val="000000" w:themeColor="text1"/>
          <w:sz w:val="24"/>
          <w14:textFill>
            <w14:solidFill>
              <w14:schemeClr w14:val="tx1"/>
            </w14:solidFill>
          </w14:textFill>
        </w:rPr>
        <w:t>2.1.1</w:t>
      </w:r>
      <w:r>
        <w:rPr>
          <w:rFonts w:ascii="宋体" w:hAnsi="宋体" w:eastAsia="宋体" w:cs="宋体"/>
          <w:color w:val="000000" w:themeColor="text1"/>
          <w:sz w:val="24"/>
          <w14:textFill>
            <w14:solidFill>
              <w14:schemeClr w14:val="tx1"/>
            </w14:solidFill>
          </w14:textFill>
        </w:rPr>
        <w:t>乙方应</w:t>
      </w:r>
      <w:r>
        <w:rPr>
          <w:rFonts w:hint="eastAsia" w:ascii="宋体" w:hAnsi="宋体" w:eastAsia="宋体" w:cs="宋体"/>
          <w:color w:val="000000" w:themeColor="text1"/>
          <w:sz w:val="24"/>
          <w14:textFill>
            <w14:solidFill>
              <w14:schemeClr w14:val="tx1"/>
            </w14:solidFill>
          </w14:textFill>
        </w:rPr>
        <w:t>在签订合同后</w:t>
      </w:r>
      <w:r>
        <w:rPr>
          <w:rFonts w:hint="eastAsia" w:ascii="宋体" w:hAnsi="宋体" w:eastAsia="宋体" w:cs="宋体"/>
          <w:color w:val="000000" w:themeColor="text1"/>
          <w:sz w:val="24"/>
          <w:u w:val="single"/>
          <w:lang w:val="en-US" w:eastAsia="zh-CN"/>
          <w14:textFill>
            <w14:solidFill>
              <w14:schemeClr w14:val="tx1"/>
            </w14:solidFill>
          </w14:textFill>
        </w:rPr>
        <w:t>7</w:t>
      </w:r>
      <w:r>
        <w:rPr>
          <w:rFonts w:hint="eastAsia" w:ascii="宋体" w:hAnsi="宋体" w:eastAsia="宋体" w:cs="宋体"/>
          <w:color w:val="000000" w:themeColor="text1"/>
          <w:sz w:val="24"/>
          <w14:textFill>
            <w14:solidFill>
              <w14:schemeClr w14:val="tx1"/>
            </w14:solidFill>
          </w14:textFill>
        </w:rPr>
        <w:t>个工作日内</w:t>
      </w:r>
      <w:r>
        <w:rPr>
          <w:rFonts w:ascii="宋体" w:hAnsi="宋体" w:eastAsia="宋体" w:cs="宋体"/>
          <w:color w:val="000000" w:themeColor="text1"/>
          <w:sz w:val="24"/>
          <w14:textFill>
            <w14:solidFill>
              <w14:schemeClr w14:val="tx1"/>
            </w14:solidFill>
          </w14:textFill>
        </w:rPr>
        <w:t>将设备运至</w:t>
      </w:r>
      <w:r>
        <w:rPr>
          <w:rFonts w:hint="eastAsia" w:ascii="宋体" w:hAnsi="宋体" w:eastAsia="宋体" w:cs="宋体"/>
          <w:color w:val="000000" w:themeColor="text1"/>
          <w:sz w:val="24"/>
          <w14:textFill>
            <w14:solidFill>
              <w14:schemeClr w14:val="tx1"/>
            </w14:solidFill>
          </w14:textFill>
        </w:rPr>
        <w:t>甲方指定交货</w:t>
      </w:r>
      <w:r>
        <w:rPr>
          <w:rFonts w:ascii="宋体" w:hAnsi="宋体" w:eastAsia="宋体" w:cs="宋体"/>
          <w:color w:val="000000" w:themeColor="text1"/>
          <w:sz w:val="24"/>
          <w14:textFill>
            <w14:solidFill>
              <w14:schemeClr w14:val="tx1"/>
            </w14:solidFill>
          </w14:textFill>
        </w:rPr>
        <w:t>地点，</w:t>
      </w:r>
      <w:r>
        <w:rPr>
          <w:rFonts w:hint="eastAsia" w:ascii="宋体" w:hAnsi="宋体" w:eastAsia="宋体" w:cs="宋体"/>
          <w:color w:val="000000" w:themeColor="text1"/>
          <w:sz w:val="24"/>
          <w14:textFill>
            <w14:solidFill>
              <w14:schemeClr w14:val="tx1"/>
            </w14:solidFill>
          </w14:textFill>
        </w:rPr>
        <w:t>并在设备到甲方指定交货</w:t>
      </w:r>
      <w:r>
        <w:rPr>
          <w:rFonts w:ascii="宋体" w:hAnsi="宋体" w:eastAsia="宋体" w:cs="宋体"/>
          <w:color w:val="000000" w:themeColor="text1"/>
          <w:sz w:val="24"/>
          <w14:textFill>
            <w14:solidFill>
              <w14:schemeClr w14:val="tx1"/>
            </w14:solidFill>
          </w14:textFill>
        </w:rPr>
        <w:t>地点</w:t>
      </w:r>
      <w:r>
        <w:rPr>
          <w:rFonts w:hint="eastAsia" w:ascii="宋体" w:hAnsi="宋体" w:eastAsia="宋体" w:cs="宋体"/>
          <w:color w:val="000000" w:themeColor="text1"/>
          <w:sz w:val="24"/>
          <w14:textFill>
            <w14:solidFill>
              <w14:schemeClr w14:val="tx1"/>
            </w14:solidFill>
          </w14:textFill>
        </w:rPr>
        <w:t>后</w:t>
      </w:r>
      <w:r>
        <w:rPr>
          <w:rFonts w:hint="eastAsia" w:ascii="宋体" w:hAnsi="宋体" w:eastAsia="宋体" w:cs="宋体"/>
          <w:color w:val="000000" w:themeColor="text1"/>
          <w:sz w:val="24"/>
          <w:u w:val="single"/>
          <w:lang w:val="en-US" w:eastAsia="zh-CN"/>
          <w14:textFill>
            <w14:solidFill>
              <w14:schemeClr w14:val="tx1"/>
            </w14:solidFill>
          </w14:textFill>
        </w:rPr>
        <w:t>3</w:t>
      </w:r>
      <w:r>
        <w:rPr>
          <w:rFonts w:hint="eastAsia" w:ascii="宋体" w:hAnsi="宋体" w:eastAsia="宋体" w:cs="宋体"/>
          <w:color w:val="000000" w:themeColor="text1"/>
          <w:sz w:val="24"/>
          <w14:textFill>
            <w14:solidFill>
              <w14:schemeClr w14:val="tx1"/>
            </w14:solidFill>
          </w14:textFill>
        </w:rPr>
        <w:t>个工作日内</w:t>
      </w:r>
      <w:r>
        <w:rPr>
          <w:rFonts w:ascii="宋体" w:hAnsi="宋体" w:eastAsia="宋体" w:cs="宋体"/>
          <w:color w:val="000000" w:themeColor="text1"/>
          <w:sz w:val="24"/>
          <w14:textFill>
            <w14:solidFill>
              <w14:schemeClr w14:val="tx1"/>
            </w14:solidFill>
          </w14:textFill>
        </w:rPr>
        <w:t>完成安装、调试，办理验收手续并交付甲方</w:t>
      </w:r>
      <w:r>
        <w:rPr>
          <w:rFonts w:ascii="宋体" w:hAnsi="宋体" w:eastAsia="宋体" w:cs="宋体"/>
          <w:sz w:val="24"/>
        </w:rPr>
        <w:t>使用。</w:t>
      </w:r>
    </w:p>
    <w:p w14:paraId="53E316A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ascii="宋体" w:hAnsi="宋体" w:eastAsia="宋体" w:cs="宋体"/>
          <w:sz w:val="24"/>
        </w:rPr>
        <w:t>2</w:t>
      </w:r>
      <w:r>
        <w:rPr>
          <w:rFonts w:hint="eastAsia" w:ascii="宋体" w:hAnsi="宋体" w:eastAsia="宋体" w:cs="宋体"/>
          <w:sz w:val="24"/>
        </w:rPr>
        <w:t>.1.2 甲方指定</w:t>
      </w:r>
      <w:r>
        <w:rPr>
          <w:rFonts w:ascii="宋体" w:hAnsi="宋体" w:eastAsia="宋体" w:cs="宋体"/>
          <w:sz w:val="24"/>
        </w:rPr>
        <w:t>交货地点：娄底市中心医院</w:t>
      </w:r>
      <w:r>
        <w:rPr>
          <w:rFonts w:hint="eastAsia" w:ascii="宋体" w:hAnsi="宋体" w:eastAsia="宋体" w:cs="宋体"/>
          <w:sz w:val="24"/>
        </w:rPr>
        <w:t>设备科</w:t>
      </w:r>
      <w:r>
        <w:rPr>
          <w:rFonts w:ascii="宋体" w:hAnsi="宋体" w:eastAsia="宋体" w:cs="宋体"/>
          <w:sz w:val="24"/>
        </w:rPr>
        <w:t>（湖南省娄底市</w:t>
      </w:r>
      <w:r>
        <w:rPr>
          <w:rFonts w:hint="eastAsia" w:ascii="宋体" w:hAnsi="宋体" w:eastAsia="宋体" w:cs="宋体"/>
          <w:sz w:val="24"/>
        </w:rPr>
        <w:t>娄星区</w:t>
      </w:r>
      <w:r>
        <w:rPr>
          <w:rFonts w:ascii="宋体" w:hAnsi="宋体" w:eastAsia="宋体" w:cs="宋体"/>
          <w:sz w:val="24"/>
        </w:rPr>
        <w:t xml:space="preserve">长青中街51号）。 </w:t>
      </w:r>
    </w:p>
    <w:p w14:paraId="49E8A20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hint="eastAsia" w:ascii="宋体" w:hAnsi="宋体" w:eastAsia="宋体" w:cs="宋体"/>
          <w:sz w:val="24"/>
        </w:rPr>
        <w:t xml:space="preserve">2.1.3  </w:t>
      </w:r>
      <w:r>
        <w:rPr>
          <w:rFonts w:ascii="宋体" w:hAnsi="宋体" w:eastAsia="宋体" w:cs="宋体"/>
          <w:sz w:val="24"/>
        </w:rPr>
        <w:t>运输及装卸：由乙方自备交通运输工具将设备运至合同约定地点，并负责设备装卸</w:t>
      </w:r>
      <w:r>
        <w:rPr>
          <w:rFonts w:hint="eastAsia" w:ascii="宋体" w:hAnsi="宋体" w:eastAsia="宋体" w:cs="宋体"/>
          <w:sz w:val="24"/>
        </w:rPr>
        <w:t>的人工及费用</w:t>
      </w:r>
      <w:r>
        <w:rPr>
          <w:rFonts w:ascii="宋体" w:hAnsi="宋体" w:eastAsia="宋体" w:cs="宋体"/>
          <w:sz w:val="24"/>
        </w:rPr>
        <w:t>。</w:t>
      </w:r>
    </w:p>
    <w:p w14:paraId="7C9D3B43">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2.2 设备专机专用耗材交货时间地点、运输及装卸</w:t>
      </w:r>
    </w:p>
    <w:p w14:paraId="36F76D2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2.2.1 交货时间：乙方自甲方发送专机专用耗材书面订单之日起</w:t>
      </w:r>
      <w:r>
        <w:rPr>
          <w:rFonts w:hint="eastAsia" w:ascii="宋体" w:hAnsi="宋体" w:eastAsia="宋体" w:cs="宋体"/>
          <w:color w:val="000000" w:themeColor="text1"/>
          <w:sz w:val="24"/>
          <w:u w:val="single"/>
          <w:lang w:val="en-US" w:eastAsia="zh-CN"/>
          <w14:textFill>
            <w14:solidFill>
              <w14:schemeClr w14:val="tx1"/>
            </w14:solidFill>
          </w14:textFill>
        </w:rPr>
        <w:t>5</w:t>
      </w:r>
      <w:r>
        <w:rPr>
          <w:rFonts w:hint="eastAsia" w:ascii="宋体" w:hAnsi="宋体" w:eastAsia="宋体" w:cs="宋体"/>
          <w:color w:val="000000" w:themeColor="text1"/>
          <w:sz w:val="24"/>
          <w14:textFill>
            <w14:solidFill>
              <w14:schemeClr w14:val="tx1"/>
            </w14:solidFill>
          </w14:textFill>
        </w:rPr>
        <w:t>日内，按书面订单要求将耗材送至甲方指定地点，非工作日、节假日正常执行。</w:t>
      </w:r>
    </w:p>
    <w:p w14:paraId="4D2450A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2.2.2 交货地点：娄底市中心医院设备科仓库，指定收货人：娄底市中心医院设备科仓库管理员。</w:t>
      </w:r>
    </w:p>
    <w:p w14:paraId="053719C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2.2.3 由乙方自备交通运输工具将耗材运至合同约定地点，并负责</w:t>
      </w:r>
      <w:r>
        <w:rPr>
          <w:rFonts w:hint="eastAsia" w:ascii="宋体" w:hAnsi="宋体" w:eastAsia="宋体" w:cs="宋体"/>
          <w:color w:val="000000" w:themeColor="text1"/>
          <w:sz w:val="24"/>
          <w:lang w:val="en-US" w:eastAsia="zh-CN"/>
          <w14:textFill>
            <w14:solidFill>
              <w14:schemeClr w14:val="tx1"/>
            </w14:solidFill>
          </w14:textFill>
        </w:rPr>
        <w:t>耗材</w:t>
      </w:r>
      <w:r>
        <w:rPr>
          <w:rFonts w:hint="eastAsia" w:ascii="宋体" w:hAnsi="宋体" w:eastAsia="宋体" w:cs="宋体"/>
          <w:color w:val="000000" w:themeColor="text1"/>
          <w:sz w:val="24"/>
          <w14:textFill>
            <w14:solidFill>
              <w14:schemeClr w14:val="tx1"/>
            </w14:solidFill>
          </w14:textFill>
        </w:rPr>
        <w:t>装卸的人工及费用。</w:t>
      </w:r>
    </w:p>
    <w:p w14:paraId="2DE555A4">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sz w:val="24"/>
        </w:rPr>
      </w:pPr>
      <w:r>
        <w:rPr>
          <w:rFonts w:hint="eastAsia" w:ascii="宋体" w:hAnsi="宋体" w:eastAsia="宋体" w:cs="宋体"/>
          <w:b/>
          <w:bCs/>
          <w:color w:val="000000" w:themeColor="text1"/>
          <w:sz w:val="24"/>
          <w14:textFill>
            <w14:solidFill>
              <w14:schemeClr w14:val="tx1"/>
            </w14:solidFill>
          </w14:textFill>
        </w:rPr>
        <w:t>第三条 质量标准、质量验收、包装要求</w:t>
      </w:r>
    </w:p>
    <w:p w14:paraId="521346B3">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3.1  设备质量标准、质量验收、包装要求</w:t>
      </w:r>
    </w:p>
    <w:p w14:paraId="1127074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sz w:val="24"/>
        </w:rPr>
        <w:t xml:space="preserve">3.1.1 </w:t>
      </w:r>
      <w:r>
        <w:rPr>
          <w:rFonts w:hint="eastAsia" w:ascii="宋体" w:hAnsi="宋体" w:eastAsia="宋体" w:cs="宋体"/>
          <w:color w:val="000000" w:themeColor="text1"/>
          <w:sz w:val="24"/>
          <w:szCs w:val="24"/>
          <w:highlight w:val="none"/>
          <w:lang w:val="en-US" w:eastAsia="zh-CN"/>
          <w14:textFill>
            <w14:solidFill>
              <w14:schemeClr w14:val="tx1"/>
            </w14:solidFill>
          </w14:textFill>
        </w:rPr>
        <w:t>乙方提供设备的质量、安装应符合或优于国家标准；如投标文件/响应文件中的技术参数和质量标准高于国家标准，则设备的技术参数和质量标准以投标文件/响应文件为准；如乙方应交付的设备属于国产设备，则应保证该设备为交付时起近6个月内生产的产品；如乙方应交付的设备属于进口设备，则应保证该设备为交付时起近一年内生产的产品。</w:t>
      </w:r>
    </w:p>
    <w:p w14:paraId="4262832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hint="eastAsia" w:ascii="宋体" w:hAnsi="宋体" w:eastAsia="宋体" w:cs="宋体"/>
          <w:sz w:val="24"/>
        </w:rPr>
        <w:t xml:space="preserve">3.1.2 设备质量验收：以本合同约定标准按以下方式进行验收： </w:t>
      </w:r>
    </w:p>
    <w:p w14:paraId="584E16C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hint="eastAsia" w:ascii="宋体" w:hAnsi="宋体" w:eastAsia="宋体" w:cs="宋体"/>
          <w:sz w:val="24"/>
        </w:rPr>
        <w:t>3.1.2.1 到货验收：乙方将设备运至指定交货地点后，应通知甲方，并向甲方提供厂家标准资料文件（进口设备需提供真实有效的海关报关单，其他设备需提供产品合格证）和原厂售后质保承诺书。甲方自接到乙方通知之日起</w:t>
      </w:r>
      <w:r>
        <w:rPr>
          <w:rFonts w:hint="eastAsia" w:ascii="宋体" w:hAnsi="宋体" w:eastAsia="宋体" w:cs="宋体"/>
          <w:sz w:val="24"/>
          <w:u w:val="single"/>
          <w:lang w:val="en-US" w:eastAsia="zh-CN"/>
        </w:rPr>
        <w:t>7</w:t>
      </w:r>
      <w:r>
        <w:rPr>
          <w:rFonts w:hint="eastAsia" w:ascii="宋体" w:hAnsi="宋体" w:eastAsia="宋体" w:cs="宋体"/>
          <w:sz w:val="24"/>
        </w:rPr>
        <w:t>日内组织人员对设备按合同约定及厂家出厂装箱单进行到货验收，经甲方验收合格后签署验收报告单，乙方方可进行现场拆包、安装、调试、培训。如经甲方验收不合格，乙方应在</w:t>
      </w:r>
      <w:r>
        <w:rPr>
          <w:rFonts w:hint="eastAsia" w:ascii="宋体" w:hAnsi="宋体" w:eastAsia="宋体" w:cs="宋体"/>
          <w:sz w:val="24"/>
          <w:u w:val="single"/>
          <w:lang w:val="en-US" w:eastAsia="zh-CN"/>
        </w:rPr>
        <w:t>7</w:t>
      </w:r>
      <w:r>
        <w:rPr>
          <w:rFonts w:hint="eastAsia" w:ascii="宋体" w:hAnsi="宋体" w:eastAsia="宋体" w:cs="宋体"/>
          <w:sz w:val="24"/>
        </w:rPr>
        <w:t>日内无条件予以更换。</w:t>
      </w:r>
    </w:p>
    <w:p w14:paraId="46CDBA0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3.1.2.2 设备总体验收：乙方将设备全部拆包、安装、调试后应及时通知甲方，甲方自接到乙方通知之日起</w:t>
      </w:r>
      <w:r>
        <w:rPr>
          <w:rFonts w:hint="eastAsia" w:ascii="宋体" w:hAnsi="宋体" w:eastAsia="宋体" w:cs="宋体"/>
          <w:color w:val="000000" w:themeColor="text1"/>
          <w:sz w:val="24"/>
          <w:u w:val="single"/>
          <w:lang w:val="en-US" w:eastAsia="zh-CN"/>
          <w14:textFill>
            <w14:solidFill>
              <w14:schemeClr w14:val="tx1"/>
            </w14:solidFill>
          </w14:textFill>
        </w:rPr>
        <w:t>7</w:t>
      </w:r>
      <w:r>
        <w:rPr>
          <w:rFonts w:hint="eastAsia" w:ascii="宋体" w:hAnsi="宋体" w:eastAsia="宋体" w:cs="宋体"/>
          <w:color w:val="000000" w:themeColor="text1"/>
          <w:sz w:val="24"/>
          <w14:textFill>
            <w14:solidFill>
              <w14:schemeClr w14:val="tx1"/>
            </w14:solidFill>
          </w14:textFill>
        </w:rPr>
        <w:t>日内自行组织或委托第三方进行总体验收，验收合格后签署总体验收报告单。如经甲方或第三方验收不合格，乙方应在</w:t>
      </w:r>
      <w:r>
        <w:rPr>
          <w:rFonts w:hint="eastAsia" w:ascii="宋体" w:hAnsi="宋体" w:eastAsia="宋体" w:cs="宋体"/>
          <w:color w:val="000000" w:themeColor="text1"/>
          <w:sz w:val="24"/>
          <w:u w:val="single"/>
          <w:lang w:val="en-US" w:eastAsia="zh-CN"/>
          <w14:textFill>
            <w14:solidFill>
              <w14:schemeClr w14:val="tx1"/>
            </w14:solidFill>
          </w14:textFill>
        </w:rPr>
        <w:t>7</w:t>
      </w:r>
      <w:r>
        <w:rPr>
          <w:rFonts w:hint="eastAsia" w:ascii="宋体" w:hAnsi="宋体" w:eastAsia="宋体" w:cs="宋体"/>
          <w:color w:val="000000" w:themeColor="text1"/>
          <w:sz w:val="24"/>
          <w14:textFill>
            <w14:solidFill>
              <w14:schemeClr w14:val="tx1"/>
            </w14:solidFill>
          </w14:textFill>
        </w:rPr>
        <w:t>日内无条件予以返工并承担所有费用。</w:t>
      </w:r>
    </w:p>
    <w:p w14:paraId="5D6736B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hint="eastAsia" w:ascii="宋体" w:hAnsi="宋体" w:eastAsia="宋体" w:cs="宋体"/>
          <w:color w:val="000000" w:themeColor="text1"/>
          <w:sz w:val="24"/>
          <w14:textFill>
            <w14:solidFill>
              <w14:schemeClr w14:val="tx1"/>
            </w14:solidFill>
          </w14:textFill>
        </w:rPr>
        <w:t>3.1.2.3 甲方验收时如发现乙方所交付、安装的设备不符合本</w:t>
      </w:r>
      <w:r>
        <w:rPr>
          <w:rFonts w:hint="eastAsia" w:ascii="宋体" w:hAnsi="宋体" w:eastAsia="宋体" w:cs="宋体"/>
          <w:sz w:val="24"/>
        </w:rPr>
        <w:t>合同约定，甲方应做出详尽的现场记录，由甲乙双方签署备忘录，该现场记录和备忘录作为乙方补交缺少部件、更换不符标准部件的有效依据，由此产生的一切经济损失由乙方承担。</w:t>
      </w:r>
    </w:p>
    <w:p w14:paraId="5BAA50C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hint="eastAsia" w:ascii="宋体" w:hAnsi="宋体" w:eastAsia="宋体" w:cs="宋体"/>
          <w:sz w:val="24"/>
        </w:rPr>
        <w:t>3.1.3 包装要求：乙方提供的设备必须为原厂包装，外包装到货时应保证完好无损，否则甲方有权拒绝收货，由此造成的延期交货违约责任和一切经济损失全部由乙方承担。</w:t>
      </w:r>
    </w:p>
    <w:p w14:paraId="2FEA0E1B">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3.2 专机专用耗材质量标准、质量验收、包装要求</w:t>
      </w:r>
    </w:p>
    <w:p w14:paraId="412BE88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FF"/>
          <w:sz w:val="24"/>
        </w:rPr>
      </w:pPr>
      <w:r>
        <w:rPr>
          <w:rFonts w:hint="eastAsia" w:ascii="宋体" w:hAnsi="宋体" w:eastAsia="宋体" w:cs="宋体"/>
          <w:sz w:val="24"/>
        </w:rPr>
        <w:t>3.2.1 国内生产的耗材应当符合国家质量标准和行业强制性标准；进口耗材须具备进口医用耗材注册证、批件，口岸药检所出具的检验报告书或注明“已抽样”的通关单；乙方送交的耗材均应提供相应合格证书。</w:t>
      </w:r>
    </w:p>
    <w:p w14:paraId="4C84E1F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sz w:val="24"/>
        </w:rPr>
        <w:t>3.2.2 耗材质量验收：甲方每次收到乙方提供耗材时，应组织人员对耗材的数量、包装、有效期等外观进行验收，乙方提供的耗材外观标准与中标（挂网）医用耗材目录品种信息和甲方书面订单要求相符的，甲方在乙方送货单上签字确认验收；乙方提供的医用耗材外观标准与中标（挂网）医用耗材目录品种信息、甲方订单要求不符的，</w:t>
      </w:r>
      <w:r>
        <w:rPr>
          <w:rFonts w:hint="eastAsia" w:ascii="宋体" w:hAnsi="宋体" w:eastAsia="宋体" w:cs="宋体"/>
          <w:color w:val="000000" w:themeColor="text1"/>
          <w:kern w:val="0"/>
          <w:sz w:val="24"/>
          <w14:textFill>
            <w14:solidFill>
              <w14:schemeClr w14:val="tx1"/>
            </w14:solidFill>
          </w14:textFill>
        </w:rPr>
        <w:t>甲方有权拒收。乙方应在甲方拒收之日起</w:t>
      </w:r>
      <w:r>
        <w:rPr>
          <w:rFonts w:hint="eastAsia" w:ascii="宋体" w:hAnsi="宋体" w:eastAsia="宋体" w:cs="宋体"/>
          <w:color w:val="000000" w:themeColor="text1"/>
          <w:kern w:val="0"/>
          <w:sz w:val="24"/>
          <w:u w:val="single"/>
          <w:lang w:val="en-US" w:eastAsia="zh-CN"/>
          <w14:textFill>
            <w14:solidFill>
              <w14:schemeClr w14:val="tx1"/>
            </w14:solidFill>
          </w14:textFill>
        </w:rPr>
        <w:t>3</w:t>
      </w:r>
      <w:r>
        <w:rPr>
          <w:rFonts w:hint="eastAsia" w:ascii="宋体" w:hAnsi="宋体" w:eastAsia="宋体" w:cs="宋体"/>
          <w:color w:val="000000" w:themeColor="text1"/>
          <w:kern w:val="0"/>
          <w:sz w:val="24"/>
          <w14:textFill>
            <w14:solidFill>
              <w14:schemeClr w14:val="tx1"/>
            </w14:solidFill>
          </w14:textFill>
        </w:rPr>
        <w:t>日内，向甲方更换合格的医用耗材。</w:t>
      </w:r>
    </w:p>
    <w:p w14:paraId="20DD361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3.2.3 效期要求：乙方提供的耗材效期须在12个月以上，如乙方提供的医用耗材效期少于12个月的，甲方有权拒收，乙方应在甲方拒收之日起</w:t>
      </w:r>
      <w:r>
        <w:rPr>
          <w:rFonts w:hint="eastAsia" w:ascii="宋体" w:hAnsi="宋体" w:eastAsia="宋体" w:cs="宋体"/>
          <w:color w:val="000000" w:themeColor="text1"/>
          <w:sz w:val="24"/>
          <w:u w:val="single"/>
          <w:lang w:val="en-US" w:eastAsia="zh-CN"/>
          <w14:textFill>
            <w14:solidFill>
              <w14:schemeClr w14:val="tx1"/>
            </w14:solidFill>
          </w14:textFill>
        </w:rPr>
        <w:t>3</w:t>
      </w:r>
      <w:r>
        <w:rPr>
          <w:rFonts w:hint="eastAsia" w:ascii="宋体" w:hAnsi="宋体" w:eastAsia="宋体" w:cs="宋体"/>
          <w:color w:val="000000" w:themeColor="text1"/>
          <w:sz w:val="24"/>
          <w14:textFill>
            <w14:solidFill>
              <w14:schemeClr w14:val="tx1"/>
            </w14:solidFill>
          </w14:textFill>
        </w:rPr>
        <w:t>日内，向甲方更换符合效期要求的医用耗材。</w:t>
      </w:r>
    </w:p>
    <w:p w14:paraId="6170F22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3.2.4 包装要求：医用耗材包装须与交易平台上中标（挂网）医用耗材的信息一致，包装为原产包装且应完全无损，如甲方对包装有特殊要求时，乙方应按甲方订单要求包装。</w:t>
      </w:r>
    </w:p>
    <w:p w14:paraId="45060421">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第四条 安装、培训、通知等事项</w:t>
      </w:r>
    </w:p>
    <w:p w14:paraId="12D9308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4.1  甲方负责协调、处理与安装、调试有关事宜，为乙方创造良好的安装、调试环境。</w:t>
      </w:r>
    </w:p>
    <w:p w14:paraId="3128141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4.2  甲方委派</w:t>
      </w:r>
      <w:r>
        <w:rPr>
          <w:rFonts w:hint="eastAsia" w:ascii="宋体" w:hAnsi="宋体" w:eastAsia="宋体" w:cs="宋体"/>
          <w:color w:val="000000" w:themeColor="text1"/>
          <w:sz w:val="24"/>
          <w:u w:val="single"/>
          <w14:textFill>
            <w14:solidFill>
              <w14:schemeClr w14:val="tx1"/>
            </w14:solidFill>
          </w14:textFill>
        </w:rPr>
        <w:t>邓时敏</w:t>
      </w:r>
      <w:r>
        <w:rPr>
          <w:rFonts w:hint="eastAsia" w:ascii="宋体" w:hAnsi="宋体" w:eastAsia="宋体" w:cs="宋体"/>
          <w:color w:val="000000" w:themeColor="text1"/>
          <w:sz w:val="24"/>
          <w:u w:val="single"/>
          <w:lang w:val="en-US" w:eastAsia="zh-CN"/>
          <w14:textFill>
            <w14:solidFill>
              <w14:schemeClr w14:val="tx1"/>
            </w14:solidFill>
          </w14:textFill>
        </w:rPr>
        <w:t>13723814432</w:t>
      </w:r>
      <w:r>
        <w:rPr>
          <w:rFonts w:hint="eastAsia" w:ascii="宋体" w:hAnsi="宋体" w:eastAsia="宋体" w:cs="宋体"/>
          <w:color w:val="000000" w:themeColor="text1"/>
          <w:sz w:val="24"/>
          <w14:textFill>
            <w14:solidFill>
              <w14:schemeClr w14:val="tx1"/>
            </w14:solidFill>
          </w14:textFill>
        </w:rPr>
        <w:t>作为代表，跟踪、检查安装、调试现场。</w:t>
      </w:r>
    </w:p>
    <w:p w14:paraId="6996CCA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4.3  乙方负责对甲方的操作人员进行免费培训。</w:t>
      </w:r>
    </w:p>
    <w:p w14:paraId="5935316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4.4  乙方在安装、调试过程中应加强操作人员的安全教育，杜绝安全事故的发生。 </w:t>
      </w:r>
    </w:p>
    <w:p w14:paraId="68B41780">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第五条 售后服务</w:t>
      </w:r>
    </w:p>
    <w:p w14:paraId="5FF66B5B">
      <w:pPr>
        <w:keepNext w:val="0"/>
        <w:keepLines w:val="0"/>
        <w:pageBreakBefore w:val="0"/>
        <w:widowControl w:val="0"/>
        <w:numPr>
          <w:ilvl w:val="255"/>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5.1 设备售后服务</w:t>
      </w:r>
    </w:p>
    <w:p w14:paraId="0B816471">
      <w:pPr>
        <w:keepNext w:val="0"/>
        <w:keepLines w:val="0"/>
        <w:pageBreakBefore w:val="0"/>
        <w:widowControl w:val="0"/>
        <w:numPr>
          <w:ilvl w:val="255"/>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5.1.1 本合同设备质保期为</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年，自甲方在总体验收报告单上签字确认合格之日起算。</w:t>
      </w:r>
    </w:p>
    <w:p w14:paraId="7DF7097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5.1.2  乙方在质保期内免费提供设备维修、更换、保养、咨询等服务。如设备在质保期内出现质量问题，乙方应在接到甲方通知（包括电话通知）后</w:t>
      </w:r>
      <w:r>
        <w:rPr>
          <w:rFonts w:hint="eastAsia" w:ascii="宋体" w:hAnsi="宋体" w:eastAsia="宋体" w:cs="宋体"/>
          <w:color w:val="000000" w:themeColor="text1"/>
          <w:sz w:val="24"/>
          <w:u w:val="single"/>
          <w14:textFill>
            <w14:solidFill>
              <w14:schemeClr w14:val="tx1"/>
            </w14:solidFill>
          </w14:textFill>
        </w:rPr>
        <w:t>1</w:t>
      </w:r>
      <w:r>
        <w:rPr>
          <w:rFonts w:hint="eastAsia" w:ascii="宋体" w:hAnsi="宋体" w:eastAsia="宋体" w:cs="宋体"/>
          <w:color w:val="000000" w:themeColor="text1"/>
          <w:sz w:val="24"/>
          <w14:textFill>
            <w14:solidFill>
              <w14:schemeClr w14:val="tx1"/>
            </w14:solidFill>
          </w14:textFill>
        </w:rPr>
        <w:t>小时内响应，响应后</w:t>
      </w:r>
      <w:r>
        <w:rPr>
          <w:rFonts w:hint="eastAsia" w:ascii="宋体" w:hAnsi="宋体" w:eastAsia="宋体" w:cs="宋体"/>
          <w:color w:val="000000" w:themeColor="text1"/>
          <w:sz w:val="24"/>
          <w:u w:val="single"/>
          <w14:textFill>
            <w14:solidFill>
              <w14:schemeClr w14:val="tx1"/>
            </w14:solidFill>
          </w14:textFill>
        </w:rPr>
        <w:t>24</w:t>
      </w:r>
      <w:r>
        <w:rPr>
          <w:rFonts w:hint="eastAsia" w:ascii="宋体" w:hAnsi="宋体" w:eastAsia="宋体" w:cs="宋体"/>
          <w:color w:val="000000" w:themeColor="text1"/>
          <w:sz w:val="24"/>
          <w14:textFill>
            <w14:solidFill>
              <w14:schemeClr w14:val="tx1"/>
            </w14:solidFill>
          </w14:textFill>
        </w:rPr>
        <w:t>小时内赶到甲方提供服务，相关费用由乙方承担。如乙方不及时提供服务，甲方有权委托第三方提供维修、更换、保养、咨询等服务，由此产生的相关费用，甲方有权在应付款中扣除、不足部分由乙方另行补足，或要求乙方将第三方提供服务产生的相关费用直接支付给甲方。</w:t>
      </w:r>
    </w:p>
    <w:p w14:paraId="0933AA0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5.1.3  质保期内，乙方每年至少对设备进行一次巡检并向甲方提交巡检记录。</w:t>
      </w:r>
    </w:p>
    <w:p w14:paraId="1E0D6E4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5.1.4  质保期届满后，如设备出现问题，乙方应在接到甲方通知（包括电话通知）24小时响应，响应后4小时上门服务，相关费用由甲方承担。</w:t>
      </w:r>
    </w:p>
    <w:p w14:paraId="044CA769">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5.2 耗材售后服务</w:t>
      </w:r>
    </w:p>
    <w:p w14:paraId="0BBF262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5.2.1 在乙方提供耗材的标识标注的有效期内，如出现质量问题，乙方应在接到甲方通知（包括电话通知）后1小时内响应，响应后24小时内赶到甲方提供更换服务，相关费用由乙方承担。</w:t>
      </w:r>
    </w:p>
    <w:p w14:paraId="3F27C38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5.2.2 乙方提供的耗材应为符合国家质量标准的合格产品且所有证件、手续合法齐全，如因产品质量原因或手续不齐不合法或未按要求储存、运输（冷链）、包装等给甲方造成损失和不良影响全部由乙方负责。</w:t>
      </w:r>
    </w:p>
    <w:p w14:paraId="738489D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5.3 乙方须指派</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，电话：</w:t>
      </w:r>
      <w:r>
        <w:rPr>
          <w:rFonts w:hint="eastAsia" w:ascii="宋体" w:hAnsi="宋体" w:eastAsia="宋体" w:cs="宋体"/>
          <w:sz w:val="24"/>
          <w:u w:val="single"/>
          <w:lang w:val="en-US" w:eastAsia="zh-CN"/>
        </w:rPr>
        <w:t xml:space="preserve">        </w:t>
      </w:r>
      <w:r>
        <w:rPr>
          <w:rFonts w:hint="eastAsia" w:ascii="宋体" w:hAnsi="宋体" w:eastAsia="宋体" w:cs="宋体"/>
          <w:color w:val="000000" w:themeColor="text1"/>
          <w:sz w:val="24"/>
          <w14:textFill>
            <w14:solidFill>
              <w14:schemeClr w14:val="tx1"/>
            </w14:solidFill>
          </w14:textFill>
        </w:rPr>
        <w:t>，专门负责与甲方联系本合同售后服务事宜，如人员及联系电话发生变动，应及时通知甲方。</w:t>
      </w:r>
    </w:p>
    <w:p w14:paraId="3EAA37EF">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第六条 结算、付款方式</w:t>
      </w:r>
    </w:p>
    <w:p w14:paraId="2330927C">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6.1  设备结算</w:t>
      </w:r>
    </w:p>
    <w:p w14:paraId="19705D8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6.1.1 甲方在设备总体验收报告单上签字确认合格之日起4个月内，向乙方支付设备结算价款的90%；余款10%，甲方在质保期届满且不存在需被扣除情形之日起10个工作日内，免息支付给乙方。</w:t>
      </w:r>
    </w:p>
    <w:p w14:paraId="06C13D5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6.1.2 乙方应在甲方首次支付设备货款前，向甲方提供以乙方自己名义开具的与设备结算价款对应的增值税普通发票，如乙方未及时提供发票，甲方有权顺延付款，由此产生的责任均由乙方自行承担。</w:t>
      </w:r>
    </w:p>
    <w:p w14:paraId="3E5B140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6.1.3 乙方开具的发票金额应与设备总体验收报告单内容一致，甲方不支付超出设备总体验收报告单内容以外的任何费用。</w:t>
      </w:r>
    </w:p>
    <w:p w14:paraId="471B9606">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6.2  耗材结算：</w:t>
      </w:r>
    </w:p>
    <w:p w14:paraId="0857435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耗材结算价款</w:t>
      </w:r>
      <w:r>
        <w:rPr>
          <w:rFonts w:ascii="宋体" w:hAnsi="宋体" w:eastAsia="宋体" w:cs="宋体"/>
          <w:color w:val="000000" w:themeColor="text1"/>
          <w:sz w:val="24"/>
          <w14:textFill>
            <w14:solidFill>
              <w14:schemeClr w14:val="tx1"/>
            </w14:solidFill>
          </w14:textFill>
        </w:rPr>
        <w:t>根据</w:t>
      </w:r>
      <w:r>
        <w:rPr>
          <w:rFonts w:hint="eastAsia" w:ascii="宋体" w:hAnsi="宋体" w:eastAsia="宋体" w:cs="宋体"/>
          <w:color w:val="000000" w:themeColor="text1"/>
          <w:sz w:val="24"/>
          <w14:textFill>
            <w14:solidFill>
              <w14:schemeClr w14:val="tx1"/>
            </w14:solidFill>
          </w14:textFill>
        </w:rPr>
        <w:t>甲方的</w:t>
      </w:r>
      <w:r>
        <w:rPr>
          <w:rFonts w:ascii="宋体" w:hAnsi="宋体" w:eastAsia="宋体" w:cs="宋体"/>
          <w:color w:val="000000" w:themeColor="text1"/>
          <w:sz w:val="24"/>
          <w14:textFill>
            <w14:solidFill>
              <w14:schemeClr w14:val="tx1"/>
            </w14:solidFill>
          </w14:textFill>
        </w:rPr>
        <w:t>书面订单、经甲方签字确认的乙方送货单按</w:t>
      </w:r>
      <w:r>
        <w:rPr>
          <w:rFonts w:hint="eastAsia" w:ascii="宋体" w:hAnsi="宋体" w:eastAsia="宋体" w:cs="宋体"/>
          <w:color w:val="000000" w:themeColor="text1"/>
          <w:sz w:val="24"/>
          <w:u w:val="single"/>
          <w:lang w:val="en-US" w:eastAsia="zh-CN"/>
          <w14:textFill>
            <w14:solidFill>
              <w14:schemeClr w14:val="tx1"/>
            </w14:solidFill>
          </w14:textFill>
        </w:rPr>
        <w:t>月</w:t>
      </w:r>
      <w:r>
        <w:rPr>
          <w:rFonts w:hint="eastAsia" w:ascii="宋体" w:hAnsi="宋体" w:eastAsia="宋体" w:cs="宋体"/>
          <w:color w:val="000000" w:themeColor="text1"/>
          <w:sz w:val="24"/>
          <w14:textFill>
            <w14:solidFill>
              <w14:schemeClr w14:val="tx1"/>
            </w14:solidFill>
          </w14:textFill>
        </w:rPr>
        <w:t>据实</w:t>
      </w:r>
      <w:r>
        <w:rPr>
          <w:rFonts w:ascii="宋体" w:hAnsi="宋体" w:eastAsia="宋体" w:cs="宋体"/>
          <w:color w:val="000000" w:themeColor="text1"/>
          <w:sz w:val="24"/>
          <w14:textFill>
            <w14:solidFill>
              <w14:schemeClr w14:val="tx1"/>
            </w14:solidFill>
          </w14:textFill>
        </w:rPr>
        <w:t>结算</w:t>
      </w:r>
      <w:r>
        <w:rPr>
          <w:rFonts w:hint="eastAsia" w:ascii="宋体" w:hAnsi="宋体" w:eastAsia="宋体" w:cs="宋体"/>
          <w:color w:val="000000" w:themeColor="text1"/>
          <w:sz w:val="24"/>
          <w14:textFill>
            <w14:solidFill>
              <w14:schemeClr w14:val="tx1"/>
            </w14:solidFill>
          </w14:textFill>
        </w:rPr>
        <w:t>，</w:t>
      </w:r>
      <w:r>
        <w:rPr>
          <w:rFonts w:ascii="宋体" w:hAnsi="宋体" w:eastAsia="宋体" w:cs="宋体"/>
          <w:color w:val="000000" w:themeColor="text1"/>
          <w:sz w:val="24"/>
          <w14:textFill>
            <w14:solidFill>
              <w14:schemeClr w14:val="tx1"/>
            </w14:solidFill>
          </w14:textFill>
        </w:rPr>
        <w:t>乙方应向甲方提供以乙方名义开具的与</w:t>
      </w:r>
      <w:r>
        <w:rPr>
          <w:rFonts w:hint="eastAsia" w:ascii="宋体" w:hAnsi="宋体" w:eastAsia="宋体" w:cs="宋体"/>
          <w:color w:val="000000" w:themeColor="text1"/>
          <w:sz w:val="24"/>
          <w14:textFill>
            <w14:solidFill>
              <w14:schemeClr w14:val="tx1"/>
            </w14:solidFill>
          </w14:textFill>
        </w:rPr>
        <w:t>该批次</w:t>
      </w:r>
      <w:r>
        <w:rPr>
          <w:rFonts w:ascii="宋体" w:hAnsi="宋体" w:eastAsia="宋体" w:cs="宋体"/>
          <w:color w:val="000000" w:themeColor="text1"/>
          <w:sz w:val="24"/>
          <w14:textFill>
            <w14:solidFill>
              <w14:schemeClr w14:val="tx1"/>
            </w14:solidFill>
          </w14:textFill>
        </w:rPr>
        <w:t>结算金额对应的增值税普通发票；如乙方未能及时提供符合约定的发票，甲方有权顺延付款期限</w:t>
      </w:r>
      <w:r>
        <w:rPr>
          <w:rFonts w:hint="eastAsia" w:ascii="宋体" w:hAnsi="宋体" w:eastAsia="宋体" w:cs="宋体"/>
          <w:color w:val="000000" w:themeColor="text1"/>
          <w:sz w:val="24"/>
          <w14:textFill>
            <w14:solidFill>
              <w14:schemeClr w14:val="tx1"/>
            </w14:solidFill>
          </w14:textFill>
        </w:rPr>
        <w:t>，由此产生的责任均由乙方自行承担</w:t>
      </w:r>
      <w:r>
        <w:rPr>
          <w:rFonts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甲方自收到乙方发票且财务入账后180日内（如遇特殊情况顺延）向乙方支付该批次结算价款</w:t>
      </w:r>
      <w:r>
        <w:rPr>
          <w:rFonts w:ascii="宋体" w:hAnsi="宋体" w:eastAsia="宋体" w:cs="宋体"/>
          <w:color w:val="000000" w:themeColor="text1"/>
          <w:sz w:val="24"/>
          <w14:textFill>
            <w14:solidFill>
              <w14:schemeClr w14:val="tx1"/>
            </w14:solidFill>
          </w14:textFill>
        </w:rPr>
        <w:t>。</w:t>
      </w:r>
    </w:p>
    <w:p w14:paraId="16BF2E4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6.3  乙方委派</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（联系电话：</w:t>
      </w:r>
      <w:r>
        <w:rPr>
          <w:rFonts w:hint="eastAsia" w:ascii="宋体" w:hAnsi="宋体" w:eastAsia="宋体" w:cs="宋体"/>
          <w:sz w:val="24"/>
          <w:u w:val="single"/>
          <w:lang w:val="en-US" w:eastAsia="zh-CN"/>
        </w:rPr>
        <w:t xml:space="preserve">       </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 与甲方办理结算手续。</w:t>
      </w:r>
    </w:p>
    <w:p w14:paraId="3F604E0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6.4  甲方通过银行转账方式向乙方指定银行账户支付设备和耗材结算价款，乙方指定账户：</w:t>
      </w:r>
    </w:p>
    <w:p w14:paraId="6C9E981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u w:val="single"/>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开</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户</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名：</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eastAsia="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 xml:space="preserve"> </w:t>
      </w:r>
    </w:p>
    <w:p w14:paraId="1B3DAEF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开户银行：</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w:t>
      </w:r>
    </w:p>
    <w:p w14:paraId="286E9A2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olor w:val="000000" w:themeColor="text1"/>
          <w:sz w:val="28"/>
          <w:szCs w:val="28"/>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账</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号：</w:t>
      </w:r>
      <w:r>
        <w:rPr>
          <w:rFonts w:hint="eastAsia" w:ascii="宋体" w:hAnsi="宋体"/>
          <w:color w:val="000000" w:themeColor="text1"/>
          <w:sz w:val="28"/>
          <w:szCs w:val="28"/>
          <w:u w:val="single"/>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p>
    <w:p w14:paraId="361C3171">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第七条 风险承担</w:t>
      </w:r>
    </w:p>
    <w:p w14:paraId="72A1982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7.1  乙方履行本合同过程中发生事故，包括但不限于在运输、装卸、安装及调试过程中发生事故，给甲方、乙方或第三方人身、财产造成的所有损失，均由乙方负责处理和承担全部法律责任、经济赔偿。</w:t>
      </w:r>
    </w:p>
    <w:p w14:paraId="3C56599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7.2  设备毁损、丢失的风险自甲方在设备总体验收报告单上签字确认合格后转移给甲方；医用耗材毁损、灭失的风险自甲方在供货单上签字验收之日起转移给甲方。</w:t>
      </w:r>
    </w:p>
    <w:p w14:paraId="57B8F99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7.3  如耗材在有效期内出现质量问题，给甲方、乙方或第三方人身、财产造成的所有损失，均由乙方负责处理和承担全部法律责任、经济赔偿。</w:t>
      </w:r>
    </w:p>
    <w:p w14:paraId="6E4CAF2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7.4  乙方确保本合同约定设备及耗材的权利均无瑕疵，包括所有权及知识产权等权利，否则由乙方承担全部法律责任和经济赔偿。</w:t>
      </w:r>
    </w:p>
    <w:p w14:paraId="0EE7A6E9">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第八条 廉洁条款</w:t>
      </w:r>
    </w:p>
    <w:p w14:paraId="67FB005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8.1 乙方应严格遵守国家相关法律法规，涉及合同的有关业务活动必须坚持公开、公平、公正、诚信原则，不得为获取不正当利益，损害国家、集体和甲方利益。</w:t>
      </w:r>
    </w:p>
    <w:p w14:paraId="23495005">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u w:val="single"/>
          <w14:textFill>
            <w14:solidFill>
              <w14:schemeClr w14:val="tx1"/>
            </w14:solidFill>
          </w14:textFill>
        </w:rPr>
      </w:pPr>
      <w:r>
        <w:rPr>
          <w:rFonts w:ascii="宋体" w:hAnsi="宋体" w:eastAsia="宋体" w:cs="宋体"/>
          <w:b/>
          <w:bCs/>
          <w:color w:val="000000" w:themeColor="text1"/>
          <w:sz w:val="24"/>
          <w14:textFill>
            <w14:solidFill>
              <w14:schemeClr w14:val="tx1"/>
            </w14:solidFill>
          </w14:textFill>
        </w:rPr>
        <w:t xml:space="preserve">8.2 </w:t>
      </w:r>
      <w:r>
        <w:rPr>
          <w:rFonts w:ascii="宋体" w:hAnsi="宋体" w:eastAsia="宋体" w:cs="宋体"/>
          <w:b/>
          <w:bCs/>
          <w:color w:val="000000" w:themeColor="text1"/>
          <w:sz w:val="24"/>
          <w:u w:val="single"/>
          <w14:textFill>
            <w14:solidFill>
              <w14:schemeClr w14:val="tx1"/>
            </w14:solidFill>
          </w14:textFill>
        </w:rPr>
        <w:t>乙方的任何人员（包括股东、管理人员、普通员工等）及与乙方本业务有关的任何人员（包括与乙方不存在劳动、劳务关系的人员），均不得对甲方工作人员或其亲友、关系人请客、送礼或赠送礼金、有价证券、贵重物品及给予回扣、好处费、感谢费等其他形式的好处，否则甲方有权要求乙方按本合同约定向甲方支付违反廉洁条款的惩罚性违约金。</w:t>
      </w:r>
    </w:p>
    <w:p w14:paraId="4E8F82B1">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第九条 保密条款</w:t>
      </w:r>
    </w:p>
    <w:p w14:paraId="7295A6F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9.1 本合同订立、履行、变更等产生的研究、商讨、交流等信息，履行本合同获悉的甲方商业秘密、运营信息、工作人员信息、患陪个人信息等，均属保密信息。</w:t>
      </w:r>
    </w:p>
    <w:p w14:paraId="7232B2A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9.2 乙方应对保密信息应当采取有效手段严格保密，不得用于非本合同之目的或向第三方泄露。如政府部门、法院或其他有权部门要求乙方提供保密信息，乙方应当立即向甲方通报。</w:t>
      </w:r>
    </w:p>
    <w:p w14:paraId="1DFBE28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9.3 因乙方未履行本合同保密义务造成甲方或第三方损失的，由乙方承担全部赔偿责任。</w:t>
      </w:r>
    </w:p>
    <w:p w14:paraId="632DD0E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9.4 本合同保密条款在合同被认定无效、被撤销或终止、解除后仍然有效。</w:t>
      </w:r>
    </w:p>
    <w:p w14:paraId="6FB4C7F2">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 xml:space="preserve">第十条 </w:t>
      </w:r>
      <w:r>
        <w:rPr>
          <w:rFonts w:ascii="宋体" w:hAnsi="宋体" w:eastAsia="宋体" w:cs="宋体"/>
          <w:b/>
          <w:bCs/>
          <w:color w:val="000000" w:themeColor="text1"/>
          <w:sz w:val="24"/>
          <w14:textFill>
            <w14:solidFill>
              <w14:schemeClr w14:val="tx1"/>
            </w14:solidFill>
          </w14:textFill>
        </w:rPr>
        <w:t>通知</w:t>
      </w:r>
      <w:r>
        <w:rPr>
          <w:rFonts w:hint="eastAsia" w:ascii="宋体" w:hAnsi="宋体" w:eastAsia="宋体" w:cs="宋体"/>
          <w:b/>
          <w:bCs/>
          <w:color w:val="000000" w:themeColor="text1"/>
          <w:sz w:val="24"/>
          <w14:textFill>
            <w14:solidFill>
              <w14:schemeClr w14:val="tx1"/>
            </w14:solidFill>
          </w14:textFill>
        </w:rPr>
        <w:t>与送达</w:t>
      </w:r>
    </w:p>
    <w:p w14:paraId="0567836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10.1 甲乙双方同意，与本合同有关的任何文书，应以书面方式按照本合同约定发送，书面方式包括手机短信、微信、书面函件、电子邮件等形式。</w:t>
      </w:r>
    </w:p>
    <w:p w14:paraId="6F29D7D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10.2 双方确认的文书（包括未来可能发生的诉讼或仲裁活动中法院或仲裁机构的送达法律文书）送达地址：</w:t>
      </w:r>
    </w:p>
    <w:p w14:paraId="33496A5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10.2.1 </w:t>
      </w:r>
      <w:r>
        <w:rPr>
          <w:rFonts w:ascii="宋体" w:hAnsi="宋体" w:eastAsia="宋体" w:cs="宋体"/>
          <w:color w:val="000000" w:themeColor="text1"/>
          <w:sz w:val="24"/>
          <w14:textFill>
            <w14:solidFill>
              <w14:schemeClr w14:val="tx1"/>
            </w14:solidFill>
          </w14:textFill>
        </w:rPr>
        <w:t>甲方的联系地址：</w:t>
      </w:r>
      <w:r>
        <w:rPr>
          <w:rFonts w:hint="eastAsia" w:ascii="宋体" w:hAnsi="宋体" w:eastAsia="宋体" w:cs="宋体"/>
          <w:color w:val="000000" w:themeColor="text1"/>
          <w:sz w:val="24"/>
          <w:u w:val="single"/>
          <w:lang w:val="en-US" w:eastAsia="zh-CN"/>
          <w14:textFill>
            <w14:solidFill>
              <w14:schemeClr w14:val="tx1"/>
            </w14:solidFill>
          </w14:textFill>
        </w:rPr>
        <w:t xml:space="preserve">娄底市娄星区长青中街51号 </w:t>
      </w:r>
      <w:r>
        <w:rPr>
          <w:rFonts w:ascii="宋体" w:hAnsi="宋体" w:eastAsia="宋体" w:cs="宋体"/>
          <w:color w:val="000000" w:themeColor="text1"/>
          <w:sz w:val="24"/>
          <w14:textFill>
            <w14:solidFill>
              <w14:schemeClr w14:val="tx1"/>
            </w14:solidFill>
          </w14:textFill>
        </w:rPr>
        <w:t>，联系人：</w:t>
      </w:r>
      <w:r>
        <w:rPr>
          <w:rFonts w:hint="eastAsia" w:ascii="宋体" w:hAnsi="宋体" w:eastAsia="宋体" w:cs="宋体"/>
          <w:color w:val="000000" w:themeColor="text1"/>
          <w:sz w:val="24"/>
          <w:u w:val="single"/>
          <w:lang w:val="en-US" w:eastAsia="zh-CN"/>
          <w14:textFill>
            <w14:solidFill>
              <w14:schemeClr w14:val="tx1"/>
            </w14:solidFill>
          </w14:textFill>
        </w:rPr>
        <w:t>彭春涛</w:t>
      </w:r>
      <w:r>
        <w:rPr>
          <w:rFonts w:ascii="宋体" w:hAnsi="宋体" w:eastAsia="宋体" w:cs="宋体"/>
          <w:color w:val="000000" w:themeColor="text1"/>
          <w:sz w:val="24"/>
          <w14:textFill>
            <w14:solidFill>
              <w14:schemeClr w14:val="tx1"/>
            </w14:solidFill>
          </w14:textFill>
        </w:rPr>
        <w:t>，联系电话：</w:t>
      </w:r>
      <w:r>
        <w:rPr>
          <w:rFonts w:hint="eastAsia" w:ascii="宋体" w:hAnsi="宋体" w:eastAsia="宋体" w:cs="宋体"/>
          <w:color w:val="000000" w:themeColor="text1"/>
          <w:sz w:val="24"/>
          <w:u w:val="single"/>
          <w:lang w:val="en-US" w:eastAsia="zh-CN"/>
          <w14:textFill>
            <w14:solidFill>
              <w14:schemeClr w14:val="tx1"/>
            </w14:solidFill>
          </w14:textFill>
        </w:rPr>
        <w:t>13027388172</w:t>
      </w:r>
      <w:r>
        <w:rPr>
          <w:rFonts w:ascii="宋体" w:hAnsi="宋体" w:eastAsia="宋体" w:cs="宋体"/>
          <w:color w:val="000000" w:themeColor="text1"/>
          <w:sz w:val="24"/>
          <w14:textFill>
            <w14:solidFill>
              <w14:schemeClr w14:val="tx1"/>
            </w14:solidFill>
          </w14:textFill>
        </w:rPr>
        <w:t>，邮箱地址</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u w:val="single"/>
          <w:lang w:val="en-US" w:eastAsia="zh-CN"/>
          <w14:textFill>
            <w14:solidFill>
              <w14:schemeClr w14:val="tx1"/>
            </w14:solidFill>
          </w14:textFill>
        </w:rPr>
        <w:t xml:space="preserve">721294732@qq.com </w:t>
      </w:r>
      <w:r>
        <w:rPr>
          <w:rFonts w:hint="eastAsia" w:ascii="宋体" w:hAnsi="宋体" w:eastAsia="宋体" w:cs="宋体"/>
          <w:color w:val="000000" w:themeColor="text1"/>
          <w:sz w:val="24"/>
          <w14:textFill>
            <w14:solidFill>
              <w14:schemeClr w14:val="tx1"/>
            </w14:solidFill>
          </w14:textFill>
        </w:rPr>
        <w:t>，</w:t>
      </w:r>
      <w:r>
        <w:rPr>
          <w:rFonts w:ascii="宋体" w:hAnsi="宋体" w:eastAsia="宋体" w:cs="宋体"/>
          <w:color w:val="000000" w:themeColor="text1"/>
          <w:sz w:val="24"/>
          <w14:textFill>
            <w14:solidFill>
              <w14:schemeClr w14:val="tx1"/>
            </w14:solidFill>
          </w14:textFill>
        </w:rPr>
        <w:t>或微信号</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u w:val="single"/>
          <w:lang w:val="en-US" w:eastAsia="zh-CN"/>
          <w14:textFill>
            <w14:solidFill>
              <w14:schemeClr w14:val="tx1"/>
            </w14:solidFill>
          </w14:textFill>
        </w:rPr>
        <w:t>13027388172</w:t>
      </w:r>
      <w:r>
        <w:rPr>
          <w:rFonts w:ascii="宋体" w:hAnsi="宋体" w:eastAsia="宋体" w:cs="宋体"/>
          <w:color w:val="000000" w:themeColor="text1"/>
          <w:sz w:val="24"/>
          <w14:textFill>
            <w14:solidFill>
              <w14:schemeClr w14:val="tx1"/>
            </w14:solidFill>
          </w14:textFill>
        </w:rPr>
        <w:t>。</w:t>
      </w:r>
    </w:p>
    <w:p w14:paraId="2282019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10.2.2 </w:t>
      </w:r>
      <w:r>
        <w:rPr>
          <w:rFonts w:ascii="宋体" w:hAnsi="宋体" w:eastAsia="宋体" w:cs="宋体"/>
          <w:color w:val="000000" w:themeColor="text1"/>
          <w:sz w:val="24"/>
          <w14:textFill>
            <w14:solidFill>
              <w14:schemeClr w14:val="tx1"/>
            </w14:solidFill>
          </w14:textFill>
        </w:rPr>
        <w:t>乙方的联系地址：</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，联系人：</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，联系电话：</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，邮箱地址</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w:t>
      </w:r>
      <w:r>
        <w:rPr>
          <w:rFonts w:ascii="宋体" w:hAnsi="宋体" w:eastAsia="宋体" w:cs="宋体"/>
          <w:color w:val="000000" w:themeColor="text1"/>
          <w:sz w:val="24"/>
          <w14:textFill>
            <w14:solidFill>
              <w14:schemeClr w14:val="tx1"/>
            </w14:solidFill>
          </w14:textFill>
        </w:rPr>
        <w:t>或微信号</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u w:val="single"/>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w:t>
      </w:r>
    </w:p>
    <w:p w14:paraId="70840A9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10.3 上述通知应被视为在下列时间送达：以快递或专人发送的，在收件人签收之日或拒收之日；以挂号邮件发出的，在发出之日起7个工作日；以电子邮件发出的，在电子邮件进入收件方电子邮箱服务器之日。</w:t>
      </w:r>
    </w:p>
    <w:p w14:paraId="1496618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10.4 以上地址和联系方式，任何一方发生变更应在变更之日起3日内通知对方。如未通知，一方按原地址送达的书面资料被退回的，退回之日视为送达之日。任何一方按照确认地址送到另一方的书面资料被拒绝签收导致邮件被退回的，退回之日视为送达之日。</w:t>
      </w:r>
    </w:p>
    <w:p w14:paraId="68282D77">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第十一条 合同的变更、解除</w:t>
      </w:r>
    </w:p>
    <w:p w14:paraId="68651BA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11.1 本合同经双方协商一致后可以变更，双方应另行签订补充协议。</w:t>
      </w:r>
    </w:p>
    <w:p w14:paraId="09E1AA7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 乙方出现以下违约情形之一的，甲方有权拒绝支付任何价款并解除合同：</w:t>
      </w:r>
    </w:p>
    <w:p w14:paraId="3155227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w:t>
      </w:r>
      <w:r>
        <w:rPr>
          <w:rFonts w:hint="eastAsia" w:ascii="宋体" w:hAnsi="宋体" w:eastAsia="宋体" w:cs="宋体"/>
          <w:color w:val="000000" w:themeColor="text1"/>
          <w:sz w:val="24"/>
          <w14:textFill>
            <w14:solidFill>
              <w14:schemeClr w14:val="tx1"/>
            </w14:solidFill>
          </w14:textFill>
        </w:rPr>
        <w:t>.2.1 乙方逾期</w:t>
      </w:r>
      <w:r>
        <w:rPr>
          <w:rFonts w:hint="eastAsia" w:ascii="宋体" w:hAnsi="宋体" w:eastAsia="宋体" w:cs="宋体"/>
          <w:color w:val="000000" w:themeColor="text1"/>
          <w:sz w:val="24"/>
          <w:u w:val="single"/>
          <w14:textFill>
            <w14:solidFill>
              <w14:schemeClr w14:val="tx1"/>
            </w14:solidFill>
          </w14:textFill>
        </w:rPr>
        <w:t>30</w:t>
      </w:r>
      <w:r>
        <w:rPr>
          <w:rFonts w:hint="eastAsia" w:ascii="宋体" w:hAnsi="宋体" w:eastAsia="宋体" w:cs="宋体"/>
          <w:color w:val="000000" w:themeColor="text1"/>
          <w:sz w:val="24"/>
          <w14:textFill>
            <w14:solidFill>
              <w14:schemeClr w14:val="tx1"/>
            </w14:solidFill>
          </w14:textFill>
        </w:rPr>
        <w:t>日仍不能供货。</w:t>
      </w:r>
    </w:p>
    <w:p w14:paraId="2A1838E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w:t>
      </w:r>
      <w:r>
        <w:rPr>
          <w:rFonts w:hint="eastAsia" w:ascii="宋体" w:hAnsi="宋体" w:eastAsia="宋体" w:cs="宋体"/>
          <w:color w:val="000000" w:themeColor="text1"/>
          <w:sz w:val="24"/>
          <w14:textFill>
            <w14:solidFill>
              <w14:schemeClr w14:val="tx1"/>
            </w14:solidFill>
          </w14:textFill>
        </w:rPr>
        <w:t>.2.2 乙方提供的设备、耗材质量不符合国家标准、本合同标准或响应文件约定标准。</w:t>
      </w:r>
    </w:p>
    <w:p w14:paraId="7E4AB6B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11.2.3 乙方未在甲方订单规定的时间内提供耗材，经甲方催告3次以上后仍不能提供的；或耗材经甲方验收不合格或乙方提供的耗材在有效期内出现质量问题，经连续2次更换仍不合格的；或提供的耗材、证件手续不齐，甲方不能合法使用的。</w:t>
      </w:r>
    </w:p>
    <w:p w14:paraId="134FDC4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11.2.4 乙方供应的耗材被生产厂家取消配送权的；或乙方不配合耗材管理工作的，如不配合耗材HRP系统信息录入、赋码等、不配合耗材SPD配送管理、未向SPD配送公司交纳配送服务费等。</w:t>
      </w:r>
    </w:p>
    <w:p w14:paraId="79C15A6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11.2.5 乙方违反甲方制度的，或乙方经甲方供应商管理考核为不合格供应商的。</w:t>
      </w:r>
    </w:p>
    <w:p w14:paraId="09B591B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11.2.6 乙方未经甲方设备科发出书面订单采购私自向甲方科室配送的。</w:t>
      </w:r>
    </w:p>
    <w:p w14:paraId="15A2BB05">
      <w:pPr>
        <w:keepNext w:val="0"/>
        <w:keepLines w:val="0"/>
        <w:pageBreakBefore w:val="0"/>
        <w:widowControl w:val="0"/>
        <w:kinsoku/>
        <w:wordWrap/>
        <w:overflowPunct/>
        <w:topLinePunct w:val="0"/>
        <w:autoSpaceDE w:val="0"/>
        <w:autoSpaceDN w:val="0"/>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11.2.7 乙方将订单转包、分包给第三方。</w:t>
      </w:r>
    </w:p>
    <w:p w14:paraId="1EED7D7E">
      <w:pPr>
        <w:keepNext w:val="0"/>
        <w:keepLines w:val="0"/>
        <w:pageBreakBefore w:val="0"/>
        <w:widowControl w:val="0"/>
        <w:kinsoku/>
        <w:wordWrap/>
        <w:overflowPunct/>
        <w:topLinePunct w:val="0"/>
        <w:autoSpaceDE w:val="0"/>
        <w:autoSpaceDN w:val="0"/>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11.2.8 乙方在本合同履行期间因违法行为被追究刑事责任的，或被予以吊销营业执照、取消资质等行政处罚，或乙方被接管、资金被冻结的。</w:t>
      </w:r>
    </w:p>
    <w:p w14:paraId="17F419F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11.2.9 其他根本违约的情形。</w:t>
      </w:r>
    </w:p>
    <w:p w14:paraId="0A953F13">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第十二条 违约责任</w:t>
      </w:r>
    </w:p>
    <w:p w14:paraId="1AA178A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w:t>
      </w:r>
      <w:r>
        <w:rPr>
          <w:rFonts w:hint="eastAsia" w:ascii="宋体" w:hAnsi="宋体" w:eastAsia="宋体" w:cs="宋体"/>
          <w:color w:val="000000" w:themeColor="text1"/>
          <w:sz w:val="24"/>
          <w14:textFill>
            <w14:solidFill>
              <w14:schemeClr w14:val="tx1"/>
            </w14:solidFill>
          </w14:textFill>
        </w:rPr>
        <w:t>.1 甲方因11.2情形提前终止本合同或剔除部分采购内容均无须承担违约责任，乙方不得因此要求甲方予以任何经济赔偿或补偿。</w:t>
      </w:r>
    </w:p>
    <w:p w14:paraId="3F9F1DE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w:t>
      </w:r>
      <w:r>
        <w:rPr>
          <w:rFonts w:hint="eastAsia" w:ascii="宋体" w:hAnsi="宋体" w:eastAsia="宋体" w:cs="宋体"/>
          <w:color w:val="000000" w:themeColor="text1"/>
          <w:sz w:val="24"/>
          <w14:textFill>
            <w14:solidFill>
              <w14:schemeClr w14:val="tx1"/>
            </w14:solidFill>
          </w14:textFill>
        </w:rPr>
        <w:t>.2 如乙方未在本合同约定时间内将验收合格的设备交付给甲方使用，除应赔偿甲方因此造成的损失外，每逾期一日，按本合同约定设备总价款的千分之一向甲方支付违约金。</w:t>
      </w:r>
    </w:p>
    <w:p w14:paraId="5649E77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w:t>
      </w:r>
      <w:r>
        <w:rPr>
          <w:rFonts w:hint="eastAsia" w:ascii="宋体" w:hAnsi="宋体" w:eastAsia="宋体" w:cs="宋体"/>
          <w:color w:val="000000" w:themeColor="text1"/>
          <w:sz w:val="24"/>
          <w14:textFill>
            <w14:solidFill>
              <w14:schemeClr w14:val="tx1"/>
            </w14:solidFill>
          </w14:textFill>
        </w:rPr>
        <w:t>.3 如乙方未在本合同约定时间内将验收合格的耗材交付给甲方使用，除应赔偿甲方因此造成的损失外，每逾期一日，按该批次耗材结算金额的百分之五向甲方支付违约金。</w:t>
      </w:r>
    </w:p>
    <w:p w14:paraId="25E8104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000000" w:themeColor="text1"/>
          <w:sz w:val="24"/>
          <w14:textFill>
            <w14:solidFill>
              <w14:schemeClr w14:val="tx1"/>
            </w14:solidFill>
          </w14:textFill>
        </w:rPr>
        <w:t>12.4  如乙方单方解</w:t>
      </w:r>
      <w:r>
        <w:rPr>
          <w:rFonts w:hint="eastAsia" w:ascii="宋体" w:hAnsi="宋体" w:eastAsia="宋体" w:cs="宋体"/>
          <w:color w:val="auto"/>
          <w:sz w:val="24"/>
        </w:rPr>
        <w:t>除合同或甲方因</w:t>
      </w:r>
      <w:r>
        <w:rPr>
          <w:rFonts w:hint="eastAsia" w:ascii="宋体" w:hAnsi="宋体" w:eastAsia="宋体" w:cs="宋体"/>
          <w:color w:val="auto"/>
          <w:sz w:val="24"/>
          <w:lang w:val="en-US" w:eastAsia="zh-CN"/>
        </w:rPr>
        <w:t>11.2情形</w:t>
      </w:r>
      <w:r>
        <w:rPr>
          <w:rFonts w:hint="eastAsia" w:ascii="宋体" w:hAnsi="宋体" w:eastAsia="宋体" w:cs="宋体"/>
          <w:color w:val="auto"/>
          <w:sz w:val="24"/>
        </w:rPr>
        <w:t>解除合同，</w:t>
      </w:r>
      <w:r>
        <w:rPr>
          <w:rFonts w:hint="eastAsia" w:ascii="宋体" w:hAnsi="宋体" w:eastAsia="宋体" w:cs="宋体"/>
          <w:color w:val="auto"/>
          <w:sz w:val="24"/>
          <w:highlight w:val="none"/>
        </w:rPr>
        <w:t>乙方</w:t>
      </w:r>
      <w:r>
        <w:rPr>
          <w:rFonts w:hint="eastAsia" w:ascii="宋体" w:hAnsi="宋体" w:eastAsia="宋体" w:cs="宋体"/>
          <w:color w:val="auto"/>
          <w:sz w:val="24"/>
          <w:highlight w:val="none"/>
          <w:lang w:val="en-US" w:eastAsia="zh-CN"/>
        </w:rPr>
        <w:t>除</w:t>
      </w:r>
      <w:r>
        <w:rPr>
          <w:rFonts w:hint="eastAsia" w:ascii="宋体" w:hAnsi="宋体" w:eastAsia="宋体" w:cs="宋体"/>
          <w:color w:val="auto"/>
          <w:sz w:val="24"/>
          <w:highlight w:val="none"/>
        </w:rPr>
        <w:t>应赔偿给甲方造成的全部经济损失外</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还应向甲方支付违约金</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该违约金金额按以下较高者确定：（1）</w:t>
      </w:r>
      <w:r>
        <w:rPr>
          <w:rFonts w:hint="eastAsia" w:ascii="宋体" w:hAnsi="宋体" w:eastAsia="宋体" w:cs="宋体"/>
          <w:color w:val="auto"/>
          <w:sz w:val="24"/>
          <w:highlight w:val="none"/>
          <w:u w:val="single"/>
        </w:rPr>
        <w:t>10000.00</w:t>
      </w:r>
      <w:r>
        <w:rPr>
          <w:rFonts w:hint="eastAsia" w:ascii="宋体" w:hAnsi="宋体" w:eastAsia="宋体" w:cs="宋体"/>
          <w:color w:val="auto"/>
          <w:sz w:val="24"/>
          <w:highlight w:val="none"/>
        </w:rPr>
        <w:t>元</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按本合同约定</w:t>
      </w:r>
      <w:r>
        <w:rPr>
          <w:rFonts w:hint="eastAsia" w:ascii="宋体" w:hAnsi="宋体" w:eastAsia="宋体" w:cs="宋体"/>
          <w:color w:val="auto"/>
          <w:sz w:val="24"/>
          <w:highlight w:val="none"/>
        </w:rPr>
        <w:t>供货期限</w:t>
      </w:r>
      <w:r>
        <w:rPr>
          <w:rFonts w:hint="eastAsia" w:ascii="宋体" w:hAnsi="宋体" w:eastAsia="宋体" w:cs="宋体"/>
          <w:color w:val="auto"/>
          <w:sz w:val="24"/>
          <w:highlight w:val="none"/>
          <w:lang w:val="en-US" w:eastAsia="zh-CN"/>
        </w:rPr>
        <w:t>内耗材累计结算总金额</w:t>
      </w:r>
      <w:r>
        <w:rPr>
          <w:rFonts w:hint="eastAsia" w:ascii="宋体" w:hAnsi="宋体" w:eastAsia="宋体" w:cs="宋体"/>
          <w:color w:val="auto"/>
          <w:sz w:val="24"/>
          <w:highlight w:val="none"/>
          <w:u w:val="single"/>
          <w:lang w:val="en-US" w:eastAsia="zh-CN"/>
        </w:rPr>
        <w:t>10%</w:t>
      </w:r>
      <w:r>
        <w:rPr>
          <w:rFonts w:hint="eastAsia" w:ascii="宋体" w:hAnsi="宋体" w:eastAsia="宋体" w:cs="宋体"/>
          <w:color w:val="auto"/>
          <w:sz w:val="24"/>
          <w:highlight w:val="none"/>
          <w:u w:val="none"/>
          <w:lang w:val="en-US" w:eastAsia="zh-CN"/>
        </w:rPr>
        <w:t>计算的违约金金额。</w:t>
      </w:r>
    </w:p>
    <w:p w14:paraId="7CB7F695">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highlight w:val="none"/>
          <w:u w:val="single"/>
          <w14:textFill>
            <w14:solidFill>
              <w14:schemeClr w14:val="tx1"/>
            </w14:solidFill>
          </w14:textFill>
        </w:rPr>
      </w:pPr>
      <w:r>
        <w:rPr>
          <w:rFonts w:hint="eastAsia" w:ascii="宋体" w:hAnsi="宋体" w:eastAsia="宋体" w:cs="宋体"/>
          <w:b/>
          <w:bCs/>
          <w:color w:val="auto"/>
          <w:sz w:val="24"/>
          <w:highlight w:val="none"/>
          <w:u w:val="single"/>
        </w:rPr>
        <w:t>12.</w:t>
      </w:r>
      <w:r>
        <w:rPr>
          <w:rFonts w:hint="eastAsia" w:ascii="宋体" w:hAnsi="宋体" w:eastAsia="宋体" w:cs="宋体"/>
          <w:b/>
          <w:bCs/>
          <w:color w:val="auto"/>
          <w:sz w:val="24"/>
          <w:highlight w:val="none"/>
          <w:u w:val="single"/>
          <w:lang w:val="en-US" w:eastAsia="zh-CN"/>
        </w:rPr>
        <w:t>5</w:t>
      </w:r>
      <w:r>
        <w:rPr>
          <w:rFonts w:hint="eastAsia" w:ascii="宋体" w:hAnsi="宋体" w:eastAsia="宋体" w:cs="宋体"/>
          <w:b/>
          <w:bCs/>
          <w:color w:val="auto"/>
          <w:sz w:val="24"/>
          <w:highlight w:val="none"/>
          <w:u w:val="single"/>
        </w:rPr>
        <w:t xml:space="preserve"> 无论甲方在任意时候（不限于本合同履行期间）发现存在违反本合同廉洁条款及供应商考核管理制度约定的行为，</w:t>
      </w:r>
      <w:r>
        <w:rPr>
          <w:rFonts w:hint="eastAsia" w:ascii="宋体" w:hAnsi="宋体" w:eastAsia="宋体" w:cs="宋体"/>
          <w:b/>
          <w:bCs/>
          <w:color w:val="auto"/>
          <w:sz w:val="24"/>
          <w:highlight w:val="none"/>
          <w:u w:val="single"/>
          <w:lang w:val="en-US" w:eastAsia="zh-CN"/>
        </w:rPr>
        <w:t>乙方均须向甲方支付一次性惩罚性违约金，该违约金金额按以下较高者确定：（1）按本合同约定供货期限内耗材累计结算总金额10%计算的违约金金额；（2）根据《娄底市中心医院医疗器械供应商考核管理制度》规定计算的廉政违约金金额。</w:t>
      </w:r>
      <w:r>
        <w:rPr>
          <w:rFonts w:hint="eastAsia" w:ascii="宋体" w:hAnsi="宋体" w:eastAsia="宋体" w:cs="宋体"/>
          <w:b/>
          <w:bCs/>
          <w:color w:val="auto"/>
          <w:sz w:val="24"/>
          <w:szCs w:val="24"/>
          <w:highlight w:val="none"/>
          <w:u w:val="single"/>
          <w:lang w:val="en-US" w:eastAsia="zh-CN"/>
        </w:rPr>
        <w:t>如乙方除需承担违反廉洁条款及供应商考核管理制度的违约责任外，同时存在其他违约行为，乙方仍须就其他违约行为承担相应违约</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责任。</w:t>
      </w:r>
    </w:p>
    <w:p w14:paraId="7911B647">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u w:val="single"/>
          <w14:textFill>
            <w14:solidFill>
              <w14:schemeClr w14:val="tx1"/>
            </w14:solidFill>
          </w14:textFill>
        </w:rPr>
        <w:t>12.</w:t>
      </w:r>
      <w:r>
        <w:rPr>
          <w:rFonts w:hint="eastAsia" w:ascii="宋体" w:hAnsi="宋体" w:eastAsia="宋体" w:cs="宋体"/>
          <w:b/>
          <w:bCs/>
          <w:color w:val="000000" w:themeColor="text1"/>
          <w:sz w:val="24"/>
          <w:u w:val="single"/>
          <w:lang w:val="en-US" w:eastAsia="zh-CN"/>
          <w14:textFill>
            <w14:solidFill>
              <w14:schemeClr w14:val="tx1"/>
            </w14:solidFill>
          </w14:textFill>
        </w:rPr>
        <w:t>6</w:t>
      </w:r>
      <w:r>
        <w:rPr>
          <w:rFonts w:hint="eastAsia" w:ascii="宋体" w:hAnsi="宋体" w:eastAsia="宋体" w:cs="宋体"/>
          <w:b/>
          <w:bCs/>
          <w:color w:val="000000" w:themeColor="text1"/>
          <w:sz w:val="24"/>
          <w:u w:val="single"/>
          <w14:textFill>
            <w14:solidFill>
              <w14:schemeClr w14:val="tx1"/>
            </w14:solidFill>
          </w14:textFill>
        </w:rPr>
        <w:t xml:space="preserve"> 依据本合同约定乙方应支付给甲方的违约金，甲方有权在应支付给乙方的任意价款中直接予以扣除，如扣除部分不足，乙方应在接到甲方通知后3日内补足。</w:t>
      </w:r>
    </w:p>
    <w:p w14:paraId="378AABBE">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w:t>
      </w:r>
      <w:r>
        <w:rPr>
          <w:rFonts w:hint="eastAsia" w:ascii="宋体" w:hAnsi="宋体" w:cs="宋体"/>
          <w:b/>
          <w:bCs/>
          <w:color w:val="000000" w:themeColor="text1"/>
          <w:sz w:val="24"/>
          <w14:textFill>
            <w14:solidFill>
              <w14:schemeClr w14:val="tx1"/>
            </w14:solidFill>
          </w14:textFill>
        </w:rPr>
        <w:t>十三</w:t>
      </w:r>
      <w:r>
        <w:rPr>
          <w:rFonts w:hint="eastAsia" w:ascii="宋体" w:hAnsi="宋体" w:eastAsia="宋体" w:cs="宋体"/>
          <w:b/>
          <w:bCs/>
          <w:color w:val="000000" w:themeColor="text1"/>
          <w:sz w:val="24"/>
          <w14:textFill>
            <w14:solidFill>
              <w14:schemeClr w14:val="tx1"/>
            </w14:solidFill>
          </w14:textFill>
        </w:rPr>
        <w:t>条 争议解决</w:t>
      </w:r>
    </w:p>
    <w:p w14:paraId="5DEB6BD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13.1 本合同适用中华人民共和国法律，并按其解释。</w:t>
      </w:r>
    </w:p>
    <w:p w14:paraId="2B96074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13.2 如双方在履行本合同过程中发生争议，双方应先协商解决，协商解决不成的，任一方均可向甲方所在地有管辖权的人民法院提起诉讼解决。</w:t>
      </w:r>
    </w:p>
    <w:p w14:paraId="35A30524">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第十</w:t>
      </w:r>
      <w:r>
        <w:rPr>
          <w:rFonts w:hint="eastAsia" w:ascii="宋体" w:hAnsi="宋体" w:cs="宋体"/>
          <w:b/>
          <w:bCs/>
          <w:color w:val="000000" w:themeColor="text1"/>
          <w:sz w:val="24"/>
          <w14:textFill>
            <w14:solidFill>
              <w14:schemeClr w14:val="tx1"/>
            </w14:solidFill>
          </w14:textFill>
        </w:rPr>
        <w:t>四</w:t>
      </w:r>
      <w:r>
        <w:rPr>
          <w:rFonts w:hint="eastAsia" w:ascii="宋体" w:hAnsi="宋体" w:eastAsia="宋体" w:cs="宋体"/>
          <w:b/>
          <w:bCs/>
          <w:color w:val="000000" w:themeColor="text1"/>
          <w:sz w:val="24"/>
          <w14:textFill>
            <w14:solidFill>
              <w14:schemeClr w14:val="tx1"/>
            </w14:solidFill>
          </w14:textFill>
        </w:rPr>
        <w:t>条 附则</w:t>
      </w:r>
    </w:p>
    <w:p w14:paraId="3A8961E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rPr>
      </w:pPr>
      <w:r>
        <w:rPr>
          <w:rFonts w:hint="eastAsia" w:ascii="宋体" w:hAnsi="宋体" w:eastAsia="宋体" w:cs="宋体"/>
          <w:color w:val="auto"/>
          <w:sz w:val="24"/>
        </w:rPr>
        <w:t>1</w:t>
      </w:r>
      <w:r>
        <w:rPr>
          <w:rFonts w:hint="eastAsia" w:ascii="宋体" w:hAnsi="宋体" w:eastAsia="宋体"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1 甲方《娄底市中心医院医疗器械供应商考核管理制度》、</w:t>
      </w:r>
      <w:r>
        <w:rPr>
          <w:rFonts w:hint="eastAsia" w:ascii="宋体" w:hAnsi="宋体" w:eastAsia="宋体" w:cs="宋体"/>
          <w:color w:val="auto"/>
          <w:sz w:val="24"/>
          <w:lang w:eastAsia="zh-CN"/>
        </w:rPr>
        <w:t>乙方加盖公章的资质复印件、售后承诺等作为本合同附件。</w:t>
      </w:r>
    </w:p>
    <w:p w14:paraId="4A090CB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auto"/>
          <w:sz w:val="24"/>
        </w:rPr>
        <w:t>14.</w:t>
      </w:r>
      <w:r>
        <w:rPr>
          <w:rFonts w:hint="eastAsia" w:ascii="宋体" w:hAnsi="宋体" w:eastAsia="宋体" w:cs="宋体"/>
          <w:color w:val="auto"/>
          <w:sz w:val="24"/>
          <w:lang w:val="en-US" w:eastAsia="zh-CN"/>
        </w:rPr>
        <w:t>2</w:t>
      </w:r>
      <w:r>
        <w:rPr>
          <w:rFonts w:hint="eastAsia" w:ascii="宋体" w:hAnsi="宋体" w:eastAsia="宋体" w:cs="宋体"/>
          <w:color w:val="auto"/>
          <w:sz w:val="24"/>
        </w:rPr>
        <w:t xml:space="preserve"> 本合同组成文件和优先解释顺序：</w:t>
      </w:r>
      <w:r>
        <w:rPr>
          <w:rFonts w:hint="eastAsia" w:ascii="宋体" w:hAnsi="宋体" w:eastAsia="宋体" w:cs="宋体"/>
          <w:color w:val="auto"/>
          <w:sz w:val="24"/>
          <w:lang w:eastAsia="zh-CN"/>
        </w:rPr>
        <w:t>乙方在履行本合同中作</w:t>
      </w:r>
      <w:r>
        <w:rPr>
          <w:rFonts w:hint="eastAsia" w:ascii="宋体" w:hAnsi="宋体" w:eastAsia="宋体" w:cs="宋体"/>
          <w:color w:val="000000" w:themeColor="text1"/>
          <w:sz w:val="24"/>
          <w:lang w:eastAsia="zh-CN"/>
          <w14:textFill>
            <w14:solidFill>
              <w14:schemeClr w14:val="tx1"/>
            </w14:solidFill>
          </w14:textFill>
        </w:rPr>
        <w:t>出的书面承诺；</w:t>
      </w:r>
      <w:r>
        <w:rPr>
          <w:rFonts w:hint="eastAsia" w:ascii="宋体" w:hAnsi="宋体" w:eastAsia="宋体" w:cs="宋体"/>
          <w:color w:val="000000" w:themeColor="text1"/>
          <w:sz w:val="24"/>
          <w14:textFill>
            <w14:solidFill>
              <w14:schemeClr w14:val="tx1"/>
            </w14:solidFill>
          </w14:textFill>
        </w:rPr>
        <w:t>本合同补充协议；本合同及附件；</w:t>
      </w:r>
      <w:r>
        <w:rPr>
          <w:rFonts w:hint="eastAsia" w:ascii="宋体" w:hAnsi="宋体" w:eastAsia="宋体" w:cs="宋体"/>
          <w:color w:val="000000" w:themeColor="text1"/>
          <w:sz w:val="24"/>
          <w:lang w:eastAsia="zh-CN"/>
          <w14:textFill>
            <w14:solidFill>
              <w14:schemeClr w14:val="tx1"/>
            </w14:solidFill>
          </w14:textFill>
        </w:rPr>
        <w:t>中标通知书</w:t>
      </w:r>
      <w:r>
        <w:rPr>
          <w:rFonts w:hint="eastAsia" w:ascii="宋体" w:hAnsi="宋体" w:eastAsia="宋体" w:cs="宋体"/>
          <w:color w:val="000000" w:themeColor="text1"/>
          <w:sz w:val="24"/>
          <w:lang w:val="en-US" w:eastAsia="zh-CN"/>
          <w14:textFill>
            <w14:solidFill>
              <w14:schemeClr w14:val="tx1"/>
            </w14:solidFill>
          </w14:textFill>
        </w:rPr>
        <w:t>/成交通知书/</w:t>
      </w:r>
      <w:r>
        <w:rPr>
          <w:rFonts w:hint="eastAsia" w:ascii="宋体" w:hAnsi="宋体" w:eastAsia="宋体" w:cs="宋体"/>
          <w:color w:val="000000" w:themeColor="text1"/>
          <w:sz w:val="24"/>
          <w14:textFill>
            <w14:solidFill>
              <w14:schemeClr w14:val="tx1"/>
            </w14:solidFill>
          </w14:textFill>
        </w:rPr>
        <w:t>议价结果公示</w:t>
      </w:r>
      <w:r>
        <w:rPr>
          <w:rFonts w:hint="eastAsia" w:ascii="宋体" w:hAnsi="宋体" w:eastAsia="宋体" w:cs="宋体"/>
          <w:color w:val="000000" w:themeColor="text1"/>
          <w:sz w:val="24"/>
          <w:lang w:val="en-US" w:eastAsia="zh-CN"/>
          <w14:textFill>
            <w14:solidFill>
              <w14:schemeClr w14:val="tx1"/>
            </w14:solidFill>
          </w14:textFill>
        </w:rPr>
        <w:t>/成交公告</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lang w:eastAsia="zh-CN"/>
          <w14:textFill>
            <w14:solidFill>
              <w14:schemeClr w14:val="tx1"/>
            </w14:solidFill>
          </w14:textFill>
        </w:rPr>
        <w:t>投标文件</w:t>
      </w:r>
      <w:r>
        <w:rPr>
          <w:rFonts w:hint="eastAsia" w:ascii="宋体" w:hAnsi="宋体" w:eastAsia="宋体" w:cs="宋体"/>
          <w:color w:val="000000" w:themeColor="text1"/>
          <w:sz w:val="24"/>
          <w:lang w:val="en-US"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响应文件；</w:t>
      </w:r>
      <w:r>
        <w:rPr>
          <w:rFonts w:hint="eastAsia" w:ascii="宋体" w:hAnsi="宋体" w:eastAsia="宋体" w:cs="宋体"/>
          <w:color w:val="000000" w:themeColor="text1"/>
          <w:sz w:val="24"/>
          <w:lang w:eastAsia="zh-CN"/>
          <w14:textFill>
            <w14:solidFill>
              <w14:schemeClr w14:val="tx1"/>
            </w14:solidFill>
          </w14:textFill>
        </w:rPr>
        <w:t>招标文件</w:t>
      </w:r>
      <w:r>
        <w:rPr>
          <w:rFonts w:hint="eastAsia" w:ascii="宋体" w:hAnsi="宋体" w:eastAsia="宋体" w:cs="宋体"/>
          <w:color w:val="000000" w:themeColor="text1"/>
          <w:sz w:val="24"/>
          <w:lang w:val="en-US"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采购文件</w:t>
      </w:r>
      <w:r>
        <w:rPr>
          <w:rFonts w:hint="eastAsia" w:ascii="宋体" w:hAnsi="宋体" w:eastAsia="宋体" w:cs="宋体"/>
          <w:color w:val="000000" w:themeColor="text1"/>
          <w:sz w:val="24"/>
          <w:lang w:val="en-US" w:eastAsia="zh-CN"/>
          <w14:textFill>
            <w14:solidFill>
              <w14:schemeClr w14:val="tx1"/>
            </w14:solidFill>
          </w14:textFill>
        </w:rPr>
        <w:t>/采购需求</w:t>
      </w:r>
      <w:r>
        <w:rPr>
          <w:rFonts w:hint="eastAsia" w:ascii="宋体" w:hAnsi="宋体" w:eastAsia="宋体" w:cs="宋体"/>
          <w:color w:val="000000" w:themeColor="text1"/>
          <w:sz w:val="24"/>
          <w14:textFill>
            <w14:solidFill>
              <w14:schemeClr w14:val="tx1"/>
            </w14:solidFill>
          </w14:textFill>
        </w:rPr>
        <w:t>；其他与本合同有关的资料。</w:t>
      </w:r>
    </w:p>
    <w:p w14:paraId="5838E19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14.</w:t>
      </w:r>
      <w:r>
        <w:rPr>
          <w:rFonts w:hint="eastAsia" w:ascii="宋体" w:hAnsi="宋体" w:eastAsia="宋体" w:cs="宋体"/>
          <w:color w:val="000000" w:themeColor="text1"/>
          <w:sz w:val="24"/>
          <w:lang w:val="en-US" w:eastAsia="zh-CN"/>
          <w14:textFill>
            <w14:solidFill>
              <w14:schemeClr w14:val="tx1"/>
            </w14:solidFill>
          </w14:textFill>
        </w:rPr>
        <w:t>3</w:t>
      </w:r>
      <w:r>
        <w:rPr>
          <w:rFonts w:hint="eastAsia" w:ascii="宋体" w:hAnsi="宋体" w:eastAsia="宋体" w:cs="宋体"/>
          <w:color w:val="000000" w:themeColor="text1"/>
          <w:sz w:val="24"/>
          <w14:textFill>
            <w14:solidFill>
              <w14:schemeClr w14:val="tx1"/>
            </w14:solidFill>
          </w14:textFill>
        </w:rPr>
        <w:t xml:space="preserve"> 本合同一式</w:t>
      </w:r>
      <w:r>
        <w:rPr>
          <w:rFonts w:hint="eastAsia" w:ascii="宋体" w:hAnsi="宋体" w:eastAsia="宋体" w:cs="宋体"/>
          <w:color w:val="000000" w:themeColor="text1"/>
          <w:sz w:val="24"/>
          <w:lang w:val="en-US" w:eastAsia="zh-CN"/>
          <w14:textFill>
            <w14:solidFill>
              <w14:schemeClr w14:val="tx1"/>
            </w14:solidFill>
          </w14:textFill>
        </w:rPr>
        <w:t>伍</w:t>
      </w:r>
      <w:r>
        <w:rPr>
          <w:rFonts w:hint="eastAsia" w:ascii="宋体" w:hAnsi="宋体" w:eastAsia="宋体" w:cs="宋体"/>
          <w:color w:val="000000" w:themeColor="text1"/>
          <w:sz w:val="24"/>
          <w14:textFill>
            <w14:solidFill>
              <w14:schemeClr w14:val="tx1"/>
            </w14:solidFill>
          </w14:textFill>
        </w:rPr>
        <w:t>份，甲方执肆份、乙方执壹份，自双方签字并盖章后生效。</w:t>
      </w:r>
    </w:p>
    <w:p w14:paraId="1117EF11">
      <w:pPr>
        <w:keepNext w:val="0"/>
        <w:keepLines w:val="0"/>
        <w:pageBreakBefore w:val="0"/>
        <w:widowControl w:val="0"/>
        <w:kinsoku/>
        <w:wordWrap/>
        <w:overflowPunct/>
        <w:topLinePunct w:val="0"/>
        <w:bidi w:val="0"/>
        <w:snapToGrid/>
        <w:spacing w:line="440" w:lineRule="exact"/>
        <w:ind w:firstLine="480" w:firstLineChars="200"/>
        <w:textAlignment w:val="auto"/>
        <w:rPr>
          <w:rFonts w:ascii="宋体" w:hAnsi="宋体" w:eastAsia="宋体" w:cs="宋体"/>
          <w:color w:val="000000" w:themeColor="text1"/>
          <w:sz w:val="24"/>
          <w14:textFill>
            <w14:solidFill>
              <w14:schemeClr w14:val="tx1"/>
            </w14:solidFill>
          </w14:textFill>
        </w:rPr>
      </w:pPr>
    </w:p>
    <w:p w14:paraId="14FDADB0">
      <w:pPr>
        <w:keepNext w:val="0"/>
        <w:keepLines w:val="0"/>
        <w:pageBreakBefore w:val="0"/>
        <w:widowControl w:val="0"/>
        <w:kinsoku/>
        <w:wordWrap/>
        <w:overflowPunct/>
        <w:topLinePunct w:val="0"/>
        <w:bidi w:val="0"/>
        <w:snapToGrid/>
        <w:spacing w:line="520" w:lineRule="exact"/>
        <w:ind w:firstLine="0" w:firstLineChars="0"/>
        <w:textAlignment w:val="auto"/>
        <w:rPr>
          <w:rFonts w:hint="eastAsia" w:eastAsia="宋体"/>
          <w:color w:val="000000" w:themeColor="text1"/>
          <w:sz w:val="24"/>
          <w:lang w:val="en-US" w:eastAsia="zh-CN"/>
          <w14:textFill>
            <w14:solidFill>
              <w14:schemeClr w14:val="tx1"/>
            </w14:solidFill>
          </w14:textFill>
        </w:rPr>
      </w:pPr>
      <w:r>
        <w:rPr>
          <w:rFonts w:ascii="宋体" w:hAnsi="宋体" w:eastAsia="宋体" w:cs="宋体"/>
          <w:color w:val="000000" w:themeColor="text1"/>
          <w:sz w:val="24"/>
          <w14:textFill>
            <w14:solidFill>
              <w14:schemeClr w14:val="tx1"/>
            </w14:solidFill>
          </w14:textFill>
        </w:rPr>
        <w:t>甲方（盖章）：</w:t>
      </w:r>
      <w:r>
        <w:rPr>
          <w:rFonts w:hint="eastAsia" w:ascii="宋体" w:hAnsi="宋体" w:eastAsia="宋体" w:cs="宋体"/>
          <w:color w:val="000000" w:themeColor="text1"/>
          <w:sz w:val="24"/>
          <w14:textFill>
            <w14:solidFill>
              <w14:schemeClr w14:val="tx1"/>
            </w14:solidFill>
          </w14:textFill>
        </w:rPr>
        <w:t>娄底市中心医院</w:t>
      </w:r>
      <w:r>
        <w:rPr>
          <w:rFonts w:ascii="宋体" w:hAnsi="宋体" w:eastAsia="宋体" w:cs="宋体"/>
          <w:color w:val="000000" w:themeColor="text1"/>
          <w:sz w:val="24"/>
          <w14:textFill>
            <w14:solidFill>
              <w14:schemeClr w14:val="tx1"/>
            </w14:solidFill>
          </w14:textFill>
        </w:rPr>
        <w:t xml:space="preserve">    </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 xml:space="preserve"> 乙方（盖章）</w:t>
      </w:r>
      <w:r>
        <w:rPr>
          <w:rFonts w:hint="eastAsia" w:ascii="宋体" w:hAnsi="宋体" w:eastAsia="宋体" w:cs="宋体"/>
          <w:color w:val="000000" w:themeColor="text1"/>
          <w:sz w:val="24"/>
          <w14:textFill>
            <w14:solidFill>
              <w14:schemeClr w14:val="tx1"/>
            </w14:solidFill>
          </w14:textFill>
        </w:rPr>
        <w:t>：</w:t>
      </w:r>
      <w:r>
        <w:rPr>
          <w:rFonts w:hint="eastAsia" w:eastAsia="宋体"/>
          <w:color w:val="000000" w:themeColor="text1"/>
          <w:sz w:val="24"/>
          <w:lang w:val="en-US" w:eastAsia="zh-CN"/>
          <w14:textFill>
            <w14:solidFill>
              <w14:schemeClr w14:val="tx1"/>
            </w14:solidFill>
          </w14:textFill>
        </w:rPr>
        <w:t xml:space="preserve">  </w:t>
      </w:r>
    </w:p>
    <w:p w14:paraId="58D1AA43">
      <w:pPr>
        <w:pStyle w:val="13"/>
        <w:keepNext w:val="0"/>
        <w:keepLines w:val="0"/>
        <w:pageBreakBefore w:val="0"/>
        <w:widowControl w:val="0"/>
        <w:kinsoku/>
        <w:wordWrap/>
        <w:overflowPunct/>
        <w:topLinePunct w:val="0"/>
        <w:bidi w:val="0"/>
        <w:snapToGrid/>
        <w:spacing w:line="520" w:lineRule="exact"/>
        <w:ind w:firstLine="0" w:firstLineChars="0"/>
        <w:textAlignment w:val="auto"/>
        <w:rPr>
          <w:rFonts w:hint="eastAsia" w:eastAsia="宋体"/>
          <w:color w:val="000000" w:themeColor="text1"/>
          <w:sz w:val="24"/>
          <w:lang w:val="en-US" w:eastAsia="zh-CN"/>
          <w14:textFill>
            <w14:solidFill>
              <w14:schemeClr w14:val="tx1"/>
            </w14:solidFill>
          </w14:textFill>
        </w:rPr>
      </w:pPr>
    </w:p>
    <w:p w14:paraId="203F3F8E">
      <w:pPr>
        <w:keepNext w:val="0"/>
        <w:keepLines w:val="0"/>
        <w:pageBreakBefore w:val="0"/>
        <w:widowControl w:val="0"/>
        <w:kinsoku/>
        <w:wordWrap/>
        <w:overflowPunct/>
        <w:topLinePunct w:val="0"/>
        <w:bidi w:val="0"/>
        <w:snapToGrid/>
        <w:spacing w:line="520" w:lineRule="exact"/>
        <w:ind w:firstLine="0" w:firstLineChars="0"/>
        <w:textAlignment w:val="auto"/>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 xml:space="preserve">法定代表人（签字）：        </w:t>
      </w:r>
      <w:r>
        <w:rPr>
          <w:rFonts w:hint="eastAsia" w:ascii="宋体" w:hAnsi="宋体" w:eastAsia="宋体" w:cs="宋体"/>
          <w:color w:val="000000" w:themeColor="text1"/>
          <w:sz w:val="24"/>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 xml:space="preserve">法定代表人（签字）：  </w:t>
      </w:r>
    </w:p>
    <w:p w14:paraId="5147420F">
      <w:pPr>
        <w:pStyle w:val="13"/>
        <w:keepNext w:val="0"/>
        <w:keepLines w:val="0"/>
        <w:pageBreakBefore w:val="0"/>
        <w:widowControl w:val="0"/>
        <w:kinsoku/>
        <w:wordWrap/>
        <w:overflowPunct/>
        <w:topLinePunct w:val="0"/>
        <w:bidi w:val="0"/>
        <w:snapToGrid/>
        <w:spacing w:line="520" w:lineRule="exact"/>
        <w:ind w:firstLine="0" w:firstLineChars="0"/>
        <w:textAlignment w:val="auto"/>
        <w:rPr>
          <w:rFonts w:ascii="宋体" w:hAnsi="宋体" w:eastAsia="宋体" w:cs="宋体"/>
          <w:color w:val="000000" w:themeColor="text1"/>
          <w:sz w:val="24"/>
          <w14:textFill>
            <w14:solidFill>
              <w14:schemeClr w14:val="tx1"/>
            </w14:solidFill>
          </w14:textFill>
        </w:rPr>
      </w:pPr>
    </w:p>
    <w:p w14:paraId="094475EA">
      <w:pPr>
        <w:keepNext w:val="0"/>
        <w:keepLines w:val="0"/>
        <w:pageBreakBefore w:val="0"/>
        <w:widowControl w:val="0"/>
        <w:kinsoku/>
        <w:wordWrap/>
        <w:overflowPunct/>
        <w:topLinePunct w:val="0"/>
        <w:bidi w:val="0"/>
        <w:snapToGrid/>
        <w:spacing w:line="520" w:lineRule="exact"/>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或</w:t>
      </w:r>
      <w:r>
        <w:rPr>
          <w:rFonts w:ascii="宋体" w:hAnsi="宋体" w:eastAsia="宋体" w:cs="宋体"/>
          <w:color w:val="000000" w:themeColor="text1"/>
          <w:sz w:val="24"/>
          <w14:textFill>
            <w14:solidFill>
              <w14:schemeClr w14:val="tx1"/>
            </w14:solidFill>
          </w14:textFill>
        </w:rPr>
        <w:t xml:space="preserve">委托代理人（签字）：        </w:t>
      </w:r>
      <w:r>
        <w:rPr>
          <w:rFonts w:hint="eastAsia" w:ascii="宋体" w:hAnsi="宋体" w:eastAsia="宋体" w:cs="宋体"/>
          <w:color w:val="000000" w:themeColor="text1"/>
          <w:sz w:val="24"/>
          <w14:textFill>
            <w14:solidFill>
              <w14:schemeClr w14:val="tx1"/>
            </w14:solidFill>
          </w14:textFill>
        </w:rPr>
        <w:t xml:space="preserve">      或</w:t>
      </w:r>
      <w:r>
        <w:rPr>
          <w:rFonts w:ascii="宋体" w:hAnsi="宋体" w:eastAsia="宋体" w:cs="宋体"/>
          <w:color w:val="000000" w:themeColor="text1"/>
          <w:sz w:val="24"/>
          <w14:textFill>
            <w14:solidFill>
              <w14:schemeClr w14:val="tx1"/>
            </w14:solidFill>
          </w14:textFill>
        </w:rPr>
        <w:t>委托代理人（签字）：</w:t>
      </w:r>
    </w:p>
    <w:p w14:paraId="64FD3950">
      <w:pPr>
        <w:pStyle w:val="13"/>
        <w:keepNext w:val="0"/>
        <w:keepLines w:val="0"/>
        <w:pageBreakBefore w:val="0"/>
        <w:widowControl w:val="0"/>
        <w:kinsoku/>
        <w:wordWrap/>
        <w:overflowPunct/>
        <w:topLinePunct w:val="0"/>
        <w:bidi w:val="0"/>
        <w:snapToGrid/>
        <w:spacing w:line="520" w:lineRule="exact"/>
        <w:ind w:firstLine="0" w:firstLineChars="0"/>
        <w:textAlignment w:val="auto"/>
        <w:rPr>
          <w:rFonts w:ascii="宋体" w:hAnsi="宋体" w:eastAsia="宋体" w:cs="宋体"/>
          <w:color w:val="000000" w:themeColor="text1"/>
          <w:sz w:val="24"/>
          <w14:textFill>
            <w14:solidFill>
              <w14:schemeClr w14:val="tx1"/>
            </w14:solidFill>
          </w14:textFill>
        </w:rPr>
      </w:pPr>
    </w:p>
    <w:p w14:paraId="2F5EEFF6">
      <w:pPr>
        <w:keepNext w:val="0"/>
        <w:keepLines w:val="0"/>
        <w:pageBreakBefore w:val="0"/>
        <w:widowControl w:val="0"/>
        <w:kinsoku/>
        <w:wordWrap/>
        <w:overflowPunct/>
        <w:topLinePunct w:val="0"/>
        <w:bidi w:val="0"/>
        <w:snapToGrid/>
        <w:spacing w:line="520" w:lineRule="exact"/>
        <w:ind w:firstLine="0" w:firstLineChars="0"/>
        <w:textAlignment w:val="auto"/>
        <w:rPr>
          <w:rFonts w:hint="eastAsia"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合同签订地</w:t>
      </w:r>
      <w:r>
        <w:rPr>
          <w:rFonts w:hint="eastAsia" w:ascii="宋体" w:hAnsi="宋体" w:eastAsia="宋体" w:cs="宋体"/>
          <w:color w:val="000000" w:themeColor="text1"/>
          <w:sz w:val="24"/>
          <w14:textFill>
            <w14:solidFill>
              <w14:schemeClr w14:val="tx1"/>
            </w14:solidFill>
          </w14:textFill>
        </w:rPr>
        <w:t>履行地</w:t>
      </w:r>
      <w:r>
        <w:rPr>
          <w:rFonts w:ascii="宋体" w:hAnsi="宋体" w:eastAsia="宋体" w:cs="宋体"/>
          <w:color w:val="000000" w:themeColor="text1"/>
          <w:sz w:val="24"/>
          <w14:textFill>
            <w14:solidFill>
              <w14:schemeClr w14:val="tx1"/>
            </w14:solidFill>
          </w14:textFill>
        </w:rPr>
        <w:t xml:space="preserve">：娄底市娄星区 </w:t>
      </w:r>
      <w:r>
        <w:rPr>
          <w:rFonts w:hint="eastAsia" w:ascii="宋体" w:hAnsi="宋体" w:eastAsia="宋体" w:cs="宋体"/>
          <w:color w:val="000000" w:themeColor="text1"/>
          <w:sz w:val="24"/>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签订时间：</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 xml:space="preserve"> </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年</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月</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日</w:t>
      </w:r>
    </w:p>
    <w:p w14:paraId="261C3313">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p w14:paraId="1E6FB09F">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p w14:paraId="636EE75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p w14:paraId="6B06F021">
      <w:pPr>
        <w:spacing w:line="480" w:lineRule="exact"/>
        <w:rPr>
          <w:rFonts w:hint="eastAsia" w:ascii="黑体" w:hAnsi="黑体" w:eastAsia="黑体" w:cs="黑体"/>
          <w:sz w:val="32"/>
          <w:szCs w:val="32"/>
        </w:rPr>
      </w:pPr>
      <w:r>
        <w:rPr>
          <w:rFonts w:ascii="宋体" w:hAnsi="宋体" w:eastAsia="宋体" w:cs="宋体"/>
          <w:sz w:val="24"/>
        </w:rPr>
        <w:drawing>
          <wp:anchor distT="0" distB="0" distL="114300" distR="114300" simplePos="0" relativeHeight="251659264" behindDoc="0" locked="0" layoutInCell="1" allowOverlap="1">
            <wp:simplePos x="0" y="0"/>
            <wp:positionH relativeFrom="column">
              <wp:posOffset>38100</wp:posOffset>
            </wp:positionH>
            <wp:positionV relativeFrom="paragraph">
              <wp:posOffset>377190</wp:posOffset>
            </wp:positionV>
            <wp:extent cx="5615305" cy="7988935"/>
            <wp:effectExtent l="0" t="0" r="4445" b="12065"/>
            <wp:wrapTopAndBottom/>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7"/>
                    <a:stretch>
                      <a:fillRect/>
                    </a:stretch>
                  </pic:blipFill>
                  <pic:spPr>
                    <a:xfrm>
                      <a:off x="0" y="0"/>
                      <a:ext cx="5615305" cy="7988935"/>
                    </a:xfrm>
                    <a:prstGeom prst="rect">
                      <a:avLst/>
                    </a:prstGeom>
                  </pic:spPr>
                </pic:pic>
              </a:graphicData>
            </a:graphic>
          </wp:anchor>
        </w:drawing>
      </w:r>
      <w:r>
        <w:rPr>
          <w:rFonts w:hint="eastAsia" w:ascii="黑体" w:hAnsi="黑体" w:eastAsia="黑体" w:cs="黑体"/>
          <w:sz w:val="32"/>
          <w:szCs w:val="32"/>
        </w:rPr>
        <w:t>附件：</w:t>
      </w:r>
    </w:p>
    <w:p w14:paraId="588942DA">
      <w:pPr>
        <w:spacing w:line="480" w:lineRule="exact"/>
        <w:rPr>
          <w:rFonts w:hint="eastAsia" w:ascii="宋体" w:hAnsi="宋体" w:eastAsia="宋体" w:cs="宋体"/>
          <w:sz w:val="24"/>
        </w:rPr>
      </w:pPr>
    </w:p>
    <w:p w14:paraId="14EEB46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ascii="宋体" w:hAnsi="宋体" w:eastAsia="宋体" w:cs="宋体"/>
          <w:sz w:val="24"/>
        </w:rPr>
        <w:drawing>
          <wp:anchor distT="0" distB="0" distL="114300" distR="114300" simplePos="0" relativeHeight="251662336" behindDoc="0" locked="0" layoutInCell="1" allowOverlap="1">
            <wp:simplePos x="0" y="0"/>
            <wp:positionH relativeFrom="column">
              <wp:posOffset>-116840</wp:posOffset>
            </wp:positionH>
            <wp:positionV relativeFrom="paragraph">
              <wp:posOffset>1338580</wp:posOffset>
            </wp:positionV>
            <wp:extent cx="5888990" cy="8423910"/>
            <wp:effectExtent l="0" t="0" r="16510" b="15240"/>
            <wp:wrapTopAndBottom/>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8"/>
                    <a:stretch>
                      <a:fillRect/>
                    </a:stretch>
                  </pic:blipFill>
                  <pic:spPr>
                    <a:xfrm>
                      <a:off x="0" y="0"/>
                      <a:ext cx="5888990" cy="8423910"/>
                    </a:xfrm>
                    <a:prstGeom prst="rect">
                      <a:avLst/>
                    </a:prstGeom>
                  </pic:spPr>
                </pic:pic>
              </a:graphicData>
            </a:graphic>
          </wp:anchor>
        </w:drawing>
      </w:r>
    </w:p>
    <w:p w14:paraId="58EBEBF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2585365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67EF959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570641E6">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ascii="宋体" w:hAnsi="宋体" w:eastAsia="宋体" w:cs="宋体"/>
          <w:sz w:val="24"/>
        </w:rPr>
        <w:drawing>
          <wp:anchor distT="0" distB="0" distL="114300" distR="114300" simplePos="0" relativeHeight="251663360" behindDoc="0" locked="0" layoutInCell="1" allowOverlap="1">
            <wp:simplePos x="0" y="0"/>
            <wp:positionH relativeFrom="column">
              <wp:posOffset>-38100</wp:posOffset>
            </wp:positionH>
            <wp:positionV relativeFrom="paragraph">
              <wp:posOffset>224790</wp:posOffset>
            </wp:positionV>
            <wp:extent cx="5995670" cy="8456930"/>
            <wp:effectExtent l="0" t="0" r="5080" b="1270"/>
            <wp:wrapSquare wrapText="bothSides"/>
            <wp:docPr id="9" name="图片 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
                    <pic:cNvPicPr>
                      <a:picLocks noChangeAspect="1"/>
                    </pic:cNvPicPr>
                  </pic:nvPicPr>
                  <pic:blipFill>
                    <a:blip r:embed="rId9"/>
                    <a:stretch>
                      <a:fillRect/>
                    </a:stretch>
                  </pic:blipFill>
                  <pic:spPr>
                    <a:xfrm>
                      <a:off x="647700" y="1139190"/>
                      <a:ext cx="5995670" cy="8456930"/>
                    </a:xfrm>
                    <a:prstGeom prst="rect">
                      <a:avLst/>
                    </a:prstGeom>
                  </pic:spPr>
                </pic:pic>
              </a:graphicData>
            </a:graphic>
          </wp:anchor>
        </w:drawing>
      </w:r>
    </w:p>
    <w:p w14:paraId="3076A3B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ascii="宋体" w:hAnsi="宋体" w:eastAsia="宋体" w:cs="宋体"/>
          <w:sz w:val="24"/>
        </w:rPr>
        <w:drawing>
          <wp:anchor distT="0" distB="0" distL="114300" distR="114300" simplePos="0" relativeHeight="251661312" behindDoc="0" locked="0" layoutInCell="1" allowOverlap="1">
            <wp:simplePos x="0" y="0"/>
            <wp:positionH relativeFrom="column">
              <wp:posOffset>236220</wp:posOffset>
            </wp:positionH>
            <wp:positionV relativeFrom="paragraph">
              <wp:posOffset>113030</wp:posOffset>
            </wp:positionV>
            <wp:extent cx="5976620" cy="8301355"/>
            <wp:effectExtent l="0" t="0" r="5080" b="4445"/>
            <wp:wrapSquare wrapText="bothSides"/>
            <wp:docPr id="10" name="图片 1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
                    <pic:cNvPicPr>
                      <a:picLocks noChangeAspect="1"/>
                    </pic:cNvPicPr>
                  </pic:nvPicPr>
                  <pic:blipFill>
                    <a:blip r:embed="rId10"/>
                    <a:stretch>
                      <a:fillRect/>
                    </a:stretch>
                  </pic:blipFill>
                  <pic:spPr>
                    <a:xfrm>
                      <a:off x="0" y="0"/>
                      <a:ext cx="5976620" cy="8301355"/>
                    </a:xfrm>
                    <a:prstGeom prst="rect">
                      <a:avLst/>
                    </a:prstGeom>
                  </pic:spPr>
                </pic:pic>
              </a:graphicData>
            </a:graphic>
          </wp:anchor>
        </w:drawing>
      </w:r>
    </w:p>
    <w:p w14:paraId="3C23EC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color w:val="auto"/>
          <w:sz w:val="44"/>
          <w:szCs w:val="44"/>
          <w:lang w:val="en-US" w:eastAsia="zh-CN"/>
        </w:rPr>
      </w:pPr>
      <w:bookmarkStart w:id="4" w:name="_Toc16523574"/>
      <w:r>
        <w:rPr>
          <w:rFonts w:hint="eastAsia" w:ascii="方正小标宋简体" w:hAnsi="方正小标宋简体" w:eastAsia="方正小标宋简体" w:cs="方正小标宋简体"/>
          <w:color w:val="auto"/>
          <w:sz w:val="44"/>
          <w:szCs w:val="44"/>
          <w:lang w:val="en-US" w:eastAsia="zh-CN"/>
        </w:rPr>
        <w:t>第三章</w:t>
      </w:r>
      <w:bookmarkStart w:id="5" w:name="_Toc16523573"/>
      <w:r>
        <w:rPr>
          <w:rFonts w:hint="eastAsia" w:ascii="方正小标宋简体" w:hAnsi="方正小标宋简体" w:eastAsia="方正小标宋简体" w:cs="方正小标宋简体"/>
          <w:color w:val="auto"/>
          <w:sz w:val="44"/>
          <w:szCs w:val="44"/>
          <w:lang w:val="en-US" w:eastAsia="zh-CN"/>
        </w:rPr>
        <w:t>评标方法及标准</w:t>
      </w:r>
      <w:bookmarkEnd w:id="5"/>
    </w:p>
    <w:p w14:paraId="7767AB17">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本采购项目的权值见下表</w:t>
      </w:r>
    </w:p>
    <w:tbl>
      <w:tblPr>
        <w:tblStyle w:val="14"/>
        <w:tblW w:w="882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0"/>
        <w:gridCol w:w="4680"/>
        <w:gridCol w:w="3420"/>
      </w:tblGrid>
      <w:tr w14:paraId="2F98C7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720" w:type="dxa"/>
            <w:tcBorders>
              <w:top w:val="double" w:color="auto" w:sz="4" w:space="0"/>
              <w:left w:val="double" w:color="auto" w:sz="4" w:space="0"/>
              <w:bottom w:val="single" w:color="auto" w:sz="6" w:space="0"/>
              <w:right w:val="single" w:color="auto" w:sz="6" w:space="0"/>
            </w:tcBorders>
            <w:vAlign w:val="center"/>
          </w:tcPr>
          <w:p w14:paraId="54BC1FAB">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序号</w:t>
            </w:r>
          </w:p>
        </w:tc>
        <w:tc>
          <w:tcPr>
            <w:tcW w:w="4680" w:type="dxa"/>
            <w:tcBorders>
              <w:top w:val="double" w:color="auto" w:sz="4" w:space="0"/>
              <w:left w:val="single" w:color="auto" w:sz="6" w:space="0"/>
              <w:bottom w:val="single" w:color="auto" w:sz="6" w:space="0"/>
              <w:right w:val="single" w:color="auto" w:sz="6" w:space="0"/>
            </w:tcBorders>
            <w:vAlign w:val="center"/>
          </w:tcPr>
          <w:p w14:paraId="44942BCA">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项     目</w:t>
            </w:r>
          </w:p>
        </w:tc>
        <w:tc>
          <w:tcPr>
            <w:tcW w:w="3420" w:type="dxa"/>
            <w:tcBorders>
              <w:top w:val="double" w:color="auto" w:sz="4" w:space="0"/>
              <w:left w:val="single" w:color="auto" w:sz="6" w:space="0"/>
              <w:bottom w:val="single" w:color="auto" w:sz="6" w:space="0"/>
              <w:right w:val="double" w:color="auto" w:sz="4" w:space="0"/>
            </w:tcBorders>
            <w:vAlign w:val="center"/>
          </w:tcPr>
          <w:p w14:paraId="1315ADE2">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权值的取值</w:t>
            </w:r>
          </w:p>
        </w:tc>
      </w:tr>
      <w:tr w14:paraId="749A52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9" w:hRule="atLeast"/>
          <w:jc w:val="center"/>
        </w:trPr>
        <w:tc>
          <w:tcPr>
            <w:tcW w:w="720" w:type="dxa"/>
            <w:tcBorders>
              <w:top w:val="single" w:color="auto" w:sz="6" w:space="0"/>
              <w:left w:val="double" w:color="auto" w:sz="4" w:space="0"/>
              <w:bottom w:val="single" w:color="auto" w:sz="6" w:space="0"/>
              <w:right w:val="single" w:color="auto" w:sz="6" w:space="0"/>
            </w:tcBorders>
            <w:vAlign w:val="center"/>
          </w:tcPr>
          <w:p w14:paraId="6F4E3BB2">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4680" w:type="dxa"/>
            <w:tcBorders>
              <w:top w:val="single" w:color="auto" w:sz="6" w:space="0"/>
              <w:left w:val="single" w:color="auto" w:sz="6" w:space="0"/>
              <w:bottom w:val="single" w:color="auto" w:sz="6" w:space="0"/>
              <w:right w:val="single" w:color="auto" w:sz="6" w:space="0"/>
            </w:tcBorders>
            <w:vAlign w:val="center"/>
          </w:tcPr>
          <w:p w14:paraId="2A30B183">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报价（A1）</w:t>
            </w:r>
          </w:p>
        </w:tc>
        <w:tc>
          <w:tcPr>
            <w:tcW w:w="3420" w:type="dxa"/>
            <w:tcBorders>
              <w:top w:val="single" w:color="auto" w:sz="6" w:space="0"/>
              <w:left w:val="single" w:color="auto" w:sz="6" w:space="0"/>
              <w:bottom w:val="single" w:color="auto" w:sz="6" w:space="0"/>
              <w:right w:val="double" w:color="auto" w:sz="4" w:space="0"/>
            </w:tcBorders>
            <w:vAlign w:val="center"/>
          </w:tcPr>
          <w:p w14:paraId="45D1CFDE">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50%（设备45%+专机耗材5%）</w:t>
            </w:r>
          </w:p>
        </w:tc>
      </w:tr>
      <w:tr w14:paraId="05D80E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720" w:type="dxa"/>
            <w:tcBorders>
              <w:top w:val="single" w:color="auto" w:sz="6" w:space="0"/>
              <w:left w:val="double" w:color="auto" w:sz="4" w:space="0"/>
              <w:bottom w:val="single" w:color="auto" w:sz="6" w:space="0"/>
              <w:right w:val="single" w:color="auto" w:sz="6" w:space="0"/>
            </w:tcBorders>
            <w:vAlign w:val="center"/>
          </w:tcPr>
          <w:p w14:paraId="01B6E699">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4680" w:type="dxa"/>
            <w:tcBorders>
              <w:top w:val="single" w:color="auto" w:sz="6" w:space="0"/>
              <w:left w:val="single" w:color="auto" w:sz="6" w:space="0"/>
              <w:bottom w:val="single" w:color="auto" w:sz="6" w:space="0"/>
              <w:right w:val="single" w:color="auto" w:sz="6" w:space="0"/>
            </w:tcBorders>
            <w:vAlign w:val="center"/>
          </w:tcPr>
          <w:p w14:paraId="5C332B3D">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技术（A2）</w:t>
            </w:r>
          </w:p>
        </w:tc>
        <w:tc>
          <w:tcPr>
            <w:tcW w:w="3420" w:type="dxa"/>
            <w:tcBorders>
              <w:top w:val="single" w:color="auto" w:sz="6" w:space="0"/>
              <w:left w:val="single" w:color="auto" w:sz="6" w:space="0"/>
              <w:bottom w:val="single" w:color="auto" w:sz="6" w:space="0"/>
              <w:right w:val="double" w:color="auto" w:sz="4" w:space="0"/>
            </w:tcBorders>
            <w:vAlign w:val="center"/>
          </w:tcPr>
          <w:p w14:paraId="7D07920A">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40%</w:t>
            </w:r>
          </w:p>
        </w:tc>
      </w:tr>
      <w:tr w14:paraId="1A01F1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720" w:type="dxa"/>
            <w:tcBorders>
              <w:top w:val="single" w:color="auto" w:sz="6" w:space="0"/>
              <w:left w:val="double" w:color="auto" w:sz="4" w:space="0"/>
              <w:bottom w:val="single" w:color="auto" w:sz="6" w:space="0"/>
              <w:right w:val="single" w:color="auto" w:sz="6" w:space="0"/>
            </w:tcBorders>
            <w:vAlign w:val="center"/>
          </w:tcPr>
          <w:p w14:paraId="68F20CBC">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4680" w:type="dxa"/>
            <w:tcBorders>
              <w:top w:val="single" w:color="auto" w:sz="6" w:space="0"/>
              <w:left w:val="single" w:color="auto" w:sz="6" w:space="0"/>
              <w:bottom w:val="single" w:color="auto" w:sz="6" w:space="0"/>
              <w:right w:val="single" w:color="auto" w:sz="6" w:space="0"/>
            </w:tcBorders>
            <w:vAlign w:val="center"/>
          </w:tcPr>
          <w:p w14:paraId="5495DEDB">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商务（A3）</w:t>
            </w:r>
          </w:p>
        </w:tc>
        <w:tc>
          <w:tcPr>
            <w:tcW w:w="3420" w:type="dxa"/>
            <w:tcBorders>
              <w:top w:val="single" w:color="auto" w:sz="6" w:space="0"/>
              <w:left w:val="single" w:color="auto" w:sz="6" w:space="0"/>
              <w:bottom w:val="single" w:color="auto" w:sz="6" w:space="0"/>
              <w:right w:val="double" w:color="auto" w:sz="4" w:space="0"/>
            </w:tcBorders>
            <w:vAlign w:val="center"/>
          </w:tcPr>
          <w:p w14:paraId="50724DAD">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w:t>
            </w:r>
          </w:p>
        </w:tc>
      </w:tr>
      <w:tr w14:paraId="1FA255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5400" w:type="dxa"/>
            <w:gridSpan w:val="2"/>
            <w:tcBorders>
              <w:top w:val="single" w:color="auto" w:sz="6" w:space="0"/>
              <w:left w:val="double" w:color="auto" w:sz="4" w:space="0"/>
              <w:bottom w:val="double" w:color="auto" w:sz="4" w:space="0"/>
              <w:right w:val="single" w:color="auto" w:sz="6" w:space="0"/>
            </w:tcBorders>
            <w:vAlign w:val="center"/>
          </w:tcPr>
          <w:p w14:paraId="4CCB3EFE">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合计</w:t>
            </w:r>
          </w:p>
        </w:tc>
        <w:tc>
          <w:tcPr>
            <w:tcW w:w="3420" w:type="dxa"/>
            <w:tcBorders>
              <w:top w:val="single" w:color="auto" w:sz="6" w:space="0"/>
              <w:left w:val="single" w:color="auto" w:sz="6" w:space="0"/>
              <w:bottom w:val="double" w:color="auto" w:sz="4" w:space="0"/>
              <w:right w:val="double" w:color="auto" w:sz="4" w:space="0"/>
            </w:tcBorders>
            <w:vAlign w:val="center"/>
          </w:tcPr>
          <w:p w14:paraId="0EEB6C38">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r>
    </w:tbl>
    <w:p w14:paraId="31C8D8A0">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附表1.1投标报价评审标准表</w:t>
      </w:r>
    </w:p>
    <w:tbl>
      <w:tblPr>
        <w:tblStyle w:val="14"/>
        <w:tblW w:w="891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2"/>
        <w:gridCol w:w="2159"/>
        <w:gridCol w:w="6249"/>
      </w:tblGrid>
      <w:tr w14:paraId="0BAD17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2" w:type="dxa"/>
            <w:tcBorders>
              <w:top w:val="double" w:color="auto" w:sz="4" w:space="0"/>
              <w:left w:val="double" w:color="auto" w:sz="4" w:space="0"/>
              <w:bottom w:val="single" w:color="auto" w:sz="6" w:space="0"/>
              <w:right w:val="single" w:color="auto" w:sz="4" w:space="0"/>
            </w:tcBorders>
            <w:vAlign w:val="center"/>
          </w:tcPr>
          <w:p w14:paraId="23DDAB95">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序号</w:t>
            </w:r>
          </w:p>
        </w:tc>
        <w:tc>
          <w:tcPr>
            <w:tcW w:w="2159" w:type="dxa"/>
            <w:tcBorders>
              <w:top w:val="double" w:color="auto" w:sz="4" w:space="0"/>
              <w:left w:val="single" w:color="auto" w:sz="4" w:space="0"/>
              <w:bottom w:val="single" w:color="auto" w:sz="6" w:space="0"/>
              <w:right w:val="single" w:color="auto" w:sz="4" w:space="0"/>
            </w:tcBorders>
            <w:vAlign w:val="center"/>
          </w:tcPr>
          <w:p w14:paraId="4282B47B">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评标因素（分值）</w:t>
            </w:r>
          </w:p>
        </w:tc>
        <w:tc>
          <w:tcPr>
            <w:tcW w:w="6249" w:type="dxa"/>
            <w:tcBorders>
              <w:top w:val="double" w:color="auto" w:sz="4" w:space="0"/>
              <w:left w:val="single" w:color="auto" w:sz="4" w:space="0"/>
              <w:bottom w:val="single" w:color="auto" w:sz="6" w:space="0"/>
              <w:right w:val="double" w:color="auto" w:sz="4" w:space="0"/>
            </w:tcBorders>
            <w:vAlign w:val="center"/>
          </w:tcPr>
          <w:p w14:paraId="26D7A4AD">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评标标准</w:t>
            </w:r>
          </w:p>
        </w:tc>
      </w:tr>
      <w:tr w14:paraId="7B4075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502" w:type="dxa"/>
            <w:tcBorders>
              <w:top w:val="single" w:color="auto" w:sz="6" w:space="0"/>
              <w:left w:val="double" w:color="auto" w:sz="4" w:space="0"/>
              <w:bottom w:val="single" w:color="auto" w:sz="6" w:space="0"/>
              <w:right w:val="single" w:color="auto" w:sz="4" w:space="0"/>
            </w:tcBorders>
            <w:vAlign w:val="center"/>
          </w:tcPr>
          <w:p w14:paraId="47D6B74D">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2159" w:type="dxa"/>
            <w:tcBorders>
              <w:top w:val="single" w:color="auto" w:sz="6" w:space="0"/>
              <w:left w:val="single" w:color="auto" w:sz="4" w:space="0"/>
              <w:bottom w:val="single" w:color="auto" w:sz="6" w:space="0"/>
              <w:right w:val="single" w:color="auto" w:sz="4" w:space="0"/>
            </w:tcBorders>
            <w:vAlign w:val="center"/>
          </w:tcPr>
          <w:p w14:paraId="19895A63">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价格评价项</w:t>
            </w:r>
          </w:p>
          <w:p w14:paraId="71CB5E84">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（F=100分）</w:t>
            </w:r>
          </w:p>
        </w:tc>
        <w:tc>
          <w:tcPr>
            <w:tcW w:w="6249" w:type="dxa"/>
            <w:tcBorders>
              <w:top w:val="single" w:color="auto" w:sz="6" w:space="0"/>
              <w:left w:val="single" w:color="auto" w:sz="4" w:space="0"/>
              <w:bottom w:val="single" w:color="auto" w:sz="6" w:space="0"/>
              <w:right w:val="double" w:color="auto" w:sz="4" w:space="0"/>
            </w:tcBorders>
            <w:vAlign w:val="center"/>
          </w:tcPr>
          <w:p w14:paraId="30894A07">
            <w:p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满足招标文件要求且投标报价中最低的投标报价为评标基准价其价格分为满分；设备价格权值占比为45%，专机专用耗材价格权值占比为5%；报价总分＝设备报价得分＋专机专用耗材报价得分。投标人的价格分统一按照以下公式计算：</w:t>
            </w:r>
          </w:p>
          <w:p w14:paraId="659E3B70">
            <w:p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设备投标报价得分=（评标基准价/投标报价）×价格权值×100</w:t>
            </w:r>
          </w:p>
          <w:p w14:paraId="11E89F40">
            <w:p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专机专用耗材投标报价得分=（评标基准价/投标报价）×价格权值×100</w:t>
            </w:r>
          </w:p>
          <w:p w14:paraId="13CE90AE">
            <w:p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ECEB0AB">
            <w:p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3、最终投标价以人民币元为单位，计算保留至小数点后2位（百分比亦然），小数点后第3位采取4舍5入。</w:t>
            </w:r>
          </w:p>
        </w:tc>
      </w:tr>
    </w:tbl>
    <w:p w14:paraId="559AEF62">
      <w:pPr>
        <w:jc w:val="center"/>
        <w:rPr>
          <w:rFonts w:hint="eastAsia" w:ascii="仿宋" w:hAnsi="仿宋" w:eastAsia="仿宋" w:cs="仿宋"/>
          <w:sz w:val="24"/>
          <w:szCs w:val="24"/>
          <w:lang w:val="en-US" w:eastAsia="zh-CN"/>
        </w:rPr>
      </w:pPr>
    </w:p>
    <w:p w14:paraId="21D41EFA">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br w:type="page"/>
      </w:r>
    </w:p>
    <w:p w14:paraId="11D42FB0">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附表1.2技术部分评审标准表</w:t>
      </w:r>
    </w:p>
    <w:tbl>
      <w:tblPr>
        <w:tblStyle w:val="14"/>
        <w:tblW w:w="894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3"/>
        <w:gridCol w:w="2160"/>
        <w:gridCol w:w="773"/>
        <w:gridCol w:w="772"/>
        <w:gridCol w:w="4732"/>
      </w:tblGrid>
      <w:tr w14:paraId="02D67D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3" w:type="dxa"/>
            <w:tcBorders>
              <w:top w:val="double" w:color="auto" w:sz="4" w:space="0"/>
              <w:left w:val="double" w:color="auto" w:sz="4" w:space="0"/>
              <w:bottom w:val="single" w:color="auto" w:sz="6" w:space="0"/>
              <w:right w:val="single" w:color="auto" w:sz="4" w:space="0"/>
            </w:tcBorders>
            <w:vAlign w:val="center"/>
          </w:tcPr>
          <w:p w14:paraId="34A8A553">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序号</w:t>
            </w:r>
          </w:p>
        </w:tc>
        <w:tc>
          <w:tcPr>
            <w:tcW w:w="2160" w:type="dxa"/>
            <w:tcBorders>
              <w:top w:val="double" w:color="auto" w:sz="4" w:space="0"/>
              <w:left w:val="single" w:color="auto" w:sz="4" w:space="0"/>
              <w:bottom w:val="single" w:color="auto" w:sz="6" w:space="0"/>
              <w:right w:val="single" w:color="auto" w:sz="4" w:space="0"/>
            </w:tcBorders>
            <w:vAlign w:val="center"/>
          </w:tcPr>
          <w:p w14:paraId="6B4B6D9F">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评标因素（分值）</w:t>
            </w:r>
          </w:p>
        </w:tc>
        <w:tc>
          <w:tcPr>
            <w:tcW w:w="6277" w:type="dxa"/>
            <w:gridSpan w:val="3"/>
            <w:tcBorders>
              <w:top w:val="double" w:color="auto" w:sz="4" w:space="0"/>
              <w:left w:val="single" w:color="auto" w:sz="4" w:space="0"/>
              <w:bottom w:val="single" w:color="auto" w:sz="6" w:space="0"/>
              <w:right w:val="double" w:color="auto" w:sz="4" w:space="0"/>
            </w:tcBorders>
            <w:vAlign w:val="center"/>
          </w:tcPr>
          <w:p w14:paraId="2924E7E3">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评标标准</w:t>
            </w:r>
          </w:p>
        </w:tc>
      </w:tr>
      <w:tr w14:paraId="273C25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03" w:type="dxa"/>
            <w:tcBorders>
              <w:top w:val="single" w:color="auto" w:sz="6" w:space="0"/>
              <w:left w:val="double" w:color="auto" w:sz="4" w:space="0"/>
              <w:bottom w:val="single" w:color="auto" w:sz="6" w:space="0"/>
              <w:right w:val="single" w:color="auto" w:sz="4" w:space="0"/>
            </w:tcBorders>
            <w:vAlign w:val="center"/>
          </w:tcPr>
          <w:p w14:paraId="02B3EED0">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2160" w:type="dxa"/>
            <w:tcBorders>
              <w:top w:val="single" w:color="auto" w:sz="6" w:space="0"/>
              <w:left w:val="single" w:color="auto" w:sz="4" w:space="0"/>
              <w:bottom w:val="single" w:color="auto" w:sz="6" w:space="0"/>
              <w:right w:val="single" w:color="auto" w:sz="6" w:space="0"/>
            </w:tcBorders>
            <w:vAlign w:val="center"/>
          </w:tcPr>
          <w:p w14:paraId="46396151">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技术评价项</w:t>
            </w:r>
          </w:p>
          <w:p w14:paraId="711B3201">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（F=100分）</w:t>
            </w:r>
          </w:p>
        </w:tc>
        <w:tc>
          <w:tcPr>
            <w:tcW w:w="773" w:type="dxa"/>
            <w:tcBorders>
              <w:top w:val="single" w:color="auto" w:sz="6" w:space="0"/>
              <w:left w:val="single" w:color="auto" w:sz="6" w:space="0"/>
              <w:bottom w:val="single" w:color="auto" w:sz="6" w:space="0"/>
              <w:right w:val="single" w:color="auto" w:sz="4" w:space="0"/>
            </w:tcBorders>
            <w:vAlign w:val="center"/>
          </w:tcPr>
          <w:p w14:paraId="409DDC19">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技术参数</w:t>
            </w:r>
          </w:p>
        </w:tc>
        <w:tc>
          <w:tcPr>
            <w:tcW w:w="772" w:type="dxa"/>
            <w:tcBorders>
              <w:top w:val="single" w:color="auto" w:sz="6" w:space="0"/>
              <w:left w:val="single" w:color="auto" w:sz="4" w:space="0"/>
              <w:bottom w:val="single" w:color="auto" w:sz="6" w:space="0"/>
              <w:right w:val="single" w:color="auto" w:sz="6" w:space="0"/>
            </w:tcBorders>
            <w:vAlign w:val="center"/>
          </w:tcPr>
          <w:p w14:paraId="42FF8B2F">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100</w:t>
            </w:r>
          </w:p>
        </w:tc>
        <w:tc>
          <w:tcPr>
            <w:tcW w:w="4732" w:type="dxa"/>
            <w:tcBorders>
              <w:top w:val="single" w:color="auto" w:sz="6" w:space="0"/>
              <w:left w:val="single" w:color="auto" w:sz="6" w:space="0"/>
              <w:bottom w:val="single" w:color="auto" w:sz="6" w:space="0"/>
              <w:right w:val="double" w:color="auto" w:sz="4" w:space="0"/>
            </w:tcBorders>
            <w:vAlign w:val="center"/>
          </w:tcPr>
          <w:p w14:paraId="53790ECC">
            <w:p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投标文件无技术条款响应/偏离表的本项计0分；</w:t>
            </w:r>
          </w:p>
          <w:p w14:paraId="38A25B66">
            <w:p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1、技术参数满足招标文件要求无负偏离的本项计100分；</w:t>
            </w:r>
          </w:p>
          <w:p w14:paraId="00DAD475">
            <w:p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2、标注“▲”的参数为重要参数，每一项负偏离或缺漏扣10分；</w:t>
            </w:r>
          </w:p>
          <w:p w14:paraId="2E8F31DB">
            <w:pPr>
              <w:jc w:val="left"/>
              <w:rPr>
                <w:rFonts w:hint="default"/>
                <w:lang w:val="en-US" w:eastAsia="zh-CN"/>
              </w:rPr>
            </w:pPr>
            <w:r>
              <w:rPr>
                <w:rFonts w:hint="eastAsia" w:ascii="仿宋" w:hAnsi="仿宋" w:eastAsia="仿宋" w:cs="仿宋"/>
                <w:sz w:val="24"/>
                <w:szCs w:val="24"/>
                <w:lang w:val="en-US" w:eastAsia="zh-CN"/>
              </w:rPr>
              <w:t>3、一般技术参数（即非“★”非“▲”号参数）存在负偏离，每条负偏离扣6分。</w:t>
            </w:r>
          </w:p>
          <w:p w14:paraId="6B1205F2">
            <w:p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标注“▲”技术参数以及技术规格中要求该项参数提供有关证明文件的一般参数，投标人应提供证明材料，包括但不限于技术白皮书、产品彩页、检测报告等形式。如无相关证明文件或相关证明文件不完整，则按相应负偏离计算；此项只做评分因素，不做废标条件；</w:t>
            </w:r>
            <w:r>
              <w:rPr>
                <w:rFonts w:hint="eastAsia" w:ascii="仿宋" w:hAnsi="仿宋" w:eastAsia="仿宋" w:cs="仿宋"/>
                <w:sz w:val="24"/>
                <w:szCs w:val="24"/>
              </w:rPr>
              <w:t>“★”</w:t>
            </w:r>
            <w:r>
              <w:rPr>
                <w:rFonts w:hint="eastAsia" w:ascii="仿宋" w:hAnsi="仿宋" w:eastAsia="仿宋" w:cs="仿宋"/>
                <w:sz w:val="24"/>
                <w:szCs w:val="24"/>
                <w:lang w:eastAsia="zh-CN"/>
              </w:rPr>
              <w:t>为实质性条款，任何一条负偏离视为无效投标</w:t>
            </w:r>
            <w:r>
              <w:rPr>
                <w:rFonts w:hint="eastAsia" w:ascii="仿宋" w:hAnsi="仿宋" w:eastAsia="仿宋" w:cs="仿宋"/>
                <w:sz w:val="24"/>
                <w:szCs w:val="24"/>
              </w:rPr>
              <w:t>）</w:t>
            </w:r>
            <w:r>
              <w:rPr>
                <w:rFonts w:hint="eastAsia" w:ascii="仿宋" w:hAnsi="仿宋" w:eastAsia="仿宋" w:cs="仿宋"/>
                <w:sz w:val="24"/>
                <w:szCs w:val="24"/>
                <w:lang w:val="en-US" w:eastAsia="zh-CN"/>
              </w:rPr>
              <w:t>）</w:t>
            </w:r>
          </w:p>
        </w:tc>
      </w:tr>
    </w:tbl>
    <w:p w14:paraId="19E78A08">
      <w:pPr>
        <w:jc w:val="center"/>
        <w:rPr>
          <w:rFonts w:hint="eastAsia" w:ascii="仿宋" w:hAnsi="仿宋" w:eastAsia="仿宋" w:cs="仿宋"/>
          <w:sz w:val="24"/>
          <w:szCs w:val="24"/>
          <w:lang w:val="en-US" w:eastAsia="zh-CN"/>
        </w:rPr>
      </w:pPr>
    </w:p>
    <w:p w14:paraId="1F05C1D8">
      <w:pPr>
        <w:jc w:val="center"/>
        <w:rPr>
          <w:rFonts w:hint="eastAsia" w:ascii="仿宋" w:hAnsi="仿宋" w:eastAsia="仿宋" w:cs="仿宋"/>
          <w:sz w:val="24"/>
          <w:szCs w:val="24"/>
          <w:lang w:val="en-US" w:eastAsia="zh-CN"/>
        </w:rPr>
      </w:pPr>
    </w:p>
    <w:p w14:paraId="17131576">
      <w:pPr>
        <w:jc w:val="center"/>
        <w:rPr>
          <w:rFonts w:hint="eastAsia" w:ascii="仿宋" w:hAnsi="仿宋" w:eastAsia="仿宋" w:cs="仿宋"/>
          <w:sz w:val="24"/>
          <w:szCs w:val="24"/>
          <w:lang w:val="en-US" w:eastAsia="zh-CN"/>
        </w:rPr>
      </w:pPr>
    </w:p>
    <w:p w14:paraId="52E4688F">
      <w:pPr>
        <w:jc w:val="center"/>
        <w:rPr>
          <w:rFonts w:hint="eastAsia" w:ascii="仿宋" w:hAnsi="仿宋" w:eastAsia="仿宋" w:cs="仿宋"/>
          <w:sz w:val="24"/>
          <w:szCs w:val="24"/>
          <w:lang w:val="en-US" w:eastAsia="zh-CN"/>
        </w:rPr>
      </w:pPr>
    </w:p>
    <w:p w14:paraId="17925816">
      <w:pPr>
        <w:jc w:val="center"/>
        <w:rPr>
          <w:rFonts w:hint="eastAsia" w:ascii="仿宋" w:hAnsi="仿宋" w:eastAsia="仿宋" w:cs="仿宋"/>
          <w:sz w:val="24"/>
          <w:szCs w:val="24"/>
          <w:lang w:val="en-US" w:eastAsia="zh-CN"/>
        </w:rPr>
      </w:pPr>
    </w:p>
    <w:p w14:paraId="135EB2E1">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br w:type="page"/>
      </w:r>
    </w:p>
    <w:p w14:paraId="6DA2AB39">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附表1.3商务部分评审标准表</w:t>
      </w:r>
    </w:p>
    <w:tbl>
      <w:tblPr>
        <w:tblStyle w:val="14"/>
        <w:tblW w:w="898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3"/>
        <w:gridCol w:w="1946"/>
        <w:gridCol w:w="680"/>
        <w:gridCol w:w="967"/>
        <w:gridCol w:w="4889"/>
      </w:tblGrid>
      <w:tr w14:paraId="166BB3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503" w:type="dxa"/>
            <w:tcBorders>
              <w:tl2br w:val="nil"/>
              <w:tr2bl w:val="nil"/>
            </w:tcBorders>
            <w:vAlign w:val="center"/>
          </w:tcPr>
          <w:p w14:paraId="02A368D5">
            <w:pPr>
              <w:jc w:val="center"/>
              <w:rPr>
                <w:rFonts w:hint="eastAsia" w:ascii="仿宋" w:hAnsi="仿宋" w:eastAsia="仿宋" w:cs="仿宋"/>
                <w:color w:val="auto"/>
                <w:sz w:val="24"/>
                <w:szCs w:val="24"/>
                <w:lang w:val="en-US" w:eastAsia="zh-CN"/>
              </w:rPr>
            </w:pPr>
            <w:bookmarkStart w:id="8" w:name="_GoBack"/>
            <w:r>
              <w:rPr>
                <w:rFonts w:hint="eastAsia" w:ascii="仿宋" w:hAnsi="仿宋" w:eastAsia="仿宋" w:cs="仿宋"/>
                <w:color w:val="auto"/>
                <w:sz w:val="24"/>
                <w:szCs w:val="24"/>
                <w:lang w:val="en-US" w:eastAsia="zh-CN"/>
              </w:rPr>
              <w:t>序号</w:t>
            </w:r>
          </w:p>
        </w:tc>
        <w:tc>
          <w:tcPr>
            <w:tcW w:w="1946" w:type="dxa"/>
            <w:tcBorders>
              <w:tl2br w:val="nil"/>
              <w:tr2bl w:val="nil"/>
            </w:tcBorders>
            <w:vAlign w:val="center"/>
          </w:tcPr>
          <w:p w14:paraId="494973FE">
            <w:pPr>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评标因素（分值）</w:t>
            </w:r>
          </w:p>
        </w:tc>
        <w:tc>
          <w:tcPr>
            <w:tcW w:w="6536" w:type="dxa"/>
            <w:gridSpan w:val="3"/>
            <w:tcBorders>
              <w:tl2br w:val="nil"/>
              <w:tr2bl w:val="nil"/>
            </w:tcBorders>
            <w:vAlign w:val="center"/>
          </w:tcPr>
          <w:p w14:paraId="22B2543B">
            <w:pPr>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评标标准</w:t>
            </w:r>
          </w:p>
        </w:tc>
      </w:tr>
      <w:tr w14:paraId="3B69DE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3" w:type="dxa"/>
            <w:vMerge w:val="restart"/>
            <w:tcBorders>
              <w:tl2br w:val="nil"/>
              <w:tr2bl w:val="nil"/>
            </w:tcBorders>
            <w:vAlign w:val="center"/>
          </w:tcPr>
          <w:p w14:paraId="105151AD">
            <w:pPr>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c>
          <w:tcPr>
            <w:tcW w:w="1946" w:type="dxa"/>
            <w:vMerge w:val="restart"/>
            <w:tcBorders>
              <w:tl2br w:val="nil"/>
              <w:tr2bl w:val="nil"/>
            </w:tcBorders>
            <w:vAlign w:val="center"/>
          </w:tcPr>
          <w:p w14:paraId="383D7B05">
            <w:pPr>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商务评价项</w:t>
            </w:r>
          </w:p>
          <w:p w14:paraId="69F6C74B">
            <w:pPr>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（F=100分）</w:t>
            </w:r>
          </w:p>
        </w:tc>
        <w:tc>
          <w:tcPr>
            <w:tcW w:w="680" w:type="dxa"/>
            <w:tcBorders>
              <w:tl2br w:val="nil"/>
              <w:tr2bl w:val="nil"/>
            </w:tcBorders>
            <w:vAlign w:val="center"/>
          </w:tcPr>
          <w:p w14:paraId="0A17CE3C">
            <w:pPr>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售后服务</w:t>
            </w:r>
          </w:p>
        </w:tc>
        <w:tc>
          <w:tcPr>
            <w:tcW w:w="967" w:type="dxa"/>
            <w:tcBorders>
              <w:tl2br w:val="nil"/>
              <w:tr2bl w:val="nil"/>
            </w:tcBorders>
            <w:vAlign w:val="center"/>
          </w:tcPr>
          <w:p w14:paraId="032D62D9">
            <w:pPr>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55</w:t>
            </w:r>
          </w:p>
        </w:tc>
        <w:tc>
          <w:tcPr>
            <w:tcW w:w="4889" w:type="dxa"/>
            <w:tcBorders>
              <w:tl2br w:val="nil"/>
              <w:tr2bl w:val="nil"/>
            </w:tcBorders>
            <w:vAlign w:val="center"/>
          </w:tcPr>
          <w:p w14:paraId="3ABD8E84">
            <w:pPr>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针对本项目有明确的售后服务方案，包括但不限于：①设备配送、安装、检验等；②发生故障后的补救措施及巡检服务；③售后服务维修人员详细情况；④维修的响应时间；⑤备品配件的清单及供应保障措施。</w:t>
            </w:r>
          </w:p>
          <w:p w14:paraId="6B275EC3">
            <w:pPr>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上述小项方案具有针对性和可行性，符合采购实际需求，内容完整合理满足招标文件要求的每项得7分。存在一般缺陷的每项方案得3.5分（一般缺陷是指方案内容前后不一致或前后逻辑错误或内容有缺失，不影响项目的实施）。未提供或存在重大缺陷的每项方案不得分（重大缺陷是指方案凭空编造或与采购项目和采购需求无关，无法指导项目实施）。</w:t>
            </w:r>
          </w:p>
          <w:p w14:paraId="4F72BA97">
            <w:pPr>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2、质保期在招标要求基础上再增加1年的加10分，增加2年以上的加20分，最高可加20分。</w:t>
            </w:r>
          </w:p>
        </w:tc>
      </w:tr>
      <w:tr w14:paraId="4D69F4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3" w:type="dxa"/>
            <w:vMerge w:val="continue"/>
            <w:tcBorders>
              <w:tl2br w:val="nil"/>
              <w:tr2bl w:val="nil"/>
            </w:tcBorders>
            <w:vAlign w:val="center"/>
          </w:tcPr>
          <w:p w14:paraId="0FE629C0">
            <w:pPr>
              <w:jc w:val="center"/>
              <w:rPr>
                <w:rFonts w:hint="eastAsia" w:ascii="仿宋" w:hAnsi="仿宋" w:eastAsia="仿宋" w:cs="仿宋"/>
                <w:color w:val="auto"/>
                <w:sz w:val="24"/>
                <w:szCs w:val="24"/>
                <w:lang w:val="en-US" w:eastAsia="zh-CN"/>
              </w:rPr>
            </w:pPr>
          </w:p>
        </w:tc>
        <w:tc>
          <w:tcPr>
            <w:tcW w:w="1946" w:type="dxa"/>
            <w:vMerge w:val="continue"/>
            <w:tcBorders>
              <w:tl2br w:val="nil"/>
              <w:tr2bl w:val="nil"/>
            </w:tcBorders>
            <w:vAlign w:val="center"/>
          </w:tcPr>
          <w:p w14:paraId="30EDC59A">
            <w:pPr>
              <w:jc w:val="center"/>
              <w:rPr>
                <w:rFonts w:hint="eastAsia" w:ascii="仿宋" w:hAnsi="仿宋" w:eastAsia="仿宋" w:cs="仿宋"/>
                <w:color w:val="auto"/>
                <w:sz w:val="24"/>
                <w:szCs w:val="24"/>
                <w:lang w:val="en-US" w:eastAsia="zh-CN"/>
              </w:rPr>
            </w:pPr>
          </w:p>
        </w:tc>
        <w:tc>
          <w:tcPr>
            <w:tcW w:w="680" w:type="dxa"/>
            <w:tcBorders>
              <w:tl2br w:val="nil"/>
              <w:tr2bl w:val="nil"/>
            </w:tcBorders>
            <w:vAlign w:val="center"/>
          </w:tcPr>
          <w:p w14:paraId="7AB7E156">
            <w:pPr>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培训方案</w:t>
            </w:r>
          </w:p>
        </w:tc>
        <w:tc>
          <w:tcPr>
            <w:tcW w:w="967" w:type="dxa"/>
            <w:tcBorders>
              <w:tl2br w:val="nil"/>
              <w:tr2bl w:val="nil"/>
            </w:tcBorders>
            <w:vAlign w:val="center"/>
          </w:tcPr>
          <w:p w14:paraId="062AA3AB">
            <w:pPr>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15</w:t>
            </w:r>
          </w:p>
        </w:tc>
        <w:tc>
          <w:tcPr>
            <w:tcW w:w="4889" w:type="dxa"/>
            <w:tcBorders>
              <w:tl2br w:val="nil"/>
              <w:tr2bl w:val="nil"/>
            </w:tcBorders>
            <w:vAlign w:val="center"/>
          </w:tcPr>
          <w:p w14:paraId="77DB104A">
            <w:pPr>
              <w:jc w:val="left"/>
              <w:rPr>
                <w:rFonts w:hint="eastAsia" w:ascii="仿宋" w:hAnsi="仿宋" w:eastAsia="仿宋" w:cs="仿宋"/>
                <w:color w:val="auto"/>
                <w:sz w:val="24"/>
                <w:szCs w:val="24"/>
              </w:rPr>
            </w:pPr>
            <w:r>
              <w:rPr>
                <w:rFonts w:hint="eastAsia" w:ascii="仿宋" w:hAnsi="仿宋" w:eastAsia="仿宋" w:cs="仿宋"/>
                <w:color w:val="auto"/>
                <w:sz w:val="24"/>
                <w:szCs w:val="24"/>
              </w:rPr>
              <w:t>针对本项目具有可行的技术培训方案，包括但不限于：①所提供设备的原理和技术性能；②操作维护方法；③安装调试、排除故障等各个方面</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 4 \* GB3 \* MERGEFORMAT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④</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rPr>
              <w:t>培训</w:t>
            </w:r>
            <w:r>
              <w:rPr>
                <w:rFonts w:hint="eastAsia" w:ascii="仿宋" w:hAnsi="仿宋" w:eastAsia="仿宋" w:cs="仿宋"/>
                <w:color w:val="auto"/>
                <w:sz w:val="24"/>
                <w:szCs w:val="24"/>
                <w:lang w:eastAsia="zh-CN"/>
              </w:rPr>
              <w:t>计划安排</w:t>
            </w:r>
            <w:r>
              <w:rPr>
                <w:rFonts w:hint="eastAsia" w:ascii="仿宋" w:hAnsi="仿宋" w:eastAsia="仿宋" w:cs="仿宋"/>
                <w:color w:val="auto"/>
                <w:sz w:val="24"/>
                <w:szCs w:val="24"/>
              </w:rPr>
              <w:t>；</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 5 \* GB3 \* MERGEFORMAT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⑤</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lang w:eastAsia="zh-CN"/>
              </w:rPr>
              <w:t>培训效果</w:t>
            </w:r>
            <w:r>
              <w:rPr>
                <w:rFonts w:hint="eastAsia" w:ascii="仿宋" w:hAnsi="仿宋" w:eastAsia="仿宋" w:cs="仿宋"/>
                <w:color w:val="auto"/>
                <w:sz w:val="24"/>
                <w:szCs w:val="24"/>
              </w:rPr>
              <w:t>等。</w:t>
            </w:r>
          </w:p>
          <w:p w14:paraId="78E4F7D0">
            <w:pPr>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上述小项方案具有针对性和可行性，符合采购实际需求，内容完整合理满足招标文件要求的每项得3分。存在一般缺陷的每项方案得1.5分（一般缺陷是指方案内容前后不一致或前后逻辑错误或内容有缺失，不影响项目的实施）。未提供或存在重大缺陷的每项方案不得分（重大缺陷是指方案凭空编造或与采购项目和采购需求无关，无法指导项目实施）。</w:t>
            </w:r>
          </w:p>
        </w:tc>
      </w:tr>
      <w:tr w14:paraId="30F8DC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3" w:type="dxa"/>
            <w:vMerge w:val="continue"/>
            <w:tcBorders>
              <w:tl2br w:val="nil"/>
              <w:tr2bl w:val="nil"/>
            </w:tcBorders>
            <w:vAlign w:val="center"/>
          </w:tcPr>
          <w:p w14:paraId="56413E89">
            <w:pPr>
              <w:jc w:val="center"/>
              <w:rPr>
                <w:rFonts w:hint="eastAsia" w:ascii="仿宋" w:hAnsi="仿宋" w:eastAsia="仿宋" w:cs="仿宋"/>
                <w:color w:val="auto"/>
                <w:sz w:val="24"/>
                <w:szCs w:val="24"/>
                <w:lang w:val="en-US" w:eastAsia="zh-CN"/>
              </w:rPr>
            </w:pPr>
          </w:p>
        </w:tc>
        <w:tc>
          <w:tcPr>
            <w:tcW w:w="1946" w:type="dxa"/>
            <w:vMerge w:val="continue"/>
            <w:tcBorders>
              <w:tl2br w:val="nil"/>
              <w:tr2bl w:val="nil"/>
            </w:tcBorders>
            <w:vAlign w:val="center"/>
          </w:tcPr>
          <w:p w14:paraId="6E67B8CD">
            <w:pPr>
              <w:jc w:val="center"/>
              <w:rPr>
                <w:rFonts w:hint="eastAsia" w:ascii="仿宋" w:hAnsi="仿宋" w:eastAsia="仿宋" w:cs="仿宋"/>
                <w:color w:val="auto"/>
                <w:sz w:val="24"/>
                <w:szCs w:val="24"/>
                <w:lang w:val="en-US" w:eastAsia="zh-CN"/>
              </w:rPr>
            </w:pPr>
          </w:p>
        </w:tc>
        <w:tc>
          <w:tcPr>
            <w:tcW w:w="680" w:type="dxa"/>
            <w:tcBorders>
              <w:tl2br w:val="nil"/>
              <w:tr2bl w:val="nil"/>
            </w:tcBorders>
            <w:vAlign w:val="center"/>
          </w:tcPr>
          <w:p w14:paraId="2A11A372">
            <w:pPr>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类似业绩</w:t>
            </w:r>
          </w:p>
        </w:tc>
        <w:tc>
          <w:tcPr>
            <w:tcW w:w="967" w:type="dxa"/>
            <w:tcBorders>
              <w:tl2br w:val="nil"/>
              <w:tr2bl w:val="nil"/>
            </w:tcBorders>
            <w:vAlign w:val="center"/>
          </w:tcPr>
          <w:p w14:paraId="1EE34E96">
            <w:pPr>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30</w:t>
            </w:r>
          </w:p>
        </w:tc>
        <w:tc>
          <w:tcPr>
            <w:tcW w:w="4889" w:type="dxa"/>
            <w:tcBorders>
              <w:tl2br w:val="nil"/>
              <w:tr2bl w:val="nil"/>
            </w:tcBorders>
            <w:vAlign w:val="center"/>
          </w:tcPr>
          <w:p w14:paraId="2A341ED2">
            <w:pPr>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提供近两年以来同型号设备销售业绩证明材料（证明材料可以是中标通知书或中标公示截图或合同相关页面，且证明材料要体现中标设备的型号），每提供一份计</w:t>
            </w:r>
            <w:r>
              <w:rPr>
                <w:rFonts w:hint="eastAsia" w:ascii="仿宋" w:hAnsi="仿宋" w:eastAsia="仿宋" w:cs="仿宋"/>
                <w:color w:val="auto"/>
                <w:sz w:val="24"/>
                <w:szCs w:val="24"/>
                <w:lang w:val="en-US" w:eastAsia="zh-CN"/>
              </w:rPr>
              <w:t>15</w:t>
            </w:r>
            <w:r>
              <w:rPr>
                <w:rFonts w:hint="eastAsia" w:ascii="仿宋" w:hAnsi="仿宋" w:eastAsia="仿宋" w:cs="仿宋"/>
                <w:color w:val="auto"/>
                <w:sz w:val="24"/>
                <w:szCs w:val="24"/>
              </w:rPr>
              <w:t>分，计满30分为止，未按要求提供不得分。</w:t>
            </w:r>
          </w:p>
        </w:tc>
      </w:tr>
    </w:tbl>
    <w:p w14:paraId="12DE2867">
      <w:pPr>
        <w:pStyle w:val="2"/>
        <w:numPr>
          <w:ilvl w:val="0"/>
          <w:numId w:val="0"/>
        </w:numPr>
        <w:spacing w:line="240" w:lineRule="auto"/>
        <w:ind w:left="2940" w:leftChars="0"/>
        <w:jc w:val="both"/>
        <w:rPr>
          <w:rFonts w:hint="eastAsia" w:ascii="宋体" w:hAnsi="宋体" w:cs="宋体"/>
          <w:color w:val="auto"/>
          <w:sz w:val="30"/>
          <w:szCs w:val="30"/>
          <w:lang w:val="en-US" w:eastAsia="zh-CN"/>
        </w:rPr>
      </w:pPr>
    </w:p>
    <w:p w14:paraId="4092A6A2">
      <w:pPr>
        <w:pStyle w:val="2"/>
        <w:numPr>
          <w:ilvl w:val="0"/>
          <w:numId w:val="0"/>
        </w:numPr>
        <w:spacing w:line="240" w:lineRule="auto"/>
        <w:ind w:left="2940" w:leftChars="0"/>
        <w:jc w:val="both"/>
        <w:rPr>
          <w:rFonts w:hint="eastAsia" w:ascii="宋体" w:hAnsi="宋体" w:cs="宋体"/>
          <w:color w:val="auto"/>
          <w:sz w:val="30"/>
          <w:szCs w:val="30"/>
        </w:rPr>
      </w:pPr>
      <w:r>
        <w:rPr>
          <w:rFonts w:hint="eastAsia" w:ascii="宋体" w:hAnsi="宋体" w:cs="宋体"/>
          <w:color w:val="auto"/>
          <w:sz w:val="30"/>
          <w:szCs w:val="30"/>
          <w:lang w:val="en-US" w:eastAsia="zh-CN"/>
        </w:rPr>
        <w:t xml:space="preserve">第四章   </w:t>
      </w:r>
      <w:r>
        <w:rPr>
          <w:rFonts w:hint="eastAsia" w:ascii="宋体" w:hAnsi="宋体" w:cs="宋体"/>
          <w:color w:val="auto"/>
          <w:sz w:val="30"/>
          <w:szCs w:val="30"/>
        </w:rPr>
        <w:t>投标文件的格式</w:t>
      </w:r>
    </w:p>
    <w:p w14:paraId="050DC92C">
      <w:pPr>
        <w:pStyle w:val="2"/>
        <w:numPr>
          <w:ilvl w:val="0"/>
          <w:numId w:val="0"/>
        </w:numPr>
        <w:spacing w:line="240" w:lineRule="auto"/>
        <w:ind w:firstLine="2108" w:firstLineChars="700"/>
        <w:jc w:val="both"/>
        <w:rPr>
          <w:rFonts w:hint="eastAsia" w:ascii="宋体" w:hAnsi="宋体" w:cs="宋体"/>
          <w:color w:val="auto"/>
          <w:sz w:val="30"/>
          <w:szCs w:val="30"/>
        </w:rPr>
      </w:pPr>
      <w:r>
        <w:rPr>
          <w:rFonts w:hint="eastAsia" w:ascii="宋体" w:hAnsi="宋体" w:cs="宋体"/>
          <w:color w:val="auto"/>
          <w:sz w:val="30"/>
          <w:szCs w:val="30"/>
        </w:rPr>
        <w:t>（必须按以下标题和顺序进行编制）</w:t>
      </w:r>
    </w:p>
    <w:p w14:paraId="023E2789">
      <w:pPr>
        <w:rPr>
          <w:rFonts w:hint="eastAsia" w:ascii="宋体" w:hAnsi="宋体" w:cs="宋体"/>
          <w:color w:val="auto"/>
        </w:rPr>
      </w:pPr>
    </w:p>
    <w:bookmarkEnd w:id="4"/>
    <w:p w14:paraId="134583E1">
      <w:pPr>
        <w:rPr>
          <w:rFonts w:hint="eastAsia" w:ascii="宋体" w:hAnsi="宋体" w:cs="宋体"/>
          <w:color w:val="auto"/>
        </w:rPr>
      </w:pPr>
    </w:p>
    <w:p w14:paraId="0C36B7E3">
      <w:pPr>
        <w:rPr>
          <w:rFonts w:hint="eastAsia"/>
          <w:color w:val="auto"/>
        </w:rPr>
      </w:pPr>
    </w:p>
    <w:p w14:paraId="642A6E11">
      <w:pPr>
        <w:jc w:val="center"/>
        <w:rPr>
          <w:b/>
          <w:color w:val="auto"/>
          <w:sz w:val="24"/>
        </w:rPr>
      </w:pPr>
      <w:r>
        <w:rPr>
          <w:b/>
          <w:color w:val="auto"/>
          <w:sz w:val="28"/>
          <w:szCs w:val="28"/>
        </w:rPr>
        <w:t>第一部分、开标一览表</w:t>
      </w:r>
    </w:p>
    <w:p w14:paraId="31CF1AE0">
      <w:pPr>
        <w:jc w:val="center"/>
        <w:rPr>
          <w:b/>
          <w:color w:val="auto"/>
          <w:sz w:val="24"/>
        </w:rPr>
      </w:pPr>
    </w:p>
    <w:p w14:paraId="6D74B725">
      <w:pPr>
        <w:jc w:val="center"/>
        <w:rPr>
          <w:rFonts w:hint="eastAsia" w:eastAsia="宋体"/>
          <w:b/>
          <w:color w:val="auto"/>
          <w:sz w:val="24"/>
          <w:lang w:eastAsia="zh-CN"/>
        </w:rPr>
      </w:pPr>
      <w:r>
        <w:rPr>
          <w:rFonts w:hint="eastAsia"/>
          <w:b/>
          <w:color w:val="auto"/>
          <w:sz w:val="24"/>
          <w:lang w:eastAsia="zh-CN"/>
        </w:rPr>
        <w:t>注：此项内容需包含投标商品包号名称、数量、品牌、型号、单价、总价、等信息</w:t>
      </w:r>
    </w:p>
    <w:p w14:paraId="5F8096E0">
      <w:pPr>
        <w:pStyle w:val="22"/>
        <w:rPr>
          <w:color w:val="auto"/>
        </w:rPr>
      </w:pPr>
    </w:p>
    <w:p w14:paraId="3009323F">
      <w:pPr>
        <w:adjustRightInd w:val="0"/>
        <w:snapToGrid w:val="0"/>
        <w:spacing w:line="360" w:lineRule="auto"/>
        <w:jc w:val="center"/>
        <w:rPr>
          <w:rFonts w:hint="eastAsia" w:ascii="宋体" w:hAnsi="宋体" w:cs="宋体"/>
          <w:b/>
          <w:color w:val="auto"/>
          <w:sz w:val="28"/>
          <w:szCs w:val="28"/>
        </w:rPr>
      </w:pPr>
    </w:p>
    <w:p w14:paraId="60B9049D">
      <w:pPr>
        <w:adjustRightInd w:val="0"/>
        <w:snapToGrid w:val="0"/>
        <w:spacing w:line="360" w:lineRule="auto"/>
        <w:jc w:val="center"/>
        <w:rPr>
          <w:rFonts w:hint="eastAsia" w:ascii="宋体" w:hAnsi="宋体" w:cs="宋体"/>
          <w:b/>
          <w:color w:val="auto"/>
          <w:sz w:val="28"/>
          <w:szCs w:val="28"/>
        </w:rPr>
      </w:pPr>
    </w:p>
    <w:p w14:paraId="47A9E7E6">
      <w:pPr>
        <w:adjustRightInd w:val="0"/>
        <w:snapToGrid w:val="0"/>
        <w:spacing w:line="360" w:lineRule="auto"/>
        <w:jc w:val="center"/>
        <w:rPr>
          <w:rFonts w:hint="eastAsia" w:ascii="宋体" w:hAnsi="宋体" w:cs="宋体"/>
          <w:b/>
          <w:color w:val="auto"/>
          <w:sz w:val="28"/>
          <w:szCs w:val="28"/>
        </w:rPr>
      </w:pPr>
    </w:p>
    <w:p w14:paraId="0B851203">
      <w:pPr>
        <w:adjustRightInd w:val="0"/>
        <w:snapToGrid w:val="0"/>
        <w:spacing w:line="360" w:lineRule="auto"/>
        <w:jc w:val="center"/>
        <w:rPr>
          <w:rFonts w:hint="eastAsia" w:ascii="宋体" w:hAnsi="宋体" w:cs="宋体"/>
          <w:b/>
          <w:color w:val="auto"/>
          <w:sz w:val="28"/>
          <w:szCs w:val="28"/>
        </w:rPr>
      </w:pPr>
    </w:p>
    <w:p w14:paraId="5B522B1B">
      <w:pPr>
        <w:adjustRightInd w:val="0"/>
        <w:snapToGrid w:val="0"/>
        <w:spacing w:line="360"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第二部分、资格证明文件</w:t>
      </w:r>
    </w:p>
    <w:p w14:paraId="46BE0168">
      <w:pPr>
        <w:pStyle w:val="21"/>
        <w:rPr>
          <w:rFonts w:hint="eastAsia"/>
          <w:color w:val="auto"/>
          <w:lang w:eastAsia="zh-CN"/>
        </w:rPr>
      </w:pPr>
    </w:p>
    <w:p w14:paraId="1C4CE19E">
      <w:pPr>
        <w:adjustRightInd w:val="0"/>
        <w:snapToGrid w:val="0"/>
        <w:spacing w:line="360" w:lineRule="auto"/>
        <w:jc w:val="center"/>
        <w:rPr>
          <w:rFonts w:hint="eastAsia" w:ascii="宋体" w:hAnsi="宋体" w:cs="宋体"/>
          <w:b/>
          <w:color w:val="auto"/>
          <w:sz w:val="24"/>
          <w:szCs w:val="20"/>
        </w:rPr>
      </w:pPr>
    </w:p>
    <w:p w14:paraId="5F76F163">
      <w:pPr>
        <w:adjustRightInd w:val="0"/>
        <w:snapToGrid w:val="0"/>
        <w:spacing w:line="360" w:lineRule="auto"/>
        <w:jc w:val="center"/>
        <w:rPr>
          <w:rFonts w:hint="eastAsia" w:ascii="宋体" w:hAnsi="宋体" w:cs="宋体"/>
          <w:b/>
          <w:color w:val="auto"/>
          <w:sz w:val="24"/>
          <w:szCs w:val="20"/>
        </w:rPr>
      </w:pPr>
      <w:r>
        <w:rPr>
          <w:rFonts w:hint="eastAsia" w:ascii="宋体" w:hAnsi="宋体" w:cs="宋体"/>
          <w:b/>
          <w:color w:val="auto"/>
          <w:sz w:val="24"/>
          <w:szCs w:val="20"/>
        </w:rPr>
        <w:t>一、法定代表人授权委托书</w:t>
      </w:r>
    </w:p>
    <w:p w14:paraId="6CD8A2E9">
      <w:pPr>
        <w:adjustRightInd w:val="0"/>
        <w:snapToGrid w:val="0"/>
        <w:spacing w:line="360" w:lineRule="auto"/>
        <w:rPr>
          <w:rFonts w:hint="eastAsia" w:ascii="宋体" w:hAnsi="宋体" w:cs="宋体"/>
          <w:b/>
          <w:color w:val="auto"/>
          <w:sz w:val="28"/>
          <w:szCs w:val="28"/>
        </w:rPr>
      </w:pPr>
    </w:p>
    <w:p w14:paraId="57FDFFD6">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本人</w:t>
      </w:r>
      <w:r>
        <w:rPr>
          <w:rFonts w:hint="eastAsia" w:ascii="宋体" w:hAnsi="宋体" w:cs="宋体"/>
          <w:color w:val="auto"/>
          <w:kern w:val="0"/>
          <w:sz w:val="24"/>
          <w:u w:val="single"/>
        </w:rPr>
        <w:t>（姓名、职务）</w:t>
      </w:r>
      <w:r>
        <w:rPr>
          <w:rFonts w:hint="eastAsia" w:ascii="宋体" w:hAnsi="宋体" w:cs="宋体"/>
          <w:color w:val="auto"/>
          <w:kern w:val="0"/>
          <w:sz w:val="24"/>
        </w:rPr>
        <w:t>系</w:t>
      </w:r>
      <w:r>
        <w:rPr>
          <w:rFonts w:hint="eastAsia" w:ascii="宋体" w:hAnsi="宋体" w:cs="宋体"/>
          <w:color w:val="auto"/>
          <w:kern w:val="0"/>
          <w:sz w:val="24"/>
          <w:u w:val="single"/>
        </w:rPr>
        <w:t xml:space="preserve"> （</w:t>
      </w:r>
      <w:r>
        <w:rPr>
          <w:rFonts w:hint="eastAsia" w:ascii="宋体" w:hAnsi="宋体" w:cs="宋体"/>
          <w:color w:val="auto"/>
          <w:sz w:val="24"/>
          <w:u w:val="single"/>
        </w:rPr>
        <w:t>投标人</w:t>
      </w:r>
      <w:r>
        <w:rPr>
          <w:rFonts w:hint="eastAsia" w:ascii="宋体" w:hAnsi="宋体" w:cs="宋体"/>
          <w:color w:val="auto"/>
          <w:kern w:val="0"/>
          <w:sz w:val="24"/>
          <w:u w:val="single"/>
        </w:rPr>
        <w:t>名称）</w:t>
      </w:r>
      <w:r>
        <w:rPr>
          <w:rFonts w:hint="eastAsia" w:ascii="宋体" w:hAnsi="宋体" w:cs="宋体"/>
          <w:color w:val="auto"/>
          <w:kern w:val="0"/>
          <w:sz w:val="24"/>
        </w:rPr>
        <w:t>的法定代表人，现授权</w:t>
      </w:r>
      <w:r>
        <w:rPr>
          <w:rFonts w:hint="eastAsia" w:ascii="宋体" w:hAnsi="宋体" w:cs="宋体"/>
          <w:color w:val="auto"/>
          <w:kern w:val="0"/>
          <w:sz w:val="24"/>
          <w:u w:val="single"/>
        </w:rPr>
        <w:t>（姓名、职务）</w:t>
      </w:r>
      <w:r>
        <w:rPr>
          <w:rFonts w:hint="eastAsia" w:ascii="宋体" w:hAnsi="宋体" w:cs="宋体"/>
          <w:color w:val="auto"/>
          <w:kern w:val="0"/>
          <w:sz w:val="24"/>
        </w:rPr>
        <w:t>为我方代理人。代理人根据授权，以我方名义签署、澄清、说明、补正、递交、撤回、修改</w:t>
      </w:r>
      <w:r>
        <w:rPr>
          <w:rFonts w:hint="eastAsia" w:ascii="宋体" w:hAnsi="宋体" w:cs="宋体"/>
          <w:color w:val="auto"/>
          <w:kern w:val="0"/>
          <w:sz w:val="24"/>
          <w:u w:val="single"/>
        </w:rPr>
        <w:t>（项目名称）</w:t>
      </w:r>
      <w:r>
        <w:rPr>
          <w:rFonts w:hint="eastAsia" w:ascii="宋体" w:hAnsi="宋体" w:cs="宋体"/>
          <w:color w:val="auto"/>
          <w:kern w:val="0"/>
          <w:sz w:val="24"/>
        </w:rPr>
        <w:t>（采购编号：</w:t>
      </w:r>
      <w:r>
        <w:rPr>
          <w:rFonts w:hint="eastAsia" w:ascii="宋体" w:hAnsi="宋体" w:cs="宋体"/>
          <w:color w:val="auto"/>
          <w:kern w:val="0"/>
          <w:sz w:val="24"/>
          <w:u w:val="single"/>
        </w:rPr>
        <w:t xml:space="preserve">     </w:t>
      </w:r>
      <w:r>
        <w:rPr>
          <w:rFonts w:hint="eastAsia" w:ascii="宋体" w:hAnsi="宋体" w:cs="宋体"/>
          <w:color w:val="auto"/>
          <w:kern w:val="0"/>
          <w:sz w:val="24"/>
        </w:rPr>
        <w:t>）投标文件、签订合同和处理有关事宜，其法律后果由我方承担。</w:t>
      </w:r>
    </w:p>
    <w:p w14:paraId="5DC957A3">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委托期限：</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14:paraId="58EF3318">
      <w:pPr>
        <w:adjustRightInd w:val="0"/>
        <w:snapToGrid w:val="0"/>
        <w:spacing w:line="360" w:lineRule="auto"/>
        <w:ind w:firstLine="435"/>
        <w:rPr>
          <w:rFonts w:hint="eastAsia" w:ascii="宋体" w:hAnsi="宋体" w:cs="宋体"/>
          <w:color w:val="auto"/>
          <w:kern w:val="0"/>
          <w:sz w:val="24"/>
        </w:rPr>
      </w:pPr>
      <w:r>
        <w:rPr>
          <w:rFonts w:hint="eastAsia" w:ascii="宋体" w:hAnsi="宋体" w:cs="宋体"/>
          <w:color w:val="auto"/>
          <w:kern w:val="0"/>
          <w:sz w:val="24"/>
        </w:rPr>
        <w:t>代理人无转委托权。</w:t>
      </w:r>
    </w:p>
    <w:p w14:paraId="29B331CC">
      <w:pPr>
        <w:adjustRightInd w:val="0"/>
        <w:snapToGrid w:val="0"/>
        <w:spacing w:line="360" w:lineRule="auto"/>
        <w:ind w:firstLine="435"/>
        <w:rPr>
          <w:rFonts w:hint="eastAsia" w:ascii="宋体" w:hAnsi="宋体" w:cs="宋体"/>
          <w:color w:val="auto"/>
          <w:sz w:val="24"/>
        </w:rPr>
      </w:pPr>
      <w:r>
        <w:rPr>
          <w:rFonts w:hint="eastAsia" w:ascii="宋体" w:hAnsi="宋体" w:cs="宋体"/>
          <w:color w:val="auto"/>
          <w:sz w:val="24"/>
        </w:rPr>
        <w:t>本授权书于日期：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日签字生效，特此声明。</w:t>
      </w:r>
    </w:p>
    <w:p w14:paraId="4387948B">
      <w:pPr>
        <w:adjustRightInd w:val="0"/>
        <w:snapToGrid w:val="0"/>
        <w:spacing w:line="360" w:lineRule="auto"/>
        <w:ind w:firstLine="480" w:firstLineChars="200"/>
        <w:rPr>
          <w:rFonts w:hint="eastAsia" w:ascii="宋体" w:hAnsi="宋体" w:cs="宋体"/>
          <w:color w:val="auto"/>
          <w:sz w:val="24"/>
        </w:rPr>
      </w:pPr>
    </w:p>
    <w:tbl>
      <w:tblPr>
        <w:tblStyle w:val="14"/>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7FD0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5E52C6EF">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委托代理人身份证（正面、反面）复印件</w:t>
            </w:r>
          </w:p>
        </w:tc>
      </w:tr>
    </w:tbl>
    <w:p w14:paraId="346FCCD3">
      <w:pPr>
        <w:adjustRightInd w:val="0"/>
        <w:snapToGrid w:val="0"/>
        <w:spacing w:line="360" w:lineRule="auto"/>
        <w:rPr>
          <w:rFonts w:hint="eastAsia" w:ascii="宋体" w:hAnsi="宋体" w:cs="宋体"/>
          <w:color w:val="auto"/>
          <w:sz w:val="24"/>
        </w:rPr>
      </w:pPr>
    </w:p>
    <w:tbl>
      <w:tblPr>
        <w:tblStyle w:val="14"/>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17CB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44E9FC1E">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法定代表人身份证（正面、反面）复印件</w:t>
            </w:r>
          </w:p>
        </w:tc>
      </w:tr>
    </w:tbl>
    <w:p w14:paraId="61ED57AA">
      <w:pPr>
        <w:adjustRightInd w:val="0"/>
        <w:snapToGrid w:val="0"/>
        <w:spacing w:line="360" w:lineRule="auto"/>
        <w:rPr>
          <w:rFonts w:hint="eastAsia" w:ascii="宋体" w:hAnsi="宋体" w:cs="宋体"/>
          <w:color w:val="auto"/>
          <w:sz w:val="24"/>
        </w:rPr>
      </w:pPr>
    </w:p>
    <w:p w14:paraId="73683F9B">
      <w:pPr>
        <w:adjustRightInd w:val="0"/>
        <w:snapToGrid w:val="0"/>
        <w:spacing w:line="360" w:lineRule="auto"/>
        <w:rPr>
          <w:rFonts w:hint="eastAsia" w:ascii="宋体" w:hAnsi="宋体" w:cs="宋体"/>
          <w:color w:val="auto"/>
          <w:sz w:val="24"/>
        </w:rPr>
      </w:pPr>
    </w:p>
    <w:p w14:paraId="74E54024">
      <w:pPr>
        <w:adjustRightInd w:val="0"/>
        <w:snapToGrid w:val="0"/>
        <w:spacing w:line="360" w:lineRule="auto"/>
        <w:rPr>
          <w:rFonts w:hint="eastAsia" w:ascii="宋体" w:hAnsi="宋体" w:cs="宋体"/>
          <w:color w:val="auto"/>
          <w:sz w:val="24"/>
        </w:rPr>
      </w:pPr>
      <w:r>
        <w:rPr>
          <w:rFonts w:hint="eastAsia" w:ascii="宋体" w:hAnsi="宋体" w:cs="宋体"/>
          <w:color w:val="auto"/>
          <w:sz w:val="24"/>
        </w:rPr>
        <w:t>投标人名称（盖单位章）：</w:t>
      </w:r>
    </w:p>
    <w:p w14:paraId="11F56670">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法定代表人（签字）：</w:t>
      </w:r>
    </w:p>
    <w:p w14:paraId="283F8CB4">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委托代理人（签字）：</w:t>
      </w:r>
    </w:p>
    <w:p w14:paraId="24EF6AB7">
      <w:pPr>
        <w:adjustRightInd w:val="0"/>
        <w:snapToGrid w:val="0"/>
        <w:spacing w:line="360" w:lineRule="auto"/>
        <w:rPr>
          <w:rFonts w:hint="eastAsia" w:ascii="宋体" w:hAnsi="宋体" w:cs="宋体"/>
          <w:b/>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0E41FF70">
      <w:pPr>
        <w:adjustRightInd w:val="0"/>
        <w:snapToGrid w:val="0"/>
        <w:spacing w:line="360" w:lineRule="auto"/>
        <w:rPr>
          <w:rFonts w:hint="eastAsia" w:ascii="宋体" w:hAnsi="宋体" w:cs="宋体"/>
          <w:b/>
          <w:color w:val="auto"/>
          <w:sz w:val="28"/>
          <w:szCs w:val="28"/>
        </w:rPr>
      </w:pPr>
    </w:p>
    <w:p w14:paraId="0F5DBA54">
      <w:pPr>
        <w:rPr>
          <w:rFonts w:hint="eastAsia" w:ascii="宋体" w:hAnsi="宋体" w:cs="宋体"/>
          <w:b/>
          <w:color w:val="auto"/>
          <w:sz w:val="24"/>
          <w:szCs w:val="20"/>
        </w:rPr>
      </w:pPr>
      <w:r>
        <w:rPr>
          <w:rFonts w:hint="eastAsia" w:ascii="宋体" w:hAnsi="宋体" w:cs="宋体"/>
          <w:b/>
          <w:color w:val="auto"/>
          <w:sz w:val="24"/>
          <w:szCs w:val="20"/>
        </w:rPr>
        <w:br w:type="page"/>
      </w:r>
      <w:bookmarkEnd w:id="8"/>
    </w:p>
    <w:p w14:paraId="2A1D0F17">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auto"/>
          <w:sz w:val="24"/>
        </w:rPr>
      </w:pPr>
      <w:r>
        <w:rPr>
          <w:rFonts w:hint="eastAsia" w:ascii="宋体" w:hAnsi="宋体" w:cs="宋体"/>
          <w:b/>
          <w:color w:val="auto"/>
          <w:sz w:val="24"/>
          <w:szCs w:val="20"/>
        </w:rPr>
        <w:t>二、投标人资格声明</w:t>
      </w:r>
    </w:p>
    <w:p w14:paraId="09B775A3">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color w:val="auto"/>
          <w:kern w:val="0"/>
          <w:sz w:val="24"/>
        </w:rPr>
      </w:pPr>
      <w:r>
        <w:rPr>
          <w:rFonts w:hint="eastAsia" w:ascii="宋体" w:hAnsi="宋体" w:cs="宋体"/>
          <w:color w:val="auto"/>
          <w:sz w:val="24"/>
        </w:rPr>
        <w:t>致(</w:t>
      </w:r>
      <w:r>
        <w:rPr>
          <w:rFonts w:hint="eastAsia" w:ascii="宋体" w:hAnsi="宋体" w:cs="宋体"/>
          <w:color w:val="auto"/>
          <w:sz w:val="24"/>
          <w:lang w:val="en-US" w:eastAsia="zh-CN"/>
        </w:rPr>
        <w:t xml:space="preserve">           </w:t>
      </w:r>
      <w:r>
        <w:rPr>
          <w:rFonts w:hint="eastAsia" w:ascii="宋体" w:hAnsi="宋体" w:cs="宋体"/>
          <w:color w:val="auto"/>
          <w:sz w:val="24"/>
        </w:rPr>
        <w:t>)：</w:t>
      </w:r>
    </w:p>
    <w:p w14:paraId="1DD6DC69">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sz w:val="24"/>
        </w:rPr>
        <w:t>按照</w:t>
      </w:r>
      <w:r>
        <w:rPr>
          <w:rFonts w:hint="eastAsia" w:ascii="宋体" w:hAnsi="宋体" w:cs="宋体"/>
          <w:color w:val="auto"/>
          <w:sz w:val="24"/>
          <w:lang w:eastAsia="zh-CN"/>
        </w:rPr>
        <w:t>招标</w:t>
      </w:r>
      <w:r>
        <w:rPr>
          <w:rFonts w:hint="eastAsia" w:ascii="宋体" w:hAnsi="宋体" w:cs="宋体"/>
          <w:color w:val="auto"/>
          <w:sz w:val="24"/>
        </w:rPr>
        <w:t>文件的规定，我单位郑重声明如下：</w:t>
      </w:r>
    </w:p>
    <w:p w14:paraId="0DB7BF5D">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sz w:val="24"/>
        </w:rPr>
        <w:t>一、我单位是按照中华人民共和国法律规定登记注册的，注册地点为</w:t>
      </w:r>
      <w:r>
        <w:rPr>
          <w:rFonts w:hint="eastAsia" w:ascii="宋体" w:hAnsi="宋体" w:cs="宋体"/>
          <w:color w:val="auto"/>
          <w:sz w:val="24"/>
          <w:u w:val="single"/>
        </w:rPr>
        <w:t xml:space="preserve">      </w:t>
      </w:r>
      <w:r>
        <w:rPr>
          <w:rFonts w:hint="eastAsia" w:ascii="宋体" w:hAnsi="宋体" w:cs="宋体"/>
          <w:color w:val="auto"/>
          <w:sz w:val="24"/>
        </w:rPr>
        <w:t>，全称为</w:t>
      </w:r>
      <w:r>
        <w:rPr>
          <w:rFonts w:hint="eastAsia" w:ascii="宋体" w:hAnsi="宋体" w:cs="宋体"/>
          <w:color w:val="auto"/>
          <w:sz w:val="24"/>
          <w:u w:val="single"/>
        </w:rPr>
        <w:t xml:space="preserve">      </w:t>
      </w:r>
      <w:r>
        <w:rPr>
          <w:rFonts w:hint="eastAsia" w:ascii="宋体" w:hAnsi="宋体" w:cs="宋体"/>
          <w:color w:val="auto"/>
          <w:sz w:val="24"/>
        </w:rPr>
        <w:t>，统一社会信用代码为</w:t>
      </w:r>
      <w:r>
        <w:rPr>
          <w:rFonts w:hint="eastAsia" w:ascii="宋体" w:hAnsi="宋体" w:cs="宋体"/>
          <w:color w:val="auto"/>
          <w:sz w:val="24"/>
          <w:u w:val="single"/>
        </w:rPr>
        <w:t xml:space="preserve">      </w:t>
      </w:r>
      <w:r>
        <w:rPr>
          <w:rFonts w:hint="eastAsia" w:ascii="宋体" w:hAnsi="宋体" w:cs="宋体"/>
          <w:color w:val="auto"/>
          <w:sz w:val="24"/>
        </w:rPr>
        <w:t>，法定代表人为</w:t>
      </w:r>
      <w:r>
        <w:rPr>
          <w:rFonts w:hint="eastAsia" w:ascii="宋体" w:hAnsi="宋体" w:cs="宋体"/>
          <w:color w:val="auto"/>
          <w:sz w:val="24"/>
          <w:u w:val="single"/>
        </w:rPr>
        <w:t xml:space="preserve">      </w:t>
      </w:r>
      <w:r>
        <w:rPr>
          <w:rFonts w:hint="eastAsia" w:ascii="宋体" w:hAnsi="宋体" w:cs="宋体"/>
          <w:color w:val="auto"/>
          <w:sz w:val="24"/>
        </w:rPr>
        <w:t>，具有独立承担民事责任的能力。</w:t>
      </w:r>
    </w:p>
    <w:p w14:paraId="1536784E">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二、我单位具有良好的商业信誉和健全的财务会计制度。</w:t>
      </w:r>
    </w:p>
    <w:p w14:paraId="7698527F">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kern w:val="0"/>
          <w:sz w:val="24"/>
        </w:rPr>
        <w:t>三、</w:t>
      </w:r>
      <w:r>
        <w:rPr>
          <w:rFonts w:hint="eastAsia" w:ascii="宋体" w:hAnsi="宋体" w:cs="宋体"/>
          <w:color w:val="auto"/>
          <w:sz w:val="24"/>
        </w:rPr>
        <w:t>我单位具有履行本项目采购合同所必需的设备和专业技术能力。</w:t>
      </w:r>
    </w:p>
    <w:p w14:paraId="62181211">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四、我单位在参加本</w:t>
      </w:r>
      <w:r>
        <w:rPr>
          <w:rFonts w:hint="eastAsia" w:asciiTheme="minorEastAsia" w:hAnsiTheme="minorEastAsia" w:eastAsiaTheme="minorEastAsia" w:cstheme="minorEastAsia"/>
          <w:bCs/>
          <w:color w:val="auto"/>
          <w:sz w:val="24"/>
          <w:szCs w:val="24"/>
          <w:lang w:val="en-US" w:eastAsia="zh-CN"/>
        </w:rPr>
        <w:t>采购</w:t>
      </w:r>
      <w:r>
        <w:rPr>
          <w:rFonts w:hint="eastAsia" w:ascii="宋体" w:hAnsi="宋体" w:cs="宋体"/>
          <w:color w:val="auto"/>
          <w:sz w:val="24"/>
        </w:rPr>
        <w:t>项目前三年内，在经营活动中，未因违法经营受到刑事处罚或者责令停产停业、吊销许可证或者执照、较大数额罚款等行政处罚。其中较大数额罚款是指：对公民处罚款在1000元及以上；对法人或者其他组织处罚款在2万元及以上；法律法规另有规定的，从其规定。</w:t>
      </w:r>
    </w:p>
    <w:p w14:paraId="265A087B">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五、我单位具备法律、行政法规规定的其他条件。</w:t>
      </w:r>
    </w:p>
    <w:p w14:paraId="2E36ED89">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kern w:val="0"/>
          <w:sz w:val="24"/>
        </w:rPr>
        <w:t>六、</w:t>
      </w:r>
      <w:r>
        <w:rPr>
          <w:rFonts w:hint="eastAsia" w:ascii="宋体" w:hAnsi="宋体" w:cs="宋体"/>
          <w:color w:val="auto"/>
          <w:sz w:val="24"/>
        </w:rPr>
        <w:t>与我单位存在“单位负责人为同一人或者存在直接控股、管理关系”的其他法人单位信息如下（如无，填写“无”）：</w:t>
      </w:r>
    </w:p>
    <w:p w14:paraId="4E4EEB9A">
      <w:pPr>
        <w:keepNext w:val="0"/>
        <w:keepLines w:val="0"/>
        <w:pageBreakBefore w:val="0"/>
        <w:kinsoku/>
        <w:wordWrap/>
        <w:overflowPunct/>
        <w:topLinePunct w:val="0"/>
        <w:autoSpaceDE/>
        <w:autoSpaceDN/>
        <w:bidi w:val="0"/>
        <w:adjustRightInd w:val="0"/>
        <w:snapToGrid w:val="0"/>
        <w:spacing w:before="120" w:beforeLines="50" w:line="400" w:lineRule="exact"/>
        <w:ind w:firstLine="480" w:firstLineChars="200"/>
        <w:textAlignment w:val="auto"/>
        <w:rPr>
          <w:rFonts w:hint="eastAsia" w:ascii="宋体" w:hAnsi="宋体" w:cs="宋体"/>
          <w:color w:val="auto"/>
          <w:sz w:val="24"/>
          <w:u w:val="single"/>
        </w:rPr>
      </w:pPr>
      <w:r>
        <w:rPr>
          <w:rFonts w:hint="eastAsia" w:ascii="宋体" w:hAnsi="宋体" w:cs="宋体"/>
          <w:color w:val="auto"/>
          <w:sz w:val="24"/>
        </w:rPr>
        <w:t>1、与我单位的法定代表人（单位负责人）为同一人的其他法人单位如下：</w:t>
      </w:r>
      <w:r>
        <w:rPr>
          <w:rFonts w:hint="eastAsia" w:ascii="宋体" w:hAnsi="宋体" w:cs="宋体"/>
          <w:color w:val="auto"/>
          <w:sz w:val="24"/>
          <w:u w:val="single"/>
        </w:rPr>
        <w:t xml:space="preserve">               </w:t>
      </w:r>
    </w:p>
    <w:p w14:paraId="0226D39D">
      <w:pPr>
        <w:keepNext w:val="0"/>
        <w:keepLines w:val="0"/>
        <w:pageBreakBefore w:val="0"/>
        <w:kinsoku/>
        <w:wordWrap/>
        <w:overflowPunct/>
        <w:topLinePunct w:val="0"/>
        <w:autoSpaceDE/>
        <w:autoSpaceDN/>
        <w:bidi w:val="0"/>
        <w:adjustRightInd w:val="0"/>
        <w:snapToGrid w:val="0"/>
        <w:spacing w:before="120" w:beforeLines="50" w:line="40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2、我单位直接控股的其他法人单位如下：</w:t>
      </w:r>
      <w:r>
        <w:rPr>
          <w:rFonts w:hint="eastAsia" w:ascii="宋体" w:hAnsi="宋体" w:cs="宋体"/>
          <w:color w:val="auto"/>
          <w:sz w:val="24"/>
          <w:u w:val="single"/>
        </w:rPr>
        <w:t xml:space="preserve">                                            </w:t>
      </w:r>
    </w:p>
    <w:p w14:paraId="35752034">
      <w:pPr>
        <w:keepNext w:val="0"/>
        <w:keepLines w:val="0"/>
        <w:pageBreakBefore w:val="0"/>
        <w:kinsoku/>
        <w:wordWrap/>
        <w:overflowPunct/>
        <w:topLinePunct w:val="0"/>
        <w:autoSpaceDE/>
        <w:autoSpaceDN/>
        <w:bidi w:val="0"/>
        <w:adjustRightInd w:val="0"/>
        <w:snapToGrid w:val="0"/>
        <w:spacing w:before="120" w:beforeLines="50" w:line="400" w:lineRule="exact"/>
        <w:ind w:firstLine="480" w:firstLineChars="200"/>
        <w:textAlignment w:val="auto"/>
        <w:rPr>
          <w:rFonts w:hint="eastAsia" w:ascii="宋体" w:hAnsi="宋体" w:cs="宋体"/>
          <w:color w:val="auto"/>
          <w:sz w:val="24"/>
          <w:u w:val="single"/>
        </w:rPr>
      </w:pPr>
      <w:r>
        <w:rPr>
          <w:rFonts w:hint="eastAsia" w:ascii="宋体" w:hAnsi="宋体" w:cs="宋体"/>
          <w:color w:val="auto"/>
          <w:sz w:val="24"/>
        </w:rPr>
        <w:t>3、与我单位存在管理关系的其他法人单位如下：</w:t>
      </w:r>
      <w:r>
        <w:rPr>
          <w:rFonts w:hint="eastAsia" w:ascii="宋体" w:hAnsi="宋体" w:cs="宋体"/>
          <w:color w:val="auto"/>
          <w:sz w:val="24"/>
          <w:u w:val="single"/>
        </w:rPr>
        <w:t xml:space="preserve">                                     </w:t>
      </w:r>
    </w:p>
    <w:p w14:paraId="60EB9185">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lang w:val="en-US" w:eastAsia="zh-CN"/>
        </w:rPr>
        <w:t>七、我单位承诺参与本项目时不存在围标、串标、陪标等违法行为</w:t>
      </w:r>
      <w:r>
        <w:rPr>
          <w:rFonts w:hint="eastAsia" w:ascii="宋体" w:hAnsi="宋体" w:cs="宋体"/>
          <w:color w:val="auto"/>
          <w:sz w:val="24"/>
        </w:rPr>
        <w:t xml:space="preserve"> </w:t>
      </w:r>
    </w:p>
    <w:p w14:paraId="024C14A9">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sz w:val="24"/>
        </w:rPr>
        <w:t>我单位保证上述声明的事项都是真实的，如有虚假，我单位愿意承担相应的法律责任，并承担因此所造成的一切损失。</w:t>
      </w:r>
    </w:p>
    <w:p w14:paraId="0ADBE667">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我单位保证随时按照要求提供能够证明上述声明事项真实性的任何有效文件。</w:t>
      </w:r>
    </w:p>
    <w:p w14:paraId="64DDD701">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color w:val="auto"/>
          <w:kern w:val="0"/>
          <w:sz w:val="24"/>
        </w:rPr>
      </w:pPr>
      <w:r>
        <w:rPr>
          <w:rFonts w:hint="eastAsia" w:ascii="宋体" w:hAnsi="宋体" w:cs="宋体"/>
          <w:color w:val="auto"/>
          <w:sz w:val="24"/>
        </w:rPr>
        <w:t>投标人名称（盖单位公章）：</w:t>
      </w:r>
    </w:p>
    <w:p w14:paraId="55D549B2">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b/>
          <w:bCs/>
          <w:color w:val="auto"/>
          <w:kern w:val="0"/>
          <w:sz w:val="24"/>
        </w:rPr>
      </w:pPr>
      <w:r>
        <w:rPr>
          <w:rFonts w:hint="eastAsia" w:ascii="宋体" w:hAnsi="宋体" w:cs="宋体"/>
          <w:color w:val="auto"/>
          <w:sz w:val="24"/>
        </w:rPr>
        <w:t>法定代表人或委托代理人（签字）：</w:t>
      </w:r>
    </w:p>
    <w:p w14:paraId="2C3DEF84">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46F3D623">
      <w:pPr>
        <w:adjustRightInd w:val="0"/>
        <w:snapToGrid w:val="0"/>
        <w:spacing w:line="360" w:lineRule="auto"/>
        <w:jc w:val="center"/>
        <w:rPr>
          <w:rFonts w:hint="eastAsia" w:ascii="宋体" w:hAnsi="宋体" w:cs="宋体"/>
          <w:b/>
          <w:color w:val="auto"/>
          <w:sz w:val="24"/>
          <w:szCs w:val="20"/>
        </w:rPr>
      </w:pPr>
    </w:p>
    <w:p w14:paraId="40F1283F">
      <w:pPr>
        <w:adjustRightInd w:val="0"/>
        <w:snapToGrid w:val="0"/>
        <w:spacing w:line="360" w:lineRule="auto"/>
        <w:rPr>
          <w:rFonts w:hint="eastAsia" w:ascii="宋体" w:hAnsi="宋体" w:cs="宋体"/>
          <w:b/>
          <w:color w:val="auto"/>
          <w:sz w:val="24"/>
          <w:szCs w:val="20"/>
        </w:rPr>
      </w:pPr>
    </w:p>
    <w:p w14:paraId="137A24EF">
      <w:pPr>
        <w:adjustRightInd w:val="0"/>
        <w:snapToGrid w:val="0"/>
        <w:spacing w:line="360" w:lineRule="auto"/>
        <w:rPr>
          <w:rFonts w:hint="eastAsia" w:ascii="宋体" w:hAnsi="宋体" w:cs="宋体"/>
          <w:b/>
          <w:color w:val="auto"/>
          <w:sz w:val="24"/>
          <w:szCs w:val="20"/>
        </w:rPr>
      </w:pPr>
    </w:p>
    <w:p w14:paraId="5128EA67">
      <w:pPr>
        <w:adjustRightInd w:val="0"/>
        <w:snapToGrid w:val="0"/>
        <w:spacing w:line="360" w:lineRule="auto"/>
        <w:rPr>
          <w:rFonts w:hint="eastAsia" w:ascii="宋体" w:hAnsi="宋体" w:cs="宋体"/>
          <w:b/>
          <w:color w:val="auto"/>
          <w:sz w:val="24"/>
          <w:szCs w:val="20"/>
        </w:rPr>
      </w:pPr>
    </w:p>
    <w:p w14:paraId="27E5A231">
      <w:pPr>
        <w:adjustRightInd w:val="0"/>
        <w:snapToGrid w:val="0"/>
        <w:spacing w:line="360" w:lineRule="auto"/>
        <w:jc w:val="center"/>
        <w:rPr>
          <w:rFonts w:ascii="宋体" w:hAnsi="宋体" w:cs="宋体"/>
          <w:b/>
          <w:color w:val="auto"/>
          <w:sz w:val="28"/>
          <w:szCs w:val="28"/>
        </w:rPr>
      </w:pPr>
      <w:r>
        <w:rPr>
          <w:rFonts w:hint="eastAsia" w:ascii="宋体" w:hAnsi="宋体" w:cs="宋体"/>
          <w:b/>
          <w:color w:val="auto"/>
          <w:sz w:val="28"/>
          <w:szCs w:val="28"/>
        </w:rPr>
        <w:t>三、符合基本资格条件证明材料复印件或者情况说明</w:t>
      </w:r>
    </w:p>
    <w:p w14:paraId="78E56FA9">
      <w:pPr>
        <w:adjustRightInd w:val="0"/>
        <w:snapToGrid w:val="0"/>
        <w:spacing w:line="360" w:lineRule="auto"/>
        <w:jc w:val="center"/>
        <w:rPr>
          <w:rFonts w:hint="eastAsia" w:ascii="宋体" w:hAnsi="宋体" w:cs="宋体"/>
          <w:b/>
          <w:color w:val="auto"/>
          <w:sz w:val="24"/>
          <w:szCs w:val="20"/>
        </w:rPr>
      </w:pPr>
    </w:p>
    <w:p w14:paraId="675A77B9">
      <w:pPr>
        <w:pStyle w:val="4"/>
        <w:keepLines w:val="0"/>
        <w:snapToGrid w:val="0"/>
        <w:spacing w:before="0" w:after="0" w:line="520" w:lineRule="exact"/>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cs="宋体"/>
          <w:b w:val="0"/>
          <w:color w:val="auto"/>
          <w:sz w:val="24"/>
          <w:szCs w:val="24"/>
        </w:rPr>
        <w:t>注：</w:t>
      </w:r>
      <w:r>
        <w:rPr>
          <w:rFonts w:hint="eastAsia" w:ascii="宋体" w:hAnsi="宋体" w:cs="宋体"/>
          <w:b w:val="0"/>
          <w:color w:val="auto"/>
          <w:sz w:val="24"/>
          <w:szCs w:val="24"/>
          <w:lang w:bidi="zh-CN"/>
        </w:rPr>
        <w:t>投标公司的营业执照</w:t>
      </w:r>
      <w:r>
        <w:rPr>
          <w:rFonts w:hint="eastAsia" w:ascii="宋体" w:hAnsi="宋体" w:cs="宋体"/>
          <w:b w:val="0"/>
          <w:color w:val="auto"/>
          <w:sz w:val="24"/>
          <w:szCs w:val="24"/>
          <w:lang w:val="en-US" w:bidi="zh-CN"/>
        </w:rPr>
        <w:t>及资格要求的证明材料，提供信用中国网页查询截图，</w:t>
      </w:r>
      <w:r>
        <w:rPr>
          <w:rFonts w:hint="eastAsia" w:ascii="宋体" w:hAnsi="宋体" w:cs="宋体"/>
          <w:b w:val="0"/>
          <w:color w:val="auto"/>
          <w:sz w:val="24"/>
          <w:szCs w:val="24"/>
          <w:lang w:bidi="zh-CN"/>
        </w:rPr>
        <w:t>并加盖单位公章（按顺序装订）。</w:t>
      </w:r>
      <w:r>
        <w:rPr>
          <w:rFonts w:hint="eastAsia" w:ascii="宋体" w:hAnsi="宋体" w:eastAsia="宋体" w:cs="Times New Roman"/>
          <w:b w:val="0"/>
          <w:bCs w:val="0"/>
          <w:color w:val="auto"/>
          <w:kern w:val="2"/>
          <w:sz w:val="24"/>
          <w:szCs w:val="24"/>
          <w:lang w:val="en-US" w:eastAsia="zh-CN" w:bidi="ar-SA"/>
        </w:rPr>
        <w:t>附件    湖南省政府采购供应商资格承诺函</w:t>
      </w:r>
    </w:p>
    <w:p w14:paraId="3EFCC07C">
      <w:pPr>
        <w:widowControl/>
        <w:spacing w:after="100" w:afterAutospacing="1" w:line="360" w:lineRule="auto"/>
        <w:ind w:left="227" w:right="113" w:firstLine="482"/>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具有独立承担民事责任、具有良好的商业信誉和健全的财务会计制度，依法缴纳税收和社会保障资金，在前三年的经营活动中无重大违法记录，未列入严重失信行为名单，符合政府采购供应商的基本资格要求。</w:t>
      </w:r>
    </w:p>
    <w:p w14:paraId="38028048">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按照《政府采购促进中小企业发展管理办法》(财库〔2020〕46号)规定，</w:t>
      </w:r>
    </w:p>
    <w:p w14:paraId="69A5AFCB">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本公司企业规模为：          （大型、中型、小型、微型 ）</w:t>
      </w:r>
    </w:p>
    <w:p w14:paraId="38865E07">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统一社会信用代码：                        、注册登记机构：                 、 注册日期：                 、有效期：               、注册资本：                、地址：               、经济行业：                 、经济性质：              </w:t>
      </w:r>
    </w:p>
    <w:p w14:paraId="2D7A1C86">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法定代表人姓名 (签字)：             、身份证号：                           、</w:t>
      </w:r>
    </w:p>
    <w:p w14:paraId="48FD5005">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手机号：             ；</w:t>
      </w:r>
    </w:p>
    <w:p w14:paraId="46D76AFD">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授权代表人姓名 (签字)：                、身份证号：                     </w:t>
      </w:r>
    </w:p>
    <w:p w14:paraId="6755BE39">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手机号：               。  </w:t>
      </w:r>
    </w:p>
    <w:p w14:paraId="2DEE6198">
      <w:pPr>
        <w:adjustRightInd w:val="0"/>
        <w:snapToGrid w:val="0"/>
        <w:spacing w:line="360" w:lineRule="auto"/>
        <w:rPr>
          <w:rFonts w:hint="eastAsia" w:ascii="宋体" w:hAnsi="宋体" w:eastAsia="宋体" w:cs="Times New Roman"/>
          <w:b w:val="0"/>
          <w:bCs w:val="0"/>
          <w:color w:val="auto"/>
          <w:kern w:val="2"/>
          <w:sz w:val="24"/>
          <w:szCs w:val="24"/>
          <w:lang w:val="en-US" w:eastAsia="zh-CN" w:bidi="ar-SA"/>
        </w:rPr>
      </w:pPr>
    </w:p>
    <w:p w14:paraId="663AA6F9">
      <w:pPr>
        <w:adjustRightInd w:val="0"/>
        <w:snapToGrid w:val="0"/>
        <w:spacing w:line="360" w:lineRule="auto"/>
        <w:ind w:left="4406" w:leftChars="-302" w:hanging="5040" w:hangingChars="2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                           供应商名称（盖公章）：                                    </w:t>
      </w:r>
    </w:p>
    <w:p w14:paraId="15BE5D0A">
      <w:pPr>
        <w:adjustRightInd w:val="0"/>
        <w:snapToGrid w:val="0"/>
        <w:spacing w:line="360" w:lineRule="auto"/>
        <w:ind w:left="4406" w:leftChars="-302" w:hanging="5040" w:hangingChars="2100"/>
        <w:jc w:val="right"/>
        <w:rPr>
          <w:rFonts w:hint="eastAsia" w:ascii="宋体" w:hAnsi="宋体" w:eastAsia="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2023</w:t>
      </w:r>
      <w:r>
        <w:rPr>
          <w:rFonts w:hint="eastAsia" w:ascii="宋体" w:hAnsi="宋体" w:eastAsia="宋体" w:cs="Times New Roman"/>
          <w:b w:val="0"/>
          <w:bCs w:val="0"/>
          <w:color w:val="auto"/>
          <w:kern w:val="2"/>
          <w:sz w:val="24"/>
          <w:szCs w:val="24"/>
          <w:lang w:val="en-US" w:eastAsia="zh-CN" w:bidi="ar-SA"/>
        </w:rPr>
        <w:t>年     月     日</w:t>
      </w:r>
    </w:p>
    <w:p w14:paraId="02CEF50E">
      <w:pPr>
        <w:jc w:val="left"/>
        <w:rPr>
          <w:rFonts w:hint="eastAsia" w:ascii="宋体" w:hAnsi="宋体" w:eastAsia="宋体" w:cs="Times New Roman"/>
          <w:b w:val="0"/>
          <w:bCs w:val="0"/>
          <w:color w:val="auto"/>
          <w:kern w:val="2"/>
          <w:sz w:val="24"/>
          <w:szCs w:val="24"/>
          <w:lang w:val="en-US" w:eastAsia="zh-CN" w:bidi="ar-SA"/>
        </w:rPr>
      </w:pPr>
    </w:p>
    <w:p w14:paraId="30756FE5">
      <w:pPr>
        <w:jc w:val="left"/>
        <w:rPr>
          <w:rFonts w:hint="eastAsia" w:ascii="宋体" w:hAnsi="宋体" w:eastAsia="宋体" w:cs="Times New Roman"/>
          <w:b w:val="0"/>
          <w:bCs w:val="0"/>
          <w:color w:val="auto"/>
          <w:kern w:val="2"/>
          <w:sz w:val="24"/>
          <w:szCs w:val="24"/>
          <w:lang w:val="en-US" w:eastAsia="zh-CN" w:bidi="ar-SA"/>
        </w:rPr>
      </w:pPr>
    </w:p>
    <w:p w14:paraId="15990E6D">
      <w:pPr>
        <w:jc w:val="left"/>
        <w:rPr>
          <w:rFonts w:hint="eastAsia" w:ascii="宋体" w:hAnsi="宋体" w:eastAsia="宋体" w:cs="宋体"/>
          <w:b/>
          <w:color w:val="auto"/>
          <w:sz w:val="24"/>
          <w:lang w:val="en-US" w:eastAsia="zh-CN"/>
        </w:rPr>
      </w:pPr>
      <w:r>
        <w:rPr>
          <w:rFonts w:hint="eastAsia" w:ascii="宋体" w:hAnsi="宋体" w:eastAsia="宋体" w:cs="Times New Roman"/>
          <w:b w:val="0"/>
          <w:bCs w:val="0"/>
          <w:color w:val="auto"/>
          <w:kern w:val="2"/>
          <w:sz w:val="24"/>
          <w:szCs w:val="24"/>
          <w:lang w:val="en-US" w:eastAsia="zh-CN" w:bidi="ar-SA"/>
        </w:rPr>
        <w:t>注、企业规模划分标准：《关于印发中小企业划型标准规定的通知》（工信部联企业〔2011〕300号）</w:t>
      </w:r>
    </w:p>
    <w:p w14:paraId="097D7B90">
      <w:pPr>
        <w:jc w:val="center"/>
        <w:rPr>
          <w:rFonts w:hint="eastAsia" w:ascii="宋体" w:hAnsi="宋体" w:cs="宋体"/>
          <w:b/>
          <w:color w:val="auto"/>
          <w:sz w:val="24"/>
        </w:rPr>
        <w:sectPr>
          <w:headerReference r:id="rId3" w:type="default"/>
          <w:footerReference r:id="rId4" w:type="default"/>
          <w:pgSz w:w="11906" w:h="16838"/>
          <w:pgMar w:top="1440" w:right="1080" w:bottom="1440" w:left="1080" w:header="567" w:footer="283" w:gutter="0"/>
          <w:pgNumType w:fmt="decimal" w:start="1"/>
          <w:cols w:space="720" w:num="1"/>
          <w:docGrid w:linePitch="312" w:charSpace="0"/>
        </w:sectPr>
      </w:pPr>
    </w:p>
    <w:p w14:paraId="2D0C4DC7">
      <w:pPr>
        <w:spacing w:before="120" w:beforeLines="50" w:after="120" w:afterLines="50" w:line="276"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第三部分、采购需求响应程度</w:t>
      </w:r>
      <w:bookmarkStart w:id="6" w:name="_Toc486424819"/>
      <w:bookmarkStart w:id="7" w:name="_Toc476514128"/>
    </w:p>
    <w:p w14:paraId="62A84631">
      <w:pPr>
        <w:pStyle w:val="21"/>
        <w:rPr>
          <w:rFonts w:hint="eastAsia"/>
          <w:lang w:eastAsia="zh-CN"/>
        </w:rPr>
      </w:pPr>
    </w:p>
    <w:p w14:paraId="7C3A650F">
      <w:pPr>
        <w:spacing w:before="120" w:beforeLines="50" w:after="120" w:afterLines="50" w:line="276" w:lineRule="auto"/>
        <w:jc w:val="center"/>
        <w:rPr>
          <w:b/>
          <w:color w:val="auto"/>
          <w:sz w:val="24"/>
        </w:rPr>
      </w:pPr>
      <w:r>
        <w:rPr>
          <w:b/>
          <w:color w:val="auto"/>
          <w:sz w:val="24"/>
        </w:rPr>
        <w:t>采购需求响应/偏离表</w:t>
      </w:r>
    </w:p>
    <w:p w14:paraId="08E5B6D6">
      <w:pPr>
        <w:adjustRightInd w:val="0"/>
        <w:snapToGrid w:val="0"/>
        <w:spacing w:line="360" w:lineRule="auto"/>
        <w:rPr>
          <w:color w:val="auto"/>
          <w:szCs w:val="21"/>
        </w:rPr>
      </w:pPr>
      <w:r>
        <w:rPr>
          <w:rFonts w:hint="eastAsia"/>
          <w:color w:val="auto"/>
          <w:sz w:val="24"/>
        </w:rPr>
        <w:t>项目</w:t>
      </w:r>
      <w:r>
        <w:rPr>
          <w:color w:val="auto"/>
          <w:sz w:val="24"/>
        </w:rPr>
        <w:t>编号：                    项目名称：                     包号：</w:t>
      </w:r>
    </w:p>
    <w:tbl>
      <w:tblPr>
        <w:tblStyle w:val="14"/>
        <w:tblW w:w="83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27"/>
        <w:gridCol w:w="1877"/>
        <w:gridCol w:w="1671"/>
        <w:gridCol w:w="1608"/>
        <w:gridCol w:w="1513"/>
        <w:gridCol w:w="1061"/>
      </w:tblGrid>
      <w:tr w14:paraId="37E6D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27" w:type="dxa"/>
            <w:noWrap w:val="0"/>
            <w:vAlign w:val="center"/>
          </w:tcPr>
          <w:p w14:paraId="35B2D26C">
            <w:pPr>
              <w:adjustRightInd w:val="0"/>
              <w:snapToGrid w:val="0"/>
              <w:spacing w:before="50" w:line="360" w:lineRule="auto"/>
              <w:ind w:left="-88" w:leftChars="-42"/>
              <w:jc w:val="center"/>
              <w:rPr>
                <w:color w:val="auto"/>
                <w:szCs w:val="21"/>
              </w:rPr>
            </w:pPr>
            <w:r>
              <w:rPr>
                <w:bCs/>
                <w:color w:val="auto"/>
                <w:szCs w:val="21"/>
              </w:rPr>
              <w:t>序</w:t>
            </w:r>
            <w:r>
              <w:rPr>
                <w:color w:val="auto"/>
                <w:szCs w:val="21"/>
              </w:rPr>
              <w:t>号</w:t>
            </w:r>
          </w:p>
        </w:tc>
        <w:tc>
          <w:tcPr>
            <w:tcW w:w="1877" w:type="dxa"/>
            <w:noWrap w:val="0"/>
            <w:vAlign w:val="center"/>
          </w:tcPr>
          <w:p w14:paraId="2E39D26F">
            <w:pPr>
              <w:adjustRightInd w:val="0"/>
              <w:snapToGrid w:val="0"/>
              <w:spacing w:before="50" w:line="360" w:lineRule="auto"/>
              <w:ind w:left="-88" w:leftChars="-42"/>
              <w:jc w:val="center"/>
              <w:rPr>
                <w:color w:val="auto"/>
                <w:szCs w:val="21"/>
              </w:rPr>
            </w:pPr>
            <w:r>
              <w:rPr>
                <w:rFonts w:hint="eastAsia"/>
                <w:color w:val="auto"/>
                <w:szCs w:val="21"/>
                <w:lang w:eastAsia="zh-CN"/>
              </w:rPr>
              <w:t>招标</w:t>
            </w:r>
            <w:r>
              <w:rPr>
                <w:color w:val="auto"/>
                <w:szCs w:val="21"/>
              </w:rPr>
              <w:t>文件章节</w:t>
            </w:r>
            <w:r>
              <w:rPr>
                <w:bCs/>
                <w:color w:val="auto"/>
                <w:szCs w:val="21"/>
              </w:rPr>
              <w:t>条</w:t>
            </w:r>
            <w:r>
              <w:rPr>
                <w:color w:val="auto"/>
                <w:szCs w:val="21"/>
              </w:rPr>
              <w:t>款号</w:t>
            </w:r>
          </w:p>
        </w:tc>
        <w:tc>
          <w:tcPr>
            <w:tcW w:w="1671" w:type="dxa"/>
            <w:noWrap w:val="0"/>
            <w:vAlign w:val="top"/>
          </w:tcPr>
          <w:p w14:paraId="08D2C1B3">
            <w:pPr>
              <w:adjustRightInd w:val="0"/>
              <w:snapToGrid w:val="0"/>
              <w:spacing w:before="50" w:line="360" w:lineRule="auto"/>
              <w:jc w:val="center"/>
              <w:rPr>
                <w:color w:val="auto"/>
              </w:rPr>
            </w:pPr>
            <w:r>
              <w:rPr>
                <w:rFonts w:hint="eastAsia"/>
                <w:color w:val="auto"/>
                <w:lang w:eastAsia="zh-CN"/>
              </w:rPr>
              <w:t>招标</w:t>
            </w:r>
            <w:r>
              <w:rPr>
                <w:color w:val="auto"/>
              </w:rPr>
              <w:t>文件要求</w:t>
            </w:r>
          </w:p>
        </w:tc>
        <w:tc>
          <w:tcPr>
            <w:tcW w:w="1608" w:type="dxa"/>
            <w:noWrap w:val="0"/>
            <w:vAlign w:val="top"/>
          </w:tcPr>
          <w:p w14:paraId="0515E670">
            <w:pPr>
              <w:adjustRightInd w:val="0"/>
              <w:snapToGrid w:val="0"/>
              <w:spacing w:before="50" w:line="360" w:lineRule="auto"/>
              <w:jc w:val="center"/>
              <w:rPr>
                <w:color w:val="auto"/>
              </w:rPr>
            </w:pPr>
            <w:r>
              <w:rPr>
                <w:color w:val="auto"/>
              </w:rPr>
              <w:t>投标文件应答</w:t>
            </w:r>
          </w:p>
        </w:tc>
        <w:tc>
          <w:tcPr>
            <w:tcW w:w="1513" w:type="dxa"/>
            <w:noWrap w:val="0"/>
            <w:vAlign w:val="center"/>
          </w:tcPr>
          <w:p w14:paraId="5FDFAC2D">
            <w:pPr>
              <w:adjustRightInd w:val="0"/>
              <w:snapToGrid w:val="0"/>
              <w:spacing w:before="50" w:line="360" w:lineRule="auto"/>
              <w:ind w:left="-88" w:leftChars="-42"/>
              <w:jc w:val="center"/>
              <w:rPr>
                <w:color w:val="auto"/>
                <w:szCs w:val="21"/>
              </w:rPr>
            </w:pPr>
            <w:r>
              <w:rPr>
                <w:color w:val="auto"/>
                <w:szCs w:val="21"/>
              </w:rPr>
              <w:t>响应/偏离</w:t>
            </w:r>
          </w:p>
        </w:tc>
        <w:tc>
          <w:tcPr>
            <w:tcW w:w="1061" w:type="dxa"/>
            <w:noWrap w:val="0"/>
            <w:vAlign w:val="center"/>
          </w:tcPr>
          <w:p w14:paraId="452B13AE">
            <w:pPr>
              <w:adjustRightInd w:val="0"/>
              <w:snapToGrid w:val="0"/>
              <w:spacing w:before="50" w:line="360" w:lineRule="auto"/>
              <w:ind w:left="-88" w:leftChars="-42"/>
              <w:jc w:val="center"/>
              <w:rPr>
                <w:color w:val="auto"/>
                <w:szCs w:val="21"/>
              </w:rPr>
            </w:pPr>
            <w:r>
              <w:rPr>
                <w:color w:val="auto"/>
                <w:szCs w:val="21"/>
              </w:rPr>
              <w:t>偏离说明</w:t>
            </w:r>
          </w:p>
        </w:tc>
      </w:tr>
      <w:tr w14:paraId="36F3D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529A584E">
            <w:pPr>
              <w:adjustRightInd w:val="0"/>
              <w:snapToGrid w:val="0"/>
              <w:spacing w:before="50" w:line="360" w:lineRule="auto"/>
              <w:ind w:left="-88" w:leftChars="-42"/>
              <w:jc w:val="center"/>
              <w:rPr>
                <w:color w:val="auto"/>
                <w:szCs w:val="21"/>
              </w:rPr>
            </w:pPr>
          </w:p>
        </w:tc>
        <w:tc>
          <w:tcPr>
            <w:tcW w:w="1877" w:type="dxa"/>
            <w:noWrap w:val="0"/>
            <w:vAlign w:val="center"/>
          </w:tcPr>
          <w:p w14:paraId="04FA1F79">
            <w:pPr>
              <w:adjustRightInd w:val="0"/>
              <w:snapToGrid w:val="0"/>
              <w:spacing w:before="50" w:line="360" w:lineRule="auto"/>
              <w:ind w:left="-88" w:leftChars="-42"/>
              <w:jc w:val="center"/>
              <w:rPr>
                <w:color w:val="auto"/>
                <w:szCs w:val="21"/>
              </w:rPr>
            </w:pPr>
          </w:p>
        </w:tc>
        <w:tc>
          <w:tcPr>
            <w:tcW w:w="1671" w:type="dxa"/>
            <w:noWrap w:val="0"/>
            <w:vAlign w:val="center"/>
          </w:tcPr>
          <w:p w14:paraId="111429EA">
            <w:pPr>
              <w:adjustRightInd w:val="0"/>
              <w:snapToGrid w:val="0"/>
              <w:spacing w:before="50" w:line="360" w:lineRule="auto"/>
              <w:ind w:left="-88" w:leftChars="-42"/>
              <w:jc w:val="center"/>
              <w:rPr>
                <w:color w:val="auto"/>
                <w:szCs w:val="21"/>
              </w:rPr>
            </w:pPr>
          </w:p>
        </w:tc>
        <w:tc>
          <w:tcPr>
            <w:tcW w:w="1608" w:type="dxa"/>
            <w:noWrap w:val="0"/>
            <w:vAlign w:val="center"/>
          </w:tcPr>
          <w:p w14:paraId="3F5C712D">
            <w:pPr>
              <w:adjustRightInd w:val="0"/>
              <w:snapToGrid w:val="0"/>
              <w:spacing w:before="50" w:line="360" w:lineRule="auto"/>
              <w:ind w:left="-88" w:leftChars="-42"/>
              <w:jc w:val="center"/>
              <w:rPr>
                <w:color w:val="auto"/>
                <w:szCs w:val="21"/>
              </w:rPr>
            </w:pPr>
          </w:p>
        </w:tc>
        <w:tc>
          <w:tcPr>
            <w:tcW w:w="1513" w:type="dxa"/>
            <w:noWrap w:val="0"/>
            <w:vAlign w:val="center"/>
          </w:tcPr>
          <w:p w14:paraId="1FD267E1">
            <w:pPr>
              <w:adjustRightInd w:val="0"/>
              <w:snapToGrid w:val="0"/>
              <w:spacing w:before="50" w:line="360" w:lineRule="auto"/>
              <w:ind w:left="-88" w:leftChars="-42"/>
              <w:jc w:val="center"/>
              <w:rPr>
                <w:color w:val="auto"/>
                <w:szCs w:val="21"/>
              </w:rPr>
            </w:pPr>
          </w:p>
        </w:tc>
        <w:tc>
          <w:tcPr>
            <w:tcW w:w="1061" w:type="dxa"/>
            <w:noWrap w:val="0"/>
            <w:vAlign w:val="center"/>
          </w:tcPr>
          <w:p w14:paraId="1B0463B5">
            <w:pPr>
              <w:adjustRightInd w:val="0"/>
              <w:snapToGrid w:val="0"/>
              <w:spacing w:before="50" w:line="360" w:lineRule="auto"/>
              <w:ind w:left="-88" w:leftChars="-42"/>
              <w:jc w:val="center"/>
              <w:rPr>
                <w:color w:val="auto"/>
                <w:szCs w:val="21"/>
              </w:rPr>
            </w:pPr>
          </w:p>
        </w:tc>
      </w:tr>
      <w:tr w14:paraId="3C6C5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5DE623C7">
            <w:pPr>
              <w:adjustRightInd w:val="0"/>
              <w:snapToGrid w:val="0"/>
              <w:spacing w:before="50" w:line="360" w:lineRule="auto"/>
              <w:ind w:left="-88" w:leftChars="-42"/>
              <w:jc w:val="center"/>
              <w:rPr>
                <w:color w:val="auto"/>
                <w:szCs w:val="21"/>
              </w:rPr>
            </w:pPr>
          </w:p>
        </w:tc>
        <w:tc>
          <w:tcPr>
            <w:tcW w:w="1877" w:type="dxa"/>
            <w:noWrap w:val="0"/>
            <w:vAlign w:val="center"/>
          </w:tcPr>
          <w:p w14:paraId="0139CDB7">
            <w:pPr>
              <w:adjustRightInd w:val="0"/>
              <w:snapToGrid w:val="0"/>
              <w:spacing w:before="50" w:line="360" w:lineRule="auto"/>
              <w:ind w:left="-88" w:leftChars="-42"/>
              <w:jc w:val="center"/>
              <w:rPr>
                <w:color w:val="auto"/>
                <w:szCs w:val="21"/>
              </w:rPr>
            </w:pPr>
          </w:p>
        </w:tc>
        <w:tc>
          <w:tcPr>
            <w:tcW w:w="1671" w:type="dxa"/>
            <w:noWrap w:val="0"/>
            <w:vAlign w:val="center"/>
          </w:tcPr>
          <w:p w14:paraId="74FA9D80">
            <w:pPr>
              <w:adjustRightInd w:val="0"/>
              <w:snapToGrid w:val="0"/>
              <w:spacing w:before="50" w:line="360" w:lineRule="auto"/>
              <w:ind w:left="-88" w:leftChars="-42"/>
              <w:jc w:val="center"/>
              <w:rPr>
                <w:color w:val="auto"/>
                <w:szCs w:val="21"/>
              </w:rPr>
            </w:pPr>
          </w:p>
        </w:tc>
        <w:tc>
          <w:tcPr>
            <w:tcW w:w="1608" w:type="dxa"/>
            <w:noWrap w:val="0"/>
            <w:vAlign w:val="center"/>
          </w:tcPr>
          <w:p w14:paraId="4DF49294">
            <w:pPr>
              <w:adjustRightInd w:val="0"/>
              <w:snapToGrid w:val="0"/>
              <w:spacing w:before="50" w:line="360" w:lineRule="auto"/>
              <w:ind w:left="-88" w:leftChars="-42"/>
              <w:jc w:val="center"/>
              <w:rPr>
                <w:color w:val="auto"/>
                <w:szCs w:val="21"/>
              </w:rPr>
            </w:pPr>
          </w:p>
        </w:tc>
        <w:tc>
          <w:tcPr>
            <w:tcW w:w="1513" w:type="dxa"/>
            <w:noWrap w:val="0"/>
            <w:vAlign w:val="center"/>
          </w:tcPr>
          <w:p w14:paraId="72CDE795">
            <w:pPr>
              <w:adjustRightInd w:val="0"/>
              <w:snapToGrid w:val="0"/>
              <w:spacing w:before="50" w:line="360" w:lineRule="auto"/>
              <w:ind w:left="-88" w:leftChars="-42"/>
              <w:jc w:val="center"/>
              <w:rPr>
                <w:color w:val="auto"/>
                <w:szCs w:val="21"/>
              </w:rPr>
            </w:pPr>
          </w:p>
        </w:tc>
        <w:tc>
          <w:tcPr>
            <w:tcW w:w="1061" w:type="dxa"/>
            <w:noWrap w:val="0"/>
            <w:vAlign w:val="center"/>
          </w:tcPr>
          <w:p w14:paraId="35D7F53B">
            <w:pPr>
              <w:adjustRightInd w:val="0"/>
              <w:snapToGrid w:val="0"/>
              <w:spacing w:before="50" w:line="360" w:lineRule="auto"/>
              <w:ind w:left="-88" w:leftChars="-42"/>
              <w:jc w:val="center"/>
              <w:rPr>
                <w:color w:val="auto"/>
                <w:szCs w:val="21"/>
              </w:rPr>
            </w:pPr>
          </w:p>
        </w:tc>
      </w:tr>
      <w:tr w14:paraId="6DCDB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77C5504F">
            <w:pPr>
              <w:adjustRightInd w:val="0"/>
              <w:snapToGrid w:val="0"/>
              <w:spacing w:before="50" w:line="360" w:lineRule="auto"/>
              <w:ind w:left="-88" w:leftChars="-42"/>
              <w:jc w:val="center"/>
              <w:rPr>
                <w:color w:val="auto"/>
                <w:szCs w:val="21"/>
              </w:rPr>
            </w:pPr>
          </w:p>
        </w:tc>
        <w:tc>
          <w:tcPr>
            <w:tcW w:w="1877" w:type="dxa"/>
            <w:noWrap w:val="0"/>
            <w:vAlign w:val="center"/>
          </w:tcPr>
          <w:p w14:paraId="3FC5B1D9">
            <w:pPr>
              <w:adjustRightInd w:val="0"/>
              <w:snapToGrid w:val="0"/>
              <w:spacing w:before="50" w:line="360" w:lineRule="auto"/>
              <w:ind w:left="-88" w:leftChars="-42"/>
              <w:jc w:val="center"/>
              <w:rPr>
                <w:color w:val="auto"/>
                <w:szCs w:val="21"/>
              </w:rPr>
            </w:pPr>
          </w:p>
        </w:tc>
        <w:tc>
          <w:tcPr>
            <w:tcW w:w="1671" w:type="dxa"/>
            <w:noWrap w:val="0"/>
            <w:vAlign w:val="center"/>
          </w:tcPr>
          <w:p w14:paraId="6B2107E1">
            <w:pPr>
              <w:adjustRightInd w:val="0"/>
              <w:snapToGrid w:val="0"/>
              <w:spacing w:before="50" w:line="360" w:lineRule="auto"/>
              <w:ind w:left="-88" w:leftChars="-42"/>
              <w:jc w:val="center"/>
              <w:rPr>
                <w:color w:val="auto"/>
                <w:szCs w:val="21"/>
              </w:rPr>
            </w:pPr>
          </w:p>
        </w:tc>
        <w:tc>
          <w:tcPr>
            <w:tcW w:w="1608" w:type="dxa"/>
            <w:noWrap w:val="0"/>
            <w:vAlign w:val="center"/>
          </w:tcPr>
          <w:p w14:paraId="50438157">
            <w:pPr>
              <w:adjustRightInd w:val="0"/>
              <w:snapToGrid w:val="0"/>
              <w:spacing w:before="50" w:line="360" w:lineRule="auto"/>
              <w:ind w:left="-88" w:leftChars="-42"/>
              <w:jc w:val="center"/>
              <w:rPr>
                <w:color w:val="auto"/>
                <w:szCs w:val="21"/>
              </w:rPr>
            </w:pPr>
          </w:p>
        </w:tc>
        <w:tc>
          <w:tcPr>
            <w:tcW w:w="1513" w:type="dxa"/>
            <w:noWrap w:val="0"/>
            <w:vAlign w:val="center"/>
          </w:tcPr>
          <w:p w14:paraId="2617429B">
            <w:pPr>
              <w:adjustRightInd w:val="0"/>
              <w:snapToGrid w:val="0"/>
              <w:spacing w:before="50" w:line="360" w:lineRule="auto"/>
              <w:ind w:left="-88" w:leftChars="-42"/>
              <w:jc w:val="center"/>
              <w:rPr>
                <w:color w:val="auto"/>
                <w:szCs w:val="21"/>
              </w:rPr>
            </w:pPr>
          </w:p>
        </w:tc>
        <w:tc>
          <w:tcPr>
            <w:tcW w:w="1061" w:type="dxa"/>
            <w:noWrap w:val="0"/>
            <w:vAlign w:val="center"/>
          </w:tcPr>
          <w:p w14:paraId="469BAD0E">
            <w:pPr>
              <w:adjustRightInd w:val="0"/>
              <w:snapToGrid w:val="0"/>
              <w:spacing w:before="50" w:line="360" w:lineRule="auto"/>
              <w:ind w:left="-88" w:leftChars="-42"/>
              <w:jc w:val="center"/>
              <w:rPr>
                <w:color w:val="auto"/>
                <w:szCs w:val="21"/>
              </w:rPr>
            </w:pPr>
          </w:p>
        </w:tc>
      </w:tr>
      <w:tr w14:paraId="46674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357" w:type="dxa"/>
            <w:gridSpan w:val="6"/>
            <w:noWrap w:val="0"/>
            <w:vAlign w:val="center"/>
          </w:tcPr>
          <w:p w14:paraId="497E606C">
            <w:pPr>
              <w:rPr>
                <w:b/>
                <w:color w:val="auto"/>
              </w:rPr>
            </w:pPr>
          </w:p>
        </w:tc>
      </w:tr>
    </w:tbl>
    <w:p w14:paraId="40556A6B">
      <w:pPr>
        <w:adjustRightInd w:val="0"/>
        <w:snapToGrid w:val="0"/>
        <w:spacing w:before="50" w:line="360" w:lineRule="auto"/>
        <w:ind w:left="-88" w:leftChars="-42"/>
        <w:rPr>
          <w:color w:val="auto"/>
          <w:sz w:val="24"/>
        </w:rPr>
      </w:pPr>
      <w:r>
        <w:rPr>
          <w:b/>
          <w:color w:val="auto"/>
          <w:sz w:val="24"/>
        </w:rPr>
        <w:t>备注</w:t>
      </w:r>
      <w:r>
        <w:rPr>
          <w:color w:val="auto"/>
          <w:sz w:val="24"/>
        </w:rPr>
        <w:t>：</w:t>
      </w:r>
    </w:p>
    <w:bookmarkEnd w:id="6"/>
    <w:bookmarkEnd w:id="7"/>
    <w:p w14:paraId="48C94C08">
      <w:pPr>
        <w:adjustRightInd w:val="0"/>
        <w:snapToGrid w:val="0"/>
        <w:spacing w:before="50" w:line="360" w:lineRule="auto"/>
        <w:ind w:left="-88" w:leftChars="-42"/>
        <w:rPr>
          <w:rFonts w:hint="eastAsia"/>
          <w:color w:val="auto"/>
          <w:sz w:val="24"/>
        </w:rPr>
      </w:pPr>
      <w:r>
        <w:rPr>
          <w:color w:val="auto"/>
          <w:sz w:val="24"/>
        </w:rPr>
        <w:t>（1）投标人应根据文件第</w:t>
      </w:r>
      <w:r>
        <w:rPr>
          <w:rFonts w:hint="eastAsia"/>
          <w:color w:val="auto"/>
          <w:sz w:val="24"/>
          <w:lang w:val="en-US" w:eastAsia="zh-CN"/>
        </w:rPr>
        <w:t>二</w:t>
      </w:r>
      <w:r>
        <w:rPr>
          <w:color w:val="auto"/>
          <w:sz w:val="24"/>
        </w:rPr>
        <w:t>章中采购需求填写本表，逐条应答；</w:t>
      </w:r>
    </w:p>
    <w:p w14:paraId="7C43CBC0">
      <w:pPr>
        <w:adjustRightInd w:val="0"/>
        <w:snapToGrid w:val="0"/>
        <w:spacing w:before="50" w:line="360" w:lineRule="auto"/>
        <w:ind w:left="-88" w:leftChars="-42"/>
        <w:rPr>
          <w:rFonts w:hint="eastAsia"/>
          <w:color w:val="auto"/>
          <w:sz w:val="24"/>
        </w:rPr>
      </w:pPr>
      <w:r>
        <w:rPr>
          <w:color w:val="auto"/>
          <w:sz w:val="24"/>
        </w:rPr>
        <w:t>（2）如不提供此表，则视为投标人不满足文件第</w:t>
      </w:r>
      <w:r>
        <w:rPr>
          <w:rFonts w:hint="eastAsia"/>
          <w:color w:val="auto"/>
          <w:sz w:val="24"/>
          <w:lang w:eastAsia="zh-CN"/>
        </w:rPr>
        <w:t>二</w:t>
      </w:r>
      <w:r>
        <w:rPr>
          <w:color w:val="auto"/>
          <w:sz w:val="24"/>
        </w:rPr>
        <w:t>章的所有条款要求，其投标无效；</w:t>
      </w:r>
    </w:p>
    <w:p w14:paraId="075DFE47">
      <w:pPr>
        <w:adjustRightInd w:val="0"/>
        <w:snapToGrid w:val="0"/>
        <w:spacing w:before="50" w:line="360" w:lineRule="auto"/>
        <w:ind w:left="-88" w:leftChars="-42"/>
        <w:rPr>
          <w:rFonts w:hint="eastAsia" w:eastAsia="宋体"/>
          <w:color w:val="auto"/>
          <w:lang w:eastAsia="zh-CN"/>
        </w:rPr>
      </w:pPr>
      <w:r>
        <w:rPr>
          <w:color w:val="auto"/>
          <w:sz w:val="24"/>
        </w:rPr>
        <w:t>（3）</w:t>
      </w:r>
      <w:r>
        <w:rPr>
          <w:rFonts w:hint="eastAsia"/>
          <w:color w:val="auto"/>
          <w:sz w:val="24"/>
          <w:lang w:eastAsia="zh-CN"/>
        </w:rPr>
        <w:t>本项目为综合评分法，所有参数</w:t>
      </w:r>
      <w:r>
        <w:rPr>
          <w:rFonts w:hint="eastAsia"/>
          <w:color w:val="FF0000"/>
          <w:sz w:val="24"/>
          <w:lang w:eastAsia="zh-CN"/>
        </w:rPr>
        <w:t>（</w:t>
      </w:r>
      <w:r>
        <w:rPr>
          <w:rFonts w:hint="eastAsia"/>
          <w:color w:val="FF0000"/>
          <w:sz w:val="24"/>
          <w:lang w:val="en-US" w:eastAsia="zh-CN"/>
        </w:rPr>
        <w:t>包括商务参数）</w:t>
      </w:r>
      <w:r>
        <w:rPr>
          <w:rFonts w:hint="eastAsia"/>
          <w:color w:val="auto"/>
          <w:sz w:val="24"/>
          <w:lang w:eastAsia="zh-CN"/>
        </w:rPr>
        <w:t>必须在响应表中逐条应答。</w:t>
      </w:r>
    </w:p>
    <w:p w14:paraId="0DA40BA3">
      <w:pPr>
        <w:pStyle w:val="22"/>
        <w:rPr>
          <w:color w:val="auto"/>
        </w:rPr>
      </w:pPr>
    </w:p>
    <w:p w14:paraId="0EFEE20B">
      <w:pPr>
        <w:pStyle w:val="21"/>
        <w:rPr>
          <w:rFonts w:hint="eastAsia"/>
          <w:lang w:eastAsia="zh-CN"/>
        </w:rPr>
      </w:pPr>
    </w:p>
    <w:p w14:paraId="2CB8A4F5"/>
    <w:p w14:paraId="58D1B8B1">
      <w:pPr>
        <w:pStyle w:val="22"/>
        <w:rPr>
          <w:color w:val="auto"/>
        </w:rPr>
      </w:pPr>
    </w:p>
    <w:p w14:paraId="43E00E01">
      <w:pPr>
        <w:pStyle w:val="21"/>
        <w:rPr>
          <w:rFonts w:hint="eastAsia"/>
          <w:lang w:eastAsia="zh-CN"/>
        </w:rPr>
      </w:pPr>
    </w:p>
    <w:p w14:paraId="53FA0AAC"/>
    <w:p w14:paraId="36507233"/>
    <w:p w14:paraId="5AA899CA"/>
    <w:p w14:paraId="2936BFC4"/>
    <w:p w14:paraId="740A0EF9"/>
    <w:p w14:paraId="57A7D16B"/>
    <w:p w14:paraId="003C5A4F"/>
    <w:sectPr>
      <w:footerReference r:id="rId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思源黑体 CN Medium">
    <w:altName w:val="方正黑体_GBK"/>
    <w:panose1 w:val="020B0600000000000000"/>
    <w:charset w:val="00"/>
    <w:family w:val="auto"/>
    <w:pitch w:val="default"/>
    <w:sig w:usb0="00000000" w:usb1="00000000" w:usb2="00000016" w:usb3="00000000" w:csb0="60060107"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59C88">
    <w:pPr>
      <w:pStyle w:val="10"/>
      <w:rPr>
        <w:rFonts w:hint="eastAsia" w:ascii="仿宋_GB2312" w:eastAsia="仿宋_GB2312"/>
        <w:bCs/>
        <w:u w:val="single"/>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D20831">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7D20831">
                    <w:pPr>
                      <w:pStyle w:val="10"/>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ascii="仿宋_GB2312" w:eastAsia="仿宋_GB2312"/>
        <w:bCs/>
        <w:u w:val="single"/>
      </w:rPr>
      <w:t xml:space="preserve">                                                                                                 </w:t>
    </w:r>
  </w:p>
  <w:p w14:paraId="1A9478CC">
    <w:pPr>
      <w:adjustRightInd w:val="0"/>
      <w:snapToGrid w:val="0"/>
      <w:spacing w:line="260" w:lineRule="atLeast"/>
      <w:rPr>
        <w:rFonts w:hint="eastAsia"/>
        <w:kern w:val="0"/>
        <w:sz w:val="18"/>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BF6C8">
    <w:pPr>
      <w:pStyle w:val="10"/>
      <w:rPr>
        <w:rFonts w:hint="eastAsia" w:ascii="仿宋_GB2312" w:eastAsia="仿宋_GB2312"/>
        <w:bCs/>
        <w:u w:val="single"/>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00D7D7">
                          <w:pPr>
                            <w:pStyle w:val="10"/>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00D7D7">
                    <w:pPr>
                      <w:pStyle w:val="10"/>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ascii="仿宋_GB2312" w:eastAsia="仿宋_GB2312"/>
        <w:bCs/>
        <w:u w:val="single"/>
      </w:rPr>
      <w:t xml:space="preserve">                                                                                                 </w:t>
    </w:r>
  </w:p>
  <w:p w14:paraId="77360475">
    <w:pPr>
      <w:adjustRightInd w:val="0"/>
      <w:snapToGrid w:val="0"/>
      <w:spacing w:line="260" w:lineRule="atLeast"/>
      <w:rPr>
        <w:rFonts w:hint="eastAsia"/>
        <w:kern w:val="0"/>
        <w:sz w:val="18"/>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64788">
    <w:pPr>
      <w:pStyle w:val="11"/>
      <w:ind w:left="8280" w:hanging="8280" w:hangingChars="4600"/>
      <w:jc w:val="both"/>
      <w:rPr>
        <w:rFonts w:hint="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68914C"/>
    <w:multiLevelType w:val="singleLevel"/>
    <w:tmpl w:val="BB68914C"/>
    <w:lvl w:ilvl="0" w:tentative="0">
      <w:start w:val="2"/>
      <w:numFmt w:val="chineseCounting"/>
      <w:suff w:val="nothing"/>
      <w:lvlText w:val="%1、"/>
      <w:lvlJc w:val="left"/>
      <w:rPr>
        <w:rFonts w:hint="eastAsia"/>
      </w:rPr>
    </w:lvl>
  </w:abstractNum>
  <w:abstractNum w:abstractNumId="1">
    <w:nsid w:val="BF7F6160"/>
    <w:multiLevelType w:val="singleLevel"/>
    <w:tmpl w:val="BF7F6160"/>
    <w:lvl w:ilvl="0" w:tentative="0">
      <w:start w:val="2"/>
      <w:numFmt w:val="chineseCounting"/>
      <w:suff w:val="nothing"/>
      <w:lvlText w:val="（%1）"/>
      <w:lvlJc w:val="left"/>
      <w:rPr>
        <w:rFonts w:hint="eastAsia"/>
      </w:rPr>
    </w:lvl>
  </w:abstractNum>
  <w:abstractNum w:abstractNumId="2">
    <w:nsid w:val="EB67FE42"/>
    <w:multiLevelType w:val="singleLevel"/>
    <w:tmpl w:val="EB67FE42"/>
    <w:lvl w:ilvl="0" w:tentative="0">
      <w:start w:val="1"/>
      <w:numFmt w:val="decimal"/>
      <w:suff w:val="nothing"/>
      <w:lvlText w:val="%1、"/>
      <w:lvlJc w:val="left"/>
    </w:lvl>
  </w:abstractNum>
  <w:abstractNum w:abstractNumId="3">
    <w:nsid w:val="187FC07C"/>
    <w:multiLevelType w:val="singleLevel"/>
    <w:tmpl w:val="187FC07C"/>
    <w:lvl w:ilvl="0" w:tentative="0">
      <w:start w:val="20"/>
      <w:numFmt w:val="decimal"/>
      <w:suff w:val="nothing"/>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3YmMxNGQ0NDE0NTRiYjQ3MWFkZjk1MWM2MTc2NWEifQ=="/>
  </w:docVars>
  <w:rsids>
    <w:rsidRoot w:val="6DE375E4"/>
    <w:rsid w:val="008318E5"/>
    <w:rsid w:val="00AE556A"/>
    <w:rsid w:val="01350E35"/>
    <w:rsid w:val="01807593"/>
    <w:rsid w:val="01EF5CA0"/>
    <w:rsid w:val="02390242"/>
    <w:rsid w:val="0268376F"/>
    <w:rsid w:val="03E43FAE"/>
    <w:rsid w:val="04653F41"/>
    <w:rsid w:val="04B72FC8"/>
    <w:rsid w:val="04F57A38"/>
    <w:rsid w:val="050719CA"/>
    <w:rsid w:val="06934BAA"/>
    <w:rsid w:val="06E91EC4"/>
    <w:rsid w:val="086F75C9"/>
    <w:rsid w:val="09C0303A"/>
    <w:rsid w:val="0A3F4F3C"/>
    <w:rsid w:val="0A8A74D4"/>
    <w:rsid w:val="0CAD77BD"/>
    <w:rsid w:val="0E331420"/>
    <w:rsid w:val="0EDD1643"/>
    <w:rsid w:val="0FB9029C"/>
    <w:rsid w:val="10897B23"/>
    <w:rsid w:val="10914EF9"/>
    <w:rsid w:val="10B8663C"/>
    <w:rsid w:val="114A6E83"/>
    <w:rsid w:val="12080B62"/>
    <w:rsid w:val="12994AC5"/>
    <w:rsid w:val="129F447F"/>
    <w:rsid w:val="12C86253"/>
    <w:rsid w:val="15060AC8"/>
    <w:rsid w:val="15125EAE"/>
    <w:rsid w:val="15675A4C"/>
    <w:rsid w:val="1691323B"/>
    <w:rsid w:val="17E51656"/>
    <w:rsid w:val="17F91BB8"/>
    <w:rsid w:val="193E7D91"/>
    <w:rsid w:val="19410B0E"/>
    <w:rsid w:val="1943608F"/>
    <w:rsid w:val="19E91315"/>
    <w:rsid w:val="1AF56B46"/>
    <w:rsid w:val="1B7B72C0"/>
    <w:rsid w:val="1D5071B5"/>
    <w:rsid w:val="1D5D59A6"/>
    <w:rsid w:val="1DD7486D"/>
    <w:rsid w:val="1E79119D"/>
    <w:rsid w:val="1EFD25AF"/>
    <w:rsid w:val="1F334F58"/>
    <w:rsid w:val="1F385662"/>
    <w:rsid w:val="1F796B24"/>
    <w:rsid w:val="1FC602A8"/>
    <w:rsid w:val="1FDFE26B"/>
    <w:rsid w:val="1FE73549"/>
    <w:rsid w:val="2038045E"/>
    <w:rsid w:val="209055C8"/>
    <w:rsid w:val="20AF0900"/>
    <w:rsid w:val="20B41DA7"/>
    <w:rsid w:val="217001E2"/>
    <w:rsid w:val="21C61C7A"/>
    <w:rsid w:val="2383771E"/>
    <w:rsid w:val="23F374DB"/>
    <w:rsid w:val="24881A32"/>
    <w:rsid w:val="24E375C9"/>
    <w:rsid w:val="25266F96"/>
    <w:rsid w:val="267547DF"/>
    <w:rsid w:val="272B6E6C"/>
    <w:rsid w:val="27CF2BB7"/>
    <w:rsid w:val="28E81B29"/>
    <w:rsid w:val="28FD390A"/>
    <w:rsid w:val="29B45A41"/>
    <w:rsid w:val="2A174DA9"/>
    <w:rsid w:val="2AB010A8"/>
    <w:rsid w:val="2AC66F99"/>
    <w:rsid w:val="2BED378C"/>
    <w:rsid w:val="2C0A2E19"/>
    <w:rsid w:val="2C7642D0"/>
    <w:rsid w:val="2CC97A35"/>
    <w:rsid w:val="2DD77C64"/>
    <w:rsid w:val="2DDA1E78"/>
    <w:rsid w:val="2DE00B8C"/>
    <w:rsid w:val="2EAC037F"/>
    <w:rsid w:val="2EB67A5C"/>
    <w:rsid w:val="2F9730FD"/>
    <w:rsid w:val="2FB912FB"/>
    <w:rsid w:val="302741D2"/>
    <w:rsid w:val="308B184D"/>
    <w:rsid w:val="309C1E01"/>
    <w:rsid w:val="30BB11DD"/>
    <w:rsid w:val="31F17CD1"/>
    <w:rsid w:val="321B02E0"/>
    <w:rsid w:val="324F4D43"/>
    <w:rsid w:val="3330157F"/>
    <w:rsid w:val="33384C93"/>
    <w:rsid w:val="340F06E9"/>
    <w:rsid w:val="34C12F54"/>
    <w:rsid w:val="35101668"/>
    <w:rsid w:val="366241E2"/>
    <w:rsid w:val="369029A0"/>
    <w:rsid w:val="36B66AAC"/>
    <w:rsid w:val="36E47928"/>
    <w:rsid w:val="372F7378"/>
    <w:rsid w:val="37BA0809"/>
    <w:rsid w:val="37DE919F"/>
    <w:rsid w:val="38F7D690"/>
    <w:rsid w:val="397348CD"/>
    <w:rsid w:val="39FBA7F3"/>
    <w:rsid w:val="3A8E0AB7"/>
    <w:rsid w:val="3A994AB7"/>
    <w:rsid w:val="3B3B544D"/>
    <w:rsid w:val="3B654F2B"/>
    <w:rsid w:val="3B9B6E72"/>
    <w:rsid w:val="3BB72BAE"/>
    <w:rsid w:val="3BBF49EB"/>
    <w:rsid w:val="3BFC7D2B"/>
    <w:rsid w:val="3C7C799C"/>
    <w:rsid w:val="3C8A61A4"/>
    <w:rsid w:val="3D5E17FF"/>
    <w:rsid w:val="3D5F4AF8"/>
    <w:rsid w:val="3DF93413"/>
    <w:rsid w:val="3DFD1951"/>
    <w:rsid w:val="3DFFD27E"/>
    <w:rsid w:val="3E1F0DA4"/>
    <w:rsid w:val="3E584E51"/>
    <w:rsid w:val="3E62C1E0"/>
    <w:rsid w:val="3E6E70D5"/>
    <w:rsid w:val="3EBE1ADE"/>
    <w:rsid w:val="3F788D05"/>
    <w:rsid w:val="3FB7200B"/>
    <w:rsid w:val="3FEF41F9"/>
    <w:rsid w:val="3FF36FC1"/>
    <w:rsid w:val="3FFF30B1"/>
    <w:rsid w:val="403B4B34"/>
    <w:rsid w:val="4140452A"/>
    <w:rsid w:val="414D7889"/>
    <w:rsid w:val="41BB0BAE"/>
    <w:rsid w:val="425629F5"/>
    <w:rsid w:val="4284152B"/>
    <w:rsid w:val="429A4992"/>
    <w:rsid w:val="42FF3888"/>
    <w:rsid w:val="435B161D"/>
    <w:rsid w:val="43B25DAC"/>
    <w:rsid w:val="44771DFD"/>
    <w:rsid w:val="44EE69F9"/>
    <w:rsid w:val="45D569C3"/>
    <w:rsid w:val="46C011EB"/>
    <w:rsid w:val="475F9F54"/>
    <w:rsid w:val="479B74B7"/>
    <w:rsid w:val="48735221"/>
    <w:rsid w:val="49E92B05"/>
    <w:rsid w:val="4A354E62"/>
    <w:rsid w:val="4AEE1A11"/>
    <w:rsid w:val="4B7F39F4"/>
    <w:rsid w:val="4B9387EE"/>
    <w:rsid w:val="4BAE646F"/>
    <w:rsid w:val="4BFE6F8E"/>
    <w:rsid w:val="4CAC1559"/>
    <w:rsid w:val="4D1D09A0"/>
    <w:rsid w:val="4D754257"/>
    <w:rsid w:val="4DCD6AB3"/>
    <w:rsid w:val="4E334DF1"/>
    <w:rsid w:val="4EE7662F"/>
    <w:rsid w:val="50216DCD"/>
    <w:rsid w:val="50540C20"/>
    <w:rsid w:val="506258C6"/>
    <w:rsid w:val="51AC28BD"/>
    <w:rsid w:val="52183ACC"/>
    <w:rsid w:val="5275566D"/>
    <w:rsid w:val="52950FA7"/>
    <w:rsid w:val="531356F0"/>
    <w:rsid w:val="53238E8B"/>
    <w:rsid w:val="53B55872"/>
    <w:rsid w:val="544055F2"/>
    <w:rsid w:val="54AD4386"/>
    <w:rsid w:val="55D8243C"/>
    <w:rsid w:val="56FBB0A1"/>
    <w:rsid w:val="575FAF7E"/>
    <w:rsid w:val="5787CD35"/>
    <w:rsid w:val="581A7C72"/>
    <w:rsid w:val="583A4BD7"/>
    <w:rsid w:val="59C74B1F"/>
    <w:rsid w:val="5A886F59"/>
    <w:rsid w:val="5BDF167E"/>
    <w:rsid w:val="5DEB8BE4"/>
    <w:rsid w:val="5E9BBF88"/>
    <w:rsid w:val="5EBFE873"/>
    <w:rsid w:val="5F153ADC"/>
    <w:rsid w:val="5FBFAB6E"/>
    <w:rsid w:val="5FEF1587"/>
    <w:rsid w:val="5FFD747A"/>
    <w:rsid w:val="604D5946"/>
    <w:rsid w:val="611B6B1B"/>
    <w:rsid w:val="61596B91"/>
    <w:rsid w:val="61FF68C0"/>
    <w:rsid w:val="62C222C2"/>
    <w:rsid w:val="632D7C40"/>
    <w:rsid w:val="63F39F53"/>
    <w:rsid w:val="64133D6A"/>
    <w:rsid w:val="64245572"/>
    <w:rsid w:val="65824D95"/>
    <w:rsid w:val="674A3DD5"/>
    <w:rsid w:val="678E4F5D"/>
    <w:rsid w:val="67F3562A"/>
    <w:rsid w:val="67FFBBE3"/>
    <w:rsid w:val="680E122C"/>
    <w:rsid w:val="6A4E1D63"/>
    <w:rsid w:val="6C486FE4"/>
    <w:rsid w:val="6CA409DF"/>
    <w:rsid w:val="6D9F787E"/>
    <w:rsid w:val="6DBC6A8E"/>
    <w:rsid w:val="6DBE71AC"/>
    <w:rsid w:val="6DE375E4"/>
    <w:rsid w:val="6DFF0C8E"/>
    <w:rsid w:val="6E8E5287"/>
    <w:rsid w:val="6EF17664"/>
    <w:rsid w:val="6EFCDADD"/>
    <w:rsid w:val="6FAC3B48"/>
    <w:rsid w:val="6FAD463B"/>
    <w:rsid w:val="6FB7ACDA"/>
    <w:rsid w:val="6FBE332C"/>
    <w:rsid w:val="6FFF67CC"/>
    <w:rsid w:val="70CE0BC9"/>
    <w:rsid w:val="71554367"/>
    <w:rsid w:val="71584067"/>
    <w:rsid w:val="71F26E91"/>
    <w:rsid w:val="72CE2295"/>
    <w:rsid w:val="72ECFE66"/>
    <w:rsid w:val="72FB9D37"/>
    <w:rsid w:val="735201FF"/>
    <w:rsid w:val="737B50A4"/>
    <w:rsid w:val="73F40E72"/>
    <w:rsid w:val="74566F5C"/>
    <w:rsid w:val="750117A8"/>
    <w:rsid w:val="755B2270"/>
    <w:rsid w:val="75E27514"/>
    <w:rsid w:val="762BE131"/>
    <w:rsid w:val="76920D75"/>
    <w:rsid w:val="76C47877"/>
    <w:rsid w:val="770F0C17"/>
    <w:rsid w:val="77423DFF"/>
    <w:rsid w:val="77EE6ED4"/>
    <w:rsid w:val="77FD832A"/>
    <w:rsid w:val="783B5EA9"/>
    <w:rsid w:val="78B114A6"/>
    <w:rsid w:val="79C6FDAF"/>
    <w:rsid w:val="79EB699D"/>
    <w:rsid w:val="79FFEA3A"/>
    <w:rsid w:val="7A3E5854"/>
    <w:rsid w:val="7ABA298D"/>
    <w:rsid w:val="7B0620DE"/>
    <w:rsid w:val="7B7D7C18"/>
    <w:rsid w:val="7BBF44BB"/>
    <w:rsid w:val="7BF15CE4"/>
    <w:rsid w:val="7C3A27E5"/>
    <w:rsid w:val="7C5533D1"/>
    <w:rsid w:val="7D9727DD"/>
    <w:rsid w:val="7DD761B2"/>
    <w:rsid w:val="7DDF8A36"/>
    <w:rsid w:val="7DEB6467"/>
    <w:rsid w:val="7DFE0EB0"/>
    <w:rsid w:val="7DFE74A2"/>
    <w:rsid w:val="7DFF8AE9"/>
    <w:rsid w:val="7E2117BD"/>
    <w:rsid w:val="7E8BAD0B"/>
    <w:rsid w:val="7ED7DBED"/>
    <w:rsid w:val="7EFB4F6E"/>
    <w:rsid w:val="7F164138"/>
    <w:rsid w:val="7F1A5E95"/>
    <w:rsid w:val="7F5F21F6"/>
    <w:rsid w:val="7FA75B91"/>
    <w:rsid w:val="7FBC7699"/>
    <w:rsid w:val="7FCFF1E1"/>
    <w:rsid w:val="7FE3573F"/>
    <w:rsid w:val="7FFB0877"/>
    <w:rsid w:val="7FFE88A1"/>
    <w:rsid w:val="7FFF41A0"/>
    <w:rsid w:val="87EFD207"/>
    <w:rsid w:val="8B7D3439"/>
    <w:rsid w:val="8EFAA180"/>
    <w:rsid w:val="9B963827"/>
    <w:rsid w:val="A4FC5874"/>
    <w:rsid w:val="A99BC227"/>
    <w:rsid w:val="ADFDDBA5"/>
    <w:rsid w:val="AFDF5C35"/>
    <w:rsid w:val="AFEFD62F"/>
    <w:rsid w:val="B5FFB072"/>
    <w:rsid w:val="B7FBACA6"/>
    <w:rsid w:val="BAB83496"/>
    <w:rsid w:val="BBDFF490"/>
    <w:rsid w:val="BDFB93D4"/>
    <w:rsid w:val="BF59071B"/>
    <w:rsid w:val="BF5EBF56"/>
    <w:rsid w:val="BF7D9491"/>
    <w:rsid w:val="BFF77D2B"/>
    <w:rsid w:val="C3FEA355"/>
    <w:rsid w:val="CDFF7760"/>
    <w:rsid w:val="CF96F304"/>
    <w:rsid w:val="CFFF8E32"/>
    <w:rsid w:val="D6D5AD7C"/>
    <w:rsid w:val="D8BA6F46"/>
    <w:rsid w:val="DBDE3CFA"/>
    <w:rsid w:val="DBFFFB9A"/>
    <w:rsid w:val="DDAF9BF8"/>
    <w:rsid w:val="DE281989"/>
    <w:rsid w:val="DEB5AF2C"/>
    <w:rsid w:val="DFAD8580"/>
    <w:rsid w:val="DFF97BBC"/>
    <w:rsid w:val="DFFA836E"/>
    <w:rsid w:val="DFFEDE01"/>
    <w:rsid w:val="DFFF05F4"/>
    <w:rsid w:val="E3DA5317"/>
    <w:rsid w:val="E6F7C8DE"/>
    <w:rsid w:val="E9FE6660"/>
    <w:rsid w:val="EADE7AA2"/>
    <w:rsid w:val="ED6D9162"/>
    <w:rsid w:val="EF7B1925"/>
    <w:rsid w:val="EFAF91E2"/>
    <w:rsid w:val="EFF7DFD9"/>
    <w:rsid w:val="EFF91F3A"/>
    <w:rsid w:val="EFFF278C"/>
    <w:rsid w:val="F1347A70"/>
    <w:rsid w:val="F5EF4B16"/>
    <w:rsid w:val="F76D9192"/>
    <w:rsid w:val="F7D57869"/>
    <w:rsid w:val="F91F5623"/>
    <w:rsid w:val="F99F179C"/>
    <w:rsid w:val="F9B67D2C"/>
    <w:rsid w:val="FA7F1ACD"/>
    <w:rsid w:val="FB6F87D3"/>
    <w:rsid w:val="FB7D52BD"/>
    <w:rsid w:val="FBBD03F1"/>
    <w:rsid w:val="FCEB7648"/>
    <w:rsid w:val="FDF7EAA8"/>
    <w:rsid w:val="FDFF9C76"/>
    <w:rsid w:val="FEAF8B06"/>
    <w:rsid w:val="FEAFF452"/>
    <w:rsid w:val="FED7AE9E"/>
    <w:rsid w:val="FEE34724"/>
    <w:rsid w:val="FF1EFC35"/>
    <w:rsid w:val="FF477DD4"/>
    <w:rsid w:val="FF5F7F20"/>
    <w:rsid w:val="FF6F7900"/>
    <w:rsid w:val="FF7B9B69"/>
    <w:rsid w:val="FF7D155A"/>
    <w:rsid w:val="FFAFFB84"/>
    <w:rsid w:val="FFBF9032"/>
    <w:rsid w:val="FFC8EF32"/>
    <w:rsid w:val="FFD76697"/>
    <w:rsid w:val="FFDD469F"/>
    <w:rsid w:val="FFDF81E1"/>
    <w:rsid w:val="FFE13652"/>
    <w:rsid w:val="FFECE770"/>
    <w:rsid w:val="FFEFBF13"/>
    <w:rsid w:val="FFF7DB42"/>
    <w:rsid w:val="FFFFA6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adjustRightInd w:val="0"/>
      <w:spacing w:before="340" w:after="330" w:line="578" w:lineRule="atLeast"/>
      <w:textAlignment w:val="baseline"/>
      <w:outlineLvl w:val="0"/>
    </w:pPr>
    <w:rPr>
      <w:b/>
      <w:kern w:val="44"/>
      <w:sz w:val="44"/>
      <w:szCs w:val="20"/>
    </w:rPr>
  </w:style>
  <w:style w:type="paragraph" w:styleId="3">
    <w:name w:val="heading 2"/>
    <w:basedOn w:val="1"/>
    <w:next w:val="1"/>
    <w:qFormat/>
    <w:uiPriority w:val="0"/>
    <w:pPr>
      <w:keepNext/>
      <w:keepLines/>
      <w:spacing w:line="360" w:lineRule="auto"/>
      <w:outlineLvl w:val="1"/>
    </w:pPr>
    <w:rPr>
      <w:b/>
      <w:bCs/>
      <w:sz w:val="24"/>
      <w:szCs w:val="32"/>
    </w:rPr>
  </w:style>
  <w:style w:type="paragraph" w:styleId="4">
    <w:name w:val="heading 3"/>
    <w:basedOn w:val="1"/>
    <w:next w:val="1"/>
    <w:autoRedefine/>
    <w:qFormat/>
    <w:uiPriority w:val="0"/>
    <w:pPr>
      <w:keepNext/>
      <w:keepLines/>
      <w:adjustRightInd w:val="0"/>
      <w:spacing w:before="260" w:after="260" w:line="416" w:lineRule="atLeast"/>
      <w:textAlignment w:val="baseline"/>
      <w:outlineLvl w:val="2"/>
    </w:pPr>
    <w:rPr>
      <w:b/>
      <w:kern w:val="0"/>
      <w:sz w:val="32"/>
      <w:szCs w:val="20"/>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5">
    <w:name w:val="Normal Indent"/>
    <w:basedOn w:val="1"/>
    <w:qFormat/>
    <w:uiPriority w:val="0"/>
    <w:pPr>
      <w:widowControl/>
      <w:ind w:firstLine="420"/>
      <w:jc w:val="left"/>
    </w:pPr>
    <w:rPr>
      <w:kern w:val="0"/>
      <w:sz w:val="20"/>
      <w:szCs w:val="20"/>
    </w:rPr>
  </w:style>
  <w:style w:type="paragraph" w:styleId="6">
    <w:name w:val="annotation text"/>
    <w:basedOn w:val="1"/>
    <w:qFormat/>
    <w:uiPriority w:val="0"/>
    <w:pPr>
      <w:jc w:val="left"/>
    </w:pPr>
  </w:style>
  <w:style w:type="paragraph" w:styleId="7">
    <w:name w:val="Body Text"/>
    <w:basedOn w:val="1"/>
    <w:unhideWhenUsed/>
    <w:qFormat/>
    <w:uiPriority w:val="0"/>
    <w:pPr>
      <w:tabs>
        <w:tab w:val="left" w:pos="0"/>
      </w:tabs>
    </w:pPr>
    <w:rPr>
      <w:rFonts w:hint="default" w:eastAsia="楷体_GB2312"/>
      <w:sz w:val="28"/>
      <w:szCs w:val="24"/>
    </w:rPr>
  </w:style>
  <w:style w:type="paragraph" w:styleId="8">
    <w:name w:val="Body Text Indent"/>
    <w:basedOn w:val="1"/>
    <w:autoRedefine/>
    <w:qFormat/>
    <w:uiPriority w:val="99"/>
    <w:pPr>
      <w:spacing w:line="400" w:lineRule="exact"/>
      <w:ind w:left="630"/>
    </w:pPr>
    <w:rPr>
      <w:rFonts w:ascii="楷体_GB2312"/>
      <w:sz w:val="30"/>
      <w:szCs w:val="30"/>
    </w:rPr>
  </w:style>
  <w:style w:type="paragraph" w:styleId="9">
    <w:name w:val="Date"/>
    <w:basedOn w:val="1"/>
    <w:next w:val="1"/>
    <w:qFormat/>
    <w:uiPriority w:val="0"/>
    <w:rPr>
      <w:color w:val="000000"/>
      <w:kern w:val="0"/>
      <w:sz w:val="30"/>
    </w:rPr>
  </w:style>
  <w:style w:type="paragraph" w:styleId="10">
    <w:name w:val="footer"/>
    <w:basedOn w:val="1"/>
    <w:autoRedefine/>
    <w:qFormat/>
    <w:uiPriority w:val="0"/>
    <w:pPr>
      <w:tabs>
        <w:tab w:val="center" w:pos="4153"/>
        <w:tab w:val="right" w:pos="8306"/>
      </w:tabs>
      <w:snapToGrid w:val="0"/>
      <w:jc w:val="left"/>
    </w:pPr>
    <w:rPr>
      <w:kern w:val="0"/>
      <w:sz w:val="18"/>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autoRedefine/>
    <w:qFormat/>
    <w:uiPriority w:val="0"/>
    <w:rPr>
      <w:sz w:val="24"/>
    </w:rPr>
  </w:style>
  <w:style w:type="paragraph" w:styleId="13">
    <w:name w:val="Body Text First Indent 2"/>
    <w:basedOn w:val="8"/>
    <w:autoRedefine/>
    <w:qFormat/>
    <w:uiPriority w:val="0"/>
    <w:pPr>
      <w:overflowPunct w:val="0"/>
      <w:adjustRightInd w:val="0"/>
      <w:spacing w:line="500" w:lineRule="exact"/>
      <w:ind w:firstLine="420" w:firstLineChars="200"/>
      <w:textAlignment w:val="baseline"/>
    </w:pPr>
    <w:rPr>
      <w:rFonts w:eastAsia="仿宋_GB2312"/>
      <w:kern w:val="28"/>
      <w:sz w:val="28"/>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qFormat/>
    <w:uiPriority w:val="0"/>
  </w:style>
  <w:style w:type="paragraph" w:customStyle="1" w:styleId="18">
    <w:name w:val="Default"/>
    <w:autoRedefine/>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9">
    <w:name w:val="大标题"/>
    <w:basedOn w:val="1"/>
    <w:next w:val="13"/>
    <w:autoRedefine/>
    <w:qFormat/>
    <w:uiPriority w:val="0"/>
    <w:pPr>
      <w:jc w:val="center"/>
    </w:pPr>
    <w:rPr>
      <w:rFonts w:ascii="Arial" w:hAnsi="Arial" w:eastAsia="宋体"/>
      <w:b/>
      <w:sz w:val="28"/>
      <w:szCs w:val="24"/>
    </w:rPr>
  </w:style>
  <w:style w:type="paragraph" w:customStyle="1" w:styleId="20">
    <w:name w:val="正文格式"/>
    <w:basedOn w:val="1"/>
    <w:autoRedefine/>
    <w:qFormat/>
    <w:uiPriority w:val="0"/>
    <w:pPr>
      <w:widowControl/>
      <w:adjustRightInd w:val="0"/>
      <w:snapToGrid w:val="0"/>
      <w:spacing w:line="400" w:lineRule="atLeast"/>
      <w:ind w:firstLine="482"/>
      <w:textAlignment w:val="baseline"/>
    </w:pPr>
    <w:rPr>
      <w:kern w:val="0"/>
      <w:sz w:val="24"/>
    </w:rPr>
  </w:style>
  <w:style w:type="paragraph" w:customStyle="1" w:styleId="21">
    <w:name w:val="列出段落1"/>
    <w:basedOn w:val="1"/>
    <w:autoRedefine/>
    <w:qFormat/>
    <w:uiPriority w:val="99"/>
    <w:pPr>
      <w:ind w:firstLine="420" w:firstLineChars="200"/>
    </w:pPr>
  </w:style>
  <w:style w:type="paragraph" w:customStyle="1" w:styleId="22">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paragraph" w:styleId="23">
    <w:name w:val="List Paragraph"/>
    <w:basedOn w:val="1"/>
    <w:autoRedefine/>
    <w:qFormat/>
    <w:uiPriority w:val="34"/>
    <w:pPr>
      <w:ind w:firstLine="420" w:firstLineChars="200"/>
    </w:pPr>
    <w:rPr>
      <w:rFonts w:ascii="Calibri" w:hAnsi="Calibri"/>
      <w:szCs w:val="22"/>
    </w:rPr>
  </w:style>
  <w:style w:type="character" w:customStyle="1" w:styleId="24">
    <w:name w:val="NormalCharacter"/>
    <w:autoRedefine/>
    <w:semiHidden/>
    <w:qFormat/>
    <w:uiPriority w:val="0"/>
  </w:style>
  <w:style w:type="character" w:customStyle="1" w:styleId="25">
    <w:name w:val="font81"/>
    <w:qFormat/>
    <w:uiPriority w:val="0"/>
    <w:rPr>
      <w:rFonts w:hint="eastAsia" w:ascii="宋体" w:hAnsi="宋体" w:eastAsia="宋体" w:cs="宋体"/>
      <w:color w:val="000000"/>
      <w:sz w:val="20"/>
      <w:szCs w:val="20"/>
      <w:u w:val="none"/>
    </w:rPr>
  </w:style>
  <w:style w:type="paragraph" w:customStyle="1" w:styleId="26">
    <w:name w:val="列出段落"/>
    <w:basedOn w:val="1"/>
    <w:qFormat/>
    <w:uiPriority w:val="0"/>
    <w:pPr>
      <w:ind w:firstLine="420" w:firstLineChars="200"/>
    </w:pPr>
  </w:style>
  <w:style w:type="paragraph" w:customStyle="1" w:styleId="27">
    <w:name w:val="段"/>
    <w:basedOn w:val="1"/>
    <w:qFormat/>
    <w:uiPriority w:val="0"/>
    <w:pPr>
      <w:autoSpaceDE w:val="0"/>
      <w:autoSpaceDN w:val="0"/>
      <w:ind w:firstLine="200" w:firstLineChars="200"/>
    </w:pPr>
    <w:rPr>
      <w:rFonts w:ascii="宋体"/>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9613</Words>
  <Characters>10147</Characters>
  <Lines>0</Lines>
  <Paragraphs>0</Paragraphs>
  <TotalTime>1</TotalTime>
  <ScaleCrop>false</ScaleCrop>
  <LinksUpToDate>false</LinksUpToDate>
  <CharactersWithSpaces>11108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2023-07-26T17:45:00Z</dcterms:created>
  <dc:creator>是小豹子</dc:creator>
  <cp:lastModifiedBy>沁sqr</cp:lastModifiedBy>
  <dcterms:modified xsi:type="dcterms:W3CDTF">2026-10-12T16:29:58Z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76FB0FAE7D39B64E20C5306ACAD8361B_43</vt:lpwstr>
  </property>
  <property fmtid="{D5CDD505-2E9C-101B-9397-08002B2CF9AE}" pid="4" name="KSOTemplateDocerSaveRecord">
    <vt:lpwstr>eyJoZGlkIjoiYjhlYmE2MWY2NTY0MzZmZTc1MzE0ZTI3ZDViMDM4ZWEiLCJ1c2VySWQiOiIxMDY1NzYwODA4In0=</vt:lpwstr>
  </property>
</Properties>
</file>