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4D2AB">
      <w:pPr>
        <w:pStyle w:val="17"/>
        <w:snapToGrid w:val="0"/>
        <w:jc w:val="center"/>
        <w:rPr>
          <w:rFonts w:hint="eastAsia" w:ascii="Arial" w:hAnsi="Arial" w:eastAsia="方正小标宋简体" w:cs="Arial"/>
          <w:color w:val="auto"/>
          <w:sz w:val="72"/>
          <w:szCs w:val="72"/>
          <w:lang w:eastAsia="zh-CN"/>
        </w:rPr>
      </w:pPr>
      <w:bookmarkStart w:id="0" w:name="_Toc16523570"/>
    </w:p>
    <w:p w14:paraId="624C34B6">
      <w:pPr>
        <w:pStyle w:val="17"/>
        <w:snapToGrid w:val="0"/>
        <w:jc w:val="center"/>
        <w:rPr>
          <w:rFonts w:hint="eastAsia" w:ascii="Arial" w:hAnsi="Arial" w:eastAsia="方正小标宋简体" w:cs="Arial"/>
          <w:sz w:val="72"/>
          <w:szCs w:val="72"/>
        </w:rPr>
      </w:pPr>
      <w:r>
        <w:rPr>
          <w:rFonts w:hint="eastAsia" w:ascii="Arial" w:hAnsi="Arial" w:eastAsia="方正小标宋简体" w:cs="Arial"/>
          <w:sz w:val="72"/>
          <w:szCs w:val="72"/>
        </w:rPr>
        <w:t>娄底市中心医院</w:t>
      </w:r>
    </w:p>
    <w:p w14:paraId="5D37DAB4">
      <w:pPr>
        <w:pStyle w:val="17"/>
        <w:snapToGrid w:val="0"/>
        <w:jc w:val="center"/>
        <w:rPr>
          <w:rFonts w:hint="eastAsia" w:ascii="Arial" w:hAnsi="Arial" w:eastAsia="方正小标宋简体" w:cs="Arial"/>
          <w:sz w:val="72"/>
          <w:szCs w:val="72"/>
        </w:rPr>
      </w:pPr>
    </w:p>
    <w:p w14:paraId="16E58BC0">
      <w:pPr>
        <w:pStyle w:val="17"/>
        <w:snapToGrid w:val="0"/>
        <w:jc w:val="center"/>
        <w:rPr>
          <w:rFonts w:hint="eastAsia" w:ascii="Arial" w:hAnsi="Arial" w:eastAsia="方正小标宋简体" w:cs="Arial"/>
          <w:sz w:val="72"/>
          <w:szCs w:val="72"/>
        </w:rPr>
      </w:pPr>
    </w:p>
    <w:p w14:paraId="7D3C3256">
      <w:pPr>
        <w:pStyle w:val="17"/>
        <w:snapToGrid w:val="0"/>
        <w:jc w:val="center"/>
        <w:rPr>
          <w:rFonts w:hint="eastAsia" w:ascii="Arial" w:hAnsi="Arial" w:eastAsia="方正小标宋简体" w:cs="Arial"/>
          <w:sz w:val="72"/>
          <w:szCs w:val="72"/>
        </w:rPr>
      </w:pPr>
    </w:p>
    <w:p w14:paraId="11608FC0">
      <w:pPr>
        <w:pStyle w:val="17"/>
        <w:snapToGrid w:val="0"/>
        <w:jc w:val="center"/>
        <w:rPr>
          <w:rFonts w:ascii="Arial" w:hAnsi="Arial" w:eastAsia="方正小标宋简体" w:cs="Arial"/>
          <w:sz w:val="36"/>
          <w:szCs w:val="36"/>
        </w:rPr>
      </w:pPr>
      <w:r>
        <w:rPr>
          <w:rFonts w:hint="eastAsia" w:ascii="Arial" w:hAnsi="Arial" w:eastAsia="方正小标宋简体" w:cs="Arial"/>
          <w:sz w:val="72"/>
          <w:szCs w:val="72"/>
          <w:lang w:val="en-US" w:eastAsia="zh-CN"/>
        </w:rPr>
        <w:t>采购</w:t>
      </w:r>
      <w:r>
        <w:rPr>
          <w:rFonts w:ascii="Arial" w:hAnsi="Arial" w:eastAsia="方正小标宋简体" w:cs="Arial"/>
          <w:sz w:val="72"/>
          <w:szCs w:val="72"/>
        </w:rPr>
        <w:t>文件</w:t>
      </w:r>
    </w:p>
    <w:p w14:paraId="33524D07">
      <w:pPr>
        <w:pStyle w:val="17"/>
        <w:snapToGrid w:val="0"/>
        <w:jc w:val="center"/>
        <w:rPr>
          <w:rFonts w:ascii="Arial" w:hAnsi="Arial" w:cs="Arial"/>
          <w:sz w:val="32"/>
          <w:szCs w:val="32"/>
        </w:rPr>
      </w:pPr>
    </w:p>
    <w:p w14:paraId="46311545">
      <w:pPr>
        <w:pStyle w:val="18"/>
        <w:rPr>
          <w:rFonts w:ascii="Arial" w:hAnsi="Arial" w:cs="Arial"/>
          <w:sz w:val="32"/>
          <w:szCs w:val="32"/>
        </w:rPr>
      </w:pPr>
    </w:p>
    <w:p w14:paraId="5F00027D">
      <w:pPr>
        <w:pStyle w:val="13"/>
        <w:rPr>
          <w:rFonts w:ascii="Arial" w:hAnsi="Arial" w:cs="Arial"/>
          <w:sz w:val="32"/>
          <w:szCs w:val="32"/>
        </w:rPr>
      </w:pPr>
    </w:p>
    <w:p w14:paraId="790E99FE">
      <w:pPr>
        <w:pStyle w:val="13"/>
        <w:rPr>
          <w:rFonts w:ascii="Arial" w:hAnsi="Arial" w:cs="Arial"/>
          <w:sz w:val="32"/>
          <w:szCs w:val="32"/>
        </w:rPr>
      </w:pPr>
    </w:p>
    <w:p w14:paraId="6D6CF557">
      <w:pPr>
        <w:pStyle w:val="13"/>
        <w:rPr>
          <w:rFonts w:ascii="Arial" w:hAnsi="Arial" w:cs="Arial"/>
          <w:sz w:val="32"/>
          <w:szCs w:val="32"/>
        </w:rPr>
      </w:pPr>
    </w:p>
    <w:p w14:paraId="77BABE1C">
      <w:pPr>
        <w:pStyle w:val="13"/>
        <w:rPr>
          <w:rFonts w:ascii="Arial" w:hAnsi="Arial" w:cs="Arial"/>
          <w:sz w:val="32"/>
          <w:szCs w:val="32"/>
        </w:rPr>
      </w:pPr>
    </w:p>
    <w:p w14:paraId="1C0FB295">
      <w:pPr>
        <w:pStyle w:val="13"/>
        <w:rPr>
          <w:rFonts w:ascii="Arial" w:hAnsi="Arial" w:cs="Arial"/>
          <w:sz w:val="32"/>
          <w:szCs w:val="32"/>
        </w:rPr>
      </w:pPr>
    </w:p>
    <w:p w14:paraId="4C96CB97">
      <w:pPr>
        <w:pStyle w:val="13"/>
        <w:rPr>
          <w:rFonts w:ascii="Arial" w:hAnsi="Arial" w:cs="Arial"/>
          <w:sz w:val="32"/>
          <w:szCs w:val="32"/>
        </w:rPr>
      </w:pPr>
    </w:p>
    <w:p w14:paraId="1825AAC5">
      <w:pPr>
        <w:pStyle w:val="13"/>
        <w:rPr>
          <w:rFonts w:ascii="Arial" w:hAnsi="Arial" w:cs="Arial"/>
          <w:sz w:val="32"/>
          <w:szCs w:val="32"/>
        </w:rPr>
      </w:pPr>
    </w:p>
    <w:p w14:paraId="1B92FFA5">
      <w:pPr>
        <w:pStyle w:val="17"/>
        <w:snapToGrid w:val="0"/>
        <w:jc w:val="center"/>
        <w:rPr>
          <w:rFonts w:ascii="Arial" w:hAnsi="Arial" w:cs="Arial"/>
          <w:sz w:val="32"/>
          <w:szCs w:val="32"/>
        </w:rPr>
      </w:pPr>
    </w:p>
    <w:p w14:paraId="3EB4A47A">
      <w:pPr>
        <w:pStyle w:val="17"/>
        <w:snapToGrid w:val="0"/>
        <w:jc w:val="center"/>
        <w:rPr>
          <w:rFonts w:ascii="Arial" w:hAnsi="Arial" w:cs="Arial"/>
          <w:sz w:val="32"/>
          <w:szCs w:val="32"/>
        </w:rPr>
      </w:pPr>
    </w:p>
    <w:p w14:paraId="487767A3">
      <w:pPr>
        <w:spacing w:line="360" w:lineRule="auto"/>
        <w:rPr>
          <w:rFonts w:hint="eastAsia"/>
          <w:bCs/>
          <w:sz w:val="32"/>
          <w:szCs w:val="32"/>
        </w:rPr>
      </w:pPr>
    </w:p>
    <w:p w14:paraId="4FD265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27" w:lineRule="atLeast"/>
        <w:ind w:left="0" w:right="0"/>
        <w:jc w:val="center"/>
        <w:rPr>
          <w:rFonts w:hint="eastAsia"/>
          <w:bCs/>
          <w:sz w:val="32"/>
          <w:szCs w:val="32"/>
        </w:rPr>
      </w:pPr>
      <w:r>
        <w:rPr>
          <w:rFonts w:hint="eastAsia"/>
          <w:bCs/>
          <w:sz w:val="32"/>
          <w:szCs w:val="32"/>
        </w:rPr>
        <w:t>项目名称：</w:t>
      </w:r>
      <w:r>
        <w:rPr>
          <w:rFonts w:hint="eastAsia"/>
          <w:bCs/>
          <w:sz w:val="32"/>
          <w:szCs w:val="32"/>
          <w:lang w:val="en-US" w:eastAsia="zh-CN"/>
        </w:rPr>
        <w:t>娄底市中心医院设备科医疗器械采购项目</w:t>
      </w:r>
    </w:p>
    <w:p w14:paraId="5CF2881B">
      <w:pPr>
        <w:jc w:val="center"/>
        <w:rPr>
          <w:rFonts w:hint="default" w:ascii="Times New Roman" w:hAnsi="Times New Roman" w:eastAsia="宋体" w:cs="Times New Roman"/>
          <w:b/>
          <w:bCs/>
          <w:kern w:val="44"/>
          <w:sz w:val="32"/>
          <w:szCs w:val="32"/>
          <w:lang w:val="en-US" w:eastAsia="zh-CN" w:bidi="ar-SA"/>
        </w:rPr>
      </w:pPr>
      <w:r>
        <w:rPr>
          <w:rFonts w:hint="eastAsia" w:cs="Times New Roman"/>
          <w:b/>
          <w:bCs/>
          <w:kern w:val="44"/>
          <w:sz w:val="32"/>
          <w:szCs w:val="32"/>
          <w:lang w:val="en-US" w:eastAsia="zh-CN" w:bidi="ar-SA"/>
        </w:rPr>
        <w:t>（消化道动力检测系统 医院公开挂网</w:t>
      </w:r>
      <w:r>
        <w:rPr>
          <w:rFonts w:hint="eastAsia" w:ascii="Times New Roman" w:hAnsi="Times New Roman" w:eastAsia="宋体" w:cs="Times New Roman"/>
          <w:b/>
          <w:bCs/>
          <w:kern w:val="44"/>
          <w:sz w:val="32"/>
          <w:szCs w:val="32"/>
          <w:lang w:val="en-US" w:eastAsia="zh-CN" w:bidi="ar-SA"/>
        </w:rPr>
        <w:t>）</w:t>
      </w:r>
    </w:p>
    <w:p w14:paraId="1ABFAA6B">
      <w:pPr>
        <w:spacing w:line="320" w:lineRule="exact"/>
        <w:jc w:val="left"/>
        <w:rPr>
          <w:sz w:val="24"/>
        </w:rPr>
      </w:pPr>
    </w:p>
    <w:p w14:paraId="770B0BB9">
      <w:pPr>
        <w:spacing w:line="320" w:lineRule="exact"/>
        <w:ind w:firstLine="3520" w:firstLineChars="1100"/>
        <w:jc w:val="both"/>
        <w:rPr>
          <w:rFonts w:hint="eastAsia" w:ascii="宋体" w:hAnsi="宋体" w:cs="宋体"/>
          <w:bCs/>
          <w:sz w:val="32"/>
          <w:szCs w:val="32"/>
        </w:rPr>
      </w:pPr>
      <w:r>
        <w:rPr>
          <w:rFonts w:hint="eastAsia" w:ascii="宋体" w:hAnsi="宋体" w:cs="宋体"/>
          <w:bCs/>
          <w:sz w:val="32"/>
          <w:szCs w:val="32"/>
        </w:rPr>
        <w:t>二〇二</w:t>
      </w:r>
      <w:r>
        <w:rPr>
          <w:rFonts w:hint="eastAsia" w:ascii="宋体" w:hAnsi="宋体" w:cs="宋体"/>
          <w:bCs/>
          <w:sz w:val="32"/>
          <w:szCs w:val="32"/>
          <w:lang w:eastAsia="zh-CN"/>
        </w:rPr>
        <w:t>六</w:t>
      </w:r>
      <w:r>
        <w:rPr>
          <w:rFonts w:hint="eastAsia" w:ascii="宋体" w:hAnsi="宋体" w:cs="宋体"/>
          <w:bCs/>
          <w:sz w:val="32"/>
          <w:szCs w:val="32"/>
        </w:rPr>
        <w:t>年</w:t>
      </w:r>
      <w:r>
        <w:rPr>
          <w:rFonts w:hint="eastAsia" w:ascii="宋体" w:hAnsi="宋体" w:cs="宋体"/>
          <w:bCs/>
          <w:sz w:val="32"/>
          <w:szCs w:val="32"/>
          <w:lang w:val="en-US" w:eastAsia="zh-CN"/>
        </w:rPr>
        <w:t>十</w:t>
      </w:r>
      <w:r>
        <w:rPr>
          <w:rFonts w:hint="eastAsia" w:ascii="宋体" w:hAnsi="宋体" w:cs="宋体"/>
          <w:bCs/>
          <w:sz w:val="32"/>
          <w:szCs w:val="32"/>
        </w:rPr>
        <w:t>月</w:t>
      </w:r>
    </w:p>
    <w:p w14:paraId="4F5472A4">
      <w:pPr>
        <w:pStyle w:val="2"/>
        <w:numPr>
          <w:ilvl w:val="0"/>
          <w:numId w:val="0"/>
        </w:numPr>
        <w:spacing w:line="240" w:lineRule="auto"/>
        <w:ind w:leftChars="0"/>
        <w:jc w:val="center"/>
        <w:rPr>
          <w:rFonts w:hint="eastAsia" w:ascii="宋体" w:hAnsi="宋体" w:cs="宋体"/>
          <w:color w:val="auto"/>
          <w:sz w:val="44"/>
          <w:szCs w:val="44"/>
          <w:lang w:val="en-US" w:eastAsia="zh-CN"/>
        </w:rPr>
      </w:pPr>
    </w:p>
    <w:p w14:paraId="2CC6C485">
      <w:pPr>
        <w:pStyle w:val="2"/>
        <w:numPr>
          <w:ilvl w:val="0"/>
          <w:numId w:val="0"/>
        </w:numPr>
        <w:spacing w:line="240" w:lineRule="auto"/>
        <w:ind w:leftChars="0"/>
        <w:jc w:val="center"/>
        <w:rPr>
          <w:rFonts w:hint="eastAsia"/>
          <w:b/>
          <w:bCs w:val="0"/>
          <w:color w:val="auto"/>
          <w:sz w:val="44"/>
          <w:szCs w:val="44"/>
        </w:rPr>
      </w:pPr>
      <w:r>
        <w:rPr>
          <w:rFonts w:hint="eastAsia" w:ascii="宋体" w:hAnsi="宋体" w:cs="宋体"/>
          <w:color w:val="auto"/>
          <w:sz w:val="44"/>
          <w:szCs w:val="44"/>
          <w:lang w:val="en-US" w:eastAsia="zh-CN"/>
        </w:rPr>
        <w:t xml:space="preserve">第一章 </w:t>
      </w:r>
      <w:r>
        <w:rPr>
          <w:rFonts w:hint="eastAsia" w:ascii="宋体" w:hAnsi="宋体" w:cs="宋体"/>
          <w:color w:val="auto"/>
          <w:sz w:val="44"/>
          <w:szCs w:val="44"/>
        </w:rPr>
        <w:t>投标邀请</w:t>
      </w:r>
    </w:p>
    <w:p w14:paraId="7ADCF26A">
      <w:pPr>
        <w:pStyle w:val="17"/>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u w:val="single"/>
          <w:lang w:val="en-US" w:eastAsia="zh-CN"/>
        </w:rPr>
        <w:t>消化道动力检测系统</w:t>
      </w:r>
      <w:r>
        <w:rPr>
          <w:rFonts w:hint="eastAsia" w:asciiTheme="minorEastAsia" w:hAnsiTheme="minorEastAsia" w:eastAsiaTheme="minorEastAsia" w:cstheme="minorEastAsia"/>
          <w:bCs/>
          <w:color w:val="auto"/>
          <w:sz w:val="24"/>
          <w:szCs w:val="24"/>
          <w:u w:val="none"/>
          <w:lang w:val="en-US" w:eastAsia="zh-CN"/>
        </w:rPr>
        <w:t>项目</w:t>
      </w:r>
      <w:r>
        <w:rPr>
          <w:rFonts w:hint="eastAsia" w:asciiTheme="minorEastAsia" w:hAnsiTheme="minorEastAsia" w:eastAsiaTheme="minorEastAsia" w:cstheme="minorEastAsia"/>
          <w:bCs/>
          <w:color w:val="auto"/>
          <w:sz w:val="24"/>
          <w:szCs w:val="24"/>
          <w:lang w:val="en-US" w:eastAsia="zh-CN"/>
        </w:rPr>
        <w:t>进行医院公开挂网，将事项公告如下：</w:t>
      </w:r>
    </w:p>
    <w:p w14:paraId="435321EC">
      <w:pPr>
        <w:pStyle w:val="17"/>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一、项目信息</w:t>
      </w:r>
    </w:p>
    <w:p w14:paraId="7CA5D6D3">
      <w:pPr>
        <w:pStyle w:val="17"/>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项目名称：</w:t>
      </w:r>
      <w:r>
        <w:rPr>
          <w:rFonts w:hint="eastAsia" w:asciiTheme="minorEastAsia" w:hAnsiTheme="minorEastAsia" w:eastAsiaTheme="minorEastAsia" w:cstheme="minorEastAsia"/>
          <w:bCs/>
          <w:color w:val="auto"/>
          <w:sz w:val="24"/>
          <w:szCs w:val="24"/>
          <w:u w:val="single"/>
          <w:lang w:val="en-US" w:eastAsia="zh-CN"/>
        </w:rPr>
        <w:t>消化道动力检测系统</w:t>
      </w:r>
      <w:r>
        <w:rPr>
          <w:rFonts w:hint="eastAsia" w:asciiTheme="minorEastAsia" w:hAnsiTheme="minorEastAsia" w:eastAsiaTheme="minorEastAsia" w:cstheme="minorEastAsia"/>
          <w:b w:val="0"/>
          <w:bCs/>
          <w:color w:val="auto"/>
          <w:sz w:val="24"/>
          <w:szCs w:val="24"/>
          <w:lang w:val="en-US" w:eastAsia="zh-CN"/>
        </w:rPr>
        <w:t>项目</w:t>
      </w:r>
    </w:p>
    <w:p w14:paraId="0AC8FEC7">
      <w:pPr>
        <w:pStyle w:val="17"/>
        <w:keepNext w:val="0"/>
        <w:keepLines w:val="0"/>
        <w:pageBreakBefore w:val="0"/>
        <w:widowControl w:val="0"/>
        <w:numPr>
          <w:ilvl w:val="0"/>
          <w:numId w:val="1"/>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采购方式</w:t>
      </w:r>
    </w:p>
    <w:bookmarkEnd w:id="0"/>
    <w:p w14:paraId="76DBA799">
      <w:pPr>
        <w:pStyle w:val="17"/>
        <w:keepNext w:val="0"/>
        <w:keepLines w:val="0"/>
        <w:pageBreakBefore w:val="0"/>
        <w:widowControl w:val="0"/>
        <w:numPr>
          <w:ilvl w:val="0"/>
          <w:numId w:val="2"/>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bidi="ar-SA"/>
        </w:rPr>
        <w:t>医院公开挂网</w:t>
      </w:r>
      <w:r>
        <w:rPr>
          <w:rFonts w:hint="eastAsia" w:asciiTheme="minorEastAsia" w:hAnsiTheme="minorEastAsia" w:eastAsiaTheme="minorEastAsia" w:cstheme="minorEastAsia"/>
          <w:bCs/>
          <w:color w:val="auto"/>
          <w:sz w:val="24"/>
          <w:szCs w:val="24"/>
          <w:lang w:val="en-US" w:eastAsia="zh-CN"/>
        </w:rPr>
        <w:t>，按招标文件评分规则进行评审，以评审结果排序，综合评分得分相同的，按投标报价由低到高顺序排列，得分且投标报价相同的，按技术指标优劣顺序排列。</w:t>
      </w:r>
    </w:p>
    <w:p w14:paraId="03E8934C">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三、投标人资格要求</w:t>
      </w:r>
    </w:p>
    <w:p w14:paraId="441EE8E9">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1、投标人的基本资格条件：投标人必须是在中华人民共和国境内注册登记的法人、其他组织或者自然人，且应当符合《政府采购法》第二十二条第一款的规定；</w:t>
      </w:r>
    </w:p>
    <w:p w14:paraId="36F0DAC1">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2、参加政府采购活动近3年内，在经营活动中没有重大违法记录；</w:t>
      </w:r>
    </w:p>
    <w:p w14:paraId="6F9616B7">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3、投标人未列入经营异常名录和未列入严重违法失信企业名单（黑名单），投标人企业法人代表未被列入失信被执行人名单；</w:t>
      </w:r>
    </w:p>
    <w:p w14:paraId="6BDAE6C4">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720" w:firstLineChars="3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投标人在“信用中国”（www.creditchina.gov.cn）、中国政府采购网（www.ccgp.gov.cn）等网站，未被列入“失信被执行人”、“重大税收违法案件当事人名单”、“政府采购严重违法失信行为记录名单”；</w:t>
      </w:r>
    </w:p>
    <w:p w14:paraId="75AB0138">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4、本项目不接受联合体投标，不得分包、转包；</w:t>
      </w:r>
    </w:p>
    <w:p w14:paraId="649BD8DC">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5、单位负责人为同一人或者存在直接控股、管理关系的不同投标人，不得参加本次采购活动；</w:t>
      </w:r>
    </w:p>
    <w:p w14:paraId="12B84378">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四、投标截止时间、开标时间及地点：</w:t>
      </w:r>
    </w:p>
    <w:p w14:paraId="6E286114">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1、投标截止时间、开标时间：见医院官网公开挂网表</w:t>
      </w:r>
    </w:p>
    <w:p w14:paraId="0808AD54">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2、开标地点;娄底市中心医院</w:t>
      </w:r>
    </w:p>
    <w:p w14:paraId="3644DD88">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五、采购人地址和联系方法：</w:t>
      </w:r>
    </w:p>
    <w:p w14:paraId="049FFAA9">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1、采购人名称：娄底市中心医院</w:t>
      </w:r>
    </w:p>
    <w:p w14:paraId="2AB872F8">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2、联系人及联系方式：孙沁忍 16673869902</w:t>
      </w:r>
    </w:p>
    <w:p w14:paraId="31227066">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3、采购人地址：娄底市长青中街51号</w:t>
      </w:r>
    </w:p>
    <w:p w14:paraId="782700B0">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六、投标须知</w:t>
      </w:r>
    </w:p>
    <w:p w14:paraId="6D91642B">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1、否决投标的情形：</w:t>
      </w:r>
    </w:p>
    <w:p w14:paraId="2FF6EB10">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1.1、投标人以他人名义投标、串通投标、以行贿手段谋取中标的；</w:t>
      </w:r>
    </w:p>
    <w:p w14:paraId="593D58A5">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1.2、资格评审时，投标人资格条件不符合国家有关规定或者文件要求的，或者拒不按照要求对投标文件进行澄清、说明或补正，或者其说明补正无法证明其为合格投标人的；</w:t>
      </w:r>
    </w:p>
    <w:p w14:paraId="40CF2CE4">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1.3、评标委员会认定投标人以低于成本报价竞标的；</w:t>
      </w:r>
    </w:p>
    <w:p w14:paraId="6F5CB30F">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1.4、投标人未按照要求出席开标会的；</w:t>
      </w:r>
    </w:p>
    <w:p w14:paraId="679CC0C3">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1.5、投标报价有错误的，评标委员会将要求投标人作出书面澄清说明和确认，投标人拒不作出澄清说明和确认的；</w:t>
      </w:r>
    </w:p>
    <w:p w14:paraId="364AE9CF">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1.6、投标文件存在弄虚作假或者隐瞒事实，或者未按照文件要求如实提供有关情况和文件，以及证明资料且对投标人有利的，应当否决其投标。被列为中标候选人的，应当取消其中标候选人资格。</w:t>
      </w:r>
    </w:p>
    <w:p w14:paraId="26A7334E">
      <w:pPr>
        <w:pStyle w:val="18"/>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color w:val="FF0000"/>
          <w:sz w:val="24"/>
          <w:szCs w:val="24"/>
          <w:lang w:val="en-US" w:eastAsia="zh-CN" w:bidi="ar-SA"/>
        </w:rPr>
      </w:pPr>
      <w:r>
        <w:rPr>
          <w:rFonts w:hint="eastAsia" w:asciiTheme="minorEastAsia" w:hAnsiTheme="minorEastAsia" w:eastAsiaTheme="minorEastAsia" w:cstheme="minorEastAsia"/>
          <w:b w:val="0"/>
          <w:bCs/>
          <w:color w:val="FF0000"/>
          <w:sz w:val="24"/>
          <w:szCs w:val="24"/>
          <w:lang w:val="en-US" w:eastAsia="zh-CN" w:bidi="ar-SA"/>
        </w:rPr>
        <w:t>1.7、技术参数负偏离大于5条的。</w:t>
      </w:r>
    </w:p>
    <w:p w14:paraId="731CB78F">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2、有下列情形之一的，采购人将重新挂网采购：</w:t>
      </w:r>
    </w:p>
    <w:p w14:paraId="093FC2CB">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2.1、投标截止时间止，投标人少于3家的；</w:t>
      </w:r>
    </w:p>
    <w:p w14:paraId="11432665">
      <w:pPr>
        <w:pStyle w:val="1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2.2、经评标委员会评审后，符合资格审查的投标人少于3家的。</w:t>
      </w:r>
    </w:p>
    <w:p w14:paraId="1D69A94E">
      <w:pPr>
        <w:pStyle w:val="18"/>
        <w:rPr>
          <w:rFonts w:hint="eastAsia"/>
          <w:lang w:val="en-US" w:eastAsia="zh-CN"/>
        </w:rPr>
      </w:pPr>
    </w:p>
    <w:p w14:paraId="687E9235">
      <w:pPr>
        <w:pStyle w:val="18"/>
        <w:jc w:val="both"/>
        <w:rPr>
          <w:rFonts w:hint="default"/>
          <w:lang w:val="en-US" w:eastAsia="zh-CN"/>
        </w:rPr>
      </w:pPr>
    </w:p>
    <w:p w14:paraId="7AECD5DA">
      <w:pPr>
        <w:pStyle w:val="17"/>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13042EC1">
      <w:pPr>
        <w:pStyle w:val="17"/>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7EB67C07">
      <w:pPr>
        <w:pStyle w:val="13"/>
        <w:ind w:left="0" w:leftChars="0" w:firstLine="0" w:firstLineChars="0"/>
        <w:rPr>
          <w:rFonts w:hint="eastAsia" w:ascii="宋体" w:hAnsi="宋体" w:cs="宋体"/>
          <w:b/>
          <w:bCs/>
          <w:color w:val="auto"/>
          <w:sz w:val="44"/>
          <w:szCs w:val="44"/>
          <w:lang w:val="en-US" w:eastAsia="zh-CN"/>
        </w:rPr>
      </w:pPr>
    </w:p>
    <w:p w14:paraId="5FE0AE3F">
      <w:pPr>
        <w:pStyle w:val="13"/>
        <w:rPr>
          <w:rFonts w:hint="eastAsia" w:ascii="宋体" w:hAnsi="宋体" w:cs="宋体"/>
          <w:b/>
          <w:bCs/>
          <w:color w:val="auto"/>
          <w:sz w:val="44"/>
          <w:szCs w:val="44"/>
          <w:lang w:val="en-US" w:eastAsia="zh-CN"/>
        </w:rPr>
      </w:pPr>
    </w:p>
    <w:p w14:paraId="433AFCCD">
      <w:pPr>
        <w:rPr>
          <w:rFonts w:hint="eastAsia" w:ascii="宋体" w:hAnsi="宋体" w:cs="宋体"/>
          <w:b/>
          <w:bCs/>
          <w:color w:val="auto"/>
          <w:sz w:val="44"/>
          <w:szCs w:val="44"/>
          <w:lang w:val="en-US" w:eastAsia="zh-CN"/>
        </w:rPr>
      </w:pPr>
    </w:p>
    <w:p w14:paraId="3F1EFC05">
      <w:pPr>
        <w:rPr>
          <w:rFonts w:hint="eastAsia"/>
          <w:lang w:val="en-US" w:eastAsia="zh-CN"/>
        </w:rPr>
      </w:pPr>
    </w:p>
    <w:p w14:paraId="7DFCDC16">
      <w:pPr>
        <w:pStyle w:val="17"/>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r>
        <w:rPr>
          <w:rFonts w:hint="eastAsia" w:ascii="宋体" w:hAnsi="宋体" w:cs="宋体"/>
          <w:b/>
          <w:bCs/>
          <w:color w:val="auto"/>
          <w:sz w:val="44"/>
          <w:szCs w:val="44"/>
          <w:lang w:val="en-US" w:eastAsia="zh-CN"/>
        </w:rPr>
        <w:t>第二章采购需求</w:t>
      </w:r>
    </w:p>
    <w:p w14:paraId="0DE823E3">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黑体" w:hAnsi="黑体" w:eastAsia="黑体" w:cs="黑体"/>
          <w:bCs/>
          <w:color w:val="auto"/>
          <w:kern w:val="0"/>
          <w:sz w:val="28"/>
          <w:szCs w:val="28"/>
          <w:lang w:val="en-US" w:eastAsia="zh-CN" w:bidi="ar-SA"/>
        </w:rPr>
      </w:pPr>
      <w:r>
        <w:rPr>
          <w:rFonts w:hint="eastAsia" w:ascii="黑体" w:hAnsi="黑体" w:eastAsia="黑体" w:cs="黑体"/>
          <w:bCs/>
          <w:color w:val="auto"/>
          <w:kern w:val="0"/>
          <w:sz w:val="28"/>
          <w:szCs w:val="28"/>
          <w:lang w:val="en-US" w:eastAsia="zh-CN" w:bidi="ar-SA"/>
        </w:rPr>
        <w:t>一、采购清单、采购项目交付或者实施的时间和地点</w:t>
      </w:r>
    </w:p>
    <w:p w14:paraId="72D2BF8C">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1.采购项目</w:t>
      </w:r>
    </w:p>
    <w:tbl>
      <w:tblPr>
        <w:tblStyle w:val="14"/>
        <w:tblW w:w="9689"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831"/>
        <w:gridCol w:w="2676"/>
        <w:gridCol w:w="1486"/>
        <w:gridCol w:w="2310"/>
        <w:gridCol w:w="2386"/>
      </w:tblGrid>
      <w:tr w14:paraId="20CC542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70" w:hRule="atLeast"/>
          <w:jc w:val="center"/>
        </w:trPr>
        <w:tc>
          <w:tcPr>
            <w:tcW w:w="831"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44330983">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序号</w:t>
            </w:r>
          </w:p>
        </w:tc>
        <w:tc>
          <w:tcPr>
            <w:tcW w:w="267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67B60DE4">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rPr>
              <w:t>设备</w:t>
            </w:r>
            <w:r>
              <w:rPr>
                <w:rFonts w:hint="eastAsia" w:asciiTheme="minorEastAsia" w:hAnsiTheme="minorEastAsia" w:eastAsiaTheme="minorEastAsia" w:cstheme="minorEastAsia"/>
                <w:kern w:val="2"/>
                <w:sz w:val="24"/>
                <w:szCs w:val="24"/>
              </w:rPr>
              <w:t>名称</w:t>
            </w:r>
          </w:p>
        </w:tc>
        <w:tc>
          <w:tcPr>
            <w:tcW w:w="148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58002AC1">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数量</w:t>
            </w:r>
            <w:r>
              <w:rPr>
                <w:rFonts w:hint="eastAsia" w:asciiTheme="minorEastAsia" w:hAnsiTheme="minorEastAsia" w:eastAsiaTheme="minorEastAsia" w:cstheme="minorEastAsia"/>
                <w:sz w:val="24"/>
                <w:szCs w:val="24"/>
              </w:rPr>
              <w:t>(台/套)</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252226A3">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预算</w:t>
            </w:r>
            <w:r>
              <w:rPr>
                <w:rFonts w:hint="eastAsia" w:asciiTheme="minorEastAsia" w:hAnsiTheme="minorEastAsia" w:eastAsiaTheme="minorEastAsia" w:cstheme="minorEastAsia"/>
                <w:kern w:val="2"/>
                <w:sz w:val="24"/>
                <w:szCs w:val="24"/>
                <w:lang w:eastAsia="zh-CN"/>
              </w:rPr>
              <w:t>总</w:t>
            </w:r>
            <w:r>
              <w:rPr>
                <w:rFonts w:hint="eastAsia" w:asciiTheme="minorEastAsia" w:hAnsiTheme="minorEastAsia" w:eastAsiaTheme="minorEastAsia" w:cstheme="minorEastAsia"/>
                <w:kern w:val="2"/>
                <w:sz w:val="24"/>
                <w:szCs w:val="24"/>
              </w:rPr>
              <w:t>价（万元）</w:t>
            </w:r>
          </w:p>
        </w:tc>
        <w:tc>
          <w:tcPr>
            <w:tcW w:w="2386"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77B7E320">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rPr>
              <w:t>是否允许进口产品</w:t>
            </w:r>
          </w:p>
        </w:tc>
      </w:tr>
      <w:tr w14:paraId="4C6A9AF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51" w:hRule="atLeast"/>
          <w:jc w:val="center"/>
        </w:trPr>
        <w:tc>
          <w:tcPr>
            <w:tcW w:w="831"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0E6B9F1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w:t>
            </w:r>
          </w:p>
        </w:tc>
        <w:tc>
          <w:tcPr>
            <w:tcW w:w="267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24ADCC23">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消化道动力检测系统</w:t>
            </w:r>
          </w:p>
        </w:tc>
        <w:tc>
          <w:tcPr>
            <w:tcW w:w="1486"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6187CCB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34140D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44.5</w:t>
            </w:r>
          </w:p>
        </w:tc>
        <w:tc>
          <w:tcPr>
            <w:tcW w:w="2386"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5425AB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rPr>
              <w:t>否</w:t>
            </w:r>
          </w:p>
        </w:tc>
      </w:tr>
    </w:tbl>
    <w:p w14:paraId="21E9F081">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p>
    <w:p w14:paraId="336CF4AB">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2、服务时间：双方签订合同时具体约定。</w:t>
      </w:r>
    </w:p>
    <w:p w14:paraId="72701C18">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3、服务地点：娄底市中心医院。</w:t>
      </w:r>
    </w:p>
    <w:p w14:paraId="33970FE5">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黑体" w:hAnsi="黑体" w:eastAsia="黑体" w:cs="黑体"/>
          <w:bCs/>
          <w:color w:val="auto"/>
          <w:kern w:val="0"/>
          <w:sz w:val="28"/>
          <w:szCs w:val="28"/>
          <w:lang w:val="en-US" w:eastAsia="zh-CN" w:bidi="ar-SA"/>
        </w:rPr>
      </w:pPr>
      <w:r>
        <w:rPr>
          <w:rFonts w:hint="eastAsia" w:ascii="黑体" w:hAnsi="黑体" w:eastAsia="黑体" w:cs="黑体"/>
          <w:bCs/>
          <w:color w:val="auto"/>
          <w:kern w:val="0"/>
          <w:sz w:val="28"/>
          <w:szCs w:val="28"/>
          <w:lang w:val="en-US" w:eastAsia="zh-CN" w:bidi="ar-SA"/>
        </w:rPr>
        <w:t>二、项目内容及要求</w:t>
      </w:r>
    </w:p>
    <w:p w14:paraId="307D6C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（一）技术参数</w:t>
      </w:r>
    </w:p>
    <w:p w14:paraId="164CA7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▲1.测压通道：≥22通道。</w:t>
      </w:r>
    </w:p>
    <w:p w14:paraId="7B49E7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▲2．软件系统配置:食管测压、肛肠测压、生物反馈训练采集及分析软件</w:t>
      </w:r>
    </w:p>
    <w:p w14:paraId="45613C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3、技术性能</w:t>
      </w:r>
    </w:p>
    <w:p w14:paraId="6F66D3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3.1电子恒压控制器</w:t>
      </w:r>
    </w:p>
    <w:p w14:paraId="730A5B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3.2气压自动调节：系统在正常工作时，能在所定压力范围内自动开关，储气罐最高压力应不大于300KPa，最低压力应不小于150KPa。</w:t>
      </w:r>
    </w:p>
    <w:p w14:paraId="637E85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3.3电机水阀：电机水阀应在消化道动力检测软件系统中点击相应的水阀开关按钮，准确控制开启与关闭动作。</w:t>
      </w:r>
      <w:bookmarkStart w:id="5" w:name="_GoBack"/>
      <w:bookmarkEnd w:id="5"/>
    </w:p>
    <w:p w14:paraId="0C8BE8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3.4 测量范围：-100mmHg～+450mmHg；</w:t>
      </w:r>
    </w:p>
    <w:p w14:paraId="17D37F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3.5 压力分辨率：</w:t>
      </w:r>
      <w:r>
        <w:rPr>
          <w:rFonts w:hint="default" w:asciiTheme="minorEastAsia" w:hAnsiTheme="minorEastAsia" w:eastAsiaTheme="minorEastAsia" w:cstheme="minorEastAsia"/>
          <w:bCs/>
          <w:color w:val="auto"/>
          <w:kern w:val="0"/>
          <w:sz w:val="24"/>
          <w:szCs w:val="24"/>
          <w:lang w:val="en-US" w:eastAsia="zh-CN" w:bidi="ar-SA"/>
        </w:rPr>
        <w:t>≤</w:t>
      </w:r>
      <w:r>
        <w:rPr>
          <w:rFonts w:hint="eastAsia" w:asciiTheme="minorEastAsia" w:hAnsiTheme="minorEastAsia" w:eastAsiaTheme="minorEastAsia" w:cstheme="minorEastAsia"/>
          <w:bCs/>
          <w:color w:val="auto"/>
          <w:kern w:val="0"/>
          <w:sz w:val="24"/>
          <w:szCs w:val="24"/>
          <w:lang w:val="en-US" w:eastAsia="zh-CN" w:bidi="ar-SA"/>
        </w:rPr>
        <w:t>0.04mmHg；</w:t>
      </w:r>
    </w:p>
    <w:p w14:paraId="45D7C9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3.6 精确度： 在-100mmHg～+100mmHg范围内≤±1.6mmHg；</w:t>
      </w:r>
    </w:p>
    <w:p w14:paraId="5D1D88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在+100mmHg～+450mmHg范围内≤±1.6%；</w:t>
      </w:r>
    </w:p>
    <w:p w14:paraId="2C61F3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3.7测量分辨率：</w:t>
      </w:r>
      <w:r>
        <w:rPr>
          <w:rFonts w:hint="default" w:asciiTheme="minorEastAsia" w:hAnsiTheme="minorEastAsia" w:eastAsiaTheme="minorEastAsia" w:cstheme="minorEastAsia"/>
          <w:bCs/>
          <w:color w:val="auto"/>
          <w:kern w:val="0"/>
          <w:sz w:val="24"/>
          <w:szCs w:val="24"/>
          <w:lang w:val="en-US" w:eastAsia="zh-CN" w:bidi="ar-SA"/>
        </w:rPr>
        <w:t>≥</w:t>
      </w:r>
      <w:r>
        <w:rPr>
          <w:rFonts w:hint="eastAsia" w:asciiTheme="minorEastAsia" w:hAnsiTheme="minorEastAsia" w:eastAsiaTheme="minorEastAsia" w:cstheme="minorEastAsia"/>
          <w:bCs/>
          <w:color w:val="auto"/>
          <w:kern w:val="0"/>
          <w:sz w:val="24"/>
          <w:szCs w:val="24"/>
          <w:lang w:val="en-US" w:eastAsia="zh-CN" w:bidi="ar-SA"/>
        </w:rPr>
        <w:t>25 bit A/D。</w:t>
      </w:r>
    </w:p>
    <w:p w14:paraId="4A8A41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3.8压力控制：计算机全自动恒压控制；</w:t>
      </w:r>
    </w:p>
    <w:p w14:paraId="720BC6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 xml:space="preserve">▲3.9设备具有水固一体功能 </w:t>
      </w:r>
    </w:p>
    <w:p w14:paraId="5EFEE0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4．软件性能及参数</w:t>
      </w:r>
    </w:p>
    <w:p w14:paraId="3675A1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4.1图像显示：不少于3种显示方法，1）二维波形曲线图，2）三维Clouse等高图，3）模拟动画图；</w:t>
      </w:r>
    </w:p>
    <w:p w14:paraId="2DBC1D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4.2事件分析：自动分析和人工干预；</w:t>
      </w:r>
    </w:p>
    <w:p w14:paraId="28BAA6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4.3扩展功能：可支持扩展到36~144道高分辨率测压系统；</w:t>
      </w:r>
    </w:p>
    <w:p w14:paraId="1741B4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4.4 食管检测参数：对咽部及LES的压力波形进行实时记录，调整基线、暂停、波形存储、操作导航等操作；食管测压检查，检测食管静息压、残余压、蠕动波速度、LES松弛率、UES松弛压力、食管传导模式等多种压力参数；</w:t>
      </w:r>
    </w:p>
    <w:p w14:paraId="69EA99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★4.5 肛肠检测参数：对肛门括约肌及直肠的压力波形进行实时记录，调整基线、暂停、波形存储、操作导航等操作；肛门测压检查，检测肛门最大自主性收缩压、排便压力、静息压力、直肠扩张引起的肛门内括约肌抑制性反射（RAIR）、直肠容量感觉阀值，包括引起感觉的最小容量及最大耐受容量阀值、排便动力、括约肌长度等多种压力参数；</w:t>
      </w:r>
    </w:p>
    <w:p w14:paraId="71BBE0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4.6 生物反馈：系统可采用液态或固态压力检测训练法对肛门括约肌和腹压的控制能力来自动调节训练强度，使患者能在自身控制能力的临界点对肛门括约肌进行最有效的训练，达到真正意义上的反馈训练，软件具有训练后对训练结果给出评价分功能。</w:t>
      </w:r>
    </w:p>
    <w:p w14:paraId="6B6B5F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4.7训练项目：肛门松驰训练、排便训练、腹压训练、腹压与肛门松驰协调训练；</w:t>
      </w:r>
    </w:p>
    <w:p w14:paraId="0B5E15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4.8数据分析：计算机自动分析各种参数，并能进行人工干预；</w:t>
      </w:r>
    </w:p>
    <w:p w14:paraId="4F581B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4.9食管动力障碍诊断：计算机专家系统自动诊断食管动力功能性障碍的相关疾病；</w:t>
      </w:r>
    </w:p>
    <w:p w14:paraId="1A9A4A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4.10肛肠动力障碍诊断：计算机专家系统自动诊断肛直肠功能性障碍的相关疾病；</w:t>
      </w:r>
    </w:p>
    <w:p w14:paraId="2D56CE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4.11临床检测报告：自动打印相关动力参数，提供诊断结果，并能选择特征波谱。</w:t>
      </w:r>
    </w:p>
    <w:p w14:paraId="4C36BF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（二）配置清单</w:t>
      </w:r>
    </w:p>
    <w:tbl>
      <w:tblPr>
        <w:tblStyle w:val="14"/>
        <w:tblW w:w="77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6"/>
        <w:gridCol w:w="3283"/>
        <w:gridCol w:w="2092"/>
        <w:gridCol w:w="1383"/>
      </w:tblGrid>
      <w:tr w14:paraId="73C5C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76" w:type="dxa"/>
            <w:noWrap/>
            <w:vAlign w:val="top"/>
          </w:tcPr>
          <w:p w14:paraId="774F0C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序号</w:t>
            </w:r>
          </w:p>
        </w:tc>
        <w:tc>
          <w:tcPr>
            <w:tcW w:w="3283" w:type="dxa"/>
            <w:noWrap w:val="0"/>
            <w:vAlign w:val="top"/>
          </w:tcPr>
          <w:p w14:paraId="5AE96C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产品名称</w:t>
            </w:r>
          </w:p>
        </w:tc>
        <w:tc>
          <w:tcPr>
            <w:tcW w:w="2092" w:type="dxa"/>
            <w:noWrap w:val="0"/>
            <w:vAlign w:val="top"/>
          </w:tcPr>
          <w:p w14:paraId="19663C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产品型号/规格</w:t>
            </w:r>
          </w:p>
        </w:tc>
        <w:tc>
          <w:tcPr>
            <w:tcW w:w="1383" w:type="dxa"/>
            <w:noWrap w:val="0"/>
            <w:vAlign w:val="top"/>
          </w:tcPr>
          <w:p w14:paraId="107C8C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数量</w:t>
            </w:r>
          </w:p>
        </w:tc>
      </w:tr>
      <w:tr w14:paraId="1EC48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76" w:type="dxa"/>
            <w:noWrap/>
            <w:vAlign w:val="center"/>
          </w:tcPr>
          <w:p w14:paraId="457CCB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c>
          <w:tcPr>
            <w:tcW w:w="3283" w:type="dxa"/>
            <w:noWrap w:val="0"/>
            <w:vAlign w:val="center"/>
          </w:tcPr>
          <w:p w14:paraId="4FEE2A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推车部件</w:t>
            </w:r>
          </w:p>
        </w:tc>
        <w:tc>
          <w:tcPr>
            <w:tcW w:w="2092" w:type="dxa"/>
            <w:noWrap w:val="0"/>
            <w:vAlign w:val="center"/>
          </w:tcPr>
          <w:p w14:paraId="475915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p>
        </w:tc>
        <w:tc>
          <w:tcPr>
            <w:tcW w:w="1383" w:type="dxa"/>
            <w:noWrap w:val="0"/>
            <w:vAlign w:val="center"/>
          </w:tcPr>
          <w:p w14:paraId="2D9F51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58CAE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76" w:type="dxa"/>
            <w:noWrap/>
            <w:vAlign w:val="center"/>
          </w:tcPr>
          <w:p w14:paraId="6AE974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p>
        </w:tc>
        <w:tc>
          <w:tcPr>
            <w:tcW w:w="3283" w:type="dxa"/>
            <w:noWrap w:val="0"/>
            <w:vAlign w:val="center"/>
          </w:tcPr>
          <w:p w14:paraId="74097C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24通道电子放大器部件</w:t>
            </w:r>
          </w:p>
        </w:tc>
        <w:tc>
          <w:tcPr>
            <w:tcW w:w="2092" w:type="dxa"/>
            <w:noWrap w:val="0"/>
            <w:vAlign w:val="center"/>
          </w:tcPr>
          <w:p w14:paraId="2C40E6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p>
        </w:tc>
        <w:tc>
          <w:tcPr>
            <w:tcW w:w="1383" w:type="dxa"/>
            <w:noWrap w:val="0"/>
            <w:vAlign w:val="center"/>
          </w:tcPr>
          <w:p w14:paraId="670AD0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6C5DA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76" w:type="dxa"/>
            <w:noWrap/>
            <w:vAlign w:val="center"/>
          </w:tcPr>
          <w:p w14:paraId="4ABD69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w:t>
            </w:r>
          </w:p>
        </w:tc>
        <w:tc>
          <w:tcPr>
            <w:tcW w:w="3283" w:type="dxa"/>
            <w:noWrap w:val="0"/>
            <w:vAlign w:val="center"/>
          </w:tcPr>
          <w:p w14:paraId="382B45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电子恒压控制器部件</w:t>
            </w:r>
          </w:p>
        </w:tc>
        <w:tc>
          <w:tcPr>
            <w:tcW w:w="2092" w:type="dxa"/>
            <w:noWrap w:val="0"/>
            <w:vAlign w:val="center"/>
          </w:tcPr>
          <w:p w14:paraId="1C6CF0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p>
        </w:tc>
        <w:tc>
          <w:tcPr>
            <w:tcW w:w="1383" w:type="dxa"/>
            <w:noWrap w:val="0"/>
            <w:vAlign w:val="center"/>
          </w:tcPr>
          <w:p w14:paraId="2FD110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2D6AC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76" w:type="dxa"/>
            <w:noWrap/>
            <w:vAlign w:val="center"/>
          </w:tcPr>
          <w:p w14:paraId="20D745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w:t>
            </w:r>
          </w:p>
        </w:tc>
        <w:tc>
          <w:tcPr>
            <w:tcW w:w="3283" w:type="dxa"/>
            <w:noWrap w:val="0"/>
            <w:vAlign w:val="center"/>
          </w:tcPr>
          <w:p w14:paraId="513821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储气罐部件</w:t>
            </w:r>
          </w:p>
        </w:tc>
        <w:tc>
          <w:tcPr>
            <w:tcW w:w="2092" w:type="dxa"/>
            <w:noWrap w:val="0"/>
            <w:vAlign w:val="center"/>
          </w:tcPr>
          <w:p w14:paraId="2DB747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p>
        </w:tc>
        <w:tc>
          <w:tcPr>
            <w:tcW w:w="1383" w:type="dxa"/>
            <w:noWrap w:val="0"/>
            <w:vAlign w:val="center"/>
          </w:tcPr>
          <w:p w14:paraId="53A451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66827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76" w:type="dxa"/>
            <w:noWrap/>
            <w:vAlign w:val="center"/>
          </w:tcPr>
          <w:p w14:paraId="4860ED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w:t>
            </w:r>
          </w:p>
        </w:tc>
        <w:tc>
          <w:tcPr>
            <w:tcW w:w="3283" w:type="dxa"/>
            <w:noWrap w:val="0"/>
            <w:vAlign w:val="center"/>
          </w:tcPr>
          <w:p w14:paraId="59C3F2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水箱部件</w:t>
            </w:r>
          </w:p>
        </w:tc>
        <w:tc>
          <w:tcPr>
            <w:tcW w:w="2092" w:type="dxa"/>
            <w:noWrap w:val="0"/>
            <w:vAlign w:val="center"/>
          </w:tcPr>
          <w:p w14:paraId="232E72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p>
        </w:tc>
        <w:tc>
          <w:tcPr>
            <w:tcW w:w="1383" w:type="dxa"/>
            <w:noWrap w:val="0"/>
            <w:vAlign w:val="center"/>
          </w:tcPr>
          <w:p w14:paraId="499409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64B4B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76" w:type="dxa"/>
            <w:noWrap/>
            <w:vAlign w:val="center"/>
          </w:tcPr>
          <w:p w14:paraId="4EEE3B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w:t>
            </w:r>
          </w:p>
        </w:tc>
        <w:tc>
          <w:tcPr>
            <w:tcW w:w="3283" w:type="dxa"/>
            <w:noWrap w:val="0"/>
            <w:vAlign w:val="center"/>
          </w:tcPr>
          <w:p w14:paraId="4A6621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消化道动力检测系统文档组件</w:t>
            </w:r>
          </w:p>
        </w:tc>
        <w:tc>
          <w:tcPr>
            <w:tcW w:w="2092" w:type="dxa"/>
            <w:noWrap w:val="0"/>
            <w:vAlign w:val="center"/>
          </w:tcPr>
          <w:p w14:paraId="3D527D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p>
        </w:tc>
        <w:tc>
          <w:tcPr>
            <w:tcW w:w="1383" w:type="dxa"/>
            <w:noWrap w:val="0"/>
            <w:vAlign w:val="center"/>
          </w:tcPr>
          <w:p w14:paraId="21FE3B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24BD6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76" w:type="dxa"/>
            <w:noWrap/>
            <w:vAlign w:val="center"/>
          </w:tcPr>
          <w:p w14:paraId="676F9D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w:t>
            </w:r>
          </w:p>
        </w:tc>
        <w:tc>
          <w:tcPr>
            <w:tcW w:w="3283" w:type="dxa"/>
            <w:noWrap w:val="0"/>
            <w:vAlign w:val="center"/>
          </w:tcPr>
          <w:p w14:paraId="5C7352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辅助配件类</w:t>
            </w:r>
          </w:p>
        </w:tc>
        <w:tc>
          <w:tcPr>
            <w:tcW w:w="2092" w:type="dxa"/>
            <w:noWrap/>
            <w:vAlign w:val="center"/>
          </w:tcPr>
          <w:p w14:paraId="46590E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p>
        </w:tc>
        <w:tc>
          <w:tcPr>
            <w:tcW w:w="1383" w:type="dxa"/>
            <w:noWrap w:val="0"/>
            <w:vAlign w:val="center"/>
          </w:tcPr>
          <w:p w14:paraId="48273C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2E384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76" w:type="dxa"/>
            <w:noWrap/>
            <w:vAlign w:val="center"/>
          </w:tcPr>
          <w:p w14:paraId="3DE1C4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w:t>
            </w:r>
          </w:p>
        </w:tc>
        <w:tc>
          <w:tcPr>
            <w:tcW w:w="3283" w:type="dxa"/>
            <w:noWrap w:val="0"/>
            <w:vAlign w:val="center"/>
          </w:tcPr>
          <w:p w14:paraId="19A389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测压软件</w:t>
            </w:r>
          </w:p>
        </w:tc>
        <w:tc>
          <w:tcPr>
            <w:tcW w:w="2092" w:type="dxa"/>
            <w:noWrap/>
            <w:vAlign w:val="center"/>
          </w:tcPr>
          <w:p w14:paraId="58F357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p>
        </w:tc>
        <w:tc>
          <w:tcPr>
            <w:tcW w:w="1383" w:type="dxa"/>
            <w:noWrap w:val="0"/>
            <w:vAlign w:val="center"/>
          </w:tcPr>
          <w:p w14:paraId="648390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7320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76" w:type="dxa"/>
            <w:noWrap/>
            <w:vAlign w:val="center"/>
          </w:tcPr>
          <w:p w14:paraId="282631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w:t>
            </w:r>
          </w:p>
        </w:tc>
        <w:tc>
          <w:tcPr>
            <w:tcW w:w="3283" w:type="dxa"/>
            <w:noWrap w:val="0"/>
            <w:vAlign w:val="center"/>
          </w:tcPr>
          <w:p w14:paraId="4BD988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水灌注式食管测压导管</w:t>
            </w:r>
          </w:p>
        </w:tc>
        <w:tc>
          <w:tcPr>
            <w:tcW w:w="2092" w:type="dxa"/>
            <w:noWrap w:val="0"/>
            <w:vAlign w:val="center"/>
          </w:tcPr>
          <w:p w14:paraId="792085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 xml:space="preserve">24通道 </w:t>
            </w:r>
          </w:p>
        </w:tc>
        <w:tc>
          <w:tcPr>
            <w:tcW w:w="1383" w:type="dxa"/>
            <w:noWrap w:val="0"/>
            <w:vAlign w:val="center"/>
          </w:tcPr>
          <w:p w14:paraId="5C969C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p>
        </w:tc>
      </w:tr>
      <w:tr w14:paraId="08B40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76" w:type="dxa"/>
            <w:noWrap/>
            <w:vAlign w:val="center"/>
          </w:tcPr>
          <w:p w14:paraId="15225F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w:t>
            </w:r>
          </w:p>
        </w:tc>
        <w:tc>
          <w:tcPr>
            <w:tcW w:w="3283" w:type="dxa"/>
            <w:noWrap w:val="0"/>
            <w:vAlign w:val="center"/>
          </w:tcPr>
          <w:p w14:paraId="2DE4E0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水灌注式肛直肠测压导管</w:t>
            </w:r>
          </w:p>
        </w:tc>
        <w:tc>
          <w:tcPr>
            <w:tcW w:w="2092" w:type="dxa"/>
            <w:noWrap w:val="0"/>
            <w:vAlign w:val="center"/>
          </w:tcPr>
          <w:p w14:paraId="6F9097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 xml:space="preserve">24通道 </w:t>
            </w:r>
          </w:p>
        </w:tc>
        <w:tc>
          <w:tcPr>
            <w:tcW w:w="1383" w:type="dxa"/>
            <w:noWrap w:val="0"/>
            <w:vAlign w:val="center"/>
          </w:tcPr>
          <w:p w14:paraId="7B9A5C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p>
        </w:tc>
      </w:tr>
      <w:tr w14:paraId="08140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76" w:type="dxa"/>
            <w:noWrap/>
            <w:vAlign w:val="center"/>
          </w:tcPr>
          <w:p w14:paraId="6988B6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11</w:t>
            </w:r>
          </w:p>
        </w:tc>
        <w:tc>
          <w:tcPr>
            <w:tcW w:w="3283" w:type="dxa"/>
            <w:noWrap w:val="0"/>
            <w:vAlign w:val="center"/>
          </w:tcPr>
          <w:p w14:paraId="2F9CC9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 xml:space="preserve">水灌注式肛直肠测压导管 </w:t>
            </w:r>
          </w:p>
        </w:tc>
        <w:tc>
          <w:tcPr>
            <w:tcW w:w="2092" w:type="dxa"/>
            <w:noWrap w:val="0"/>
            <w:vAlign w:val="center"/>
          </w:tcPr>
          <w:p w14:paraId="1B89AA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w:t>
            </w:r>
            <w:r>
              <w:rPr>
                <w:rFonts w:hint="default" w:asciiTheme="minorEastAsia" w:hAnsiTheme="minorEastAsia" w:eastAsiaTheme="minorEastAsia" w:cstheme="minorEastAsia"/>
                <w:bCs/>
                <w:color w:val="auto"/>
                <w:kern w:val="0"/>
                <w:sz w:val="24"/>
                <w:szCs w:val="24"/>
                <w:lang w:val="en-US" w:eastAsia="zh-CN" w:bidi="ar-SA"/>
              </w:rPr>
              <w:t xml:space="preserve">通道 </w:t>
            </w:r>
          </w:p>
        </w:tc>
        <w:tc>
          <w:tcPr>
            <w:tcW w:w="1383" w:type="dxa"/>
            <w:noWrap w:val="0"/>
            <w:vAlign w:val="center"/>
          </w:tcPr>
          <w:p w14:paraId="232560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p>
        </w:tc>
      </w:tr>
      <w:tr w14:paraId="3688E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76" w:type="dxa"/>
            <w:noWrap/>
            <w:vAlign w:val="center"/>
          </w:tcPr>
          <w:p w14:paraId="0BF183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12</w:t>
            </w:r>
          </w:p>
        </w:tc>
        <w:tc>
          <w:tcPr>
            <w:tcW w:w="3283" w:type="dxa"/>
            <w:noWrap w:val="0"/>
            <w:vAlign w:val="center"/>
          </w:tcPr>
          <w:p w14:paraId="4FB00D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压力传感器</w:t>
            </w:r>
          </w:p>
        </w:tc>
        <w:tc>
          <w:tcPr>
            <w:tcW w:w="2092" w:type="dxa"/>
            <w:noWrap w:val="0"/>
            <w:vAlign w:val="center"/>
          </w:tcPr>
          <w:p w14:paraId="312D56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p>
        </w:tc>
        <w:tc>
          <w:tcPr>
            <w:tcW w:w="1383" w:type="dxa"/>
            <w:noWrap w:val="0"/>
            <w:vAlign w:val="center"/>
          </w:tcPr>
          <w:p w14:paraId="7D2F54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40</w:t>
            </w:r>
          </w:p>
        </w:tc>
      </w:tr>
      <w:tr w14:paraId="7636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76" w:type="dxa"/>
            <w:noWrap/>
            <w:vAlign w:val="center"/>
          </w:tcPr>
          <w:p w14:paraId="32DA3E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13</w:t>
            </w:r>
          </w:p>
        </w:tc>
        <w:tc>
          <w:tcPr>
            <w:tcW w:w="3283" w:type="dxa"/>
            <w:noWrap w:val="0"/>
            <w:vAlign w:val="center"/>
          </w:tcPr>
          <w:p w14:paraId="3B00B1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毛细管</w:t>
            </w:r>
          </w:p>
        </w:tc>
        <w:tc>
          <w:tcPr>
            <w:tcW w:w="2092" w:type="dxa"/>
            <w:noWrap w:val="0"/>
            <w:vAlign w:val="center"/>
          </w:tcPr>
          <w:p w14:paraId="05ED9B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p>
        </w:tc>
        <w:tc>
          <w:tcPr>
            <w:tcW w:w="1383" w:type="dxa"/>
            <w:noWrap w:val="0"/>
            <w:vAlign w:val="center"/>
          </w:tcPr>
          <w:p w14:paraId="68AE9C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40</w:t>
            </w:r>
          </w:p>
        </w:tc>
      </w:tr>
      <w:tr w14:paraId="53F21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76" w:type="dxa"/>
            <w:noWrap/>
            <w:vAlign w:val="center"/>
          </w:tcPr>
          <w:p w14:paraId="1A0CCF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14</w:t>
            </w:r>
          </w:p>
        </w:tc>
        <w:tc>
          <w:tcPr>
            <w:tcW w:w="3283" w:type="dxa"/>
            <w:noWrap w:val="0"/>
            <w:vAlign w:val="center"/>
          </w:tcPr>
          <w:p w14:paraId="21511B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测压球囊</w:t>
            </w:r>
          </w:p>
        </w:tc>
        <w:tc>
          <w:tcPr>
            <w:tcW w:w="2092" w:type="dxa"/>
            <w:noWrap w:val="0"/>
            <w:vAlign w:val="center"/>
          </w:tcPr>
          <w:p w14:paraId="7E5CC1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p>
        </w:tc>
        <w:tc>
          <w:tcPr>
            <w:tcW w:w="1383" w:type="dxa"/>
            <w:noWrap w:val="0"/>
            <w:vAlign w:val="center"/>
          </w:tcPr>
          <w:p w14:paraId="3E71BE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w:t>
            </w:r>
          </w:p>
        </w:tc>
      </w:tr>
      <w:tr w14:paraId="421F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976" w:type="dxa"/>
            <w:noWrap/>
            <w:vAlign w:val="center"/>
          </w:tcPr>
          <w:p w14:paraId="084616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15</w:t>
            </w:r>
          </w:p>
        </w:tc>
        <w:tc>
          <w:tcPr>
            <w:tcW w:w="3283" w:type="dxa"/>
            <w:noWrap w:val="0"/>
            <w:vAlign w:val="center"/>
          </w:tcPr>
          <w:p w14:paraId="5D3871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快速冲洗器</w:t>
            </w:r>
          </w:p>
        </w:tc>
        <w:tc>
          <w:tcPr>
            <w:tcW w:w="2092" w:type="dxa"/>
            <w:noWrap w:val="0"/>
            <w:vAlign w:val="center"/>
          </w:tcPr>
          <w:p w14:paraId="6F8B9A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p>
        </w:tc>
        <w:tc>
          <w:tcPr>
            <w:tcW w:w="1383" w:type="dxa"/>
            <w:noWrap w:val="0"/>
            <w:vAlign w:val="center"/>
          </w:tcPr>
          <w:p w14:paraId="0541AE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796EF65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99" w:hRule="atLeast"/>
          <w:jc w:val="center"/>
        </w:trPr>
        <w:tc>
          <w:tcPr>
            <w:tcW w:w="976" w:type="dxa"/>
            <w:tcBorders>
              <w:top w:val="single" w:color="000000" w:sz="4" w:space="0"/>
              <w:left w:val="single" w:color="000000" w:sz="4" w:space="0"/>
              <w:bottom w:val="single" w:color="000000" w:sz="4" w:space="0"/>
              <w:right w:val="single" w:color="000000" w:sz="4" w:space="0"/>
            </w:tcBorders>
            <w:noWrap w:val="0"/>
            <w:vAlign w:val="center"/>
          </w:tcPr>
          <w:p w14:paraId="7E9480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16</w:t>
            </w:r>
          </w:p>
        </w:tc>
        <w:tc>
          <w:tcPr>
            <w:tcW w:w="3283" w:type="dxa"/>
            <w:tcBorders>
              <w:top w:val="single" w:color="000000" w:sz="4" w:space="0"/>
              <w:left w:val="single" w:color="000000" w:sz="4" w:space="0"/>
              <w:bottom w:val="single" w:color="000000" w:sz="4" w:space="0"/>
              <w:right w:val="single" w:color="000000" w:sz="4" w:space="0"/>
            </w:tcBorders>
            <w:noWrap/>
            <w:vAlign w:val="center"/>
          </w:tcPr>
          <w:p w14:paraId="2BF3C4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快速冲洗器</w:t>
            </w:r>
          </w:p>
        </w:tc>
        <w:tc>
          <w:tcPr>
            <w:tcW w:w="2092" w:type="dxa"/>
            <w:tcBorders>
              <w:top w:val="single" w:color="000000" w:sz="4" w:space="0"/>
              <w:left w:val="single" w:color="000000" w:sz="4" w:space="0"/>
              <w:bottom w:val="single" w:color="000000" w:sz="4" w:space="0"/>
              <w:right w:val="single" w:color="000000" w:sz="4" w:space="0"/>
            </w:tcBorders>
            <w:noWrap/>
            <w:vAlign w:val="center"/>
          </w:tcPr>
          <w:p w14:paraId="72DE2C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p>
        </w:tc>
        <w:tc>
          <w:tcPr>
            <w:tcW w:w="1383" w:type="dxa"/>
            <w:tcBorders>
              <w:top w:val="single" w:color="000000" w:sz="4" w:space="0"/>
              <w:left w:val="single" w:color="000000" w:sz="4" w:space="0"/>
              <w:bottom w:val="single" w:color="000000" w:sz="4" w:space="0"/>
              <w:right w:val="single" w:color="000000" w:sz="4" w:space="0"/>
            </w:tcBorders>
            <w:noWrap w:val="0"/>
            <w:vAlign w:val="center"/>
          </w:tcPr>
          <w:p w14:paraId="557564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2A27548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99" w:hRule="atLeast"/>
          <w:jc w:val="center"/>
        </w:trPr>
        <w:tc>
          <w:tcPr>
            <w:tcW w:w="976" w:type="dxa"/>
            <w:tcBorders>
              <w:top w:val="single" w:color="000000" w:sz="4" w:space="0"/>
              <w:left w:val="single" w:color="000000" w:sz="4" w:space="0"/>
              <w:bottom w:val="single" w:color="000000" w:sz="4" w:space="0"/>
              <w:right w:val="single" w:color="000000" w:sz="4" w:space="0"/>
            </w:tcBorders>
            <w:noWrap w:val="0"/>
            <w:vAlign w:val="center"/>
          </w:tcPr>
          <w:p w14:paraId="2B30D3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17</w:t>
            </w:r>
          </w:p>
        </w:tc>
        <w:tc>
          <w:tcPr>
            <w:tcW w:w="3283" w:type="dxa"/>
            <w:tcBorders>
              <w:top w:val="single" w:color="000000" w:sz="4" w:space="0"/>
              <w:left w:val="single" w:color="000000" w:sz="4" w:space="0"/>
              <w:bottom w:val="single" w:color="000000" w:sz="4" w:space="0"/>
              <w:right w:val="single" w:color="000000" w:sz="4" w:space="0"/>
            </w:tcBorders>
            <w:noWrap/>
            <w:vAlign w:val="center"/>
          </w:tcPr>
          <w:p w14:paraId="0226E7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医用真丝非吸收缝线</w:t>
            </w:r>
          </w:p>
        </w:tc>
        <w:tc>
          <w:tcPr>
            <w:tcW w:w="2092" w:type="dxa"/>
            <w:tcBorders>
              <w:top w:val="single" w:color="000000" w:sz="4" w:space="0"/>
              <w:left w:val="single" w:color="000000" w:sz="4" w:space="0"/>
              <w:bottom w:val="single" w:color="000000" w:sz="4" w:space="0"/>
              <w:right w:val="single" w:color="000000" w:sz="4" w:space="0"/>
            </w:tcBorders>
            <w:noWrap/>
            <w:vAlign w:val="center"/>
          </w:tcPr>
          <w:p w14:paraId="11B7C4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default" w:asciiTheme="minorEastAsia" w:hAnsiTheme="minorEastAsia" w:eastAsiaTheme="minorEastAsia" w:cstheme="minorEastAsia"/>
                <w:bCs/>
                <w:color w:val="auto"/>
                <w:kern w:val="0"/>
                <w:sz w:val="24"/>
                <w:szCs w:val="24"/>
                <w:lang w:val="en-US" w:eastAsia="zh-CN" w:bidi="ar-SA"/>
              </w:rPr>
              <w:t>线团长3.5M</w:t>
            </w:r>
          </w:p>
        </w:tc>
        <w:tc>
          <w:tcPr>
            <w:tcW w:w="1383" w:type="dxa"/>
            <w:tcBorders>
              <w:top w:val="single" w:color="000000" w:sz="4" w:space="0"/>
              <w:left w:val="single" w:color="000000" w:sz="4" w:space="0"/>
              <w:bottom w:val="single" w:color="000000" w:sz="4" w:space="0"/>
              <w:right w:val="single" w:color="000000" w:sz="4" w:space="0"/>
            </w:tcBorders>
            <w:noWrap w:val="0"/>
            <w:vAlign w:val="center"/>
          </w:tcPr>
          <w:p w14:paraId="300727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5EF1727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99" w:hRule="atLeast"/>
          <w:jc w:val="center"/>
        </w:trPr>
        <w:tc>
          <w:tcPr>
            <w:tcW w:w="976" w:type="dxa"/>
            <w:tcBorders>
              <w:top w:val="single" w:color="000000" w:sz="4" w:space="0"/>
              <w:left w:val="single" w:color="000000" w:sz="4" w:space="0"/>
              <w:bottom w:val="single" w:color="000000" w:sz="4" w:space="0"/>
              <w:right w:val="single" w:color="000000" w:sz="4" w:space="0"/>
            </w:tcBorders>
            <w:noWrap w:val="0"/>
            <w:vAlign w:val="center"/>
          </w:tcPr>
          <w:p w14:paraId="619ECE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18</w:t>
            </w:r>
          </w:p>
        </w:tc>
        <w:tc>
          <w:tcPr>
            <w:tcW w:w="3283" w:type="dxa"/>
            <w:tcBorders>
              <w:top w:val="single" w:color="000000" w:sz="4" w:space="0"/>
              <w:left w:val="single" w:color="000000" w:sz="4" w:space="0"/>
              <w:bottom w:val="single" w:color="000000" w:sz="4" w:space="0"/>
              <w:right w:val="single" w:color="000000" w:sz="4" w:space="0"/>
            </w:tcBorders>
            <w:noWrap/>
            <w:vAlign w:val="center"/>
          </w:tcPr>
          <w:p w14:paraId="0F5180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过滤器套装</w:t>
            </w:r>
          </w:p>
        </w:tc>
        <w:tc>
          <w:tcPr>
            <w:tcW w:w="2092" w:type="dxa"/>
            <w:tcBorders>
              <w:top w:val="single" w:color="000000" w:sz="4" w:space="0"/>
              <w:left w:val="single" w:color="000000" w:sz="4" w:space="0"/>
              <w:bottom w:val="single" w:color="000000" w:sz="4" w:space="0"/>
              <w:right w:val="single" w:color="000000" w:sz="4" w:space="0"/>
            </w:tcBorders>
            <w:noWrap/>
            <w:vAlign w:val="center"/>
          </w:tcPr>
          <w:p w14:paraId="422E107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5μm可替换芯</w:t>
            </w:r>
          </w:p>
        </w:tc>
        <w:tc>
          <w:tcPr>
            <w:tcW w:w="1383" w:type="dxa"/>
            <w:tcBorders>
              <w:top w:val="single" w:color="000000" w:sz="4" w:space="0"/>
              <w:left w:val="single" w:color="000000" w:sz="4" w:space="0"/>
              <w:bottom w:val="single" w:color="000000" w:sz="4" w:space="0"/>
              <w:right w:val="single" w:color="000000" w:sz="4" w:space="0"/>
            </w:tcBorders>
            <w:noWrap w:val="0"/>
            <w:vAlign w:val="center"/>
          </w:tcPr>
          <w:p w14:paraId="4EABE8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0F2D1A0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99" w:hRule="atLeast"/>
          <w:jc w:val="center"/>
        </w:trPr>
        <w:tc>
          <w:tcPr>
            <w:tcW w:w="976" w:type="dxa"/>
            <w:tcBorders>
              <w:top w:val="single" w:color="000000" w:sz="4" w:space="0"/>
              <w:left w:val="single" w:color="000000" w:sz="4" w:space="0"/>
              <w:bottom w:val="single" w:color="000000" w:sz="4" w:space="0"/>
              <w:right w:val="single" w:color="000000" w:sz="4" w:space="0"/>
            </w:tcBorders>
            <w:noWrap w:val="0"/>
            <w:vAlign w:val="center"/>
          </w:tcPr>
          <w:p w14:paraId="2ADE77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19</w:t>
            </w:r>
          </w:p>
        </w:tc>
        <w:tc>
          <w:tcPr>
            <w:tcW w:w="3283" w:type="dxa"/>
            <w:tcBorders>
              <w:top w:val="single" w:color="000000" w:sz="4" w:space="0"/>
              <w:left w:val="single" w:color="000000" w:sz="4" w:space="0"/>
              <w:bottom w:val="single" w:color="000000" w:sz="4" w:space="0"/>
              <w:right w:val="single" w:color="000000" w:sz="4" w:space="0"/>
            </w:tcBorders>
            <w:noWrap/>
            <w:vAlign w:val="center"/>
          </w:tcPr>
          <w:p w14:paraId="0C6AB0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工作站</w:t>
            </w:r>
          </w:p>
        </w:tc>
        <w:tc>
          <w:tcPr>
            <w:tcW w:w="2092" w:type="dxa"/>
            <w:tcBorders>
              <w:top w:val="single" w:color="000000" w:sz="4" w:space="0"/>
              <w:left w:val="single" w:color="000000" w:sz="4" w:space="0"/>
              <w:bottom w:val="single" w:color="000000" w:sz="4" w:space="0"/>
              <w:right w:val="single" w:color="000000" w:sz="4" w:space="0"/>
            </w:tcBorders>
            <w:noWrap/>
            <w:vAlign w:val="center"/>
          </w:tcPr>
          <w:p w14:paraId="4374279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cstheme="minorEastAsia"/>
                <w:bCs/>
                <w:color w:val="auto"/>
                <w:kern w:val="0"/>
                <w:sz w:val="24"/>
                <w:szCs w:val="24"/>
                <w:lang w:val="en-US" w:eastAsia="zh-CN" w:bidi="ar-SA"/>
              </w:rPr>
              <w:t>包含显示设备、彩色打印机、键盘、鼠标、音响等</w:t>
            </w:r>
          </w:p>
        </w:tc>
        <w:tc>
          <w:tcPr>
            <w:tcW w:w="1383" w:type="dxa"/>
            <w:tcBorders>
              <w:top w:val="single" w:color="000000" w:sz="4" w:space="0"/>
              <w:left w:val="single" w:color="000000" w:sz="4" w:space="0"/>
              <w:bottom w:val="single" w:color="000000" w:sz="4" w:space="0"/>
              <w:right w:val="single" w:color="000000" w:sz="4" w:space="0"/>
            </w:tcBorders>
            <w:noWrap w:val="0"/>
            <w:vAlign w:val="center"/>
          </w:tcPr>
          <w:p w14:paraId="492702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bl>
    <w:p w14:paraId="7A1EA2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p>
    <w:p w14:paraId="2268F48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商务参数</w:t>
      </w:r>
    </w:p>
    <w:p w14:paraId="0E6DFB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运输、装卸、培训、安装调试：由中标人负责承担，最终通过使用科室、设备科及相关部门确认验收交付使用。国产设备交付，设备必须为6个月内生产的产品；进口设备交付，设备必须为一年内生产的产品。</w:t>
      </w:r>
      <w:r>
        <w:rPr>
          <w:rFonts w:hint="eastAsia" w:asciiTheme="minorEastAsia" w:hAnsiTheme="minorEastAsia" w:eastAsiaTheme="minorEastAsia" w:cstheme="minorEastAsia"/>
          <w:bCs/>
          <w:color w:val="auto"/>
          <w:kern w:val="0"/>
          <w:sz w:val="24"/>
          <w:szCs w:val="24"/>
          <w:lang w:val="en-US" w:eastAsia="zh-CN" w:bidi="ar-SA"/>
        </w:rPr>
        <w:cr/>
      </w:r>
      <w:r>
        <w:rPr>
          <w:rFonts w:hint="eastAsia" w:asciiTheme="minorEastAsia" w:hAnsiTheme="minorEastAsia" w:eastAsiaTheme="minorEastAsia" w:cstheme="minorEastAsia"/>
          <w:bCs/>
          <w:color w:val="auto"/>
          <w:kern w:val="0"/>
          <w:sz w:val="24"/>
          <w:szCs w:val="24"/>
          <w:lang w:val="en-US" w:eastAsia="zh-CN" w:bidi="ar-SA"/>
        </w:rPr>
        <w:t xml:space="preserve">    ★2、交货时间：按合同约定的日期交货。</w:t>
      </w:r>
    </w:p>
    <w:p w14:paraId="786F3E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★3、交货地点：娄底市中心医院指定地点。</w:t>
      </w:r>
    </w:p>
    <w:p w14:paraId="71F16D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★4、付款方式：设备验收合格后，供应商将发票交到娄底市中心医院后按程序支付货款90%（一般情况下4个月内支付、特殊情况下最多不超过6个月），甲方在设备验收合格且质保期届满后支付10%余款给乙方。</w:t>
      </w:r>
      <w:r>
        <w:rPr>
          <w:rFonts w:hint="eastAsia" w:asciiTheme="minorEastAsia" w:hAnsiTheme="minorEastAsia" w:eastAsiaTheme="minorEastAsia" w:cstheme="minorEastAsia"/>
          <w:bCs/>
          <w:color w:val="auto"/>
          <w:kern w:val="0"/>
          <w:sz w:val="24"/>
          <w:szCs w:val="24"/>
          <w:lang w:val="en-US" w:eastAsia="zh-CN" w:bidi="ar-SA"/>
        </w:rPr>
        <w:cr/>
      </w:r>
      <w:r>
        <w:rPr>
          <w:rFonts w:hint="eastAsia" w:asciiTheme="minorEastAsia" w:hAnsiTheme="minorEastAsia" w:eastAsiaTheme="minorEastAsia" w:cstheme="minorEastAsia"/>
          <w:bCs/>
          <w:color w:val="auto"/>
          <w:kern w:val="0"/>
          <w:sz w:val="24"/>
          <w:szCs w:val="24"/>
          <w:lang w:val="en-US" w:eastAsia="zh-CN" w:bidi="ar-SA"/>
        </w:rPr>
        <w:t xml:space="preserve">   ★5、质保与售后：整机保修3年，终身维修。验收时出具原厂售后质保承诺书，质保期内每年巡检一次，并提交巡检记录。</w:t>
      </w:r>
      <w:r>
        <w:rPr>
          <w:rFonts w:hint="eastAsia" w:asciiTheme="minorEastAsia" w:hAnsiTheme="minorEastAsia" w:eastAsiaTheme="minorEastAsia" w:cstheme="minorEastAsia"/>
          <w:bCs/>
          <w:color w:val="auto"/>
          <w:kern w:val="0"/>
          <w:sz w:val="24"/>
          <w:szCs w:val="24"/>
          <w:lang w:val="zh-CN" w:eastAsia="zh-CN" w:bidi="ar-SA"/>
        </w:rPr>
        <w:t>质保期内</w:t>
      </w:r>
      <w:r>
        <w:rPr>
          <w:rFonts w:hint="eastAsia" w:asciiTheme="minorEastAsia" w:hAnsiTheme="minorEastAsia" w:eastAsiaTheme="minorEastAsia" w:cstheme="minorEastAsia"/>
          <w:bCs/>
          <w:color w:val="auto"/>
          <w:kern w:val="0"/>
          <w:sz w:val="24"/>
          <w:szCs w:val="24"/>
          <w:lang w:val="en-US" w:eastAsia="zh-CN" w:bidi="ar-SA"/>
        </w:rPr>
        <w:t>出现故障，1小时响应，响应后24小时上门服务。</w:t>
      </w:r>
    </w:p>
    <w:p w14:paraId="0D4C6A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在投标文件中必须提供相关技术资料并加盖投标人公章（如技术参数、技术白皮书、说明书、彩页等），并在响应表中对技术参数中“★”、“▲”以及要求提供佐证材料的条款备注该条参数响应或正偏离的佐证资料所在页码。</w:t>
      </w:r>
    </w:p>
    <w:p w14:paraId="315725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b/>
          <w:bCs/>
        </w:rPr>
      </w:pPr>
      <w:r>
        <w:rPr>
          <w:rFonts w:hint="eastAsia" w:asciiTheme="minorEastAsia" w:hAnsiTheme="minorEastAsia" w:eastAsiaTheme="minorEastAsia" w:cstheme="minorEastAsia"/>
          <w:bCs/>
          <w:color w:val="auto"/>
          <w:kern w:val="0"/>
          <w:sz w:val="24"/>
          <w:szCs w:val="24"/>
          <w:lang w:val="en-US" w:eastAsia="zh-CN" w:bidi="ar-SA"/>
        </w:rPr>
        <w:t>★7、设备如涉及网络接口费用，由中标人承担，采购人不再出具任何费用。</w:t>
      </w:r>
    </w:p>
    <w:p w14:paraId="4CFA2887">
      <w:pPr>
        <w:widowControl/>
        <w:adjustRightInd w:val="0"/>
        <w:snapToGrid w:val="0"/>
        <w:spacing w:line="360" w:lineRule="auto"/>
        <w:rPr>
          <w:rFonts w:hint="eastAsia" w:hAnsi="Times New Roman" w:eastAsia="宋体" w:cs="Times New Roman"/>
          <w:b/>
          <w:bCs/>
          <w:sz w:val="36"/>
          <w:szCs w:val="36"/>
          <w:lang w:val="en-US" w:eastAsia="zh-CN"/>
        </w:rPr>
      </w:pPr>
    </w:p>
    <w:p w14:paraId="46A704C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0" w:firstLineChars="200"/>
        <w:textAlignment w:val="auto"/>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三、标书要求</w:t>
      </w:r>
    </w:p>
    <w:p w14:paraId="25ED71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1、封面：需注明标的名称、投标文件、单位、时间；</w:t>
      </w:r>
    </w:p>
    <w:p w14:paraId="040BE2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2、“三证合一”或“五证合一”营业执照，医疗器械经营许可证或医疗器械经营备案凭证、生产厂家营业执照、生产许可证、产品注册证；</w:t>
      </w:r>
    </w:p>
    <w:p w14:paraId="241C0F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3、投标人身份证复印件；</w:t>
      </w:r>
    </w:p>
    <w:p w14:paraId="56F2FD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4、如投标人不是法定代表人，须持法定代表人亲笔签名的授权委托书,并提供法定代表人身份证明和法定代表人身份证复印件，同时要求法定代表人在身份证复印件上注明用途及签全名。</w:t>
      </w:r>
    </w:p>
    <w:p w14:paraId="3A6CE9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5、履行本项目所必需的资质证明；</w:t>
      </w:r>
    </w:p>
    <w:p w14:paraId="2DF147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6、针对此项目的技术、服务方案；</w:t>
      </w:r>
    </w:p>
    <w:p w14:paraId="09A42D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7、投标人认为需提供的其他和评审有关的资料；</w:t>
      </w:r>
    </w:p>
    <w:p w14:paraId="79C9DC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8、投标文件的每一页都必须加盖投标单位的公章；</w:t>
      </w:r>
    </w:p>
    <w:p w14:paraId="4A5603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9、投标文件参数响应表中必须标注响应项佐证材料所对应页面。</w:t>
      </w:r>
    </w:p>
    <w:p w14:paraId="1DEAF0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所有资料均应编入投标文件，胶装并用纸质文件袋封好（一正一副），标书必须“A4规格纸张胶制（非打孔或夹装）装订成册，并编制总目录”,要求密封，否则视为符合性审查不合格，作无效投标处理，在开标现场验证时打开，采用现场开标的方式。</w:t>
      </w:r>
    </w:p>
    <w:p w14:paraId="1386DB41">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Cs/>
          <w:color w:val="auto"/>
          <w:kern w:val="0"/>
          <w:sz w:val="28"/>
          <w:szCs w:val="28"/>
          <w:lang w:val="en-US" w:eastAsia="zh-CN" w:bidi="ar-SA"/>
        </w:rPr>
        <w:t>四、合同</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w:t>
      </w:r>
    </w:p>
    <w:p w14:paraId="7EA1756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合同编号：</w:t>
      </w:r>
    </w:p>
    <w:p w14:paraId="5F5BAF8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黑体" w:hAnsi="黑体" w:eastAsia="黑体" w:cs="黑体"/>
          <w:color w:val="000000" w:themeColor="text1"/>
          <w:sz w:val="44"/>
          <w:szCs w:val="44"/>
          <w:highlight w:val="none"/>
          <w:lang w:val="en-US" w:eastAsia="zh-CN"/>
          <w14:textFill>
            <w14:solidFill>
              <w14:schemeClr w14:val="tx1"/>
            </w14:solidFill>
          </w14:textFill>
        </w:rPr>
        <w:t>医疗设备采购合同</w:t>
      </w:r>
    </w:p>
    <w:p w14:paraId="5CD67D0F">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4B57DFDA">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甲方（采购方）：</w:t>
      </w:r>
      <w:r>
        <w:rPr>
          <w:rFonts w:hint="eastAsia" w:ascii="宋体" w:hAnsi="宋体" w:eastAsia="宋体" w:cs="宋体"/>
          <w:color w:val="000000" w:themeColor="text1"/>
          <w:sz w:val="24"/>
          <w:szCs w:val="24"/>
          <w:highlight w:val="none"/>
          <w:lang w:val="en-US" w:eastAsia="zh-CN"/>
          <w14:textFill>
            <w14:solidFill>
              <w14:schemeClr w14:val="tx1"/>
            </w14:solidFill>
          </w14:textFill>
        </w:rPr>
        <w:t>娄底市中心医院</w:t>
      </w:r>
    </w:p>
    <w:p w14:paraId="6091C079">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法定代表人：</w:t>
      </w:r>
      <w:r>
        <w:rPr>
          <w:rFonts w:hint="eastAsia" w:ascii="宋体" w:hAnsi="宋体" w:eastAsia="宋体" w:cs="宋体"/>
          <w:color w:val="0000FF"/>
          <w:sz w:val="24"/>
          <w:szCs w:val="24"/>
          <w:highlight w:val="none"/>
          <w:lang w:val="en-US" w:eastAsia="zh-CN"/>
        </w:rPr>
        <w:t>杨吉军</w:t>
      </w:r>
    </w:p>
    <w:p w14:paraId="2D871BB0">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统一社会信用代码：12431300447162073W</w:t>
      </w:r>
    </w:p>
    <w:p w14:paraId="7953085B">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地址：湖南省娄底市娄星区长青中街51号</w:t>
      </w:r>
    </w:p>
    <w:p w14:paraId="00BC74E0">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联系人：彭春涛</w:t>
      </w:r>
    </w:p>
    <w:p w14:paraId="280ED9CA">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联系电话：13027388172</w:t>
      </w:r>
    </w:p>
    <w:p w14:paraId="0AD84E22">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乙方（供货方）：</w:t>
      </w:r>
    </w:p>
    <w:p w14:paraId="44C607F7">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法定代表人：</w:t>
      </w:r>
    </w:p>
    <w:p w14:paraId="1DA0FCE1">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统一社会信用代码：</w:t>
      </w:r>
    </w:p>
    <w:p w14:paraId="4436AD8E">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w:t>
      </w:r>
    </w:p>
    <w:p w14:paraId="294B0FC5">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w:t>
      </w:r>
    </w:p>
    <w:p w14:paraId="1B9EE5D5">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联系电话：</w:t>
      </w:r>
    </w:p>
    <w:p w14:paraId="708F1C0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07BF541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甲方通过（□</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公开招标</w:t>
      </w:r>
      <w:r>
        <w:rPr>
          <w:rFonts w:hint="eastAsia" w:ascii="宋体" w:hAnsi="宋体" w:eastAsia="宋体" w:cs="宋体"/>
          <w:color w:val="000000" w:themeColor="text1"/>
          <w:sz w:val="24"/>
          <w:szCs w:val="24"/>
          <w:highlight w:val="none"/>
          <w:lang w:val="en-US" w:eastAsia="zh-CN"/>
          <w14:textFill>
            <w14:solidFill>
              <w14:schemeClr w14:val="tx1"/>
            </w14:solidFill>
          </w14:textFill>
        </w:rPr>
        <w:t>☑医院公开挂网□医院院内议价□湖南政府采购电子卖场竞价）</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方式</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消化道动力检测系统 </w:t>
      </w:r>
      <w:r>
        <w:rPr>
          <w:rFonts w:hint="eastAsia" w:ascii="宋体" w:hAnsi="宋体" w:eastAsia="宋体" w:cs="宋体"/>
          <w:color w:val="000000" w:themeColor="text1"/>
          <w:sz w:val="24"/>
          <w:szCs w:val="24"/>
          <w:highlight w:val="none"/>
          <w:lang w:val="en-US" w:eastAsia="zh-CN"/>
          <w14:textFill>
            <w14:solidFill>
              <w14:schemeClr w14:val="tx1"/>
            </w14:solidFill>
          </w14:textFill>
        </w:rPr>
        <w:t>，乙方为中标/中选供应商，</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项目编号：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。根据《中华人民共和国民法典》《中华人民共和国政府采购法》等相关法律规定，甲乙双方在采购项目确定的基础上，就采购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消化道动力检测系统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相关</w:t>
      </w:r>
      <w:r>
        <w:rPr>
          <w:rFonts w:hint="eastAsia" w:ascii="宋体" w:hAnsi="宋体" w:eastAsia="宋体" w:cs="宋体"/>
          <w:color w:val="000000" w:themeColor="text1"/>
          <w:sz w:val="24"/>
          <w:szCs w:val="24"/>
          <w:highlight w:val="none"/>
          <w:lang w:val="en-US" w:eastAsia="zh-CN"/>
          <w14:textFill>
            <w14:solidFill>
              <w14:schemeClr w14:val="tx1"/>
            </w14:solidFill>
          </w14:textFill>
        </w:rPr>
        <w:t>事宜平等、自愿、公平、诚信协商，达成一致，特订立本合同，以资共同遵守。</w:t>
      </w:r>
    </w:p>
    <w:p w14:paraId="7F0324E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 xml:space="preserve">第一条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采购内容</w:t>
      </w:r>
    </w:p>
    <w:p w14:paraId="044B7CC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 设备名称、品牌、型号、价格</w:t>
      </w:r>
    </w:p>
    <w:tbl>
      <w:tblPr>
        <w:tblStyle w:val="14"/>
        <w:tblpPr w:leftFromText="180" w:rightFromText="180" w:vertAnchor="text" w:horzAnchor="page" w:tblpX="1965" w:tblpY="148"/>
        <w:tblOverlap w:val="never"/>
        <w:tblW w:w="84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7"/>
        <w:gridCol w:w="1220"/>
        <w:gridCol w:w="1760"/>
        <w:gridCol w:w="1320"/>
        <w:gridCol w:w="940"/>
        <w:gridCol w:w="1654"/>
      </w:tblGrid>
      <w:tr w14:paraId="05AEA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517" w:type="dxa"/>
            <w:vAlign w:val="top"/>
          </w:tcPr>
          <w:p w14:paraId="380E1E4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设备</w:t>
            </w:r>
            <w:r>
              <w:rPr>
                <w:rFonts w:hint="eastAsia" w:ascii="宋体" w:hAnsi="宋体" w:eastAsia="宋体" w:cs="宋体"/>
                <w:color w:val="000000" w:themeColor="text1"/>
                <w:kern w:val="0"/>
                <w:sz w:val="24"/>
                <w:szCs w:val="24"/>
                <w:highlight w:val="none"/>
                <w14:textFill>
                  <w14:solidFill>
                    <w14:schemeClr w14:val="tx1"/>
                  </w14:solidFill>
                </w14:textFill>
              </w:rPr>
              <w:t>名称</w:t>
            </w:r>
          </w:p>
        </w:tc>
        <w:tc>
          <w:tcPr>
            <w:tcW w:w="1220" w:type="dxa"/>
            <w:vAlign w:val="top"/>
          </w:tcPr>
          <w:p w14:paraId="159BBD4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品牌</w:t>
            </w:r>
          </w:p>
        </w:tc>
        <w:tc>
          <w:tcPr>
            <w:tcW w:w="1760" w:type="dxa"/>
            <w:vAlign w:val="top"/>
          </w:tcPr>
          <w:p w14:paraId="4CB3AD8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型号</w:t>
            </w:r>
          </w:p>
        </w:tc>
        <w:tc>
          <w:tcPr>
            <w:tcW w:w="1320" w:type="dxa"/>
            <w:vAlign w:val="top"/>
          </w:tcPr>
          <w:p w14:paraId="5CEE3CF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单价（元）</w:t>
            </w:r>
          </w:p>
        </w:tc>
        <w:tc>
          <w:tcPr>
            <w:tcW w:w="940" w:type="dxa"/>
            <w:vAlign w:val="top"/>
          </w:tcPr>
          <w:p w14:paraId="1CA0988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数量</w:t>
            </w:r>
          </w:p>
        </w:tc>
        <w:tc>
          <w:tcPr>
            <w:tcW w:w="1654" w:type="dxa"/>
            <w:vAlign w:val="top"/>
          </w:tcPr>
          <w:p w14:paraId="4E02658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金额（元）</w:t>
            </w:r>
          </w:p>
        </w:tc>
      </w:tr>
      <w:tr w14:paraId="3DEB3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517" w:type="dxa"/>
            <w:vAlign w:val="top"/>
          </w:tcPr>
          <w:p w14:paraId="1A2D0306">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消化道动力检测系统</w:t>
            </w:r>
          </w:p>
        </w:tc>
        <w:tc>
          <w:tcPr>
            <w:tcW w:w="1220" w:type="dxa"/>
            <w:vAlign w:val="center"/>
          </w:tcPr>
          <w:p w14:paraId="404ECEF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 xml:space="preserve"> </w:t>
            </w:r>
          </w:p>
        </w:tc>
        <w:tc>
          <w:tcPr>
            <w:tcW w:w="1760" w:type="dxa"/>
            <w:vAlign w:val="top"/>
          </w:tcPr>
          <w:p w14:paraId="42337B7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1320" w:type="dxa"/>
            <w:vAlign w:val="top"/>
          </w:tcPr>
          <w:p w14:paraId="3DFFD50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 xml:space="preserve"> </w:t>
            </w:r>
          </w:p>
        </w:tc>
        <w:tc>
          <w:tcPr>
            <w:tcW w:w="940" w:type="dxa"/>
            <w:vAlign w:val="top"/>
          </w:tcPr>
          <w:p w14:paraId="5CE7BB9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1套</w:t>
            </w:r>
          </w:p>
        </w:tc>
        <w:tc>
          <w:tcPr>
            <w:tcW w:w="1654" w:type="dxa"/>
            <w:vAlign w:val="top"/>
          </w:tcPr>
          <w:p w14:paraId="717347F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r>
      <w:tr w14:paraId="12F95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411" w:type="dxa"/>
            <w:gridSpan w:val="6"/>
            <w:vAlign w:val="top"/>
          </w:tcPr>
          <w:p w14:paraId="504A4B96">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合计</w:t>
            </w:r>
            <w:r>
              <w:rPr>
                <w:rFonts w:hint="eastAsia" w:ascii="宋体" w:hAnsi="宋体" w:eastAsia="宋体" w:cs="宋体"/>
                <w:color w:val="000000" w:themeColor="text1"/>
                <w:kern w:val="0"/>
                <w:sz w:val="24"/>
                <w:szCs w:val="24"/>
                <w:highlight w:val="none"/>
                <w:lang w:eastAsia="zh-CN"/>
                <w14:textFill>
                  <w14:solidFill>
                    <w14:schemeClr w14:val="tx1"/>
                  </w14:solidFill>
                </w14:textFill>
              </w:rPr>
              <w:t>价款</w:t>
            </w:r>
            <w:r>
              <w:rPr>
                <w:rFonts w:hint="eastAsia" w:ascii="宋体" w:hAnsi="宋体" w:eastAsia="宋体" w:cs="宋体"/>
                <w:color w:val="000000" w:themeColor="text1"/>
                <w:kern w:val="0"/>
                <w:sz w:val="24"/>
                <w:szCs w:val="24"/>
                <w:highlight w:val="none"/>
                <w14:textFill>
                  <w14:solidFill>
                    <w14:schemeClr w14:val="tx1"/>
                  </w14:solidFill>
                </w14:textFill>
              </w:rPr>
              <w:t>金额人民币（大写）：</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元</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 xml:space="preserve">整      </w:t>
            </w:r>
            <w:r>
              <w:rPr>
                <w:rFonts w:hint="eastAsia" w:ascii="宋体" w:hAnsi="宋体" w:eastAsia="宋体" w:cs="宋体"/>
                <w:color w:val="000000" w:themeColor="text1"/>
                <w:kern w:val="0"/>
                <w:sz w:val="24"/>
                <w:szCs w:val="24"/>
                <w:highlight w:val="none"/>
                <w14:textFill>
                  <w14:solidFill>
                    <w14:schemeClr w14:val="tx1"/>
                  </w14:solidFill>
                </w14:textFill>
              </w:rPr>
              <w:t>（小写）：</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元</w:t>
            </w:r>
          </w:p>
        </w:tc>
      </w:tr>
    </w:tbl>
    <w:p w14:paraId="10DA839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1.2 本合同约定价格为（☑固定总价□固定单价），不因物价、市场波动变更，约定价格包括且不限于设计费、材料费、人工费、安装费、包装费、运输费、装卸费、调试费、接口费、检测费、检验费、税费、保险费、售后服务费、附随服务费等在内所有费用。 </w:t>
      </w:r>
    </w:p>
    <w:p w14:paraId="22AFC7E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 □</w:t>
      </w:r>
      <w:r>
        <w:rPr>
          <w:rFonts w:hint="eastAsia" w:ascii="宋体" w:hAnsi="宋体" w:cs="宋体"/>
          <w:color w:val="000000" w:themeColor="text1"/>
          <w:sz w:val="24"/>
          <w:szCs w:val="24"/>
          <w:highlight w:val="none"/>
          <w14:textFill>
            <w14:solidFill>
              <w14:schemeClr w14:val="tx1"/>
            </w14:solidFill>
          </w14:textFill>
        </w:rPr>
        <w:t>本合同设备</w:t>
      </w:r>
      <w:r>
        <w:rPr>
          <w:rFonts w:hint="eastAsia" w:ascii="宋体" w:hAnsi="宋体" w:cs="宋体"/>
          <w:color w:val="000000" w:themeColor="text1"/>
          <w:sz w:val="24"/>
          <w:szCs w:val="24"/>
          <w:highlight w:val="none"/>
          <w:lang w:eastAsia="zh-CN"/>
          <w14:textFill>
            <w14:solidFill>
              <w14:schemeClr w14:val="tx1"/>
            </w14:solidFill>
          </w14:textFill>
        </w:rPr>
        <w:t>无需</w:t>
      </w:r>
      <w:r>
        <w:rPr>
          <w:rFonts w:hint="eastAsia" w:ascii="宋体" w:hAnsi="宋体" w:cs="宋体"/>
          <w:color w:val="000000" w:themeColor="text1"/>
          <w:sz w:val="24"/>
          <w:szCs w:val="24"/>
          <w:highlight w:val="none"/>
          <w14:textFill>
            <w14:solidFill>
              <w14:schemeClr w14:val="tx1"/>
            </w14:solidFill>
          </w14:textFill>
        </w:rPr>
        <w:t>与甲方</w:t>
      </w:r>
      <w:r>
        <w:rPr>
          <w:rFonts w:hint="eastAsia" w:ascii="宋体" w:hAnsi="宋体" w:cs="宋体"/>
          <w:color w:val="000000" w:themeColor="text1"/>
          <w:sz w:val="24"/>
          <w:szCs w:val="24"/>
          <w:highlight w:val="none"/>
          <w:lang w:eastAsia="zh-CN"/>
          <w14:textFill>
            <w14:solidFill>
              <w14:schemeClr w14:val="tx1"/>
            </w14:solidFill>
          </w14:textFill>
        </w:rPr>
        <w:t>使用的</w:t>
      </w:r>
      <w:r>
        <w:rPr>
          <w:rFonts w:hint="eastAsia" w:ascii="宋体" w:hAnsi="宋体" w:cs="宋体"/>
          <w:color w:val="000000" w:themeColor="text1"/>
          <w:sz w:val="24"/>
          <w:szCs w:val="24"/>
          <w:highlight w:val="none"/>
          <w14:textFill>
            <w14:solidFill>
              <w14:schemeClr w14:val="tx1"/>
            </w14:solidFill>
          </w14:textFill>
        </w:rPr>
        <w:t>信息系统</w:t>
      </w:r>
      <w:r>
        <w:rPr>
          <w:rFonts w:hint="eastAsia" w:ascii="宋体" w:hAnsi="宋体" w:cs="宋体"/>
          <w:color w:val="000000" w:themeColor="text1"/>
          <w:sz w:val="24"/>
          <w:szCs w:val="24"/>
          <w:highlight w:val="none"/>
          <w:lang w:eastAsia="zh-CN"/>
          <w14:textFill>
            <w14:solidFill>
              <w14:schemeClr w14:val="tx1"/>
            </w14:solidFill>
          </w14:textFill>
        </w:rPr>
        <w:t>对接。</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本合同设备</w:t>
      </w:r>
      <w:r>
        <w:rPr>
          <w:rFonts w:hint="eastAsia" w:ascii="宋体" w:hAnsi="宋体" w:cs="宋体"/>
          <w:color w:val="000000" w:themeColor="text1"/>
          <w:sz w:val="24"/>
          <w:szCs w:val="24"/>
          <w:highlight w:val="none"/>
          <w:lang w:eastAsia="zh-CN"/>
          <w14:textFill>
            <w14:solidFill>
              <w14:schemeClr w14:val="tx1"/>
            </w14:solidFill>
          </w14:textFill>
        </w:rPr>
        <w:t>需要</w:t>
      </w:r>
      <w:r>
        <w:rPr>
          <w:rFonts w:hint="eastAsia" w:ascii="宋体" w:hAnsi="宋体" w:cs="宋体"/>
          <w:color w:val="000000" w:themeColor="text1"/>
          <w:sz w:val="24"/>
          <w:szCs w:val="24"/>
          <w:highlight w:val="none"/>
          <w14:textFill>
            <w14:solidFill>
              <w14:schemeClr w14:val="tx1"/>
            </w14:solidFill>
          </w14:textFill>
        </w:rPr>
        <w:t>与甲方</w:t>
      </w:r>
      <w:r>
        <w:rPr>
          <w:rFonts w:hint="eastAsia" w:ascii="宋体" w:hAnsi="宋体" w:cs="宋体"/>
          <w:color w:val="000000" w:themeColor="text1"/>
          <w:sz w:val="24"/>
          <w:szCs w:val="24"/>
          <w:highlight w:val="none"/>
          <w:lang w:eastAsia="zh-CN"/>
          <w14:textFill>
            <w14:solidFill>
              <w14:schemeClr w14:val="tx1"/>
            </w14:solidFill>
          </w14:textFill>
        </w:rPr>
        <w:t>使用的</w:t>
      </w:r>
      <w:r>
        <w:rPr>
          <w:rFonts w:hint="eastAsia" w:ascii="宋体" w:hAnsi="宋体" w:cs="宋体"/>
          <w:color w:val="000000" w:themeColor="text1"/>
          <w:sz w:val="24"/>
          <w:szCs w:val="24"/>
          <w:highlight w:val="none"/>
          <w14:textFill>
            <w14:solidFill>
              <w14:schemeClr w14:val="tx1"/>
            </w14:solidFill>
          </w14:textFill>
        </w:rPr>
        <w:t>信息系统</w:t>
      </w:r>
      <w:r>
        <w:rPr>
          <w:rFonts w:hint="eastAsia" w:ascii="宋体" w:hAnsi="宋体" w:cs="宋体"/>
          <w:color w:val="000000" w:themeColor="text1"/>
          <w:sz w:val="24"/>
          <w:szCs w:val="24"/>
          <w:highlight w:val="none"/>
          <w:lang w:eastAsia="zh-CN"/>
          <w14:textFill>
            <w14:solidFill>
              <w14:schemeClr w14:val="tx1"/>
            </w14:solidFill>
          </w14:textFill>
        </w:rPr>
        <w:t>对接，因</w:t>
      </w:r>
      <w:r>
        <w:rPr>
          <w:rFonts w:hint="eastAsia" w:ascii="宋体" w:hAnsi="宋体" w:cs="宋体"/>
          <w:color w:val="000000" w:themeColor="text1"/>
          <w:sz w:val="24"/>
          <w:szCs w:val="24"/>
          <w:highlight w:val="none"/>
          <w14:textFill>
            <w14:solidFill>
              <w14:schemeClr w14:val="tx1"/>
            </w14:solidFill>
          </w14:textFill>
        </w:rPr>
        <w:t>对接产生的接口开发等</w:t>
      </w:r>
      <w:r>
        <w:rPr>
          <w:rFonts w:hint="eastAsia" w:ascii="宋体" w:hAnsi="宋体" w:cs="宋体"/>
          <w:color w:val="000000" w:themeColor="text1"/>
          <w:sz w:val="24"/>
          <w:szCs w:val="24"/>
          <w:highlight w:val="none"/>
          <w:lang w:eastAsia="zh-CN"/>
          <w14:textFill>
            <w14:solidFill>
              <w14:schemeClr w14:val="tx1"/>
            </w14:solidFill>
          </w14:textFill>
        </w:rPr>
        <w:t>乙方及第三方需要收取的</w:t>
      </w:r>
      <w:r>
        <w:rPr>
          <w:rFonts w:hint="eastAsia" w:ascii="宋体" w:hAnsi="宋体" w:cs="宋体"/>
          <w:color w:val="000000" w:themeColor="text1"/>
          <w:sz w:val="24"/>
          <w:szCs w:val="24"/>
          <w:highlight w:val="none"/>
          <w14:textFill>
            <w14:solidFill>
              <w14:schemeClr w14:val="tx1"/>
            </w14:solidFill>
          </w14:textFill>
        </w:rPr>
        <w:t>全部费用均由乙方承担。</w:t>
      </w:r>
    </w:p>
    <w:p w14:paraId="6B02881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2" w:firstLineChars="200"/>
        <w:jc w:val="both"/>
        <w:textAlignment w:val="auto"/>
        <w:rPr>
          <w:rFonts w:hint="default"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 xml:space="preserve">第二条  </w:t>
      </w:r>
      <w:r>
        <w:rPr>
          <w:rFonts w:hint="default" w:ascii="宋体" w:hAnsi="宋体" w:eastAsia="宋体" w:cs="宋体"/>
          <w:b/>
          <w:bCs/>
          <w:color w:val="000000" w:themeColor="text1"/>
          <w:sz w:val="24"/>
          <w:szCs w:val="24"/>
          <w:highlight w:val="none"/>
          <w:lang w:val="en-US" w:eastAsia="zh-CN"/>
          <w14:textFill>
            <w14:solidFill>
              <w14:schemeClr w14:val="tx1"/>
            </w14:solidFill>
          </w14:textFill>
        </w:rPr>
        <w:t>交货时间、地点、运输</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w:t>
      </w:r>
      <w:r>
        <w:rPr>
          <w:rFonts w:hint="default" w:ascii="宋体" w:hAnsi="宋体" w:eastAsia="宋体" w:cs="宋体"/>
          <w:b/>
          <w:bCs/>
          <w:color w:val="000000" w:themeColor="text1"/>
          <w:sz w:val="24"/>
          <w:szCs w:val="24"/>
          <w:highlight w:val="none"/>
          <w:lang w:val="en-US" w:eastAsia="zh-CN"/>
          <w14:textFill>
            <w14:solidFill>
              <w14:schemeClr w14:val="tx1"/>
            </w14:solidFill>
          </w14:textFill>
        </w:rPr>
        <w:t>装卸</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、搬运</w:t>
      </w:r>
    </w:p>
    <w:p w14:paraId="2D95003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2.1 </w:t>
      </w:r>
      <w:r>
        <w:rPr>
          <w:rFonts w:hint="default" w:ascii="宋体" w:hAnsi="宋体" w:eastAsia="宋体" w:cs="宋体"/>
          <w:color w:val="000000" w:themeColor="text1"/>
          <w:sz w:val="24"/>
          <w:szCs w:val="24"/>
          <w:highlight w:val="none"/>
          <w:lang w:val="en-US" w:eastAsia="zh-CN"/>
          <w14:textFill>
            <w14:solidFill>
              <w14:schemeClr w14:val="tx1"/>
            </w14:solidFill>
          </w14:textFill>
        </w:rPr>
        <w:t>交货时间：乙方应在</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☑自接到甲方通知之日起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7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日内□</w:t>
      </w:r>
      <w:r>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日之前</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default" w:ascii="宋体" w:hAnsi="宋体" w:eastAsia="宋体" w:cs="宋体"/>
          <w:color w:val="000000" w:themeColor="text1"/>
          <w:sz w:val="24"/>
          <w:szCs w:val="24"/>
          <w:highlight w:val="none"/>
          <w:lang w:val="en-US" w:eastAsia="zh-CN"/>
          <w14:textFill>
            <w14:solidFill>
              <w14:schemeClr w14:val="tx1"/>
            </w14:solidFill>
          </w14:textFill>
        </w:rPr>
        <w:t>将设备运至</w:t>
      </w:r>
      <w:r>
        <w:rPr>
          <w:rFonts w:hint="eastAsia" w:ascii="宋体" w:hAnsi="宋体" w:eastAsia="宋体" w:cs="宋体"/>
          <w:color w:val="000000" w:themeColor="text1"/>
          <w:sz w:val="24"/>
          <w:szCs w:val="24"/>
          <w:highlight w:val="none"/>
          <w:lang w:val="en-US" w:eastAsia="zh-CN"/>
          <w14:textFill>
            <w14:solidFill>
              <w14:schemeClr w14:val="tx1"/>
            </w14:solidFill>
          </w14:textFill>
        </w:rPr>
        <w:t>甲方指定交货</w:t>
      </w:r>
      <w:r>
        <w:rPr>
          <w:rFonts w:hint="default" w:ascii="宋体" w:hAnsi="宋体" w:eastAsia="宋体" w:cs="宋体"/>
          <w:color w:val="000000" w:themeColor="text1"/>
          <w:sz w:val="24"/>
          <w:szCs w:val="24"/>
          <w:highlight w:val="none"/>
          <w:lang w:val="en-US" w:eastAsia="zh-CN"/>
          <w14:textFill>
            <w14:solidFill>
              <w14:schemeClr w14:val="tx1"/>
            </w14:solidFill>
          </w14:textFill>
        </w:rPr>
        <w:t>地点，并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☑到货后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日内□</w:t>
      </w:r>
      <w:r>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月</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日之前</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default" w:ascii="宋体" w:hAnsi="宋体" w:eastAsia="宋体" w:cs="宋体"/>
          <w:color w:val="000000" w:themeColor="text1"/>
          <w:sz w:val="24"/>
          <w:szCs w:val="24"/>
          <w:highlight w:val="none"/>
          <w:lang w:val="en-US" w:eastAsia="zh-CN"/>
          <w14:textFill>
            <w14:solidFill>
              <w14:schemeClr w14:val="tx1"/>
            </w14:solidFill>
          </w14:textFill>
        </w:rPr>
        <w:t>完成安装、调试，办理验收手续并交付甲方使用。</w:t>
      </w:r>
    </w:p>
    <w:p w14:paraId="5708364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.2 甲方指定</w:t>
      </w:r>
      <w:r>
        <w:rPr>
          <w:rFonts w:hint="default" w:ascii="宋体" w:hAnsi="宋体" w:eastAsia="宋体" w:cs="宋体"/>
          <w:color w:val="000000" w:themeColor="text1"/>
          <w:sz w:val="24"/>
          <w:szCs w:val="24"/>
          <w:highlight w:val="none"/>
          <w:lang w:val="en-US" w:eastAsia="zh-CN"/>
          <w14:textFill>
            <w14:solidFill>
              <w14:schemeClr w14:val="tx1"/>
            </w14:solidFill>
          </w14:textFill>
        </w:rPr>
        <w:t>交货地点：湖南省娄底市</w:t>
      </w:r>
      <w:r>
        <w:rPr>
          <w:rFonts w:hint="eastAsia" w:ascii="宋体" w:hAnsi="宋体" w:eastAsia="宋体" w:cs="宋体"/>
          <w:color w:val="000000" w:themeColor="text1"/>
          <w:sz w:val="24"/>
          <w:szCs w:val="24"/>
          <w:highlight w:val="none"/>
          <w:lang w:val="en-US" w:eastAsia="zh-CN"/>
          <w14:textFill>
            <w14:solidFill>
              <w14:schemeClr w14:val="tx1"/>
            </w14:solidFill>
          </w14:textFill>
        </w:rPr>
        <w:t>娄星区</w:t>
      </w:r>
      <w:r>
        <w:rPr>
          <w:rFonts w:hint="default" w:ascii="宋体" w:hAnsi="宋体" w:eastAsia="宋体" w:cs="宋体"/>
          <w:color w:val="000000" w:themeColor="text1"/>
          <w:sz w:val="24"/>
          <w:szCs w:val="24"/>
          <w:highlight w:val="none"/>
          <w:lang w:val="en-US" w:eastAsia="zh-CN"/>
          <w14:textFill>
            <w14:solidFill>
              <w14:schemeClr w14:val="tx1"/>
            </w14:solidFill>
          </w14:textFill>
        </w:rPr>
        <w:t>长青中街51号</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lang w:val="en-US" w:eastAsia="zh-CN"/>
          <w14:textFill>
            <w14:solidFill>
              <w14:schemeClr w14:val="tx1"/>
            </w14:solidFill>
          </w14:textFill>
        </w:rPr>
        <w:t>娄底市中心医院</w:t>
      </w:r>
      <w:r>
        <w:rPr>
          <w:rFonts w:hint="eastAsia" w:ascii="宋体" w:hAnsi="宋体" w:eastAsia="宋体" w:cs="宋体"/>
          <w:color w:val="000000" w:themeColor="text1"/>
          <w:sz w:val="24"/>
          <w:szCs w:val="24"/>
          <w:highlight w:val="none"/>
          <w:lang w:val="en-US" w:eastAsia="zh-CN"/>
          <w14:textFill>
            <w14:solidFill>
              <w14:schemeClr w14:val="tx1"/>
            </w14:solidFill>
          </w14:textFill>
        </w:rPr>
        <w:t>设备科</w:t>
      </w:r>
      <w:r>
        <w:rPr>
          <w:rFonts w:hint="default" w:ascii="宋体" w:hAnsi="宋体" w:eastAsia="宋体" w:cs="宋体"/>
          <w:color w:val="000000" w:themeColor="text1"/>
          <w:sz w:val="24"/>
          <w:szCs w:val="24"/>
          <w:highlight w:val="none"/>
          <w:lang w:val="en-US" w:eastAsia="zh-CN"/>
          <w14:textFill>
            <w14:solidFill>
              <w14:schemeClr w14:val="tx1"/>
            </w14:solidFill>
          </w14:textFill>
        </w:rPr>
        <w:t xml:space="preserve">。 </w:t>
      </w:r>
    </w:p>
    <w:p w14:paraId="0CF1D68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default"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lang w:val="en-US" w:eastAsia="zh-CN"/>
          <w14:textFill>
            <w14:solidFill>
              <w14:schemeClr w14:val="tx1"/>
            </w14:solidFill>
          </w14:textFill>
        </w:rPr>
        <w:t>运输</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default" w:ascii="宋体" w:hAnsi="宋体" w:eastAsia="宋体" w:cs="宋体"/>
          <w:color w:val="000000" w:themeColor="text1"/>
          <w:sz w:val="24"/>
          <w:szCs w:val="24"/>
          <w:highlight w:val="none"/>
          <w:lang w:val="en-US" w:eastAsia="zh-CN"/>
          <w14:textFill>
            <w14:solidFill>
              <w14:schemeClr w14:val="tx1"/>
            </w14:solidFill>
          </w14:textFill>
        </w:rPr>
        <w:t>装卸</w:t>
      </w:r>
      <w:r>
        <w:rPr>
          <w:rFonts w:hint="eastAsia" w:ascii="宋体" w:hAnsi="宋体" w:eastAsia="宋体" w:cs="宋体"/>
          <w:color w:val="000000" w:themeColor="text1"/>
          <w:sz w:val="24"/>
          <w:szCs w:val="24"/>
          <w:highlight w:val="none"/>
          <w:lang w:val="en-US" w:eastAsia="zh-CN"/>
          <w14:textFill>
            <w14:solidFill>
              <w14:schemeClr w14:val="tx1"/>
            </w14:solidFill>
          </w14:textFill>
        </w:rPr>
        <w:t>、搬运</w:t>
      </w:r>
      <w:r>
        <w:rPr>
          <w:rFonts w:hint="default" w:ascii="宋体" w:hAnsi="宋体" w:eastAsia="宋体" w:cs="宋体"/>
          <w:color w:val="000000" w:themeColor="text1"/>
          <w:sz w:val="24"/>
          <w:szCs w:val="24"/>
          <w:highlight w:val="none"/>
          <w:lang w:val="en-US" w:eastAsia="zh-CN"/>
          <w14:textFill>
            <w14:solidFill>
              <w14:schemeClr w14:val="tx1"/>
            </w14:solidFill>
          </w14:textFill>
        </w:rPr>
        <w:t>：由乙方自备交通运输工具将设备运至合同约定地点，并负责设备装卸</w:t>
      </w:r>
      <w:r>
        <w:rPr>
          <w:rFonts w:hint="eastAsia" w:ascii="宋体" w:hAnsi="宋体" w:eastAsia="宋体" w:cs="宋体"/>
          <w:color w:val="000000" w:themeColor="text1"/>
          <w:sz w:val="24"/>
          <w:szCs w:val="24"/>
          <w:highlight w:val="none"/>
          <w:lang w:val="en-US" w:eastAsia="zh-CN"/>
          <w14:textFill>
            <w14:solidFill>
              <w14:schemeClr w14:val="tx1"/>
            </w14:solidFill>
          </w14:textFill>
        </w:rPr>
        <w:t>、搬运的人工及费用</w:t>
      </w:r>
      <w:r>
        <w:rPr>
          <w:rFonts w:hint="default" w:ascii="宋体" w:hAnsi="宋体" w:eastAsia="宋体" w:cs="宋体"/>
          <w:color w:val="000000" w:themeColor="text1"/>
          <w:sz w:val="24"/>
          <w:szCs w:val="24"/>
          <w:highlight w:val="none"/>
          <w:lang w:val="en-US" w:eastAsia="zh-CN"/>
          <w14:textFill>
            <w14:solidFill>
              <w14:schemeClr w14:val="tx1"/>
            </w14:solidFill>
          </w14:textFill>
        </w:rPr>
        <w:t>。</w:t>
      </w:r>
    </w:p>
    <w:p w14:paraId="1C97F4B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第三条 质量标准、质量验收、包装要求</w:t>
      </w:r>
    </w:p>
    <w:p w14:paraId="54BE4F8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FF0000"/>
          <w:sz w:val="24"/>
          <w:szCs w:val="24"/>
          <w:highlight w:val="none"/>
          <w:lang w:val="en-US" w:eastAsia="zh-CN"/>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3.1 质量标准：乙方提供设备的质量、安装应符合或优于国家标准；如投标文件/响应文件中的技术参数和质量标准高于国家标准，则设备的技术参数和质量标准以投标文件/响应文件为准；</w:t>
      </w:r>
      <w:r>
        <w:rPr>
          <w:rFonts w:hint="eastAsia" w:ascii="宋体" w:hAnsi="宋体" w:eastAsia="宋体" w:cs="宋体"/>
          <w:color w:val="auto"/>
          <w:sz w:val="24"/>
          <w:szCs w:val="24"/>
          <w:highlight w:val="none"/>
          <w:lang w:val="en-US" w:eastAsia="zh-CN"/>
        </w:rPr>
        <w:t>如乙方应交付的设备属于国产</w:t>
      </w:r>
      <w:r>
        <w:rPr>
          <w:rFonts w:hint="eastAsia" w:ascii="宋体" w:hAnsi="宋体" w:cs="宋体"/>
          <w:color w:val="auto"/>
          <w:sz w:val="24"/>
          <w:szCs w:val="24"/>
          <w:highlight w:val="none"/>
          <w:lang w:val="en-US" w:eastAsia="zh-CN"/>
        </w:rPr>
        <w:t>设备，则应保证该设备为交付时起近</w:t>
      </w:r>
      <w:r>
        <w:rPr>
          <w:rFonts w:hint="eastAsia" w:ascii="宋体" w:hAnsi="宋体" w:cs="宋体"/>
          <w:color w:val="auto"/>
          <w:sz w:val="24"/>
          <w:szCs w:val="24"/>
          <w:highlight w:val="none"/>
          <w:lang w:eastAsia="zh-CN"/>
        </w:rPr>
        <w:t>6个月内生产的产品；</w:t>
      </w:r>
      <w:r>
        <w:rPr>
          <w:rFonts w:hint="eastAsia" w:ascii="宋体" w:hAnsi="宋体" w:cs="宋体"/>
          <w:color w:val="auto"/>
          <w:sz w:val="24"/>
          <w:szCs w:val="24"/>
          <w:highlight w:val="none"/>
          <w:lang w:val="en-US" w:eastAsia="zh-CN"/>
        </w:rPr>
        <w:t>如乙方</w:t>
      </w:r>
      <w:r>
        <w:rPr>
          <w:rFonts w:hint="eastAsia" w:ascii="宋体" w:hAnsi="宋体" w:eastAsia="宋体" w:cs="宋体"/>
          <w:color w:val="auto"/>
          <w:sz w:val="24"/>
          <w:szCs w:val="24"/>
          <w:highlight w:val="none"/>
          <w:lang w:val="en-US" w:eastAsia="zh-CN"/>
        </w:rPr>
        <w:t>应</w:t>
      </w:r>
      <w:r>
        <w:rPr>
          <w:rFonts w:hint="eastAsia" w:ascii="宋体" w:hAnsi="宋体" w:cs="宋体"/>
          <w:color w:val="auto"/>
          <w:sz w:val="24"/>
          <w:szCs w:val="24"/>
          <w:highlight w:val="none"/>
          <w:lang w:val="en-US" w:eastAsia="zh-CN"/>
        </w:rPr>
        <w:t>交付的设备属于</w:t>
      </w:r>
      <w:r>
        <w:rPr>
          <w:rFonts w:hint="eastAsia" w:ascii="宋体" w:hAnsi="宋体" w:eastAsia="宋体" w:cs="宋体"/>
          <w:color w:val="auto"/>
          <w:sz w:val="24"/>
          <w:szCs w:val="24"/>
          <w:highlight w:val="none"/>
          <w:lang w:val="en-US" w:eastAsia="zh-CN"/>
        </w:rPr>
        <w:t>进口设备</w:t>
      </w:r>
      <w:r>
        <w:rPr>
          <w:rFonts w:hint="eastAsia" w:ascii="宋体" w:hAnsi="宋体" w:cs="宋体"/>
          <w:color w:val="auto"/>
          <w:sz w:val="24"/>
          <w:szCs w:val="24"/>
          <w:highlight w:val="none"/>
          <w:lang w:val="en-US" w:eastAsia="zh-CN"/>
        </w:rPr>
        <w:t>，则应保证该设备</w:t>
      </w:r>
      <w:r>
        <w:rPr>
          <w:rFonts w:hint="eastAsia" w:ascii="宋体" w:hAnsi="宋体" w:cs="宋体"/>
          <w:color w:val="auto"/>
          <w:sz w:val="24"/>
          <w:szCs w:val="24"/>
          <w:highlight w:val="none"/>
          <w:lang w:eastAsia="zh-CN"/>
        </w:rPr>
        <w:t>为</w:t>
      </w:r>
      <w:r>
        <w:rPr>
          <w:rFonts w:hint="eastAsia" w:ascii="宋体" w:hAnsi="宋体" w:cs="宋体"/>
          <w:color w:val="auto"/>
          <w:sz w:val="24"/>
          <w:szCs w:val="24"/>
          <w:highlight w:val="none"/>
          <w:lang w:val="en-US" w:eastAsia="zh-CN"/>
        </w:rPr>
        <w:t>交付时起近一年</w:t>
      </w:r>
      <w:r>
        <w:rPr>
          <w:rFonts w:hint="eastAsia" w:ascii="宋体" w:hAnsi="宋体" w:cs="宋体"/>
          <w:color w:val="auto"/>
          <w:sz w:val="24"/>
          <w:szCs w:val="24"/>
          <w:highlight w:val="none"/>
          <w:lang w:eastAsia="zh-CN"/>
        </w:rPr>
        <w:t>内生产的产品</w:t>
      </w:r>
      <w:r>
        <w:rPr>
          <w:rFonts w:hint="eastAsia" w:ascii="宋体" w:hAnsi="宋体" w:eastAsia="宋体" w:cs="宋体"/>
          <w:color w:val="auto"/>
          <w:sz w:val="24"/>
          <w:szCs w:val="24"/>
          <w:highlight w:val="none"/>
          <w:lang w:val="en-US" w:eastAsia="zh-CN"/>
        </w:rPr>
        <w:t>。</w:t>
      </w:r>
    </w:p>
    <w:p w14:paraId="2A042A4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3.2 质量验收：以本合同约定标准按以下方式进行验收： </w:t>
      </w:r>
    </w:p>
    <w:p w14:paraId="72C1F90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3.2.1 到货验收：乙方将设备运至指定交货地点后，应通知甲方，并向甲方提供厂家标准资料文件（进口设备需提供真实有效的海关报关单，其他设备需提供产品合格证）和原厂售后质保承诺书。甲方自接到乙方通知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7</w:t>
      </w:r>
      <w:r>
        <w:rPr>
          <w:rFonts w:hint="eastAsia" w:ascii="宋体" w:hAnsi="宋体" w:eastAsia="宋体" w:cs="宋体"/>
          <w:color w:val="000000" w:themeColor="text1"/>
          <w:sz w:val="24"/>
          <w:szCs w:val="24"/>
          <w:highlight w:val="none"/>
          <w:lang w:val="en-US" w:eastAsia="zh-CN"/>
          <w14:textFill>
            <w14:solidFill>
              <w14:schemeClr w14:val="tx1"/>
            </w14:solidFill>
          </w14:textFill>
        </w:rPr>
        <w:t>日内组织人员对设备按合同约定及厂家出厂装箱单进行到货验收，经甲方验收合格后签署验收报告单，乙方方可进行现场拆包、安装、调试、培训。如经甲方验收不合格，乙方应在</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7</w:t>
      </w:r>
      <w:r>
        <w:rPr>
          <w:rFonts w:hint="eastAsia" w:ascii="宋体" w:hAnsi="宋体" w:eastAsia="宋体" w:cs="宋体"/>
          <w:color w:val="000000" w:themeColor="text1"/>
          <w:sz w:val="24"/>
          <w:szCs w:val="24"/>
          <w:highlight w:val="none"/>
          <w:lang w:val="en-US" w:eastAsia="zh-CN"/>
          <w14:textFill>
            <w14:solidFill>
              <w14:schemeClr w14:val="tx1"/>
            </w14:solidFill>
          </w14:textFill>
        </w:rPr>
        <w:t>日内无条件予以更换。</w:t>
      </w:r>
    </w:p>
    <w:p w14:paraId="5634D0B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3.2.2 总体验收：乙方将设备全部拆包、安装、调试、培训后应及时通知甲方，甲方自接到乙方通知之日起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7</w:t>
      </w:r>
      <w:r>
        <w:rPr>
          <w:rFonts w:hint="eastAsia" w:ascii="宋体" w:hAnsi="宋体" w:eastAsia="宋体" w:cs="宋体"/>
          <w:color w:val="000000" w:themeColor="text1"/>
          <w:sz w:val="24"/>
          <w:szCs w:val="24"/>
          <w:highlight w:val="none"/>
          <w:lang w:val="en-US" w:eastAsia="zh-CN"/>
          <w14:textFill>
            <w14:solidFill>
              <w14:schemeClr w14:val="tx1"/>
            </w14:solidFill>
          </w14:textFill>
        </w:rPr>
        <w:t>日内自行组织或委托第三方进行总体验收，验收合格后签署总体验收报告单。如经甲方或第三方验收不合格，乙方应在</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7</w:t>
      </w:r>
      <w:r>
        <w:rPr>
          <w:rFonts w:hint="eastAsia" w:ascii="宋体" w:hAnsi="宋体" w:eastAsia="宋体" w:cs="宋体"/>
          <w:color w:val="000000" w:themeColor="text1"/>
          <w:sz w:val="24"/>
          <w:szCs w:val="24"/>
          <w:highlight w:val="none"/>
          <w:lang w:val="en-US" w:eastAsia="zh-CN"/>
          <w14:textFill>
            <w14:solidFill>
              <w14:schemeClr w14:val="tx1"/>
            </w14:solidFill>
          </w14:textFill>
        </w:rPr>
        <w:t>日内无条件予以返工并承担所有费用。</w:t>
      </w:r>
    </w:p>
    <w:p w14:paraId="18A66F4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3.2.3 甲方验收时如发现乙方所交付、安装的设备不符合本合同约定，甲方应做出详尽的现场记录，由甲乙双方签署备忘录，该现场记录和备忘录作为乙方补交缺少部件、更换不符标准部件的有效依据，由此产生的一切经济损失由乙方承担。</w:t>
      </w:r>
    </w:p>
    <w:p w14:paraId="5F38485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3.3 包装要求：乙方提供的设备必须为原厂包装，外包装到货时应保证完好无损，否则甲方有权拒绝收货，由此造成的延期交货违约责任和一切经济损失全部由乙方承担。</w:t>
      </w:r>
    </w:p>
    <w:p w14:paraId="73C7719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第四条 安装、培训等事项</w:t>
      </w:r>
    </w:p>
    <w:p w14:paraId="2830036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4.1 甲方负责协调、处理与安装、调试有关事宜，为乙方创造良好的安装、调试环境。</w:t>
      </w:r>
    </w:p>
    <w:p w14:paraId="3716442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4.2 甲方委派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u w:val="single"/>
          <w14:textFill>
            <w14:solidFill>
              <w14:schemeClr w14:val="tx1"/>
            </w14:solidFill>
          </w14:textFill>
        </w:rPr>
        <w:t>邓时敏</w:t>
      </w:r>
      <w:r>
        <w:rPr>
          <w:rFonts w:hint="eastAsia" w:ascii="宋体" w:hAnsi="宋体" w:eastAsia="宋体" w:cs="宋体"/>
          <w:color w:val="000000" w:themeColor="text1"/>
          <w:sz w:val="24"/>
          <w:u w:val="single"/>
          <w:lang w:val="en-US" w:eastAsia="zh-CN"/>
          <w14:textFill>
            <w14:solidFill>
              <w14:schemeClr w14:val="tx1"/>
            </w14:solidFill>
          </w14:textFill>
        </w:rPr>
        <w:t>13723814432</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作为代表，跟踪、检查安装、调试现场。</w:t>
      </w:r>
    </w:p>
    <w:p w14:paraId="166FE75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4.3 乙方负责对甲方的操作人员进行免费培训。</w:t>
      </w:r>
    </w:p>
    <w:p w14:paraId="210089F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4.4 乙方在安装、调试过程中应加强操作人员的安全教育，杜绝安全事故的发生。 </w:t>
      </w:r>
    </w:p>
    <w:p w14:paraId="0BCEB03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第五条 售后服务</w:t>
      </w:r>
    </w:p>
    <w:p w14:paraId="67EB6732">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5.1 本合同设备质保期为</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年，自甲方在总体验收报告单上签字确认合格之日起开始计算。</w:t>
      </w:r>
    </w:p>
    <w:p w14:paraId="3FAF466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5.2 </w:t>
      </w:r>
      <w:r>
        <w:rPr>
          <w:rFonts w:hint="eastAsia" w:ascii="宋体" w:hAnsi="宋体" w:eastAsia="宋体" w:cs="宋体"/>
          <w:color w:val="000000" w:themeColor="text1"/>
          <w:sz w:val="24"/>
          <w:highlight w:val="none"/>
          <w14:textFill>
            <w14:solidFill>
              <w14:schemeClr w14:val="tx1"/>
            </w14:solidFill>
          </w14:textFill>
        </w:rPr>
        <w:t>乙方在质保期内免费提供维修、更换、保养、咨询等服务。</w:t>
      </w:r>
      <w:r>
        <w:rPr>
          <w:rFonts w:hint="eastAsia" w:ascii="宋体" w:hAnsi="宋体" w:eastAsia="宋体" w:cs="宋体"/>
          <w:color w:val="000000" w:themeColor="text1"/>
          <w:sz w:val="24"/>
          <w:szCs w:val="24"/>
          <w:highlight w:val="none"/>
          <w:lang w:val="en-US" w:eastAsia="zh-CN"/>
          <w14:textFill>
            <w14:solidFill>
              <w14:schemeClr w14:val="tx1"/>
            </w14:solidFill>
          </w14:textFill>
        </w:rPr>
        <w:t>如设备在</w:t>
      </w:r>
      <w:r>
        <w:rPr>
          <w:rFonts w:hint="eastAsia" w:ascii="宋体" w:hAnsi="宋体" w:eastAsia="宋体" w:cs="宋体"/>
          <w:color w:val="000000" w:themeColor="text1"/>
          <w:sz w:val="24"/>
          <w:highlight w:val="none"/>
          <w14:textFill>
            <w14:solidFill>
              <w14:schemeClr w14:val="tx1"/>
            </w14:solidFill>
          </w14:textFill>
        </w:rPr>
        <w:t>质</w:t>
      </w:r>
      <w:r>
        <w:rPr>
          <w:rFonts w:hint="eastAsia" w:ascii="宋体" w:hAnsi="宋体" w:eastAsia="宋体" w:cs="宋体"/>
          <w:color w:val="000000" w:themeColor="text1"/>
          <w:sz w:val="24"/>
          <w:szCs w:val="24"/>
          <w:highlight w:val="none"/>
          <w:lang w:val="en-US" w:eastAsia="zh-CN"/>
          <w14:textFill>
            <w14:solidFill>
              <w14:schemeClr w14:val="tx1"/>
            </w14:solidFill>
          </w14:textFill>
        </w:rPr>
        <w:t>保期内出现质量问题，乙方应在接到甲方通知（包括电话通知）后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小时内响应，响应后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24</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小时内赶到甲方提供服务，相关费用由乙方承担。如乙方不及时提供服务，甲方有权委托第三方提供</w:t>
      </w:r>
      <w:r>
        <w:rPr>
          <w:rFonts w:hint="eastAsia" w:ascii="宋体" w:hAnsi="宋体" w:eastAsia="宋体" w:cs="宋体"/>
          <w:color w:val="000000" w:themeColor="text1"/>
          <w:sz w:val="24"/>
          <w:highlight w:val="none"/>
          <w14:textFill>
            <w14:solidFill>
              <w14:schemeClr w14:val="tx1"/>
            </w14:solidFill>
          </w14:textFill>
        </w:rPr>
        <w:t>维修、更换、保养、咨询等服务</w:t>
      </w:r>
      <w:r>
        <w:rPr>
          <w:rFonts w:hint="eastAsia" w:ascii="宋体" w:hAnsi="宋体" w:eastAsia="宋体" w:cs="宋体"/>
          <w:color w:val="000000" w:themeColor="text1"/>
          <w:sz w:val="24"/>
          <w:szCs w:val="24"/>
          <w:highlight w:val="none"/>
          <w:lang w:val="en-US" w:eastAsia="zh-CN"/>
          <w14:textFill>
            <w14:solidFill>
              <w14:schemeClr w14:val="tx1"/>
            </w14:solidFill>
          </w14:textFill>
        </w:rPr>
        <w:t>，由此产生的相关费用，甲方有权在应付款中扣除、不足部分由乙方另行补足，或要求乙方将第三方提供服务产生的相关费用直接支付给甲方。</w:t>
      </w:r>
    </w:p>
    <w:p w14:paraId="044382B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79" w:leftChars="228" w:firstLine="0" w:firstLineChars="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5.3 质保期内，乙方每年至少对设备进行一次巡检并向甲方提交巡检记录。</w:t>
      </w:r>
    </w:p>
    <w:p w14:paraId="6525CEF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5.4 质保期届满后，如设备出现问题，乙方应在接到甲方通知（包括电话通知）后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小时内响应，响应后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24</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小时上门服务，相关费用由甲方承担。</w:t>
      </w:r>
    </w:p>
    <w:p w14:paraId="7D7D877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14:textFill>
            <w14:solidFill>
              <w14:schemeClr w14:val="tx1"/>
            </w14:solidFill>
          </w14:textFill>
        </w:rPr>
        <w:t>乙方须指派</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电话：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专门负责与甲方联系售后服务事宜，如人员发生变动，应及时通知甲方。</w:t>
      </w:r>
    </w:p>
    <w:p w14:paraId="202A74A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第六条 付款时间、方式</w:t>
      </w:r>
    </w:p>
    <w:p w14:paraId="3331BB8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 甲方通过银行转账方式向乙方指定银行账户支付款项；甲方在总体验收报告单上签字确认合格之日起4个月内，向乙方支付</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合同约定总价款</w:t>
      </w:r>
      <w:r>
        <w:rPr>
          <w:rFonts w:hint="eastAsia" w:ascii="宋体" w:hAnsi="宋体" w:eastAsia="宋体" w:cs="宋体"/>
          <w:color w:val="000000" w:themeColor="text1"/>
          <w:sz w:val="24"/>
          <w:szCs w:val="24"/>
          <w:highlight w:val="none"/>
          <w:lang w:val="en-US" w:eastAsia="zh-CN"/>
          <w14:textFill>
            <w14:solidFill>
              <w14:schemeClr w14:val="tx1"/>
            </w14:solidFill>
          </w14:textFill>
        </w:rPr>
        <w:t>的90%；余款10%，甲方在质保期届满且不存在需被扣除情形之日起10个工作日内，免息支付给乙方。</w:t>
      </w:r>
    </w:p>
    <w:p w14:paraId="78237FF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6.2 乙方指定收款银行账户的开户名：</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开户银行：</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账号：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color w:val="000000" w:themeColor="text1"/>
          <w:sz w:val="28"/>
          <w:szCs w:val="28"/>
          <w:highlight w:val="none"/>
          <w:u w:val="none"/>
          <w:lang w:val="en-US" w:eastAsia="zh-CN"/>
          <w14:textFill>
            <w14:solidFill>
              <w14:schemeClr w14:val="tx1"/>
            </w14:solidFill>
          </w14:textFill>
        </w:rPr>
        <w:t xml:space="preserve">  </w:t>
      </w:r>
    </w:p>
    <w:p w14:paraId="688FF2F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6.3 乙方应在甲方首次付款前，向甲方提供以乙方自己名义开具的与本合同总价等额的增值税普通发票；如乙方未及时提供发票，甲方有权顺延付款，由此产生的责任均由乙方自行承担。</w:t>
      </w:r>
    </w:p>
    <w:p w14:paraId="0BC31E9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第七条 风险承担</w:t>
      </w:r>
    </w:p>
    <w:p w14:paraId="4391723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7.1 乙方履行本合同过程中发生事故，包括但不限于在运输、装卸、安装及调试过程中发生事故，给甲方、乙方或第三方人身、财产造成的所有损失，均由乙方负责处理和承担全部法律责任、经济赔偿。</w:t>
      </w:r>
    </w:p>
    <w:p w14:paraId="6817B7A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7.2 本合同设备毁损、丢失的风险自甲方在总体验收报告单上签字确认合格后转移给甲方，此前设备的一切风险均由乙方承担。</w:t>
      </w:r>
    </w:p>
    <w:p w14:paraId="6664CAD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7.3 如甲方因乙方设备、质保服务等原因涉及纠纷、诉讼或被处以行政处罚，由乙方承担甲方因纠纷、诉讼、罚款等造成的全部经济损失。</w:t>
      </w:r>
    </w:p>
    <w:p w14:paraId="4DBE6B9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第八条 廉洁条款</w:t>
      </w:r>
    </w:p>
    <w:p w14:paraId="730FE42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8.1 乙方应严格遵守国家相关法律法规，涉及合同的有关业务活动必须坚持公开、公平、公正、诚信原则，不得为获取不正当利益，损害国家、集体和甲方利益。</w:t>
      </w:r>
    </w:p>
    <w:p w14:paraId="15B87F7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highlight w:val="none"/>
          <w14:textFill>
            <w14:solidFill>
              <w14:schemeClr w14:val="tx1"/>
            </w14:solidFill>
          </w14:textFill>
        </w:rPr>
      </w:pPr>
      <w:r>
        <w:rPr>
          <w:rFonts w:hint="default" w:ascii="宋体" w:hAnsi="宋体" w:eastAsia="宋体" w:cs="宋体"/>
          <w:b/>
          <w:bCs/>
          <w:color w:val="000000" w:themeColor="text1"/>
          <w:sz w:val="24"/>
          <w:szCs w:val="24"/>
          <w:highlight w:val="none"/>
          <w:lang w:val="en-US" w:eastAsia="zh-CN"/>
          <w14:textFill>
            <w14:solidFill>
              <w14:schemeClr w14:val="tx1"/>
            </w14:solidFill>
          </w14:textFill>
        </w:rPr>
        <w:t xml:space="preserve">8.2 </w:t>
      </w:r>
      <w:r>
        <w:rPr>
          <w:rFonts w:hint="default" w:ascii="宋体" w:hAnsi="宋体" w:eastAsia="宋体" w:cs="宋体"/>
          <w:b/>
          <w:bCs/>
          <w:color w:val="000000" w:themeColor="text1"/>
          <w:sz w:val="24"/>
          <w:szCs w:val="24"/>
          <w:highlight w:val="none"/>
          <w:u w:val="single"/>
          <w:lang w:val="en-US" w:eastAsia="zh-CN"/>
          <w14:textFill>
            <w14:solidFill>
              <w14:schemeClr w14:val="tx1"/>
            </w14:solidFill>
          </w14:textFill>
        </w:rPr>
        <w:t>乙方的任何人员（包括股东、管理人员、普通员工等）及与乙方本业务有关的任何人员（包括与乙方不存在劳动、劳务关系的人员），均不得对甲方工作人员或其亲友、关系人请客、送礼或赠送礼金、有价证券、贵重物品及给予回扣、好处费、感谢费等其他形式的好处，否则甲方有权要求乙方按本合同约定向甲方支付违反廉洁条款的惩罚性违约金。</w:t>
      </w:r>
    </w:p>
    <w:p w14:paraId="7BFBA26A">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第九条 保密条款</w:t>
      </w:r>
    </w:p>
    <w:p w14:paraId="180D424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9.1 本合同订立、履行、变更等产生的研究、商讨、交流等信息，履行本合同获悉的甲方商业秘密、运营信息、工作人员信息、患陪个人信息等，均属保密信息。</w:t>
      </w:r>
    </w:p>
    <w:p w14:paraId="4DE17AE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9.2 乙方应对保密信息采取有效手段严格保密，不得用于非本合同之目的或向第三方泄露。如政府部门、法院或其他有权部门要求乙方提供保密信息，乙方应当立即向甲方通报。</w:t>
      </w:r>
    </w:p>
    <w:p w14:paraId="328AAC4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9.3 因乙方未履行本合同保密义务造成甲方或第三方损失的，由乙方承担全部赔偿责任。</w:t>
      </w:r>
    </w:p>
    <w:p w14:paraId="3566F0F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9.4 本合同保密条款在合同被认定无效、被撤销或终止、解除后仍然有效。</w:t>
      </w:r>
    </w:p>
    <w:p w14:paraId="7C63257E">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第十条 </w:t>
      </w:r>
      <w:r>
        <w:rPr>
          <w:rFonts w:hint="default" w:ascii="宋体" w:hAnsi="宋体" w:eastAsia="宋体" w:cs="宋体"/>
          <w:b/>
          <w:bCs/>
          <w:color w:val="000000" w:themeColor="text1"/>
          <w:sz w:val="24"/>
          <w:highlight w:val="none"/>
          <w:lang w:val="en-US" w:eastAsia="zh-CN"/>
          <w14:textFill>
            <w14:solidFill>
              <w14:schemeClr w14:val="tx1"/>
            </w14:solidFill>
          </w14:textFill>
        </w:rPr>
        <w:t>通知</w:t>
      </w:r>
      <w:r>
        <w:rPr>
          <w:rFonts w:hint="eastAsia" w:ascii="宋体" w:hAnsi="宋体" w:eastAsia="宋体" w:cs="宋体"/>
          <w:b/>
          <w:bCs/>
          <w:color w:val="000000" w:themeColor="text1"/>
          <w:sz w:val="24"/>
          <w:highlight w:val="none"/>
          <w:lang w:val="en-US" w:eastAsia="zh-CN"/>
          <w14:textFill>
            <w14:solidFill>
              <w14:schemeClr w14:val="tx1"/>
            </w14:solidFill>
          </w14:textFill>
        </w:rPr>
        <w:t>与送达</w:t>
      </w:r>
    </w:p>
    <w:p w14:paraId="0E5C6FF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10.1 甲乙双方同意，与本合同有关的任何文书，应以书面方式按照本合同约定发送，书面方式包括手机短信、微信、书面函件、电子邮件等形式。</w:t>
      </w:r>
    </w:p>
    <w:p w14:paraId="4E32622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10.2 双方确认的文书（包括未来可能发生的诉讼或仲裁活动中法院或仲裁机构的送达法律文书）送达地址：</w:t>
      </w:r>
    </w:p>
    <w:p w14:paraId="39D182A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 xml:space="preserve">10.2.1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甲方的联系地址：</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娄底市娄星区</w:t>
      </w:r>
      <w:r>
        <w:rPr>
          <w:rFonts w:hint="default" w:ascii="宋体" w:hAnsi="宋体" w:eastAsia="宋体" w:cs="宋体"/>
          <w:b w:val="0"/>
          <w:bCs w:val="0"/>
          <w:color w:val="000000" w:themeColor="text1"/>
          <w:sz w:val="24"/>
          <w:highlight w:val="none"/>
          <w:u w:val="single"/>
          <w:lang w:val="en-US" w:eastAsia="zh-CN"/>
          <w14:textFill>
            <w14:solidFill>
              <w14:schemeClr w14:val="tx1"/>
            </w14:solidFill>
          </w14:textFill>
        </w:rPr>
        <w:t>长青中街51号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娄底市中心医院设备科</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，联系人：</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彭春涛</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，联系电话：</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13027388172</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，邮箱地址</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721294732@qq.com</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或微信号</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13027388172</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w:t>
      </w:r>
    </w:p>
    <w:p w14:paraId="0CAB7EE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 xml:space="preserve">10.2.2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乙方的联系地址：</w:t>
      </w:r>
      <w:r>
        <w:rPr>
          <w:rFonts w:hint="default"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 xml:space="preserve"> ，联系人：</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 联系电话：</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，邮箱地址</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或微信号</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w:t>
      </w:r>
    </w:p>
    <w:p w14:paraId="692FFCE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10.3 上述通知应被视为在下列时间送达：以快递或专人发送的，在收件人签收之日或拒收之日；以挂号邮件发出的，在发出之日起7个工作日；以电子邮件发出的，在电子邮件进入收件方电子邮箱服务器之日。</w:t>
      </w:r>
    </w:p>
    <w:p w14:paraId="2B0C718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10.4 以上地址和联系方式，任何一方发生变更应在变更之日起3日内通知对方。如未通知，一方按原地址送达的书面资料被退回的，退回之日视为送达之日。任何一方按照确认地址送到另一方的书面资料被拒绝签收导致邮件被退回的，退回之日视为送达之日。</w:t>
      </w:r>
    </w:p>
    <w:p w14:paraId="1703027F">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eastAsia="zh-CN"/>
          <w14:textFill>
            <w14:solidFill>
              <w14:schemeClr w14:val="tx1"/>
            </w14:solidFill>
          </w14:textFill>
        </w:rPr>
        <w:t>第十</w:t>
      </w:r>
      <w:r>
        <w:rPr>
          <w:rFonts w:hint="eastAsia" w:ascii="宋体" w:hAnsi="宋体" w:eastAsia="宋体" w:cs="宋体"/>
          <w:b/>
          <w:bCs/>
          <w:color w:val="000000" w:themeColor="text1"/>
          <w:sz w:val="24"/>
          <w:highlight w:val="none"/>
          <w:lang w:val="en-US" w:eastAsia="zh-CN"/>
          <w14:textFill>
            <w14:solidFill>
              <w14:schemeClr w14:val="tx1"/>
            </w14:solidFill>
          </w14:textFill>
        </w:rPr>
        <w:t>一</w:t>
      </w:r>
      <w:r>
        <w:rPr>
          <w:rFonts w:hint="eastAsia" w:ascii="宋体" w:hAnsi="宋体" w:eastAsia="宋体" w:cs="宋体"/>
          <w:b/>
          <w:bCs/>
          <w:color w:val="000000" w:themeColor="text1"/>
          <w:sz w:val="24"/>
          <w:highlight w:val="none"/>
          <w:lang w:eastAsia="zh-CN"/>
          <w14:textFill>
            <w14:solidFill>
              <w14:schemeClr w14:val="tx1"/>
            </w14:solidFill>
          </w14:textFill>
        </w:rPr>
        <w:t>条</w:t>
      </w: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 合同的变更、解除</w:t>
      </w:r>
    </w:p>
    <w:p w14:paraId="031A9A0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11.1 本合同经双方协商一致后可以变更，双方应另行签订补充协议。</w:t>
      </w:r>
    </w:p>
    <w:p w14:paraId="651E358E">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u w:val="single"/>
          <w:lang w:val="en-US" w:eastAsia="zh-CN"/>
          <w14:textFill>
            <w14:solidFill>
              <w14:schemeClr w14:val="tx1"/>
            </w14:solidFill>
          </w14:textFill>
        </w:rPr>
        <w:t>11.2 如甲方因政策变化等非自身主观原因不需要购买本合同全部设备，经书面通知乙方后可以提前终止本合同；如甲方因运营需要等原因不需要购买本合同部分设备，不需要购买的部分自动从采购内容中剔除。</w:t>
      </w:r>
    </w:p>
    <w:p w14:paraId="48A2AC0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 xml:space="preserve">11.3 </w:t>
      </w:r>
      <w:r>
        <w:rPr>
          <w:rFonts w:hint="eastAsia" w:ascii="宋体" w:hAnsi="宋体" w:eastAsia="宋体" w:cs="宋体"/>
          <w:color w:val="000000" w:themeColor="text1"/>
          <w:sz w:val="24"/>
          <w:highlight w:val="none"/>
          <w14:textFill>
            <w14:solidFill>
              <w14:schemeClr w14:val="tx1"/>
            </w14:solidFill>
          </w14:textFill>
        </w:rPr>
        <w:t>乙方出现以下违约情形之一的，甲方有权拒绝支付任何价款并解除合同：</w:t>
      </w:r>
    </w:p>
    <w:p w14:paraId="33C0118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.1 乙方逾期</w:t>
      </w:r>
      <w:r>
        <w:rPr>
          <w:rFonts w:hint="eastAsia" w:ascii="宋体" w:hAnsi="宋体" w:eastAsia="宋体" w:cs="宋体"/>
          <w:color w:val="000000" w:themeColor="text1"/>
          <w:sz w:val="24"/>
          <w:highlight w:val="none"/>
          <w:u w:val="single"/>
          <w14:textFill>
            <w14:solidFill>
              <w14:schemeClr w14:val="tx1"/>
            </w14:solidFill>
          </w14:textFill>
        </w:rPr>
        <w:t>30</w:t>
      </w:r>
      <w:r>
        <w:rPr>
          <w:rFonts w:hint="eastAsia" w:ascii="宋体" w:hAnsi="宋体" w:eastAsia="宋体" w:cs="宋体"/>
          <w:color w:val="000000" w:themeColor="text1"/>
          <w:sz w:val="24"/>
          <w:highlight w:val="none"/>
          <w14:textFill>
            <w14:solidFill>
              <w14:schemeClr w14:val="tx1"/>
            </w14:solidFill>
          </w14:textFill>
        </w:rPr>
        <w:t>日仍不能供货；</w:t>
      </w:r>
    </w:p>
    <w:p w14:paraId="4DF28F3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.2 乙方提供的设备质量不符合国家标准、本合同标准或</w:t>
      </w:r>
      <w:r>
        <w:rPr>
          <w:rFonts w:hint="eastAsia" w:ascii="宋体" w:hAnsi="宋体" w:eastAsia="宋体" w:cs="宋体"/>
          <w:color w:val="000000" w:themeColor="text1"/>
          <w:sz w:val="24"/>
          <w:highlight w:val="none"/>
          <w:lang w:eastAsia="zh-CN"/>
          <w14:textFill>
            <w14:solidFill>
              <w14:schemeClr w14:val="tx1"/>
            </w14:solidFill>
          </w14:textFill>
        </w:rPr>
        <w:t>投标文件</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响应文件约定标准；</w:t>
      </w:r>
    </w:p>
    <w:p w14:paraId="41A150A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.3 乙方将</w:t>
      </w:r>
      <w:r>
        <w:rPr>
          <w:rFonts w:hint="eastAsia" w:ascii="宋体" w:hAnsi="宋体" w:eastAsia="宋体" w:cs="宋体"/>
          <w:color w:val="000000" w:themeColor="text1"/>
          <w:sz w:val="24"/>
          <w:highlight w:val="none"/>
          <w:lang w:val="en-US" w:eastAsia="zh-CN"/>
          <w14:textFill>
            <w14:solidFill>
              <w14:schemeClr w14:val="tx1"/>
            </w14:solidFill>
          </w14:textFill>
        </w:rPr>
        <w:t>本合同权利义务全部或部分转让给</w:t>
      </w:r>
      <w:r>
        <w:rPr>
          <w:rFonts w:hint="eastAsia" w:ascii="宋体" w:hAnsi="宋体" w:eastAsia="宋体" w:cs="宋体"/>
          <w:color w:val="000000" w:themeColor="text1"/>
          <w:sz w:val="24"/>
          <w:highlight w:val="none"/>
          <w14:textFill>
            <w14:solidFill>
              <w14:schemeClr w14:val="tx1"/>
            </w14:solidFill>
          </w14:textFill>
        </w:rPr>
        <w:t>第三方；</w:t>
      </w:r>
    </w:p>
    <w:p w14:paraId="663FE92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.4 其他根本违约的情形。</w:t>
      </w:r>
    </w:p>
    <w:p w14:paraId="6522B153">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第</w:t>
      </w:r>
      <w:r>
        <w:rPr>
          <w:rFonts w:hint="eastAsia" w:ascii="宋体" w:hAnsi="宋体" w:eastAsia="宋体" w:cs="宋体"/>
          <w:b/>
          <w:bCs/>
          <w:color w:val="000000" w:themeColor="text1"/>
          <w:sz w:val="24"/>
          <w:highlight w:val="none"/>
          <w:lang w:eastAsia="zh-CN"/>
          <w14:textFill>
            <w14:solidFill>
              <w14:schemeClr w14:val="tx1"/>
            </w14:solidFill>
          </w14:textFill>
        </w:rPr>
        <w:t>十</w:t>
      </w:r>
      <w:r>
        <w:rPr>
          <w:rFonts w:hint="eastAsia" w:ascii="宋体" w:hAnsi="宋体" w:eastAsia="宋体" w:cs="宋体"/>
          <w:b/>
          <w:bCs/>
          <w:color w:val="000000" w:themeColor="text1"/>
          <w:sz w:val="24"/>
          <w:highlight w:val="none"/>
          <w:lang w:val="en-US" w:eastAsia="zh-CN"/>
          <w14:textFill>
            <w14:solidFill>
              <w14:schemeClr w14:val="tx1"/>
            </w14:solidFill>
          </w14:textFill>
        </w:rPr>
        <w:t>二</w:t>
      </w:r>
      <w:r>
        <w:rPr>
          <w:rFonts w:hint="eastAsia" w:ascii="宋体" w:hAnsi="宋体" w:eastAsia="宋体" w:cs="宋体"/>
          <w:b/>
          <w:bCs/>
          <w:color w:val="000000" w:themeColor="text1"/>
          <w:sz w:val="24"/>
          <w:highlight w:val="none"/>
          <w14:textFill>
            <w14:solidFill>
              <w14:schemeClr w14:val="tx1"/>
            </w14:solidFill>
          </w14:textFill>
        </w:rPr>
        <w:t>条 违约责任</w:t>
      </w:r>
    </w:p>
    <w:p w14:paraId="04A2047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 xml:space="preserve">.1 </w:t>
      </w:r>
      <w:r>
        <w:rPr>
          <w:rFonts w:hint="eastAsia" w:ascii="宋体" w:hAnsi="宋体" w:eastAsia="宋体" w:cs="宋体"/>
          <w:color w:val="000000" w:themeColor="text1"/>
          <w:sz w:val="24"/>
          <w:highlight w:val="none"/>
          <w:lang w:eastAsia="zh-CN"/>
          <w14:textFill>
            <w14:solidFill>
              <w14:schemeClr w14:val="tx1"/>
            </w14:solidFill>
          </w14:textFill>
        </w:rPr>
        <w:t>甲方因</w:t>
      </w:r>
      <w:r>
        <w:rPr>
          <w:rFonts w:hint="eastAsia" w:ascii="宋体" w:hAnsi="宋体" w:eastAsia="宋体" w:cs="宋体"/>
          <w:color w:val="000000" w:themeColor="text1"/>
          <w:sz w:val="24"/>
          <w:highlight w:val="none"/>
          <w:lang w:val="en-US" w:eastAsia="zh-CN"/>
          <w14:textFill>
            <w14:solidFill>
              <w14:schemeClr w14:val="tx1"/>
            </w14:solidFill>
          </w14:textFill>
        </w:rPr>
        <w:t>11.2情形提前终止本合同或剔除部分采购内容均无须承担违约责任，乙方不得因此要求甲方予以任何经济赔偿或补偿。</w:t>
      </w:r>
    </w:p>
    <w:p w14:paraId="1BB7C62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.2 如乙方未在本合同约定时间内将验收合格的</w:t>
      </w:r>
      <w:r>
        <w:rPr>
          <w:rFonts w:hint="eastAsia" w:ascii="宋体" w:hAnsi="宋体" w:eastAsia="宋体" w:cs="宋体"/>
          <w:color w:val="000000" w:themeColor="text1"/>
          <w:sz w:val="24"/>
          <w:highlight w:val="none"/>
          <w:lang w:val="en-US" w:eastAsia="zh-CN"/>
          <w14:textFill>
            <w14:solidFill>
              <w14:schemeClr w14:val="tx1"/>
            </w14:solidFill>
          </w14:textFill>
        </w:rPr>
        <w:t>设备</w:t>
      </w:r>
      <w:r>
        <w:rPr>
          <w:rFonts w:hint="eastAsia" w:ascii="宋体" w:hAnsi="宋体" w:eastAsia="宋体" w:cs="宋体"/>
          <w:color w:val="000000" w:themeColor="text1"/>
          <w:sz w:val="24"/>
          <w:highlight w:val="none"/>
          <w14:textFill>
            <w14:solidFill>
              <w14:schemeClr w14:val="tx1"/>
            </w14:solidFill>
          </w14:textFill>
        </w:rPr>
        <w:t>交付给甲方使用，除应赔偿甲方因此造成的损失外，每逾期一日，按</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元 ☑</w:t>
      </w:r>
      <w:r>
        <w:rPr>
          <w:rFonts w:hint="eastAsia" w:ascii="宋体" w:hAnsi="宋体" w:eastAsia="宋体" w:cs="宋体"/>
          <w:color w:val="000000" w:themeColor="text1"/>
          <w:sz w:val="24"/>
          <w:highlight w:val="none"/>
          <w:u w:val="none"/>
          <w14:textFill>
            <w14:solidFill>
              <w14:schemeClr w14:val="tx1"/>
            </w14:solidFill>
          </w14:textFill>
        </w:rPr>
        <w:t>本合同约定总价款的</w:t>
      </w:r>
      <w:r>
        <w:rPr>
          <w:rFonts w:hint="eastAsia" w:ascii="宋体" w:hAnsi="宋体" w:eastAsia="宋体" w:cs="宋体"/>
          <w:color w:val="000000" w:themeColor="text1"/>
          <w:sz w:val="24"/>
          <w:highlight w:val="none"/>
          <w:u w:val="none"/>
          <w:lang w:eastAsia="zh-CN"/>
          <w14:textFill>
            <w14:solidFill>
              <w14:schemeClr w14:val="tx1"/>
            </w14:solidFill>
          </w14:textFill>
        </w:rPr>
        <w:t>千分之一</w:t>
      </w:r>
      <w:r>
        <w:rPr>
          <w:rFonts w:hint="eastAsia" w:ascii="宋体" w:hAnsi="宋体" w:eastAsia="宋体" w:cs="宋体"/>
          <w:color w:val="000000" w:themeColor="text1"/>
          <w:sz w:val="24"/>
          <w:highlight w:val="none"/>
          <w:lang w:eastAsia="zh-CN"/>
          <w14:textFill>
            <w14:solidFill>
              <w14:schemeClr w14:val="tx1"/>
            </w14:solidFill>
          </w14:textFill>
        </w:rPr>
        <w:t>）标准</w:t>
      </w:r>
      <w:r>
        <w:rPr>
          <w:rFonts w:hint="eastAsia" w:ascii="宋体" w:hAnsi="宋体" w:eastAsia="宋体" w:cs="宋体"/>
          <w:color w:val="000000" w:themeColor="text1"/>
          <w:sz w:val="24"/>
          <w:highlight w:val="none"/>
          <w14:textFill>
            <w14:solidFill>
              <w14:schemeClr w14:val="tx1"/>
            </w14:solidFill>
          </w14:textFill>
        </w:rPr>
        <w:t>向甲方支付违约金。</w:t>
      </w:r>
    </w:p>
    <w:p w14:paraId="7E38BD5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.3 如乙方单方解除合同或甲方因</w:t>
      </w:r>
      <w:r>
        <w:rPr>
          <w:rFonts w:hint="eastAsia" w:ascii="宋体" w:hAnsi="宋体" w:eastAsia="宋体" w:cs="宋体"/>
          <w:color w:val="000000" w:themeColor="text1"/>
          <w:sz w:val="24"/>
          <w:highlight w:val="none"/>
          <w:lang w:val="en-US" w:eastAsia="zh-CN"/>
          <w14:textFill>
            <w14:solidFill>
              <w14:schemeClr w14:val="tx1"/>
            </w14:solidFill>
          </w14:textFill>
        </w:rPr>
        <w:t>11.3情形</w:t>
      </w:r>
      <w:r>
        <w:rPr>
          <w:rFonts w:hint="eastAsia" w:ascii="宋体" w:hAnsi="宋体" w:eastAsia="宋体" w:cs="宋体"/>
          <w:color w:val="000000" w:themeColor="text1"/>
          <w:sz w:val="24"/>
          <w:highlight w:val="none"/>
          <w14:textFill>
            <w14:solidFill>
              <w14:schemeClr w14:val="tx1"/>
            </w14:solidFill>
          </w14:textFill>
        </w:rPr>
        <w:t>解除合同，乙方应赔偿给甲方造成的全部经济损失，并按</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元 ☑</w:t>
      </w:r>
      <w:r>
        <w:rPr>
          <w:rFonts w:hint="eastAsia" w:ascii="宋体" w:hAnsi="宋体" w:eastAsia="宋体" w:cs="宋体"/>
          <w:color w:val="000000" w:themeColor="text1"/>
          <w:sz w:val="24"/>
          <w:highlight w:val="none"/>
          <w:u w:val="none"/>
          <w14:textFill>
            <w14:solidFill>
              <w14:schemeClr w14:val="tx1"/>
            </w14:solidFill>
          </w14:textFill>
        </w:rPr>
        <w:t>本合同总价款30%</w:t>
      </w:r>
      <w:r>
        <w:rPr>
          <w:rFonts w:hint="eastAsia" w:ascii="宋体" w:hAnsi="宋体" w:eastAsia="宋体" w:cs="宋体"/>
          <w:color w:val="000000" w:themeColor="text1"/>
          <w:sz w:val="24"/>
          <w:highlight w:val="none"/>
          <w:u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标准</w:t>
      </w:r>
      <w:r>
        <w:rPr>
          <w:rFonts w:hint="eastAsia" w:ascii="宋体" w:hAnsi="宋体" w:eastAsia="宋体" w:cs="宋体"/>
          <w:color w:val="000000" w:themeColor="text1"/>
          <w:sz w:val="24"/>
          <w:highlight w:val="none"/>
          <w:lang w:val="en-US" w:eastAsia="zh-CN"/>
          <w14:textFill>
            <w14:solidFill>
              <w14:schemeClr w14:val="tx1"/>
            </w14:solidFill>
          </w14:textFill>
        </w:rPr>
        <w:t>向</w:t>
      </w:r>
      <w:r>
        <w:rPr>
          <w:rFonts w:hint="eastAsia" w:ascii="宋体" w:hAnsi="宋体" w:eastAsia="宋体" w:cs="宋体"/>
          <w:color w:val="000000" w:themeColor="text1"/>
          <w:sz w:val="24"/>
          <w:highlight w:val="none"/>
          <w14:textFill>
            <w14:solidFill>
              <w14:schemeClr w14:val="tx1"/>
            </w14:solidFill>
          </w14:textFill>
        </w:rPr>
        <w:t>甲方支付违约金。</w:t>
      </w:r>
    </w:p>
    <w:p w14:paraId="31D6764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12.4 无论甲方在任意时候（不限于本合同履行期间）发现存在违反本合同廉洁条款及供应商考核管理制度约定的行为，乙方均须向甲方支付一次性惩罚性违约金，</w:t>
      </w:r>
      <w:r>
        <w:rPr>
          <w:rFonts w:hint="eastAsia" w:ascii="宋体" w:hAnsi="宋体" w:eastAsia="宋体" w:cs="宋体"/>
          <w:b/>
          <w:bCs/>
          <w:color w:val="auto"/>
          <w:sz w:val="24"/>
          <w:szCs w:val="24"/>
          <w:highlight w:val="none"/>
          <w:u w:val="single"/>
          <w:lang w:val="en-US" w:eastAsia="zh-CN"/>
        </w:rPr>
        <w:t>该违约金金额按以下较高者确定：（1）本合同总费用的10%；（2）根据《娄底市中心医院医疗器械供应商考核管理制度》规定计算的廉政违约金金额。如乙方除需承担违反廉洁条款及供应商考核管理制度的违约责任外，同时存在其他违约行为，乙方仍须就其他违约行为承</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担相应违约责任。</w:t>
      </w:r>
    </w:p>
    <w:p w14:paraId="740829BE">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000000" w:themeColor="text1"/>
          <w:sz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highlight w:val="none"/>
          <w:u w:val="single"/>
          <w:lang w:val="en-US" w:eastAsia="zh-CN"/>
          <w14:textFill>
            <w14:solidFill>
              <w14:schemeClr w14:val="tx1"/>
            </w14:solidFill>
          </w14:textFill>
        </w:rPr>
        <w:t>12.5 依据本合同约定乙方应支付给甲方的违约金，甲方有权在应支付给乙方的任意价款中直接予以扣除，如扣除部分不足，乙方应在接到甲方通知后3日内补足。</w:t>
      </w:r>
    </w:p>
    <w:p w14:paraId="50160C1D">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第</w:t>
      </w:r>
      <w:r>
        <w:rPr>
          <w:rFonts w:hint="eastAsia" w:ascii="宋体" w:hAnsi="宋体" w:cs="宋体"/>
          <w:b/>
          <w:bCs/>
          <w:color w:val="000000" w:themeColor="text1"/>
          <w:sz w:val="24"/>
          <w:highlight w:val="none"/>
          <w:lang w:val="en-US" w:eastAsia="zh-CN"/>
          <w14:textFill>
            <w14:solidFill>
              <w14:schemeClr w14:val="tx1"/>
            </w14:solidFill>
          </w14:textFill>
        </w:rPr>
        <w:t>十三</w:t>
      </w:r>
      <w:r>
        <w:rPr>
          <w:rFonts w:hint="eastAsia" w:ascii="宋体" w:hAnsi="宋体" w:eastAsia="宋体" w:cs="宋体"/>
          <w:b/>
          <w:bCs/>
          <w:color w:val="000000" w:themeColor="text1"/>
          <w:sz w:val="24"/>
          <w:highlight w:val="none"/>
          <w14:textFill>
            <w14:solidFill>
              <w14:schemeClr w14:val="tx1"/>
            </w14:solidFill>
          </w14:textFill>
        </w:rPr>
        <w:t>条 争议解决</w:t>
      </w:r>
    </w:p>
    <w:p w14:paraId="635E8B6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13.1 本合同适用中华人民共和国法律，并按其解释。</w:t>
      </w:r>
    </w:p>
    <w:p w14:paraId="48E898E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 xml:space="preserve">13.2 </w:t>
      </w:r>
      <w:r>
        <w:rPr>
          <w:rFonts w:hint="eastAsia" w:ascii="宋体" w:hAnsi="宋体" w:eastAsia="宋体" w:cs="宋体"/>
          <w:color w:val="000000" w:themeColor="text1"/>
          <w:sz w:val="24"/>
          <w:highlight w:val="none"/>
          <w14:textFill>
            <w14:solidFill>
              <w14:schemeClr w14:val="tx1"/>
            </w14:solidFill>
          </w14:textFill>
        </w:rPr>
        <w:t>如双方在履行本合同过程中发生争议，双方应先协商解决，协商解决不成的，任一方均可向甲方所在地有管辖权的人民法院提起诉讼解决。</w:t>
      </w:r>
    </w:p>
    <w:p w14:paraId="1CF9935A">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第十</w:t>
      </w:r>
      <w:r>
        <w:rPr>
          <w:rFonts w:hint="eastAsia" w:ascii="宋体" w:hAnsi="宋体" w:cs="宋体"/>
          <w:b/>
          <w:bCs/>
          <w:color w:val="000000" w:themeColor="text1"/>
          <w:sz w:val="24"/>
          <w:highlight w:val="none"/>
          <w:lang w:val="en-US" w:eastAsia="zh-CN"/>
          <w14:textFill>
            <w14:solidFill>
              <w14:schemeClr w14:val="tx1"/>
            </w14:solidFill>
          </w14:textFill>
        </w:rPr>
        <w:t>四</w:t>
      </w:r>
      <w:r>
        <w:rPr>
          <w:rFonts w:hint="eastAsia" w:ascii="宋体" w:hAnsi="宋体" w:eastAsia="宋体" w:cs="宋体"/>
          <w:b/>
          <w:bCs/>
          <w:color w:val="000000" w:themeColor="text1"/>
          <w:sz w:val="24"/>
          <w:highlight w:val="none"/>
          <w14:textFill>
            <w14:solidFill>
              <w14:schemeClr w14:val="tx1"/>
            </w14:solidFill>
          </w14:textFill>
        </w:rPr>
        <w:t>条 附则</w:t>
      </w:r>
    </w:p>
    <w:p w14:paraId="642ADC2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 甲方《娄底市中心医院医疗器械供应商考核管理制度》、</w:t>
      </w:r>
      <w:r>
        <w:rPr>
          <w:rFonts w:hint="eastAsia" w:ascii="宋体" w:hAnsi="宋体" w:eastAsia="宋体" w:cs="宋体"/>
          <w:color w:val="auto"/>
          <w:sz w:val="24"/>
          <w:highlight w:val="none"/>
          <w:lang w:eastAsia="zh-CN"/>
        </w:rPr>
        <w:t>乙方加盖公章的资质复印件、售后承诺等作为本合同附件。</w:t>
      </w:r>
    </w:p>
    <w:p w14:paraId="7B69002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auto"/>
          <w:sz w:val="24"/>
          <w:highlight w:val="none"/>
          <w:lang w:eastAsia="zh-CN"/>
        </w:rPr>
        <w:t xml:space="preserve">14.2 </w:t>
      </w:r>
      <w:r>
        <w:rPr>
          <w:rFonts w:hint="eastAsia" w:ascii="宋体" w:hAnsi="宋体" w:eastAsia="宋体" w:cs="宋体"/>
          <w:color w:val="auto"/>
          <w:sz w:val="24"/>
          <w:highlight w:val="none"/>
        </w:rPr>
        <w:t>本</w:t>
      </w:r>
      <w:r>
        <w:rPr>
          <w:rFonts w:hint="eastAsia" w:ascii="宋体" w:hAnsi="宋体" w:eastAsia="宋体" w:cs="宋体"/>
          <w:color w:val="000000" w:themeColor="text1"/>
          <w:sz w:val="24"/>
          <w:highlight w:val="none"/>
          <w14:textFill>
            <w14:solidFill>
              <w14:schemeClr w14:val="tx1"/>
            </w14:solidFill>
          </w14:textFill>
        </w:rPr>
        <w:t>合同组成文件和优先解释顺序：</w:t>
      </w:r>
      <w:r>
        <w:rPr>
          <w:rFonts w:hint="eastAsia" w:ascii="宋体" w:hAnsi="宋体" w:eastAsia="宋体" w:cs="宋体"/>
          <w:color w:val="000000" w:themeColor="text1"/>
          <w:sz w:val="24"/>
          <w:highlight w:val="none"/>
          <w:lang w:eastAsia="zh-CN"/>
          <w14:textFill>
            <w14:solidFill>
              <w14:schemeClr w14:val="tx1"/>
            </w14:solidFill>
          </w14:textFill>
        </w:rPr>
        <w:t>乙方在履行本合同中作出的书面承诺；</w:t>
      </w:r>
      <w:r>
        <w:rPr>
          <w:rFonts w:hint="eastAsia" w:ascii="宋体" w:hAnsi="宋体" w:eastAsia="宋体" w:cs="宋体"/>
          <w:color w:val="000000" w:themeColor="text1"/>
          <w:sz w:val="24"/>
          <w:highlight w:val="none"/>
          <w14:textFill>
            <w14:solidFill>
              <w14:schemeClr w14:val="tx1"/>
            </w14:solidFill>
          </w14:textFill>
        </w:rPr>
        <w:t>本合同补充协议；本合同及附件；</w:t>
      </w:r>
      <w:r>
        <w:rPr>
          <w:rFonts w:hint="eastAsia" w:ascii="宋体" w:hAnsi="宋体" w:eastAsia="宋体" w:cs="宋体"/>
          <w:color w:val="000000" w:themeColor="text1"/>
          <w:sz w:val="24"/>
          <w:highlight w:val="none"/>
          <w:lang w:eastAsia="zh-CN"/>
          <w14:textFill>
            <w14:solidFill>
              <w14:schemeClr w14:val="tx1"/>
            </w14:solidFill>
          </w14:textFill>
        </w:rPr>
        <w:t>中标通知书</w:t>
      </w:r>
      <w:r>
        <w:rPr>
          <w:rFonts w:hint="eastAsia" w:ascii="宋体" w:hAnsi="宋体" w:eastAsia="宋体" w:cs="宋体"/>
          <w:color w:val="000000" w:themeColor="text1"/>
          <w:sz w:val="24"/>
          <w:highlight w:val="none"/>
          <w:lang w:val="en-US" w:eastAsia="zh-CN"/>
          <w14:textFill>
            <w14:solidFill>
              <w14:schemeClr w14:val="tx1"/>
            </w14:solidFill>
          </w14:textFill>
        </w:rPr>
        <w:t>/成交通知书/</w:t>
      </w:r>
      <w:r>
        <w:rPr>
          <w:rFonts w:hint="eastAsia" w:ascii="宋体" w:hAnsi="宋体" w:eastAsia="宋体" w:cs="宋体"/>
          <w:color w:val="000000" w:themeColor="text1"/>
          <w:sz w:val="24"/>
          <w:highlight w:val="none"/>
          <w14:textFill>
            <w14:solidFill>
              <w14:schemeClr w14:val="tx1"/>
            </w14:solidFill>
          </w14:textFill>
        </w:rPr>
        <w:t>议价结果公示</w:t>
      </w:r>
      <w:r>
        <w:rPr>
          <w:rFonts w:hint="eastAsia" w:ascii="宋体" w:hAnsi="宋体" w:eastAsia="宋体" w:cs="宋体"/>
          <w:color w:val="000000" w:themeColor="text1"/>
          <w:sz w:val="24"/>
          <w:highlight w:val="none"/>
          <w:lang w:val="en-US" w:eastAsia="zh-CN"/>
          <w14:textFill>
            <w14:solidFill>
              <w14:schemeClr w14:val="tx1"/>
            </w14:solidFill>
          </w14:textFill>
        </w:rPr>
        <w:t>/成交公告</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eastAsia="zh-CN"/>
          <w14:textFill>
            <w14:solidFill>
              <w14:schemeClr w14:val="tx1"/>
            </w14:solidFill>
          </w14:textFill>
        </w:rPr>
        <w:t>投标文件</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响应文件；</w:t>
      </w:r>
      <w:r>
        <w:rPr>
          <w:rFonts w:hint="eastAsia" w:ascii="宋体" w:hAnsi="宋体" w:eastAsia="宋体" w:cs="宋体"/>
          <w:color w:val="000000" w:themeColor="text1"/>
          <w:sz w:val="24"/>
          <w:highlight w:val="none"/>
          <w:lang w:eastAsia="zh-CN"/>
          <w14:textFill>
            <w14:solidFill>
              <w14:schemeClr w14:val="tx1"/>
            </w14:solidFill>
          </w14:textFill>
        </w:rPr>
        <w:t>招标文件</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采购文件</w:t>
      </w:r>
      <w:r>
        <w:rPr>
          <w:rFonts w:hint="eastAsia" w:ascii="宋体" w:hAnsi="宋体" w:eastAsia="宋体" w:cs="宋体"/>
          <w:color w:val="000000" w:themeColor="text1"/>
          <w:sz w:val="24"/>
          <w:highlight w:val="none"/>
          <w:lang w:val="en-US" w:eastAsia="zh-CN"/>
          <w14:textFill>
            <w14:solidFill>
              <w14:schemeClr w14:val="tx1"/>
            </w14:solidFill>
          </w14:textFill>
        </w:rPr>
        <w:t>/采购需求</w:t>
      </w:r>
      <w:r>
        <w:rPr>
          <w:rFonts w:hint="eastAsia" w:ascii="宋体" w:hAnsi="宋体" w:eastAsia="宋体" w:cs="宋体"/>
          <w:color w:val="000000" w:themeColor="text1"/>
          <w:sz w:val="24"/>
          <w:highlight w:val="none"/>
          <w14:textFill>
            <w14:solidFill>
              <w14:schemeClr w14:val="tx1"/>
            </w14:solidFill>
          </w14:textFill>
        </w:rPr>
        <w:t>；其他与本合同有关的资料。</w:t>
      </w:r>
    </w:p>
    <w:p w14:paraId="3F79CD6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w:t>
      </w:r>
      <w:r>
        <w:rPr>
          <w:rFonts w:hint="eastAsia" w:ascii="宋体" w:hAnsi="宋体" w:eastAsia="宋体" w:cs="宋体"/>
          <w:color w:val="000000" w:themeColor="text1"/>
          <w:sz w:val="24"/>
          <w:highlight w:val="none"/>
          <w:lang w:val="en-US" w:eastAsia="zh-CN"/>
          <w14:textFill>
            <w14:solidFill>
              <w14:schemeClr w14:val="tx1"/>
            </w14:solidFill>
          </w14:textFill>
        </w:rPr>
        <w:t>4</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eastAsia="zh-CN"/>
          <w14:textFill>
            <w14:solidFill>
              <w14:schemeClr w14:val="tx1"/>
            </w14:solidFill>
          </w14:textFill>
        </w:rPr>
        <w:t xml:space="preserve">3 </w:t>
      </w:r>
      <w:r>
        <w:rPr>
          <w:rFonts w:hint="eastAsia" w:ascii="宋体" w:hAnsi="宋体" w:eastAsia="宋体" w:cs="宋体"/>
          <w:color w:val="000000" w:themeColor="text1"/>
          <w:sz w:val="24"/>
          <w:highlight w:val="none"/>
          <w14:textFill>
            <w14:solidFill>
              <w14:schemeClr w14:val="tx1"/>
            </w14:solidFill>
          </w14:textFill>
        </w:rPr>
        <w:t>本合同一式</w:t>
      </w:r>
      <w:r>
        <w:rPr>
          <w:rFonts w:hint="eastAsia" w:ascii="宋体" w:hAnsi="宋体" w:eastAsia="宋体" w:cs="宋体"/>
          <w:color w:val="000000" w:themeColor="text1"/>
          <w:sz w:val="24"/>
          <w:highlight w:val="none"/>
          <w:lang w:val="en-US" w:eastAsia="zh-CN"/>
          <w14:textFill>
            <w14:solidFill>
              <w14:schemeClr w14:val="tx1"/>
            </w14:solidFill>
          </w14:textFill>
        </w:rPr>
        <w:t>伍</w:t>
      </w:r>
      <w:r>
        <w:rPr>
          <w:rFonts w:hint="eastAsia" w:ascii="宋体" w:hAnsi="宋体" w:eastAsia="宋体" w:cs="宋体"/>
          <w:color w:val="000000" w:themeColor="text1"/>
          <w:sz w:val="24"/>
          <w:highlight w:val="none"/>
          <w14:textFill>
            <w14:solidFill>
              <w14:schemeClr w14:val="tx1"/>
            </w14:solidFill>
          </w14:textFill>
        </w:rPr>
        <w:t>份，甲方执肆份、乙方执壹份，自双方签字并盖章</w:t>
      </w:r>
      <w:r>
        <w:rPr>
          <w:rFonts w:hint="eastAsia" w:ascii="宋体" w:hAnsi="宋体" w:eastAsia="宋体" w:cs="宋体"/>
          <w:color w:val="000000" w:themeColor="text1"/>
          <w:sz w:val="24"/>
          <w:highlight w:val="none"/>
          <w:lang w:eastAsia="zh-CN"/>
          <w14:textFill>
            <w14:solidFill>
              <w14:schemeClr w14:val="tx1"/>
            </w14:solidFill>
          </w14:textFill>
        </w:rPr>
        <w:t>后</w:t>
      </w:r>
      <w:r>
        <w:rPr>
          <w:rFonts w:hint="eastAsia" w:ascii="宋体" w:hAnsi="宋体" w:eastAsia="宋体" w:cs="宋体"/>
          <w:color w:val="000000" w:themeColor="text1"/>
          <w:sz w:val="24"/>
          <w:highlight w:val="none"/>
          <w14:textFill>
            <w14:solidFill>
              <w14:schemeClr w14:val="tx1"/>
            </w14:solidFill>
          </w14:textFill>
        </w:rPr>
        <w:t>生效。</w:t>
      </w:r>
    </w:p>
    <w:p w14:paraId="7B8E41CA">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p>
    <w:p w14:paraId="78C699D1">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甲方（盖章）：</w:t>
      </w:r>
      <w:r>
        <w:rPr>
          <w:rFonts w:hint="eastAsia" w:ascii="宋体" w:hAnsi="宋体" w:eastAsia="宋体" w:cs="宋体"/>
          <w:color w:val="000000" w:themeColor="text1"/>
          <w:sz w:val="24"/>
          <w:highlight w:val="none"/>
          <w14:textFill>
            <w14:solidFill>
              <w14:schemeClr w14:val="tx1"/>
            </w14:solidFill>
          </w14:textFill>
        </w:rPr>
        <w:t>娄底市中心医院</w:t>
      </w:r>
      <w:r>
        <w:rPr>
          <w:rFonts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乙方（盖章）</w:t>
      </w:r>
      <w:r>
        <w:rPr>
          <w:rFonts w:hint="eastAsia" w:ascii="宋体" w:hAnsi="宋体" w:eastAsia="宋体" w:cs="宋体"/>
          <w:color w:val="000000" w:themeColor="text1"/>
          <w:sz w:val="24"/>
          <w:highlight w:val="none"/>
          <w14:textFill>
            <w14:solidFill>
              <w14:schemeClr w14:val="tx1"/>
            </w14:solidFill>
          </w14:textFill>
        </w:rPr>
        <w:t>：</w:t>
      </w:r>
    </w:p>
    <w:p w14:paraId="7F90805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 xml:space="preserve">法定代表人（签字）：        </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 xml:space="preserve">法定代表人（签字）：  </w:t>
      </w:r>
    </w:p>
    <w:p w14:paraId="401D503B">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或</w:t>
      </w:r>
      <w:r>
        <w:rPr>
          <w:rFonts w:ascii="宋体" w:hAnsi="宋体" w:eastAsia="宋体" w:cs="宋体"/>
          <w:color w:val="000000" w:themeColor="text1"/>
          <w:sz w:val="24"/>
          <w:highlight w:val="none"/>
          <w14:textFill>
            <w14:solidFill>
              <w14:schemeClr w14:val="tx1"/>
            </w14:solidFill>
          </w14:textFill>
        </w:rPr>
        <w:t xml:space="preserve">委托代理人（签字）：        </w:t>
      </w:r>
      <w:r>
        <w:rPr>
          <w:rFonts w:hint="eastAsia" w:ascii="宋体" w:hAnsi="宋体" w:eastAsia="宋体" w:cs="宋体"/>
          <w:color w:val="000000" w:themeColor="text1"/>
          <w:sz w:val="24"/>
          <w:highlight w:val="none"/>
          <w14:textFill>
            <w14:solidFill>
              <w14:schemeClr w14:val="tx1"/>
            </w14:solidFill>
          </w14:textFill>
        </w:rPr>
        <w:t xml:space="preserve">      或</w:t>
      </w:r>
      <w:r>
        <w:rPr>
          <w:rFonts w:ascii="宋体" w:hAnsi="宋体" w:eastAsia="宋体" w:cs="宋体"/>
          <w:color w:val="000000" w:themeColor="text1"/>
          <w:sz w:val="24"/>
          <w:highlight w:val="none"/>
          <w14:textFill>
            <w14:solidFill>
              <w14:schemeClr w14:val="tx1"/>
            </w14:solidFill>
          </w14:textFill>
        </w:rPr>
        <w:t>委托代理人（签字）：</w:t>
      </w:r>
    </w:p>
    <w:p w14:paraId="4B8CEB55">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合同签订地</w:t>
      </w:r>
      <w:r>
        <w:rPr>
          <w:rFonts w:hint="eastAsia" w:ascii="宋体" w:hAnsi="宋体" w:eastAsia="宋体" w:cs="宋体"/>
          <w:color w:val="000000" w:themeColor="text1"/>
          <w:sz w:val="24"/>
          <w:highlight w:val="none"/>
          <w14:textFill>
            <w14:solidFill>
              <w14:schemeClr w14:val="tx1"/>
            </w14:solidFill>
          </w14:textFill>
        </w:rPr>
        <w:t>履行地</w:t>
      </w:r>
      <w:r>
        <w:rPr>
          <w:rFonts w:ascii="宋体" w:hAnsi="宋体" w:eastAsia="宋体" w:cs="宋体"/>
          <w:color w:val="000000" w:themeColor="text1"/>
          <w:sz w:val="24"/>
          <w:highlight w:val="none"/>
          <w14:textFill>
            <w14:solidFill>
              <w14:schemeClr w14:val="tx1"/>
            </w14:solidFill>
          </w14:textFill>
        </w:rPr>
        <w:t xml:space="preserve">：娄底市娄星区 </w:t>
      </w: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val="en-US" w:eastAsia="zh-CN"/>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签订时间：</w:t>
      </w:r>
      <w:r>
        <w:rPr>
          <w:rFonts w:hint="eastAsia" w:ascii="宋体" w:hAnsi="宋体" w:eastAsia="宋体" w:cs="宋体"/>
          <w:color w:val="000000" w:themeColor="text1"/>
          <w:sz w:val="24"/>
          <w:highlight w:val="none"/>
          <w:lang w:val="en-US" w:eastAsia="zh-CN"/>
          <w14:textFill>
            <w14:solidFill>
              <w14:schemeClr w14:val="tx1"/>
            </w14:solidFill>
          </w14:textFill>
        </w:rPr>
        <w:t>2026</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日</w:t>
      </w:r>
    </w:p>
    <w:p w14:paraId="390E53DE">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p>
    <w:p w14:paraId="6EC88E5E">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p>
    <w:p w14:paraId="1E6FB09F">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p>
    <w:p w14:paraId="636EE75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p>
    <w:p w14:paraId="5CE8FAC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color w:val="000000" w:themeColor="text1"/>
          <w:sz w:val="32"/>
          <w:szCs w:val="32"/>
          <w:highlight w:val="none"/>
          <w:lang w:val="en-US" w:eastAsia="zh-CN"/>
          <w14:textFill>
            <w14:solidFill>
              <w14:schemeClr w14:val="tx1"/>
            </w14:solidFill>
          </w14:textFill>
        </w:rPr>
      </w:pPr>
    </w:p>
    <w:p w14:paraId="6B06F021">
      <w:pPr>
        <w:spacing w:line="480" w:lineRule="exact"/>
        <w:rPr>
          <w:rFonts w:hint="eastAsia" w:ascii="黑体" w:hAnsi="黑体" w:eastAsia="黑体" w:cs="黑体"/>
          <w:sz w:val="32"/>
          <w:szCs w:val="32"/>
        </w:rPr>
      </w:pPr>
      <w:r>
        <w:rPr>
          <w:rFonts w:ascii="宋体" w:hAnsi="宋体" w:eastAsia="宋体" w:cs="宋体"/>
          <w:sz w:val="24"/>
        </w:rPr>
        <w:drawing>
          <wp:anchor distT="0" distB="0" distL="114300" distR="114300" simplePos="0" relativeHeight="251659264" behindDoc="0" locked="0" layoutInCell="1" allowOverlap="1">
            <wp:simplePos x="0" y="0"/>
            <wp:positionH relativeFrom="column">
              <wp:posOffset>38100</wp:posOffset>
            </wp:positionH>
            <wp:positionV relativeFrom="paragraph">
              <wp:posOffset>377190</wp:posOffset>
            </wp:positionV>
            <wp:extent cx="5615305" cy="7988935"/>
            <wp:effectExtent l="0" t="0" r="4445" b="12065"/>
            <wp:wrapSquare wrapText="bothSides"/>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7"/>
                    <a:stretch>
                      <a:fillRect/>
                    </a:stretch>
                  </pic:blipFill>
                  <pic:spPr>
                    <a:xfrm>
                      <a:off x="0" y="0"/>
                      <a:ext cx="5615305" cy="7988935"/>
                    </a:xfrm>
                    <a:prstGeom prst="rect">
                      <a:avLst/>
                    </a:prstGeom>
                  </pic:spPr>
                </pic:pic>
              </a:graphicData>
            </a:graphic>
          </wp:anchor>
        </w:drawing>
      </w:r>
      <w:r>
        <w:rPr>
          <w:rFonts w:hint="eastAsia" w:ascii="黑体" w:hAnsi="黑体" w:eastAsia="黑体" w:cs="黑体"/>
          <w:sz w:val="32"/>
          <w:szCs w:val="32"/>
        </w:rPr>
        <w:t>附件：</w:t>
      </w:r>
    </w:p>
    <w:p w14:paraId="227001E0">
      <w:pPr>
        <w:spacing w:line="480" w:lineRule="exact"/>
        <w:rPr>
          <w:rFonts w:hint="eastAsia" w:ascii="宋体" w:hAnsi="宋体" w:eastAsia="宋体" w:cs="宋体"/>
          <w:sz w:val="24"/>
        </w:rPr>
      </w:pPr>
    </w:p>
    <w:p w14:paraId="55002253">
      <w:pPr>
        <w:spacing w:line="480" w:lineRule="exact"/>
        <w:rPr>
          <w:rFonts w:hint="eastAsia" w:ascii="宋体" w:hAnsi="宋体" w:eastAsia="宋体" w:cs="宋体"/>
          <w:sz w:val="24"/>
        </w:rPr>
      </w:pPr>
    </w:p>
    <w:p w14:paraId="2848D38D">
      <w:pPr>
        <w:spacing w:line="480" w:lineRule="exact"/>
        <w:rPr>
          <w:rFonts w:hint="eastAsia" w:ascii="宋体" w:hAnsi="宋体" w:eastAsia="宋体" w:cs="宋体"/>
          <w:sz w:val="24"/>
        </w:rPr>
      </w:pPr>
    </w:p>
    <w:p w14:paraId="1609F11D">
      <w:pPr>
        <w:spacing w:line="480" w:lineRule="exact"/>
        <w:rPr>
          <w:rFonts w:hint="eastAsia" w:ascii="宋体" w:hAnsi="宋体" w:eastAsia="宋体" w:cs="宋体"/>
          <w:sz w:val="24"/>
        </w:rPr>
      </w:pPr>
    </w:p>
    <w:p w14:paraId="5531761F">
      <w:pPr>
        <w:spacing w:line="480" w:lineRule="exact"/>
        <w:rPr>
          <w:rFonts w:hint="eastAsia" w:ascii="宋体" w:hAnsi="宋体" w:eastAsia="宋体" w:cs="宋体"/>
          <w:sz w:val="24"/>
        </w:rPr>
      </w:pPr>
    </w:p>
    <w:p w14:paraId="1D5C0BF1">
      <w:pPr>
        <w:spacing w:line="480" w:lineRule="exact"/>
        <w:rPr>
          <w:rFonts w:hint="eastAsia" w:ascii="宋体" w:hAnsi="宋体" w:eastAsia="宋体" w:cs="宋体"/>
          <w:sz w:val="24"/>
        </w:rPr>
      </w:pPr>
    </w:p>
    <w:p w14:paraId="33EAFCC5">
      <w:pPr>
        <w:spacing w:line="480" w:lineRule="exact"/>
        <w:rPr>
          <w:rFonts w:hint="eastAsia" w:ascii="宋体" w:hAnsi="宋体" w:eastAsia="宋体" w:cs="宋体"/>
          <w:sz w:val="24"/>
        </w:rPr>
      </w:pPr>
    </w:p>
    <w:p w14:paraId="0DAE4335">
      <w:pPr>
        <w:spacing w:line="480" w:lineRule="exact"/>
        <w:rPr>
          <w:rFonts w:hint="eastAsia" w:ascii="宋体" w:hAnsi="宋体" w:eastAsia="宋体" w:cs="宋体"/>
          <w:sz w:val="24"/>
        </w:rPr>
      </w:pPr>
    </w:p>
    <w:p w14:paraId="34A2261D">
      <w:pPr>
        <w:spacing w:line="480" w:lineRule="exact"/>
        <w:rPr>
          <w:rFonts w:hint="eastAsia" w:ascii="宋体" w:hAnsi="宋体" w:eastAsia="宋体" w:cs="宋体"/>
          <w:sz w:val="24"/>
        </w:rPr>
      </w:pPr>
    </w:p>
    <w:p w14:paraId="113A1CF0">
      <w:pPr>
        <w:spacing w:line="480" w:lineRule="exact"/>
        <w:rPr>
          <w:rFonts w:hint="eastAsia" w:ascii="宋体" w:hAnsi="宋体" w:eastAsia="宋体" w:cs="宋体"/>
          <w:sz w:val="24"/>
        </w:rPr>
      </w:pPr>
    </w:p>
    <w:p w14:paraId="59E42C74">
      <w:pPr>
        <w:spacing w:line="480" w:lineRule="exact"/>
        <w:rPr>
          <w:rFonts w:hint="eastAsia" w:ascii="宋体" w:hAnsi="宋体" w:eastAsia="宋体" w:cs="宋体"/>
          <w:sz w:val="24"/>
        </w:rPr>
      </w:pPr>
    </w:p>
    <w:p w14:paraId="1D205281">
      <w:pPr>
        <w:spacing w:line="480" w:lineRule="exact"/>
        <w:rPr>
          <w:rFonts w:hint="eastAsia" w:ascii="宋体" w:hAnsi="宋体" w:eastAsia="宋体" w:cs="宋体"/>
          <w:sz w:val="24"/>
        </w:rPr>
      </w:pPr>
    </w:p>
    <w:p w14:paraId="588942DA">
      <w:pPr>
        <w:spacing w:line="480" w:lineRule="exact"/>
        <w:rPr>
          <w:rFonts w:hint="eastAsia" w:ascii="宋体" w:hAnsi="宋体" w:eastAsia="宋体" w:cs="宋体"/>
          <w:sz w:val="24"/>
        </w:rPr>
      </w:pPr>
    </w:p>
    <w:p w14:paraId="14EEB465">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ascii="宋体" w:hAnsi="宋体" w:eastAsia="宋体" w:cs="宋体"/>
          <w:sz w:val="24"/>
        </w:rPr>
        <w:drawing>
          <wp:anchor distT="0" distB="0" distL="114300" distR="114300" simplePos="0" relativeHeight="251662336" behindDoc="0" locked="0" layoutInCell="1" allowOverlap="1">
            <wp:simplePos x="0" y="0"/>
            <wp:positionH relativeFrom="column">
              <wp:posOffset>-116840</wp:posOffset>
            </wp:positionH>
            <wp:positionV relativeFrom="paragraph">
              <wp:posOffset>1338580</wp:posOffset>
            </wp:positionV>
            <wp:extent cx="5888990" cy="8423910"/>
            <wp:effectExtent l="0" t="0" r="16510" b="15240"/>
            <wp:wrapTopAndBottom/>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8"/>
                    <a:stretch>
                      <a:fillRect/>
                    </a:stretch>
                  </pic:blipFill>
                  <pic:spPr>
                    <a:xfrm>
                      <a:off x="0" y="0"/>
                      <a:ext cx="5888990" cy="8423910"/>
                    </a:xfrm>
                    <a:prstGeom prst="rect">
                      <a:avLst/>
                    </a:prstGeom>
                  </pic:spPr>
                </pic:pic>
              </a:graphicData>
            </a:graphic>
          </wp:anchor>
        </w:drawing>
      </w:r>
    </w:p>
    <w:p w14:paraId="58EBEBF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14:paraId="2585365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14:paraId="67EF959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14:paraId="570641E6">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ascii="宋体" w:hAnsi="宋体" w:eastAsia="宋体" w:cs="宋体"/>
          <w:sz w:val="24"/>
        </w:rPr>
        <w:drawing>
          <wp:anchor distT="0" distB="0" distL="114300" distR="114300" simplePos="0" relativeHeight="251663360" behindDoc="0" locked="0" layoutInCell="1" allowOverlap="1">
            <wp:simplePos x="0" y="0"/>
            <wp:positionH relativeFrom="column">
              <wp:posOffset>-38100</wp:posOffset>
            </wp:positionH>
            <wp:positionV relativeFrom="paragraph">
              <wp:posOffset>224790</wp:posOffset>
            </wp:positionV>
            <wp:extent cx="5995670" cy="8456930"/>
            <wp:effectExtent l="0" t="0" r="5080" b="1270"/>
            <wp:wrapSquare wrapText="bothSides"/>
            <wp:docPr id="9" name="图片 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
                    <pic:cNvPicPr>
                      <a:picLocks noChangeAspect="1"/>
                    </pic:cNvPicPr>
                  </pic:nvPicPr>
                  <pic:blipFill>
                    <a:blip r:embed="rId9"/>
                    <a:stretch>
                      <a:fillRect/>
                    </a:stretch>
                  </pic:blipFill>
                  <pic:spPr>
                    <a:xfrm>
                      <a:off x="647700" y="1139190"/>
                      <a:ext cx="5995670" cy="8456930"/>
                    </a:xfrm>
                    <a:prstGeom prst="rect">
                      <a:avLst/>
                    </a:prstGeom>
                  </pic:spPr>
                </pic:pic>
              </a:graphicData>
            </a:graphic>
          </wp:anchor>
        </w:drawing>
      </w:r>
    </w:p>
    <w:p w14:paraId="3076A3B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ascii="宋体" w:hAnsi="宋体" w:eastAsia="宋体" w:cs="宋体"/>
          <w:sz w:val="24"/>
        </w:rPr>
        <w:drawing>
          <wp:anchor distT="0" distB="0" distL="114300" distR="114300" simplePos="0" relativeHeight="251661312" behindDoc="0" locked="0" layoutInCell="1" allowOverlap="1">
            <wp:simplePos x="0" y="0"/>
            <wp:positionH relativeFrom="column">
              <wp:posOffset>236220</wp:posOffset>
            </wp:positionH>
            <wp:positionV relativeFrom="paragraph">
              <wp:posOffset>113030</wp:posOffset>
            </wp:positionV>
            <wp:extent cx="5976620" cy="8301355"/>
            <wp:effectExtent l="0" t="0" r="5080" b="4445"/>
            <wp:wrapSquare wrapText="bothSides"/>
            <wp:docPr id="10" name="图片 1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4"/>
                    <pic:cNvPicPr>
                      <a:picLocks noChangeAspect="1"/>
                    </pic:cNvPicPr>
                  </pic:nvPicPr>
                  <pic:blipFill>
                    <a:blip r:embed="rId10"/>
                    <a:stretch>
                      <a:fillRect/>
                    </a:stretch>
                  </pic:blipFill>
                  <pic:spPr>
                    <a:xfrm>
                      <a:off x="0" y="0"/>
                      <a:ext cx="5976620" cy="8301355"/>
                    </a:xfrm>
                    <a:prstGeom prst="rect">
                      <a:avLst/>
                    </a:prstGeom>
                  </pic:spPr>
                </pic:pic>
              </a:graphicData>
            </a:graphic>
          </wp:anchor>
        </w:drawing>
      </w:r>
    </w:p>
    <w:p w14:paraId="3C23ECF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color w:val="auto"/>
          <w:sz w:val="44"/>
          <w:szCs w:val="44"/>
          <w:lang w:val="en-US" w:eastAsia="zh-CN"/>
        </w:rPr>
      </w:pPr>
      <w:bookmarkStart w:id="1" w:name="_Toc16523574"/>
      <w:r>
        <w:rPr>
          <w:rFonts w:hint="eastAsia" w:ascii="方正小标宋简体" w:hAnsi="方正小标宋简体" w:eastAsia="方正小标宋简体" w:cs="方正小标宋简体"/>
          <w:color w:val="auto"/>
          <w:sz w:val="44"/>
          <w:szCs w:val="44"/>
          <w:lang w:val="en-US" w:eastAsia="zh-CN"/>
        </w:rPr>
        <w:t>第三章</w:t>
      </w:r>
      <w:bookmarkStart w:id="2" w:name="_Toc16523573"/>
      <w:r>
        <w:rPr>
          <w:rFonts w:hint="eastAsia" w:ascii="方正小标宋简体" w:hAnsi="方正小标宋简体" w:eastAsia="方正小标宋简体" w:cs="方正小标宋简体"/>
          <w:color w:val="auto"/>
          <w:sz w:val="44"/>
          <w:szCs w:val="44"/>
          <w:lang w:val="en-US" w:eastAsia="zh-CN"/>
        </w:rPr>
        <w:t>评标方法及标准</w:t>
      </w:r>
      <w:bookmarkEnd w:id="2"/>
    </w:p>
    <w:p w14:paraId="3ECB58F7">
      <w:pPr>
        <w:jc w:val="center"/>
        <w:rPr>
          <w:rFonts w:hint="eastAsia" w:ascii="仿宋" w:hAnsi="仿宋" w:eastAsia="仿宋" w:cs="仿宋"/>
          <w:sz w:val="24"/>
          <w:szCs w:val="24"/>
        </w:rPr>
      </w:pPr>
      <w:r>
        <w:rPr>
          <w:rFonts w:hint="eastAsia" w:ascii="仿宋" w:hAnsi="仿宋" w:eastAsia="仿宋" w:cs="仿宋"/>
          <w:sz w:val="24"/>
          <w:szCs w:val="24"/>
        </w:rPr>
        <w:t>本采购项目的权值见下表</w:t>
      </w:r>
    </w:p>
    <w:tbl>
      <w:tblPr>
        <w:tblStyle w:val="14"/>
        <w:tblW w:w="886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4705"/>
        <w:gridCol w:w="3439"/>
      </w:tblGrid>
      <w:tr w14:paraId="740B22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9" w:hRule="exact"/>
          <w:jc w:val="center"/>
        </w:trPr>
        <w:tc>
          <w:tcPr>
            <w:tcW w:w="724" w:type="dxa"/>
            <w:tcBorders>
              <w:top w:val="double" w:color="auto" w:sz="4" w:space="0"/>
              <w:left w:val="double" w:color="auto" w:sz="4" w:space="0"/>
              <w:bottom w:val="single" w:color="auto" w:sz="6" w:space="0"/>
              <w:right w:val="single" w:color="auto" w:sz="6" w:space="0"/>
            </w:tcBorders>
            <w:noWrap w:val="0"/>
            <w:vAlign w:val="center"/>
          </w:tcPr>
          <w:p w14:paraId="4449B4FE">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序号</w:t>
            </w:r>
          </w:p>
        </w:tc>
        <w:tc>
          <w:tcPr>
            <w:tcW w:w="4705" w:type="dxa"/>
            <w:tcBorders>
              <w:top w:val="double" w:color="auto" w:sz="4" w:space="0"/>
              <w:left w:val="single" w:color="auto" w:sz="6" w:space="0"/>
              <w:bottom w:val="single" w:color="auto" w:sz="6" w:space="0"/>
              <w:right w:val="single" w:color="auto" w:sz="6" w:space="0"/>
            </w:tcBorders>
            <w:noWrap w:val="0"/>
            <w:vAlign w:val="center"/>
          </w:tcPr>
          <w:p w14:paraId="22E4A11F">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项     目</w:t>
            </w:r>
          </w:p>
        </w:tc>
        <w:tc>
          <w:tcPr>
            <w:tcW w:w="3439" w:type="dxa"/>
            <w:tcBorders>
              <w:top w:val="double" w:color="auto" w:sz="4" w:space="0"/>
              <w:left w:val="single" w:color="auto" w:sz="6" w:space="0"/>
              <w:bottom w:val="single" w:color="auto" w:sz="6" w:space="0"/>
              <w:right w:val="double" w:color="auto" w:sz="4" w:space="0"/>
            </w:tcBorders>
            <w:noWrap w:val="0"/>
            <w:vAlign w:val="center"/>
          </w:tcPr>
          <w:p w14:paraId="7199EA01">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权值的取值</w:t>
            </w:r>
          </w:p>
        </w:tc>
      </w:tr>
      <w:tr w14:paraId="697785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jc w:val="center"/>
        </w:trPr>
        <w:tc>
          <w:tcPr>
            <w:tcW w:w="724" w:type="dxa"/>
            <w:tcBorders>
              <w:top w:val="single" w:color="auto" w:sz="6" w:space="0"/>
              <w:left w:val="double" w:color="auto" w:sz="4" w:space="0"/>
              <w:bottom w:val="single" w:color="auto" w:sz="6" w:space="0"/>
              <w:right w:val="single" w:color="auto" w:sz="6" w:space="0"/>
            </w:tcBorders>
            <w:noWrap w:val="0"/>
            <w:vAlign w:val="center"/>
          </w:tcPr>
          <w:p w14:paraId="0CE71E9E">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1</w:t>
            </w:r>
          </w:p>
        </w:tc>
        <w:tc>
          <w:tcPr>
            <w:tcW w:w="4705" w:type="dxa"/>
            <w:tcBorders>
              <w:top w:val="single" w:color="auto" w:sz="6" w:space="0"/>
              <w:left w:val="single" w:color="auto" w:sz="6" w:space="0"/>
              <w:bottom w:val="single" w:color="auto" w:sz="6" w:space="0"/>
              <w:right w:val="single" w:color="auto" w:sz="6" w:space="0"/>
            </w:tcBorders>
            <w:noWrap w:val="0"/>
            <w:vAlign w:val="center"/>
          </w:tcPr>
          <w:p w14:paraId="28CB0A69">
            <w:pPr>
              <w:jc w:val="center"/>
              <w:rPr>
                <w:rFonts w:hint="eastAsia" w:ascii="仿宋" w:hAnsi="仿宋" w:eastAsia="仿宋" w:cs="仿宋"/>
                <w:sz w:val="24"/>
                <w:szCs w:val="24"/>
                <w:lang w:val="ru-RU"/>
              </w:rPr>
            </w:pPr>
            <w:r>
              <w:rPr>
                <w:rFonts w:hint="eastAsia" w:ascii="仿宋" w:hAnsi="仿宋" w:eastAsia="仿宋" w:cs="仿宋"/>
                <w:sz w:val="24"/>
                <w:szCs w:val="24"/>
                <w:lang w:val="ru-RU" w:eastAsia="ru-RU"/>
              </w:rPr>
              <w:t>报价</w:t>
            </w:r>
            <w:r>
              <w:rPr>
                <w:rFonts w:hint="eastAsia" w:ascii="仿宋" w:hAnsi="仿宋" w:eastAsia="仿宋" w:cs="仿宋"/>
                <w:sz w:val="24"/>
                <w:szCs w:val="24"/>
                <w:lang w:val="ru-RU"/>
              </w:rPr>
              <w:t>（A1）</w:t>
            </w:r>
          </w:p>
        </w:tc>
        <w:tc>
          <w:tcPr>
            <w:tcW w:w="3439" w:type="dxa"/>
            <w:tcBorders>
              <w:top w:val="single" w:color="auto" w:sz="6" w:space="0"/>
              <w:left w:val="single" w:color="auto" w:sz="6" w:space="0"/>
              <w:bottom w:val="single" w:color="auto" w:sz="6" w:space="0"/>
              <w:right w:val="double" w:color="auto" w:sz="4" w:space="0"/>
            </w:tcBorders>
            <w:noWrap w:val="0"/>
            <w:vAlign w:val="center"/>
          </w:tcPr>
          <w:p w14:paraId="5CEE7045">
            <w:pPr>
              <w:jc w:val="center"/>
              <w:rPr>
                <w:rFonts w:hint="eastAsia" w:ascii="仿宋" w:hAnsi="仿宋" w:eastAsia="仿宋" w:cs="仿宋"/>
                <w:sz w:val="24"/>
                <w:szCs w:val="24"/>
              </w:rPr>
            </w:pPr>
            <w:r>
              <w:rPr>
                <w:rFonts w:hint="eastAsia" w:ascii="仿宋" w:hAnsi="仿宋" w:eastAsia="仿宋" w:cs="仿宋"/>
                <w:sz w:val="24"/>
                <w:szCs w:val="24"/>
              </w:rPr>
              <w:t>50%</w:t>
            </w:r>
          </w:p>
        </w:tc>
      </w:tr>
      <w:tr w14:paraId="4D7B5B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724" w:type="dxa"/>
            <w:tcBorders>
              <w:top w:val="single" w:color="auto" w:sz="6" w:space="0"/>
              <w:left w:val="double" w:color="auto" w:sz="4" w:space="0"/>
              <w:bottom w:val="single" w:color="auto" w:sz="6" w:space="0"/>
              <w:right w:val="single" w:color="auto" w:sz="6" w:space="0"/>
            </w:tcBorders>
            <w:noWrap w:val="0"/>
            <w:vAlign w:val="center"/>
          </w:tcPr>
          <w:p w14:paraId="676E7974">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2</w:t>
            </w:r>
          </w:p>
        </w:tc>
        <w:tc>
          <w:tcPr>
            <w:tcW w:w="4705" w:type="dxa"/>
            <w:tcBorders>
              <w:top w:val="single" w:color="auto" w:sz="6" w:space="0"/>
              <w:left w:val="single" w:color="auto" w:sz="6" w:space="0"/>
              <w:bottom w:val="single" w:color="auto" w:sz="6" w:space="0"/>
              <w:right w:val="single" w:color="auto" w:sz="6" w:space="0"/>
            </w:tcBorders>
            <w:noWrap w:val="0"/>
            <w:vAlign w:val="center"/>
          </w:tcPr>
          <w:p w14:paraId="1075C0FA">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技术</w:t>
            </w:r>
            <w:r>
              <w:rPr>
                <w:rFonts w:hint="eastAsia" w:ascii="仿宋" w:hAnsi="仿宋" w:eastAsia="仿宋" w:cs="仿宋"/>
                <w:sz w:val="24"/>
                <w:szCs w:val="24"/>
                <w:lang w:val="ru-RU"/>
              </w:rPr>
              <w:t>（A2）</w:t>
            </w:r>
          </w:p>
        </w:tc>
        <w:tc>
          <w:tcPr>
            <w:tcW w:w="3439" w:type="dxa"/>
            <w:tcBorders>
              <w:top w:val="single" w:color="auto" w:sz="6" w:space="0"/>
              <w:left w:val="single" w:color="auto" w:sz="6" w:space="0"/>
              <w:bottom w:val="single" w:color="auto" w:sz="6" w:space="0"/>
              <w:right w:val="double" w:color="auto" w:sz="4" w:space="0"/>
            </w:tcBorders>
            <w:noWrap w:val="0"/>
            <w:vAlign w:val="center"/>
          </w:tcPr>
          <w:p w14:paraId="2EA3A0FD">
            <w:pPr>
              <w:jc w:val="center"/>
              <w:rPr>
                <w:rFonts w:hint="eastAsia" w:ascii="仿宋" w:hAnsi="仿宋" w:eastAsia="仿宋" w:cs="仿宋"/>
                <w:sz w:val="24"/>
                <w:szCs w:val="24"/>
              </w:rPr>
            </w:pPr>
            <w:r>
              <w:rPr>
                <w:rFonts w:hint="eastAsia" w:ascii="仿宋" w:hAnsi="仿宋" w:eastAsia="仿宋" w:cs="仿宋"/>
                <w:sz w:val="24"/>
                <w:szCs w:val="24"/>
              </w:rPr>
              <w:t>40%</w:t>
            </w:r>
          </w:p>
        </w:tc>
      </w:tr>
      <w:tr w14:paraId="7E0166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724" w:type="dxa"/>
            <w:tcBorders>
              <w:top w:val="single" w:color="auto" w:sz="6" w:space="0"/>
              <w:left w:val="double" w:color="auto" w:sz="4" w:space="0"/>
              <w:bottom w:val="single" w:color="auto" w:sz="6" w:space="0"/>
              <w:right w:val="single" w:color="auto" w:sz="6" w:space="0"/>
            </w:tcBorders>
            <w:noWrap w:val="0"/>
            <w:vAlign w:val="center"/>
          </w:tcPr>
          <w:p w14:paraId="23C192E9">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3</w:t>
            </w:r>
          </w:p>
        </w:tc>
        <w:tc>
          <w:tcPr>
            <w:tcW w:w="4705" w:type="dxa"/>
            <w:tcBorders>
              <w:top w:val="single" w:color="auto" w:sz="6" w:space="0"/>
              <w:left w:val="single" w:color="auto" w:sz="6" w:space="0"/>
              <w:bottom w:val="single" w:color="auto" w:sz="6" w:space="0"/>
              <w:right w:val="single" w:color="auto" w:sz="6" w:space="0"/>
            </w:tcBorders>
            <w:noWrap w:val="0"/>
            <w:vAlign w:val="center"/>
          </w:tcPr>
          <w:p w14:paraId="288D3A80">
            <w:pPr>
              <w:jc w:val="center"/>
              <w:rPr>
                <w:rFonts w:hint="eastAsia" w:ascii="仿宋" w:hAnsi="仿宋" w:eastAsia="仿宋" w:cs="仿宋"/>
                <w:sz w:val="24"/>
                <w:szCs w:val="24"/>
                <w:lang w:val="ru-RU"/>
              </w:rPr>
            </w:pPr>
            <w:r>
              <w:rPr>
                <w:rFonts w:hint="eastAsia" w:ascii="仿宋" w:hAnsi="仿宋" w:eastAsia="仿宋" w:cs="仿宋"/>
                <w:sz w:val="24"/>
                <w:szCs w:val="24"/>
                <w:lang w:val="ru-RU"/>
              </w:rPr>
              <w:t>商务（A3）</w:t>
            </w:r>
          </w:p>
        </w:tc>
        <w:tc>
          <w:tcPr>
            <w:tcW w:w="3439" w:type="dxa"/>
            <w:tcBorders>
              <w:top w:val="single" w:color="auto" w:sz="6" w:space="0"/>
              <w:left w:val="single" w:color="auto" w:sz="6" w:space="0"/>
              <w:bottom w:val="single" w:color="auto" w:sz="6" w:space="0"/>
              <w:right w:val="double" w:color="auto" w:sz="4" w:space="0"/>
            </w:tcBorders>
            <w:noWrap w:val="0"/>
            <w:vAlign w:val="center"/>
          </w:tcPr>
          <w:p w14:paraId="70A015B9">
            <w:pPr>
              <w:jc w:val="center"/>
              <w:rPr>
                <w:rFonts w:hint="eastAsia" w:ascii="仿宋" w:hAnsi="仿宋" w:eastAsia="仿宋" w:cs="仿宋"/>
                <w:sz w:val="24"/>
                <w:szCs w:val="24"/>
              </w:rPr>
            </w:pPr>
            <w:r>
              <w:rPr>
                <w:rFonts w:hint="eastAsia" w:ascii="仿宋" w:hAnsi="仿宋" w:eastAsia="仿宋" w:cs="仿宋"/>
                <w:sz w:val="24"/>
                <w:szCs w:val="24"/>
              </w:rPr>
              <w:t>10%</w:t>
            </w:r>
          </w:p>
        </w:tc>
      </w:tr>
      <w:tr w14:paraId="047698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5429" w:type="dxa"/>
            <w:gridSpan w:val="2"/>
            <w:tcBorders>
              <w:top w:val="single" w:color="auto" w:sz="6" w:space="0"/>
              <w:left w:val="double" w:color="auto" w:sz="4" w:space="0"/>
              <w:bottom w:val="double" w:color="auto" w:sz="4" w:space="0"/>
              <w:right w:val="single" w:color="auto" w:sz="6" w:space="0"/>
            </w:tcBorders>
            <w:noWrap w:val="0"/>
            <w:vAlign w:val="center"/>
          </w:tcPr>
          <w:p w14:paraId="1E85E3F7">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rPr>
              <w:t>合计</w:t>
            </w:r>
          </w:p>
        </w:tc>
        <w:tc>
          <w:tcPr>
            <w:tcW w:w="3439" w:type="dxa"/>
            <w:tcBorders>
              <w:top w:val="single" w:color="auto" w:sz="6" w:space="0"/>
              <w:left w:val="single" w:color="auto" w:sz="6" w:space="0"/>
              <w:bottom w:val="double" w:color="auto" w:sz="4" w:space="0"/>
              <w:right w:val="double" w:color="auto" w:sz="4" w:space="0"/>
            </w:tcBorders>
            <w:noWrap w:val="0"/>
            <w:vAlign w:val="center"/>
          </w:tcPr>
          <w:p w14:paraId="5C986A8A">
            <w:pPr>
              <w:jc w:val="center"/>
              <w:rPr>
                <w:rFonts w:hint="eastAsia" w:ascii="仿宋" w:hAnsi="仿宋" w:eastAsia="仿宋" w:cs="仿宋"/>
                <w:sz w:val="24"/>
                <w:szCs w:val="24"/>
              </w:rPr>
            </w:pPr>
            <w:r>
              <w:rPr>
                <w:rFonts w:hint="eastAsia" w:ascii="仿宋" w:hAnsi="仿宋" w:eastAsia="仿宋" w:cs="仿宋"/>
                <w:sz w:val="24"/>
                <w:szCs w:val="24"/>
              </w:rPr>
              <w:t>1</w:t>
            </w:r>
          </w:p>
        </w:tc>
      </w:tr>
    </w:tbl>
    <w:p w14:paraId="07F0CF53">
      <w:pPr>
        <w:jc w:val="center"/>
        <w:rPr>
          <w:rFonts w:hint="eastAsia" w:ascii="仿宋" w:hAnsi="仿宋" w:eastAsia="仿宋" w:cs="仿宋"/>
          <w:sz w:val="24"/>
          <w:szCs w:val="24"/>
        </w:rPr>
      </w:pPr>
      <w:r>
        <w:rPr>
          <w:rFonts w:hint="eastAsia" w:ascii="仿宋" w:hAnsi="仿宋" w:eastAsia="仿宋" w:cs="仿宋"/>
          <w:sz w:val="24"/>
          <w:szCs w:val="24"/>
        </w:rPr>
        <w:t>附表1.1投标报价评审标准表</w:t>
      </w:r>
    </w:p>
    <w:tbl>
      <w:tblPr>
        <w:tblStyle w:val="14"/>
        <w:tblW w:w="891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2"/>
        <w:gridCol w:w="2159"/>
        <w:gridCol w:w="6249"/>
      </w:tblGrid>
      <w:tr w14:paraId="1E8710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502" w:type="dxa"/>
            <w:tcBorders>
              <w:top w:val="double" w:color="auto" w:sz="4" w:space="0"/>
              <w:left w:val="double" w:color="auto" w:sz="4" w:space="0"/>
              <w:bottom w:val="single" w:color="auto" w:sz="6" w:space="0"/>
              <w:right w:val="single" w:color="auto" w:sz="4" w:space="0"/>
            </w:tcBorders>
            <w:noWrap w:val="0"/>
            <w:vAlign w:val="center"/>
          </w:tcPr>
          <w:p w14:paraId="79A2F86E">
            <w:pPr>
              <w:jc w:val="center"/>
              <w:rPr>
                <w:rFonts w:hint="eastAsia" w:ascii="仿宋" w:hAnsi="仿宋" w:eastAsia="仿宋" w:cs="仿宋"/>
                <w:sz w:val="24"/>
                <w:szCs w:val="24"/>
              </w:rPr>
            </w:pPr>
            <w:r>
              <w:rPr>
                <w:rFonts w:hint="eastAsia" w:ascii="仿宋" w:hAnsi="仿宋" w:eastAsia="仿宋" w:cs="仿宋"/>
                <w:sz w:val="24"/>
                <w:szCs w:val="24"/>
              </w:rPr>
              <w:t>序号</w:t>
            </w:r>
          </w:p>
        </w:tc>
        <w:tc>
          <w:tcPr>
            <w:tcW w:w="2159" w:type="dxa"/>
            <w:tcBorders>
              <w:top w:val="double" w:color="auto" w:sz="4" w:space="0"/>
              <w:left w:val="single" w:color="auto" w:sz="4" w:space="0"/>
              <w:bottom w:val="single" w:color="auto" w:sz="6" w:space="0"/>
              <w:right w:val="single" w:color="auto" w:sz="4" w:space="0"/>
            </w:tcBorders>
            <w:noWrap w:val="0"/>
            <w:vAlign w:val="center"/>
          </w:tcPr>
          <w:p w14:paraId="6BC085C6">
            <w:pPr>
              <w:jc w:val="center"/>
              <w:rPr>
                <w:rFonts w:hint="eastAsia" w:ascii="仿宋" w:hAnsi="仿宋" w:eastAsia="仿宋" w:cs="仿宋"/>
                <w:sz w:val="24"/>
                <w:szCs w:val="24"/>
              </w:rPr>
            </w:pPr>
            <w:r>
              <w:rPr>
                <w:rFonts w:hint="eastAsia" w:ascii="仿宋" w:hAnsi="仿宋" w:eastAsia="仿宋" w:cs="仿宋"/>
                <w:sz w:val="24"/>
                <w:szCs w:val="24"/>
              </w:rPr>
              <w:t>评标因素（分值）</w:t>
            </w:r>
          </w:p>
        </w:tc>
        <w:tc>
          <w:tcPr>
            <w:tcW w:w="6249" w:type="dxa"/>
            <w:tcBorders>
              <w:top w:val="double" w:color="auto" w:sz="4" w:space="0"/>
              <w:left w:val="single" w:color="auto" w:sz="4" w:space="0"/>
              <w:bottom w:val="single" w:color="auto" w:sz="6" w:space="0"/>
              <w:right w:val="double" w:color="auto" w:sz="4" w:space="0"/>
            </w:tcBorders>
            <w:noWrap w:val="0"/>
            <w:vAlign w:val="center"/>
          </w:tcPr>
          <w:p w14:paraId="6B61F726">
            <w:pPr>
              <w:jc w:val="center"/>
              <w:rPr>
                <w:rFonts w:hint="eastAsia" w:ascii="仿宋" w:hAnsi="仿宋" w:eastAsia="仿宋" w:cs="仿宋"/>
                <w:sz w:val="24"/>
                <w:szCs w:val="24"/>
              </w:rPr>
            </w:pPr>
            <w:r>
              <w:rPr>
                <w:rFonts w:hint="eastAsia" w:ascii="仿宋" w:hAnsi="仿宋" w:eastAsia="仿宋" w:cs="仿宋"/>
                <w:sz w:val="24"/>
                <w:szCs w:val="24"/>
              </w:rPr>
              <w:t>评标标准</w:t>
            </w:r>
          </w:p>
        </w:tc>
      </w:tr>
      <w:tr w14:paraId="38B98E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502" w:type="dxa"/>
            <w:tcBorders>
              <w:top w:val="single" w:color="auto" w:sz="6" w:space="0"/>
              <w:left w:val="double" w:color="auto" w:sz="4" w:space="0"/>
              <w:bottom w:val="single" w:color="auto" w:sz="6" w:space="0"/>
              <w:right w:val="single" w:color="auto" w:sz="4" w:space="0"/>
            </w:tcBorders>
            <w:noWrap w:val="0"/>
            <w:vAlign w:val="center"/>
          </w:tcPr>
          <w:p w14:paraId="39A100E7">
            <w:pPr>
              <w:jc w:val="center"/>
              <w:rPr>
                <w:rFonts w:hint="eastAsia" w:ascii="仿宋" w:hAnsi="仿宋" w:eastAsia="仿宋" w:cs="仿宋"/>
                <w:sz w:val="24"/>
                <w:szCs w:val="24"/>
              </w:rPr>
            </w:pPr>
            <w:r>
              <w:rPr>
                <w:rFonts w:hint="eastAsia" w:ascii="仿宋" w:hAnsi="仿宋" w:eastAsia="仿宋" w:cs="仿宋"/>
                <w:sz w:val="24"/>
                <w:szCs w:val="24"/>
              </w:rPr>
              <w:t>1</w:t>
            </w:r>
          </w:p>
        </w:tc>
        <w:tc>
          <w:tcPr>
            <w:tcW w:w="2159" w:type="dxa"/>
            <w:tcBorders>
              <w:top w:val="single" w:color="auto" w:sz="6" w:space="0"/>
              <w:left w:val="single" w:color="auto" w:sz="4" w:space="0"/>
              <w:bottom w:val="single" w:color="auto" w:sz="6" w:space="0"/>
              <w:right w:val="single" w:color="auto" w:sz="4" w:space="0"/>
            </w:tcBorders>
            <w:noWrap w:val="0"/>
            <w:vAlign w:val="center"/>
          </w:tcPr>
          <w:p w14:paraId="35B0C503">
            <w:pPr>
              <w:jc w:val="center"/>
              <w:rPr>
                <w:rFonts w:hint="eastAsia" w:ascii="仿宋" w:hAnsi="仿宋" w:eastAsia="仿宋" w:cs="仿宋"/>
                <w:sz w:val="24"/>
                <w:szCs w:val="24"/>
              </w:rPr>
            </w:pPr>
            <w:r>
              <w:rPr>
                <w:rFonts w:hint="eastAsia" w:ascii="仿宋" w:hAnsi="仿宋" w:eastAsia="仿宋" w:cs="仿宋"/>
                <w:sz w:val="24"/>
                <w:szCs w:val="24"/>
              </w:rPr>
              <w:t>价格评价项</w:t>
            </w:r>
          </w:p>
          <w:p w14:paraId="4BE5234D">
            <w:pPr>
              <w:jc w:val="center"/>
              <w:rPr>
                <w:rFonts w:hint="eastAsia" w:ascii="仿宋" w:hAnsi="仿宋" w:eastAsia="仿宋" w:cs="仿宋"/>
                <w:sz w:val="24"/>
                <w:szCs w:val="24"/>
              </w:rPr>
            </w:pPr>
            <w:r>
              <w:rPr>
                <w:rFonts w:hint="eastAsia" w:ascii="仿宋" w:hAnsi="仿宋" w:eastAsia="仿宋" w:cs="仿宋"/>
                <w:sz w:val="24"/>
                <w:szCs w:val="24"/>
              </w:rPr>
              <w:t>（F=100分）</w:t>
            </w:r>
          </w:p>
        </w:tc>
        <w:tc>
          <w:tcPr>
            <w:tcW w:w="6249" w:type="dxa"/>
            <w:tcBorders>
              <w:top w:val="single" w:color="auto" w:sz="6" w:space="0"/>
              <w:left w:val="single" w:color="auto" w:sz="4" w:space="0"/>
              <w:bottom w:val="single" w:color="auto" w:sz="6" w:space="0"/>
              <w:right w:val="double" w:color="auto" w:sz="4" w:space="0"/>
            </w:tcBorders>
            <w:noWrap w:val="0"/>
            <w:vAlign w:val="center"/>
          </w:tcPr>
          <w:p w14:paraId="11B6706A">
            <w:pPr>
              <w:jc w:val="left"/>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、满足招标文件要求且投标报价中最低的投标报价为评标基准价其价格分为满分；其他投标人的价格分统一按照以下公式计算：</w:t>
            </w:r>
          </w:p>
          <w:p w14:paraId="5D3679C9">
            <w:pPr>
              <w:jc w:val="left"/>
              <w:rPr>
                <w:rFonts w:hint="eastAsia" w:ascii="仿宋" w:hAnsi="仿宋" w:eastAsia="仿宋" w:cs="仿宋"/>
                <w:sz w:val="24"/>
                <w:szCs w:val="24"/>
              </w:rPr>
            </w:pPr>
            <w:r>
              <w:rPr>
                <w:rFonts w:hint="eastAsia" w:ascii="仿宋" w:hAnsi="仿宋" w:eastAsia="仿宋" w:cs="仿宋"/>
                <w:sz w:val="24"/>
                <w:szCs w:val="24"/>
              </w:rPr>
              <w:t>投标报价得分=（评标基准价/投标报价）×价格权值×100</w:t>
            </w:r>
          </w:p>
          <w:p w14:paraId="32D9E824">
            <w:pPr>
              <w:jc w:val="left"/>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076F3E0C">
            <w:pPr>
              <w:jc w:val="left"/>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、最终投标价以人民币元为单位，计算保留至小数点后2位（百分比亦然），小数点后第3位采取4舍5入</w:t>
            </w:r>
          </w:p>
        </w:tc>
      </w:tr>
    </w:tbl>
    <w:p w14:paraId="5032BA03">
      <w:pPr>
        <w:jc w:val="center"/>
        <w:rPr>
          <w:rFonts w:hint="eastAsia" w:ascii="仿宋" w:hAnsi="仿宋" w:eastAsia="仿宋" w:cs="仿宋"/>
          <w:sz w:val="24"/>
          <w:szCs w:val="24"/>
        </w:rPr>
      </w:pPr>
    </w:p>
    <w:p w14:paraId="657702CE">
      <w:pPr>
        <w:jc w:val="center"/>
        <w:rPr>
          <w:rFonts w:hint="eastAsia" w:ascii="仿宋" w:hAnsi="仿宋" w:eastAsia="仿宋" w:cs="仿宋"/>
          <w:sz w:val="24"/>
          <w:szCs w:val="24"/>
        </w:rPr>
      </w:pPr>
    </w:p>
    <w:p w14:paraId="138133DF">
      <w:pPr>
        <w:jc w:val="center"/>
        <w:rPr>
          <w:rFonts w:hint="eastAsia" w:ascii="仿宋" w:hAnsi="仿宋" w:eastAsia="仿宋" w:cs="仿宋"/>
          <w:sz w:val="24"/>
          <w:szCs w:val="24"/>
        </w:rPr>
      </w:pPr>
    </w:p>
    <w:p w14:paraId="42C3E1CD">
      <w:pPr>
        <w:jc w:val="center"/>
        <w:rPr>
          <w:rFonts w:hint="eastAsia" w:ascii="仿宋" w:hAnsi="仿宋" w:eastAsia="仿宋" w:cs="仿宋"/>
          <w:sz w:val="24"/>
          <w:szCs w:val="24"/>
        </w:rPr>
      </w:pPr>
    </w:p>
    <w:p w14:paraId="61515F4F">
      <w:pPr>
        <w:jc w:val="center"/>
        <w:rPr>
          <w:rFonts w:hint="eastAsia" w:ascii="仿宋" w:hAnsi="仿宋" w:eastAsia="仿宋" w:cs="仿宋"/>
          <w:sz w:val="24"/>
          <w:szCs w:val="24"/>
        </w:rPr>
      </w:pPr>
      <w:r>
        <w:rPr>
          <w:rFonts w:hint="eastAsia" w:ascii="仿宋" w:hAnsi="仿宋" w:eastAsia="仿宋" w:cs="仿宋"/>
          <w:sz w:val="24"/>
          <w:szCs w:val="24"/>
        </w:rPr>
        <w:br w:type="page"/>
      </w:r>
    </w:p>
    <w:p w14:paraId="533E6EAD">
      <w:pPr>
        <w:jc w:val="center"/>
        <w:rPr>
          <w:rFonts w:hint="eastAsia" w:ascii="仿宋" w:hAnsi="仿宋" w:eastAsia="仿宋" w:cs="仿宋"/>
          <w:sz w:val="24"/>
          <w:szCs w:val="24"/>
        </w:rPr>
      </w:pPr>
      <w:r>
        <w:rPr>
          <w:rFonts w:hint="eastAsia" w:ascii="仿宋" w:hAnsi="仿宋" w:eastAsia="仿宋" w:cs="仿宋"/>
          <w:sz w:val="24"/>
          <w:szCs w:val="24"/>
        </w:rPr>
        <w:t>附表1.2技术部分评审标准表</w:t>
      </w:r>
    </w:p>
    <w:tbl>
      <w:tblPr>
        <w:tblStyle w:val="14"/>
        <w:tblW w:w="894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3"/>
        <w:gridCol w:w="2160"/>
        <w:gridCol w:w="773"/>
        <w:gridCol w:w="772"/>
        <w:gridCol w:w="4732"/>
      </w:tblGrid>
      <w:tr w14:paraId="3958F8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503" w:type="dxa"/>
            <w:tcBorders>
              <w:top w:val="double" w:color="auto" w:sz="4" w:space="0"/>
              <w:left w:val="double" w:color="auto" w:sz="4" w:space="0"/>
              <w:bottom w:val="single" w:color="auto" w:sz="6" w:space="0"/>
              <w:right w:val="single" w:color="auto" w:sz="4" w:space="0"/>
            </w:tcBorders>
            <w:noWrap w:val="0"/>
            <w:vAlign w:val="center"/>
          </w:tcPr>
          <w:p w14:paraId="105966A6">
            <w:pPr>
              <w:jc w:val="center"/>
              <w:rPr>
                <w:rFonts w:hint="eastAsia" w:ascii="仿宋" w:hAnsi="仿宋" w:eastAsia="仿宋" w:cs="仿宋"/>
                <w:sz w:val="24"/>
                <w:szCs w:val="24"/>
              </w:rPr>
            </w:pPr>
            <w:r>
              <w:rPr>
                <w:rFonts w:hint="eastAsia" w:ascii="仿宋" w:hAnsi="仿宋" w:eastAsia="仿宋" w:cs="仿宋"/>
                <w:sz w:val="24"/>
                <w:szCs w:val="24"/>
              </w:rPr>
              <w:t>序号</w:t>
            </w:r>
          </w:p>
        </w:tc>
        <w:tc>
          <w:tcPr>
            <w:tcW w:w="2160" w:type="dxa"/>
            <w:tcBorders>
              <w:top w:val="double" w:color="auto" w:sz="4" w:space="0"/>
              <w:left w:val="single" w:color="auto" w:sz="4" w:space="0"/>
              <w:bottom w:val="single" w:color="auto" w:sz="6" w:space="0"/>
              <w:right w:val="single" w:color="auto" w:sz="4" w:space="0"/>
            </w:tcBorders>
            <w:noWrap w:val="0"/>
            <w:vAlign w:val="center"/>
          </w:tcPr>
          <w:p w14:paraId="2DC01C33">
            <w:pPr>
              <w:jc w:val="center"/>
              <w:rPr>
                <w:rFonts w:hint="eastAsia" w:ascii="仿宋" w:hAnsi="仿宋" w:eastAsia="仿宋" w:cs="仿宋"/>
                <w:sz w:val="24"/>
                <w:szCs w:val="24"/>
              </w:rPr>
            </w:pPr>
            <w:r>
              <w:rPr>
                <w:rFonts w:hint="eastAsia" w:ascii="仿宋" w:hAnsi="仿宋" w:eastAsia="仿宋" w:cs="仿宋"/>
                <w:sz w:val="24"/>
                <w:szCs w:val="24"/>
              </w:rPr>
              <w:t>评标因素（分值）</w:t>
            </w:r>
          </w:p>
        </w:tc>
        <w:tc>
          <w:tcPr>
            <w:tcW w:w="6277" w:type="dxa"/>
            <w:gridSpan w:val="3"/>
            <w:tcBorders>
              <w:top w:val="double" w:color="auto" w:sz="4" w:space="0"/>
              <w:left w:val="single" w:color="auto" w:sz="4" w:space="0"/>
              <w:bottom w:val="single" w:color="auto" w:sz="6" w:space="0"/>
              <w:right w:val="double" w:color="auto" w:sz="4" w:space="0"/>
            </w:tcBorders>
            <w:noWrap w:val="0"/>
            <w:vAlign w:val="center"/>
          </w:tcPr>
          <w:p w14:paraId="141822D5">
            <w:pPr>
              <w:jc w:val="center"/>
              <w:rPr>
                <w:rFonts w:hint="eastAsia" w:ascii="仿宋" w:hAnsi="仿宋" w:eastAsia="仿宋" w:cs="仿宋"/>
                <w:sz w:val="24"/>
                <w:szCs w:val="24"/>
              </w:rPr>
            </w:pPr>
            <w:r>
              <w:rPr>
                <w:rFonts w:hint="eastAsia" w:ascii="仿宋" w:hAnsi="仿宋" w:eastAsia="仿宋" w:cs="仿宋"/>
                <w:sz w:val="24"/>
                <w:szCs w:val="24"/>
              </w:rPr>
              <w:t>评标标准</w:t>
            </w:r>
          </w:p>
        </w:tc>
      </w:tr>
      <w:tr w14:paraId="3F1186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03" w:type="dxa"/>
            <w:tcBorders>
              <w:top w:val="single" w:color="auto" w:sz="6" w:space="0"/>
              <w:left w:val="double" w:color="auto" w:sz="4" w:space="0"/>
              <w:bottom w:val="single" w:color="auto" w:sz="6" w:space="0"/>
              <w:right w:val="single" w:color="auto" w:sz="4" w:space="0"/>
            </w:tcBorders>
            <w:noWrap w:val="0"/>
            <w:vAlign w:val="center"/>
          </w:tcPr>
          <w:p w14:paraId="6A1D3458">
            <w:pPr>
              <w:jc w:val="center"/>
              <w:rPr>
                <w:rFonts w:hint="eastAsia" w:ascii="仿宋" w:hAnsi="仿宋" w:eastAsia="仿宋" w:cs="仿宋"/>
                <w:sz w:val="24"/>
                <w:szCs w:val="24"/>
              </w:rPr>
            </w:pPr>
            <w:r>
              <w:rPr>
                <w:rFonts w:hint="eastAsia" w:ascii="仿宋" w:hAnsi="仿宋" w:eastAsia="仿宋" w:cs="仿宋"/>
                <w:sz w:val="24"/>
                <w:szCs w:val="24"/>
              </w:rPr>
              <w:t>1</w:t>
            </w:r>
          </w:p>
        </w:tc>
        <w:tc>
          <w:tcPr>
            <w:tcW w:w="2160" w:type="dxa"/>
            <w:tcBorders>
              <w:top w:val="single" w:color="auto" w:sz="6" w:space="0"/>
              <w:left w:val="single" w:color="auto" w:sz="4" w:space="0"/>
              <w:bottom w:val="single" w:color="auto" w:sz="6" w:space="0"/>
              <w:right w:val="single" w:color="auto" w:sz="6" w:space="0"/>
            </w:tcBorders>
            <w:noWrap w:val="0"/>
            <w:vAlign w:val="center"/>
          </w:tcPr>
          <w:p w14:paraId="49480A32">
            <w:pPr>
              <w:jc w:val="center"/>
              <w:rPr>
                <w:rFonts w:hint="eastAsia" w:ascii="仿宋" w:hAnsi="仿宋" w:eastAsia="仿宋" w:cs="仿宋"/>
                <w:sz w:val="24"/>
                <w:szCs w:val="24"/>
              </w:rPr>
            </w:pPr>
            <w:r>
              <w:rPr>
                <w:rFonts w:hint="eastAsia" w:ascii="仿宋" w:hAnsi="仿宋" w:eastAsia="仿宋" w:cs="仿宋"/>
                <w:sz w:val="24"/>
                <w:szCs w:val="24"/>
              </w:rPr>
              <w:t>技术评价项</w:t>
            </w:r>
          </w:p>
          <w:p w14:paraId="5EFD7628">
            <w:pPr>
              <w:jc w:val="center"/>
              <w:rPr>
                <w:rFonts w:hint="eastAsia" w:ascii="仿宋" w:hAnsi="仿宋" w:eastAsia="仿宋" w:cs="仿宋"/>
                <w:sz w:val="24"/>
                <w:szCs w:val="24"/>
              </w:rPr>
            </w:pPr>
            <w:r>
              <w:rPr>
                <w:rFonts w:hint="eastAsia" w:ascii="仿宋" w:hAnsi="仿宋" w:eastAsia="仿宋" w:cs="仿宋"/>
                <w:sz w:val="24"/>
                <w:szCs w:val="24"/>
              </w:rPr>
              <w:t>（F=100分）</w:t>
            </w:r>
          </w:p>
        </w:tc>
        <w:tc>
          <w:tcPr>
            <w:tcW w:w="773" w:type="dxa"/>
            <w:tcBorders>
              <w:top w:val="single" w:color="auto" w:sz="6" w:space="0"/>
              <w:left w:val="single" w:color="auto" w:sz="6" w:space="0"/>
              <w:bottom w:val="single" w:color="auto" w:sz="6" w:space="0"/>
              <w:right w:val="single" w:color="auto" w:sz="4" w:space="0"/>
            </w:tcBorders>
            <w:noWrap w:val="0"/>
            <w:vAlign w:val="center"/>
          </w:tcPr>
          <w:p w14:paraId="664DAD47">
            <w:pPr>
              <w:jc w:val="center"/>
              <w:rPr>
                <w:rFonts w:hint="eastAsia" w:ascii="仿宋" w:hAnsi="仿宋" w:eastAsia="仿宋" w:cs="仿宋"/>
                <w:sz w:val="24"/>
                <w:szCs w:val="24"/>
              </w:rPr>
            </w:pPr>
            <w:r>
              <w:rPr>
                <w:rFonts w:hint="eastAsia" w:ascii="仿宋" w:hAnsi="仿宋" w:eastAsia="仿宋" w:cs="仿宋"/>
                <w:sz w:val="24"/>
                <w:szCs w:val="24"/>
              </w:rPr>
              <w:t>技术参数</w:t>
            </w:r>
          </w:p>
        </w:tc>
        <w:tc>
          <w:tcPr>
            <w:tcW w:w="772" w:type="dxa"/>
            <w:tcBorders>
              <w:top w:val="single" w:color="auto" w:sz="6" w:space="0"/>
              <w:left w:val="single" w:color="auto" w:sz="4" w:space="0"/>
              <w:bottom w:val="single" w:color="auto" w:sz="6" w:space="0"/>
              <w:right w:val="single" w:color="auto" w:sz="6" w:space="0"/>
            </w:tcBorders>
            <w:noWrap w:val="0"/>
            <w:vAlign w:val="center"/>
          </w:tcPr>
          <w:p w14:paraId="7DD7129A">
            <w:pPr>
              <w:jc w:val="center"/>
              <w:rPr>
                <w:rFonts w:hint="eastAsia" w:ascii="仿宋" w:hAnsi="仿宋" w:eastAsia="仿宋" w:cs="仿宋"/>
                <w:sz w:val="24"/>
                <w:szCs w:val="24"/>
              </w:rPr>
            </w:pPr>
            <w:r>
              <w:rPr>
                <w:rFonts w:hint="eastAsia" w:ascii="仿宋" w:hAnsi="仿宋" w:eastAsia="仿宋" w:cs="仿宋"/>
                <w:sz w:val="24"/>
                <w:szCs w:val="24"/>
              </w:rPr>
              <w:t>100</w:t>
            </w:r>
          </w:p>
        </w:tc>
        <w:tc>
          <w:tcPr>
            <w:tcW w:w="4732" w:type="dxa"/>
            <w:tcBorders>
              <w:top w:val="single" w:color="auto" w:sz="6" w:space="0"/>
              <w:left w:val="single" w:color="auto" w:sz="6" w:space="0"/>
              <w:bottom w:val="single" w:color="auto" w:sz="6" w:space="0"/>
              <w:right w:val="double" w:color="auto" w:sz="4" w:space="0"/>
            </w:tcBorders>
            <w:noWrap w:val="0"/>
            <w:vAlign w:val="center"/>
          </w:tcPr>
          <w:p w14:paraId="29D8158B">
            <w:pPr>
              <w:jc w:val="left"/>
              <w:rPr>
                <w:rFonts w:hint="eastAsia" w:ascii="仿宋" w:hAnsi="仿宋" w:eastAsia="仿宋" w:cs="仿宋"/>
                <w:sz w:val="24"/>
                <w:szCs w:val="24"/>
              </w:rPr>
            </w:pPr>
            <w:r>
              <w:rPr>
                <w:rFonts w:hint="eastAsia" w:ascii="仿宋" w:hAnsi="仿宋" w:eastAsia="仿宋" w:cs="仿宋"/>
                <w:sz w:val="24"/>
                <w:szCs w:val="24"/>
              </w:rPr>
              <w:t>投标文件无技术条款响应/偏离表的本项计0分；</w:t>
            </w:r>
          </w:p>
          <w:p w14:paraId="565A21A5">
            <w:pPr>
              <w:jc w:val="left"/>
              <w:rPr>
                <w:rFonts w:hint="eastAsia" w:ascii="仿宋" w:hAnsi="仿宋" w:eastAsia="仿宋" w:cs="仿宋"/>
                <w:sz w:val="24"/>
                <w:szCs w:val="24"/>
              </w:rPr>
            </w:pPr>
            <w:r>
              <w:rPr>
                <w:rFonts w:hint="eastAsia" w:ascii="仿宋" w:hAnsi="仿宋" w:eastAsia="仿宋" w:cs="仿宋"/>
                <w:sz w:val="24"/>
                <w:szCs w:val="24"/>
              </w:rPr>
              <w:t>1、技术参数满足招标文件要求无负偏离的本项计100分；</w:t>
            </w:r>
          </w:p>
          <w:p w14:paraId="0D93CF5A">
            <w:pPr>
              <w:jc w:val="left"/>
              <w:rPr>
                <w:rFonts w:hint="eastAsia" w:ascii="仿宋" w:hAnsi="仿宋" w:eastAsia="仿宋" w:cs="仿宋"/>
                <w:sz w:val="24"/>
                <w:szCs w:val="24"/>
              </w:rPr>
            </w:pPr>
            <w:r>
              <w:rPr>
                <w:rFonts w:hint="eastAsia" w:ascii="仿宋" w:hAnsi="仿宋" w:eastAsia="仿宋" w:cs="仿宋"/>
                <w:sz w:val="24"/>
                <w:szCs w:val="24"/>
              </w:rPr>
              <w:t>2、标注“▲”的参数为重要参数，每一项负偏离或缺漏扣10分；</w:t>
            </w:r>
          </w:p>
          <w:p w14:paraId="4A9031F3">
            <w:pPr>
              <w:jc w:val="left"/>
              <w:rPr>
                <w:rFonts w:hint="eastAsia" w:ascii="仿宋" w:hAnsi="仿宋" w:eastAsia="仿宋" w:cs="仿宋"/>
                <w:sz w:val="24"/>
                <w:szCs w:val="24"/>
              </w:rPr>
            </w:pPr>
            <w:r>
              <w:rPr>
                <w:rFonts w:hint="eastAsia" w:ascii="仿宋" w:hAnsi="仿宋" w:eastAsia="仿宋" w:cs="仿宋"/>
                <w:sz w:val="24"/>
                <w:szCs w:val="24"/>
              </w:rPr>
              <w:t>3、一般技术参数（即非“★”非“▲”号参数）存在负偏离，每条负偏离扣6分。</w:t>
            </w:r>
          </w:p>
          <w:p w14:paraId="7122CB36">
            <w:pPr>
              <w:jc w:val="left"/>
              <w:rPr>
                <w:rFonts w:hint="eastAsia" w:ascii="仿宋" w:hAnsi="仿宋" w:eastAsia="仿宋" w:cs="仿宋"/>
                <w:sz w:val="24"/>
                <w:szCs w:val="24"/>
              </w:rPr>
            </w:pPr>
            <w:r>
              <w:rPr>
                <w:rFonts w:hint="eastAsia" w:ascii="仿宋" w:hAnsi="仿宋" w:eastAsia="仿宋" w:cs="仿宋"/>
                <w:sz w:val="24"/>
                <w:szCs w:val="24"/>
              </w:rPr>
              <w:t>（注：标注“▲”“★”技术参数以及技术规格中要求该项参数提供有关证明文件的一般参数，投标人应提供证明材料，包括但不限于技术白皮书、产品彩页、检测报告等形式。如无相关证明文件或相关证明文件不完整，则按相应负偏离计算；此项只做评分因素，不做废标条件</w:t>
            </w:r>
            <w:r>
              <w:rPr>
                <w:rFonts w:hint="eastAsia" w:ascii="仿宋" w:hAnsi="仿宋" w:eastAsia="仿宋" w:cs="仿宋"/>
                <w:sz w:val="24"/>
                <w:szCs w:val="24"/>
                <w:lang w:eastAsia="zh-CN"/>
              </w:rPr>
              <w:t>；</w:t>
            </w:r>
            <w:r>
              <w:rPr>
                <w:rFonts w:hint="eastAsia" w:ascii="仿宋" w:hAnsi="仿宋" w:eastAsia="仿宋" w:cs="仿宋"/>
                <w:sz w:val="24"/>
                <w:szCs w:val="24"/>
              </w:rPr>
              <w:t>“★”</w:t>
            </w:r>
            <w:r>
              <w:rPr>
                <w:rFonts w:hint="eastAsia" w:ascii="仿宋" w:hAnsi="仿宋" w:eastAsia="仿宋" w:cs="仿宋"/>
                <w:sz w:val="24"/>
                <w:szCs w:val="24"/>
                <w:lang w:eastAsia="zh-CN"/>
              </w:rPr>
              <w:t>为实质性条款，任何一条负偏离视为无效投标</w:t>
            </w:r>
            <w:r>
              <w:rPr>
                <w:rFonts w:hint="eastAsia" w:ascii="仿宋" w:hAnsi="仿宋" w:eastAsia="仿宋" w:cs="仿宋"/>
                <w:sz w:val="24"/>
                <w:szCs w:val="24"/>
              </w:rPr>
              <w:t>）</w:t>
            </w:r>
          </w:p>
        </w:tc>
      </w:tr>
    </w:tbl>
    <w:p w14:paraId="17E8DD14">
      <w:pPr>
        <w:jc w:val="center"/>
        <w:rPr>
          <w:rFonts w:hint="eastAsia" w:ascii="仿宋" w:hAnsi="仿宋" w:eastAsia="仿宋" w:cs="仿宋"/>
          <w:sz w:val="24"/>
          <w:szCs w:val="24"/>
        </w:rPr>
      </w:pPr>
    </w:p>
    <w:p w14:paraId="08975E6E">
      <w:pPr>
        <w:jc w:val="center"/>
        <w:rPr>
          <w:rFonts w:hint="eastAsia" w:ascii="仿宋" w:hAnsi="仿宋" w:eastAsia="仿宋" w:cs="仿宋"/>
          <w:sz w:val="24"/>
          <w:szCs w:val="24"/>
        </w:rPr>
      </w:pPr>
      <w:r>
        <w:rPr>
          <w:rFonts w:hint="eastAsia" w:ascii="仿宋" w:hAnsi="仿宋" w:eastAsia="仿宋" w:cs="仿宋"/>
          <w:sz w:val="24"/>
          <w:szCs w:val="24"/>
        </w:rPr>
        <w:br w:type="page"/>
      </w:r>
      <w:r>
        <w:rPr>
          <w:rFonts w:hint="eastAsia" w:ascii="仿宋" w:hAnsi="仿宋" w:eastAsia="仿宋" w:cs="仿宋"/>
          <w:sz w:val="24"/>
          <w:szCs w:val="24"/>
        </w:rPr>
        <w:t>附表1.3商务部分评审标准表</w:t>
      </w:r>
    </w:p>
    <w:tbl>
      <w:tblPr>
        <w:tblStyle w:val="14"/>
        <w:tblW w:w="8985"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3"/>
        <w:gridCol w:w="1877"/>
        <w:gridCol w:w="670"/>
        <w:gridCol w:w="825"/>
        <w:gridCol w:w="5110"/>
      </w:tblGrid>
      <w:tr w14:paraId="0ECC9E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503" w:type="dxa"/>
            <w:tcBorders>
              <w:tl2br w:val="nil"/>
              <w:tr2bl w:val="nil"/>
            </w:tcBorders>
            <w:noWrap w:val="0"/>
            <w:vAlign w:val="center"/>
          </w:tcPr>
          <w:p w14:paraId="6832E51F">
            <w:pPr>
              <w:jc w:val="center"/>
              <w:rPr>
                <w:rFonts w:hint="eastAsia" w:ascii="仿宋" w:hAnsi="仿宋" w:eastAsia="仿宋" w:cs="仿宋"/>
                <w:sz w:val="24"/>
                <w:szCs w:val="24"/>
              </w:rPr>
            </w:pPr>
            <w:r>
              <w:rPr>
                <w:rFonts w:hint="eastAsia" w:ascii="仿宋" w:hAnsi="仿宋" w:eastAsia="仿宋" w:cs="仿宋"/>
                <w:sz w:val="24"/>
                <w:szCs w:val="24"/>
              </w:rPr>
              <w:t>序号</w:t>
            </w:r>
          </w:p>
        </w:tc>
        <w:tc>
          <w:tcPr>
            <w:tcW w:w="1877" w:type="dxa"/>
            <w:tcBorders>
              <w:tl2br w:val="nil"/>
              <w:tr2bl w:val="nil"/>
            </w:tcBorders>
            <w:noWrap w:val="0"/>
            <w:vAlign w:val="center"/>
          </w:tcPr>
          <w:p w14:paraId="4D0609AB">
            <w:pPr>
              <w:jc w:val="center"/>
              <w:rPr>
                <w:rFonts w:hint="eastAsia" w:ascii="仿宋" w:hAnsi="仿宋" w:eastAsia="仿宋" w:cs="仿宋"/>
                <w:sz w:val="24"/>
                <w:szCs w:val="24"/>
              </w:rPr>
            </w:pPr>
            <w:r>
              <w:rPr>
                <w:rFonts w:hint="eastAsia" w:ascii="仿宋" w:hAnsi="仿宋" w:eastAsia="仿宋" w:cs="仿宋"/>
                <w:sz w:val="24"/>
                <w:szCs w:val="24"/>
              </w:rPr>
              <w:t>评标因素（分值）</w:t>
            </w:r>
          </w:p>
        </w:tc>
        <w:tc>
          <w:tcPr>
            <w:tcW w:w="6605" w:type="dxa"/>
            <w:gridSpan w:val="3"/>
            <w:tcBorders>
              <w:tl2br w:val="nil"/>
              <w:tr2bl w:val="nil"/>
            </w:tcBorders>
            <w:noWrap w:val="0"/>
            <w:vAlign w:val="center"/>
          </w:tcPr>
          <w:p w14:paraId="250EA6A7">
            <w:pPr>
              <w:jc w:val="center"/>
              <w:rPr>
                <w:rFonts w:hint="eastAsia" w:ascii="仿宋" w:hAnsi="仿宋" w:eastAsia="仿宋" w:cs="仿宋"/>
                <w:sz w:val="24"/>
                <w:szCs w:val="24"/>
              </w:rPr>
            </w:pPr>
            <w:r>
              <w:rPr>
                <w:rFonts w:hint="eastAsia" w:ascii="仿宋" w:hAnsi="仿宋" w:eastAsia="仿宋" w:cs="仿宋"/>
                <w:sz w:val="24"/>
                <w:szCs w:val="24"/>
              </w:rPr>
              <w:t>评标标准</w:t>
            </w:r>
          </w:p>
        </w:tc>
      </w:tr>
      <w:tr w14:paraId="79609B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3" w:type="dxa"/>
            <w:vMerge w:val="restart"/>
            <w:tcBorders>
              <w:tl2br w:val="nil"/>
              <w:tr2bl w:val="nil"/>
            </w:tcBorders>
            <w:noWrap w:val="0"/>
            <w:vAlign w:val="center"/>
          </w:tcPr>
          <w:p w14:paraId="03FD351F">
            <w:pPr>
              <w:jc w:val="center"/>
              <w:rPr>
                <w:rFonts w:hint="eastAsia" w:ascii="仿宋" w:hAnsi="仿宋" w:eastAsia="仿宋" w:cs="仿宋"/>
                <w:sz w:val="24"/>
                <w:szCs w:val="24"/>
              </w:rPr>
            </w:pPr>
            <w:r>
              <w:rPr>
                <w:rFonts w:hint="eastAsia" w:ascii="仿宋" w:hAnsi="仿宋" w:eastAsia="仿宋" w:cs="仿宋"/>
                <w:sz w:val="24"/>
                <w:szCs w:val="24"/>
              </w:rPr>
              <w:t>1</w:t>
            </w:r>
          </w:p>
        </w:tc>
        <w:tc>
          <w:tcPr>
            <w:tcW w:w="1877" w:type="dxa"/>
            <w:vMerge w:val="restart"/>
            <w:tcBorders>
              <w:tl2br w:val="nil"/>
              <w:tr2bl w:val="nil"/>
            </w:tcBorders>
            <w:noWrap w:val="0"/>
            <w:vAlign w:val="center"/>
          </w:tcPr>
          <w:p w14:paraId="2E4B4453">
            <w:pPr>
              <w:jc w:val="center"/>
              <w:rPr>
                <w:rFonts w:hint="eastAsia" w:ascii="仿宋" w:hAnsi="仿宋" w:eastAsia="仿宋" w:cs="仿宋"/>
                <w:sz w:val="24"/>
                <w:szCs w:val="24"/>
              </w:rPr>
            </w:pPr>
            <w:r>
              <w:rPr>
                <w:rFonts w:hint="eastAsia" w:ascii="仿宋" w:hAnsi="仿宋" w:eastAsia="仿宋" w:cs="仿宋"/>
                <w:sz w:val="24"/>
                <w:szCs w:val="24"/>
              </w:rPr>
              <w:t>商务评价项</w:t>
            </w:r>
          </w:p>
          <w:p w14:paraId="05E0444A">
            <w:pPr>
              <w:jc w:val="center"/>
              <w:rPr>
                <w:rFonts w:hint="eastAsia" w:ascii="仿宋" w:hAnsi="仿宋" w:eastAsia="仿宋" w:cs="仿宋"/>
                <w:sz w:val="24"/>
                <w:szCs w:val="24"/>
              </w:rPr>
            </w:pPr>
            <w:r>
              <w:rPr>
                <w:rFonts w:hint="eastAsia" w:ascii="仿宋" w:hAnsi="仿宋" w:eastAsia="仿宋" w:cs="仿宋"/>
                <w:sz w:val="24"/>
                <w:szCs w:val="24"/>
              </w:rPr>
              <w:t>（F=100分）</w:t>
            </w:r>
          </w:p>
        </w:tc>
        <w:tc>
          <w:tcPr>
            <w:tcW w:w="670" w:type="dxa"/>
            <w:tcBorders>
              <w:tl2br w:val="nil"/>
              <w:tr2bl w:val="nil"/>
            </w:tcBorders>
            <w:noWrap w:val="0"/>
            <w:vAlign w:val="center"/>
          </w:tcPr>
          <w:p w14:paraId="5699FAC2">
            <w:pPr>
              <w:jc w:val="center"/>
              <w:rPr>
                <w:rFonts w:hint="eastAsia" w:ascii="仿宋" w:hAnsi="仿宋" w:eastAsia="仿宋" w:cs="仿宋"/>
                <w:sz w:val="24"/>
                <w:szCs w:val="24"/>
              </w:rPr>
            </w:pPr>
            <w:r>
              <w:rPr>
                <w:rFonts w:hint="eastAsia" w:ascii="仿宋" w:hAnsi="仿宋" w:eastAsia="仿宋" w:cs="仿宋"/>
                <w:sz w:val="24"/>
                <w:szCs w:val="24"/>
              </w:rPr>
              <w:t>售后服务</w:t>
            </w:r>
          </w:p>
        </w:tc>
        <w:tc>
          <w:tcPr>
            <w:tcW w:w="825" w:type="dxa"/>
            <w:tcBorders>
              <w:tl2br w:val="nil"/>
              <w:tr2bl w:val="nil"/>
            </w:tcBorders>
            <w:noWrap w:val="0"/>
            <w:vAlign w:val="center"/>
          </w:tcPr>
          <w:p w14:paraId="0AFDD3B0">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55</w:t>
            </w:r>
          </w:p>
        </w:tc>
        <w:tc>
          <w:tcPr>
            <w:tcW w:w="5110" w:type="dxa"/>
            <w:tcBorders>
              <w:tl2br w:val="nil"/>
              <w:tr2bl w:val="nil"/>
            </w:tcBorders>
            <w:noWrap w:val="0"/>
            <w:vAlign w:val="center"/>
          </w:tcPr>
          <w:p w14:paraId="3954F59F">
            <w:pPr>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针对本项目有明确的售后服务方案，包括但不限于：①设备配送、安装、检验等；②发生故障后的补救措施及巡检服务；③售后服务维修人员详细情况；④维修的响应时间；⑤备品配件的清单及供应保障措施。</w:t>
            </w:r>
          </w:p>
          <w:p w14:paraId="15316222">
            <w:pPr>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上述小项方案具有针对性和可行性，符合采购实际需求，内容完整合理满足招标文件要求的每项得7分。存在一般缺陷的每项方案得3.5分（一般缺陷是指方案内容前后不一致或前后逻辑错误或内容有缺失，不影响项目的实施）。未提供或存在重大缺陷的每项方案不得分（重大缺陷是指方案凭空编造或与采购项目和采购需求无关，无法指导项目实施）。</w:t>
            </w:r>
          </w:p>
          <w:p w14:paraId="75C3856C">
            <w:pPr>
              <w:jc w:val="left"/>
              <w:rPr>
                <w:rFonts w:hint="eastAsia" w:ascii="仿宋" w:hAnsi="仿宋" w:eastAsia="仿宋" w:cs="仿宋"/>
                <w:color w:val="auto"/>
                <w:sz w:val="24"/>
                <w:szCs w:val="24"/>
              </w:rPr>
            </w:pPr>
            <w:r>
              <w:rPr>
                <w:rFonts w:hint="eastAsia" w:ascii="仿宋" w:hAnsi="仿宋" w:eastAsia="仿宋" w:cs="仿宋"/>
                <w:color w:val="auto"/>
                <w:sz w:val="24"/>
                <w:szCs w:val="24"/>
              </w:rPr>
              <w:t>2、质保期在招标要求基础上再增加1年的加10分，增加2年以上的加20分，最高可加20分。</w:t>
            </w:r>
          </w:p>
        </w:tc>
      </w:tr>
      <w:tr w14:paraId="2C79F9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3" w:type="dxa"/>
            <w:vMerge w:val="continue"/>
            <w:tcBorders>
              <w:tl2br w:val="nil"/>
              <w:tr2bl w:val="nil"/>
            </w:tcBorders>
            <w:noWrap w:val="0"/>
            <w:vAlign w:val="center"/>
          </w:tcPr>
          <w:p w14:paraId="757D7B01">
            <w:pPr>
              <w:jc w:val="center"/>
              <w:rPr>
                <w:rFonts w:hint="eastAsia" w:ascii="仿宋" w:hAnsi="仿宋" w:eastAsia="仿宋" w:cs="仿宋"/>
                <w:sz w:val="24"/>
                <w:szCs w:val="24"/>
              </w:rPr>
            </w:pPr>
          </w:p>
        </w:tc>
        <w:tc>
          <w:tcPr>
            <w:tcW w:w="1877" w:type="dxa"/>
            <w:vMerge w:val="continue"/>
            <w:tcBorders>
              <w:tl2br w:val="nil"/>
              <w:tr2bl w:val="nil"/>
            </w:tcBorders>
            <w:noWrap w:val="0"/>
            <w:vAlign w:val="center"/>
          </w:tcPr>
          <w:p w14:paraId="4D11CC35">
            <w:pPr>
              <w:jc w:val="center"/>
              <w:rPr>
                <w:rFonts w:hint="eastAsia" w:ascii="仿宋" w:hAnsi="仿宋" w:eastAsia="仿宋" w:cs="仿宋"/>
                <w:sz w:val="24"/>
                <w:szCs w:val="24"/>
              </w:rPr>
            </w:pPr>
          </w:p>
        </w:tc>
        <w:tc>
          <w:tcPr>
            <w:tcW w:w="670" w:type="dxa"/>
            <w:tcBorders>
              <w:tl2br w:val="nil"/>
              <w:tr2bl w:val="nil"/>
            </w:tcBorders>
            <w:noWrap w:val="0"/>
            <w:vAlign w:val="center"/>
          </w:tcPr>
          <w:p w14:paraId="7573F614">
            <w:pPr>
              <w:jc w:val="center"/>
              <w:rPr>
                <w:rFonts w:hint="eastAsia" w:ascii="仿宋" w:hAnsi="仿宋" w:eastAsia="仿宋" w:cs="仿宋"/>
                <w:sz w:val="24"/>
                <w:szCs w:val="24"/>
              </w:rPr>
            </w:pPr>
            <w:r>
              <w:rPr>
                <w:rFonts w:hint="eastAsia" w:ascii="仿宋" w:hAnsi="仿宋" w:eastAsia="仿宋" w:cs="仿宋"/>
                <w:sz w:val="24"/>
                <w:szCs w:val="24"/>
              </w:rPr>
              <w:t>培训方案</w:t>
            </w:r>
          </w:p>
        </w:tc>
        <w:tc>
          <w:tcPr>
            <w:tcW w:w="825" w:type="dxa"/>
            <w:tcBorders>
              <w:tl2br w:val="nil"/>
              <w:tr2bl w:val="nil"/>
            </w:tcBorders>
            <w:noWrap w:val="0"/>
            <w:vAlign w:val="center"/>
          </w:tcPr>
          <w:p w14:paraId="1DB46AB2">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w:t>
            </w:r>
          </w:p>
        </w:tc>
        <w:tc>
          <w:tcPr>
            <w:tcW w:w="5110" w:type="dxa"/>
            <w:tcBorders>
              <w:tl2br w:val="nil"/>
              <w:tr2bl w:val="nil"/>
            </w:tcBorders>
            <w:noWrap w:val="0"/>
            <w:vAlign w:val="center"/>
          </w:tcPr>
          <w:p w14:paraId="31334E6B">
            <w:pPr>
              <w:jc w:val="left"/>
              <w:rPr>
                <w:rFonts w:hint="eastAsia" w:ascii="仿宋" w:hAnsi="仿宋" w:eastAsia="仿宋" w:cs="仿宋"/>
                <w:color w:val="auto"/>
                <w:sz w:val="24"/>
                <w:szCs w:val="24"/>
              </w:rPr>
            </w:pPr>
            <w:r>
              <w:rPr>
                <w:rFonts w:hint="eastAsia" w:ascii="仿宋" w:hAnsi="仿宋" w:eastAsia="仿宋" w:cs="仿宋"/>
                <w:color w:val="auto"/>
                <w:sz w:val="24"/>
                <w:szCs w:val="24"/>
              </w:rPr>
              <w:t>针对本项目具有可行的技术培训方案，包括但不限于：①所提供设备的原理和技术性能；②操作维护方法；③安装调试、排除故障等各个方面</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 4 \* GB3 \* MERGEFORMAT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rPr>
              <w:t>④</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rPr>
              <w:t>培训</w:t>
            </w:r>
            <w:r>
              <w:rPr>
                <w:rFonts w:hint="eastAsia" w:ascii="仿宋" w:hAnsi="仿宋" w:eastAsia="仿宋" w:cs="仿宋"/>
                <w:color w:val="auto"/>
                <w:sz w:val="24"/>
                <w:szCs w:val="24"/>
                <w:lang w:eastAsia="zh-CN"/>
              </w:rPr>
              <w:t>计划安排</w:t>
            </w:r>
            <w:r>
              <w:rPr>
                <w:rFonts w:hint="eastAsia" w:ascii="仿宋" w:hAnsi="仿宋" w:eastAsia="仿宋" w:cs="仿宋"/>
                <w:color w:val="auto"/>
                <w:sz w:val="24"/>
                <w:szCs w:val="24"/>
              </w:rPr>
              <w:t>；</w:t>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 5 \* GB3 \* MERGEFORMAT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rPr>
              <w:t>⑤</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lang w:eastAsia="zh-CN"/>
              </w:rPr>
              <w:t>培训效果</w:t>
            </w:r>
            <w:r>
              <w:rPr>
                <w:rFonts w:hint="eastAsia" w:ascii="仿宋" w:hAnsi="仿宋" w:eastAsia="仿宋" w:cs="仿宋"/>
                <w:color w:val="auto"/>
                <w:sz w:val="24"/>
                <w:szCs w:val="24"/>
              </w:rPr>
              <w:t>等。</w:t>
            </w:r>
          </w:p>
          <w:p w14:paraId="4B9699F4">
            <w:pPr>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上述小项方案具有针对性和可行性，符合采购实际需求，内容完整合理满足招标文件要求的每项得3分。存在一般缺陷的每项方案得1.5分（一般缺陷是指方案内容前后不一致或前后逻辑错误或内容有缺失，不影响项目的实施）。未提供或存在重大缺陷的每项方案不得分（重大缺陷是指方案凭空编造或与采购项目和采购需求无关，无法指导项目实施）。</w:t>
            </w:r>
          </w:p>
        </w:tc>
      </w:tr>
      <w:tr w14:paraId="0299DE0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3" w:type="dxa"/>
            <w:vMerge w:val="continue"/>
            <w:tcBorders>
              <w:tl2br w:val="nil"/>
              <w:tr2bl w:val="nil"/>
            </w:tcBorders>
            <w:noWrap w:val="0"/>
            <w:vAlign w:val="center"/>
          </w:tcPr>
          <w:p w14:paraId="4DA45E9E">
            <w:pPr>
              <w:jc w:val="center"/>
              <w:rPr>
                <w:rFonts w:hint="eastAsia" w:ascii="仿宋" w:hAnsi="仿宋" w:eastAsia="仿宋" w:cs="仿宋"/>
                <w:sz w:val="24"/>
                <w:szCs w:val="24"/>
              </w:rPr>
            </w:pPr>
          </w:p>
        </w:tc>
        <w:tc>
          <w:tcPr>
            <w:tcW w:w="1877" w:type="dxa"/>
            <w:vMerge w:val="continue"/>
            <w:tcBorders>
              <w:tl2br w:val="nil"/>
              <w:tr2bl w:val="nil"/>
            </w:tcBorders>
            <w:noWrap w:val="0"/>
            <w:vAlign w:val="center"/>
          </w:tcPr>
          <w:p w14:paraId="21595C66">
            <w:pPr>
              <w:jc w:val="center"/>
              <w:rPr>
                <w:rFonts w:hint="eastAsia" w:ascii="仿宋" w:hAnsi="仿宋" w:eastAsia="仿宋" w:cs="仿宋"/>
                <w:sz w:val="24"/>
                <w:szCs w:val="24"/>
              </w:rPr>
            </w:pPr>
          </w:p>
        </w:tc>
        <w:tc>
          <w:tcPr>
            <w:tcW w:w="670" w:type="dxa"/>
            <w:tcBorders>
              <w:tl2br w:val="nil"/>
              <w:tr2bl w:val="nil"/>
            </w:tcBorders>
            <w:noWrap w:val="0"/>
            <w:vAlign w:val="center"/>
          </w:tcPr>
          <w:p w14:paraId="255A65AB">
            <w:pPr>
              <w:jc w:val="center"/>
              <w:rPr>
                <w:rFonts w:hint="eastAsia" w:ascii="仿宋" w:hAnsi="仿宋" w:eastAsia="仿宋" w:cs="仿宋"/>
                <w:sz w:val="24"/>
                <w:szCs w:val="24"/>
              </w:rPr>
            </w:pPr>
            <w:r>
              <w:rPr>
                <w:rFonts w:hint="eastAsia" w:ascii="仿宋" w:hAnsi="仿宋" w:eastAsia="仿宋" w:cs="仿宋"/>
                <w:sz w:val="24"/>
                <w:szCs w:val="24"/>
              </w:rPr>
              <w:t>类似业绩</w:t>
            </w:r>
          </w:p>
        </w:tc>
        <w:tc>
          <w:tcPr>
            <w:tcW w:w="825" w:type="dxa"/>
            <w:tcBorders>
              <w:tl2br w:val="nil"/>
              <w:tr2bl w:val="nil"/>
            </w:tcBorders>
            <w:noWrap w:val="0"/>
            <w:vAlign w:val="center"/>
          </w:tcPr>
          <w:p w14:paraId="675809EE">
            <w:pPr>
              <w:jc w:val="center"/>
              <w:rPr>
                <w:rFonts w:hint="eastAsia" w:ascii="仿宋" w:hAnsi="仿宋" w:eastAsia="仿宋" w:cs="仿宋"/>
                <w:sz w:val="24"/>
                <w:szCs w:val="24"/>
              </w:rPr>
            </w:pPr>
            <w:r>
              <w:rPr>
                <w:rFonts w:hint="eastAsia" w:ascii="仿宋" w:hAnsi="仿宋" w:eastAsia="仿宋" w:cs="仿宋"/>
                <w:sz w:val="24"/>
                <w:szCs w:val="24"/>
              </w:rPr>
              <w:t>30</w:t>
            </w:r>
          </w:p>
        </w:tc>
        <w:tc>
          <w:tcPr>
            <w:tcW w:w="5110" w:type="dxa"/>
            <w:tcBorders>
              <w:tl2br w:val="nil"/>
              <w:tr2bl w:val="nil"/>
            </w:tcBorders>
            <w:noWrap w:val="0"/>
            <w:vAlign w:val="center"/>
          </w:tcPr>
          <w:p w14:paraId="25223A2B">
            <w:pPr>
              <w:jc w:val="left"/>
              <w:rPr>
                <w:rFonts w:hint="eastAsia" w:ascii="仿宋" w:hAnsi="仿宋" w:eastAsia="仿宋" w:cs="仿宋"/>
                <w:color w:val="auto"/>
                <w:sz w:val="24"/>
                <w:szCs w:val="24"/>
              </w:rPr>
            </w:pPr>
            <w:r>
              <w:rPr>
                <w:rFonts w:hint="eastAsia" w:ascii="仿宋" w:hAnsi="仿宋" w:eastAsia="仿宋" w:cs="仿宋"/>
                <w:color w:val="auto"/>
                <w:sz w:val="24"/>
                <w:szCs w:val="24"/>
              </w:rPr>
              <w:t>提供近两年以来同型号设备销售业绩证明材料（证明材料可以是中标通知书或中标公示截图或合同相关页面，且证明材料要体现中标设备的型号），每提供一份计1</w:t>
            </w: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分，计满30分为止，未按要求提供不得分。</w:t>
            </w:r>
          </w:p>
        </w:tc>
      </w:tr>
    </w:tbl>
    <w:p w14:paraId="7FAA99BB">
      <w:pPr>
        <w:jc w:val="center"/>
        <w:rPr>
          <w:rFonts w:hint="eastAsia" w:ascii="仿宋" w:hAnsi="仿宋" w:eastAsia="仿宋" w:cs="仿宋"/>
          <w:color w:val="auto"/>
          <w:sz w:val="24"/>
          <w:szCs w:val="24"/>
        </w:rPr>
      </w:pPr>
    </w:p>
    <w:p w14:paraId="34C4EC0E">
      <w:pPr>
        <w:pStyle w:val="2"/>
        <w:numPr>
          <w:ilvl w:val="0"/>
          <w:numId w:val="0"/>
        </w:numPr>
        <w:spacing w:line="240" w:lineRule="auto"/>
        <w:ind w:left="2940" w:leftChars="0"/>
        <w:jc w:val="both"/>
        <w:rPr>
          <w:rFonts w:hint="eastAsia" w:ascii="宋体" w:hAnsi="宋体" w:cs="宋体"/>
          <w:color w:val="auto"/>
          <w:sz w:val="30"/>
          <w:szCs w:val="30"/>
          <w:lang w:val="en-US" w:eastAsia="zh-CN"/>
        </w:rPr>
      </w:pPr>
    </w:p>
    <w:p w14:paraId="4092A6A2">
      <w:pPr>
        <w:pStyle w:val="2"/>
        <w:numPr>
          <w:ilvl w:val="0"/>
          <w:numId w:val="0"/>
        </w:numPr>
        <w:spacing w:line="240" w:lineRule="auto"/>
        <w:ind w:left="2940" w:leftChars="0"/>
        <w:jc w:val="both"/>
        <w:rPr>
          <w:rFonts w:hint="eastAsia" w:ascii="宋体" w:hAnsi="宋体" w:cs="宋体"/>
          <w:color w:val="auto"/>
          <w:sz w:val="30"/>
          <w:szCs w:val="30"/>
        </w:rPr>
      </w:pPr>
      <w:r>
        <w:rPr>
          <w:rFonts w:hint="eastAsia" w:ascii="宋体" w:hAnsi="宋体" w:cs="宋体"/>
          <w:color w:val="auto"/>
          <w:sz w:val="30"/>
          <w:szCs w:val="30"/>
          <w:lang w:val="en-US" w:eastAsia="zh-CN"/>
        </w:rPr>
        <w:t xml:space="preserve">第四章   </w:t>
      </w:r>
      <w:r>
        <w:rPr>
          <w:rFonts w:hint="eastAsia" w:ascii="宋体" w:hAnsi="宋体" w:cs="宋体"/>
          <w:color w:val="auto"/>
          <w:sz w:val="30"/>
          <w:szCs w:val="30"/>
        </w:rPr>
        <w:t>投标文件的格式</w:t>
      </w:r>
    </w:p>
    <w:p w14:paraId="050DC92C">
      <w:pPr>
        <w:pStyle w:val="2"/>
        <w:numPr>
          <w:ilvl w:val="0"/>
          <w:numId w:val="0"/>
        </w:numPr>
        <w:spacing w:line="240" w:lineRule="auto"/>
        <w:ind w:firstLine="2108" w:firstLineChars="700"/>
        <w:jc w:val="both"/>
        <w:rPr>
          <w:rFonts w:hint="eastAsia" w:ascii="宋体" w:hAnsi="宋体" w:cs="宋体"/>
          <w:color w:val="auto"/>
          <w:sz w:val="30"/>
          <w:szCs w:val="30"/>
        </w:rPr>
      </w:pPr>
      <w:r>
        <w:rPr>
          <w:rFonts w:hint="eastAsia" w:ascii="宋体" w:hAnsi="宋体" w:cs="宋体"/>
          <w:color w:val="auto"/>
          <w:sz w:val="30"/>
          <w:szCs w:val="30"/>
        </w:rPr>
        <w:t>（必须按以下标题和顺序进行编制）</w:t>
      </w:r>
    </w:p>
    <w:p w14:paraId="023E2789">
      <w:pPr>
        <w:rPr>
          <w:rFonts w:hint="eastAsia" w:ascii="宋体" w:hAnsi="宋体" w:cs="宋体"/>
          <w:color w:val="auto"/>
        </w:rPr>
      </w:pPr>
    </w:p>
    <w:bookmarkEnd w:id="1"/>
    <w:p w14:paraId="134583E1">
      <w:pPr>
        <w:rPr>
          <w:rFonts w:hint="eastAsia" w:ascii="宋体" w:hAnsi="宋体" w:cs="宋体"/>
          <w:color w:val="auto"/>
        </w:rPr>
      </w:pPr>
    </w:p>
    <w:p w14:paraId="0C36B7E3">
      <w:pPr>
        <w:rPr>
          <w:rFonts w:hint="eastAsia"/>
          <w:color w:val="auto"/>
        </w:rPr>
      </w:pPr>
    </w:p>
    <w:p w14:paraId="642A6E11">
      <w:pPr>
        <w:jc w:val="center"/>
        <w:rPr>
          <w:b/>
          <w:color w:val="auto"/>
          <w:sz w:val="24"/>
        </w:rPr>
      </w:pPr>
      <w:r>
        <w:rPr>
          <w:b/>
          <w:color w:val="auto"/>
          <w:sz w:val="28"/>
          <w:szCs w:val="28"/>
        </w:rPr>
        <w:t>第一部分、开标一览表</w:t>
      </w:r>
    </w:p>
    <w:p w14:paraId="31CF1AE0">
      <w:pPr>
        <w:jc w:val="center"/>
        <w:rPr>
          <w:b/>
          <w:color w:val="auto"/>
          <w:sz w:val="24"/>
        </w:rPr>
      </w:pPr>
    </w:p>
    <w:p w14:paraId="6D74B725">
      <w:pPr>
        <w:jc w:val="center"/>
        <w:rPr>
          <w:rFonts w:hint="eastAsia" w:eastAsia="宋体"/>
          <w:b/>
          <w:color w:val="auto"/>
          <w:sz w:val="24"/>
          <w:lang w:eastAsia="zh-CN"/>
        </w:rPr>
      </w:pPr>
      <w:r>
        <w:rPr>
          <w:rFonts w:hint="eastAsia"/>
          <w:b/>
          <w:color w:val="auto"/>
          <w:sz w:val="24"/>
          <w:lang w:eastAsia="zh-CN"/>
        </w:rPr>
        <w:t>注：此项内容需包含投标商品名称、数量、品牌、型号、单价、总价、等信息</w:t>
      </w:r>
    </w:p>
    <w:p w14:paraId="5F8096E0">
      <w:pPr>
        <w:pStyle w:val="21"/>
        <w:rPr>
          <w:color w:val="auto"/>
        </w:rPr>
      </w:pPr>
    </w:p>
    <w:p w14:paraId="3009323F">
      <w:pPr>
        <w:adjustRightInd w:val="0"/>
        <w:snapToGrid w:val="0"/>
        <w:spacing w:line="360" w:lineRule="auto"/>
        <w:jc w:val="center"/>
        <w:rPr>
          <w:rFonts w:hint="eastAsia" w:ascii="宋体" w:hAnsi="宋体" w:cs="宋体"/>
          <w:b/>
          <w:color w:val="auto"/>
          <w:sz w:val="28"/>
          <w:szCs w:val="28"/>
        </w:rPr>
      </w:pPr>
    </w:p>
    <w:p w14:paraId="60B9049D">
      <w:pPr>
        <w:adjustRightInd w:val="0"/>
        <w:snapToGrid w:val="0"/>
        <w:spacing w:line="360" w:lineRule="auto"/>
        <w:jc w:val="center"/>
        <w:rPr>
          <w:rFonts w:hint="eastAsia" w:ascii="宋体" w:hAnsi="宋体" w:cs="宋体"/>
          <w:b/>
          <w:color w:val="auto"/>
          <w:sz w:val="28"/>
          <w:szCs w:val="28"/>
        </w:rPr>
      </w:pPr>
    </w:p>
    <w:p w14:paraId="47A9E7E6">
      <w:pPr>
        <w:adjustRightInd w:val="0"/>
        <w:snapToGrid w:val="0"/>
        <w:spacing w:line="360" w:lineRule="auto"/>
        <w:jc w:val="center"/>
        <w:rPr>
          <w:rFonts w:hint="eastAsia" w:ascii="宋体" w:hAnsi="宋体" w:cs="宋体"/>
          <w:b/>
          <w:color w:val="auto"/>
          <w:sz w:val="28"/>
          <w:szCs w:val="28"/>
        </w:rPr>
      </w:pPr>
    </w:p>
    <w:p w14:paraId="0B851203">
      <w:pPr>
        <w:adjustRightInd w:val="0"/>
        <w:snapToGrid w:val="0"/>
        <w:spacing w:line="360" w:lineRule="auto"/>
        <w:jc w:val="center"/>
        <w:rPr>
          <w:rFonts w:hint="eastAsia" w:ascii="宋体" w:hAnsi="宋体" w:cs="宋体"/>
          <w:b/>
          <w:color w:val="auto"/>
          <w:sz w:val="28"/>
          <w:szCs w:val="28"/>
        </w:rPr>
      </w:pPr>
    </w:p>
    <w:p w14:paraId="5B522B1B">
      <w:pPr>
        <w:adjustRightInd w:val="0"/>
        <w:snapToGrid w:val="0"/>
        <w:spacing w:line="360"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第二部分、资格证明文件</w:t>
      </w:r>
    </w:p>
    <w:p w14:paraId="46BE0168">
      <w:pPr>
        <w:pStyle w:val="20"/>
        <w:rPr>
          <w:rFonts w:hint="eastAsia"/>
          <w:lang w:eastAsia="zh-CN"/>
        </w:rPr>
      </w:pPr>
    </w:p>
    <w:p w14:paraId="1C4CE19E">
      <w:pPr>
        <w:adjustRightInd w:val="0"/>
        <w:snapToGrid w:val="0"/>
        <w:spacing w:line="360" w:lineRule="auto"/>
        <w:jc w:val="center"/>
        <w:rPr>
          <w:rFonts w:hint="eastAsia" w:ascii="宋体" w:hAnsi="宋体" w:cs="宋体"/>
          <w:b/>
          <w:color w:val="auto"/>
          <w:sz w:val="24"/>
          <w:szCs w:val="20"/>
        </w:rPr>
      </w:pPr>
    </w:p>
    <w:p w14:paraId="5F76F163">
      <w:pPr>
        <w:adjustRightInd w:val="0"/>
        <w:snapToGrid w:val="0"/>
        <w:spacing w:line="360" w:lineRule="auto"/>
        <w:jc w:val="center"/>
        <w:rPr>
          <w:rFonts w:hint="eastAsia" w:ascii="宋体" w:hAnsi="宋体" w:cs="宋体"/>
          <w:b/>
          <w:color w:val="auto"/>
          <w:sz w:val="24"/>
          <w:szCs w:val="20"/>
        </w:rPr>
      </w:pPr>
      <w:r>
        <w:rPr>
          <w:rFonts w:hint="eastAsia" w:ascii="宋体" w:hAnsi="宋体" w:cs="宋体"/>
          <w:b/>
          <w:color w:val="auto"/>
          <w:sz w:val="24"/>
          <w:szCs w:val="20"/>
        </w:rPr>
        <w:t>一、法定代表人授权委托书</w:t>
      </w:r>
    </w:p>
    <w:p w14:paraId="6CD8A2E9">
      <w:pPr>
        <w:adjustRightInd w:val="0"/>
        <w:snapToGrid w:val="0"/>
        <w:spacing w:line="360" w:lineRule="auto"/>
        <w:rPr>
          <w:rFonts w:hint="eastAsia" w:ascii="宋体" w:hAnsi="宋体" w:cs="宋体"/>
          <w:b/>
          <w:color w:val="auto"/>
          <w:sz w:val="28"/>
          <w:szCs w:val="28"/>
        </w:rPr>
      </w:pPr>
    </w:p>
    <w:p w14:paraId="57FDFFD6">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本人</w:t>
      </w:r>
      <w:r>
        <w:rPr>
          <w:rFonts w:hint="eastAsia" w:ascii="宋体" w:hAnsi="宋体" w:cs="宋体"/>
          <w:color w:val="auto"/>
          <w:kern w:val="0"/>
          <w:sz w:val="24"/>
          <w:u w:val="single"/>
        </w:rPr>
        <w:t>（姓名、职务）</w:t>
      </w:r>
      <w:r>
        <w:rPr>
          <w:rFonts w:hint="eastAsia" w:ascii="宋体" w:hAnsi="宋体" w:cs="宋体"/>
          <w:color w:val="auto"/>
          <w:kern w:val="0"/>
          <w:sz w:val="24"/>
        </w:rPr>
        <w:t>系</w:t>
      </w:r>
      <w:r>
        <w:rPr>
          <w:rFonts w:hint="eastAsia" w:ascii="宋体" w:hAnsi="宋体" w:cs="宋体"/>
          <w:color w:val="auto"/>
          <w:kern w:val="0"/>
          <w:sz w:val="24"/>
          <w:u w:val="single"/>
        </w:rPr>
        <w:t xml:space="preserve"> （</w:t>
      </w:r>
      <w:r>
        <w:rPr>
          <w:rFonts w:hint="eastAsia" w:ascii="宋体" w:hAnsi="宋体" w:cs="宋体"/>
          <w:color w:val="auto"/>
          <w:sz w:val="24"/>
          <w:u w:val="single"/>
        </w:rPr>
        <w:t>投标人</w:t>
      </w:r>
      <w:r>
        <w:rPr>
          <w:rFonts w:hint="eastAsia" w:ascii="宋体" w:hAnsi="宋体" w:cs="宋体"/>
          <w:color w:val="auto"/>
          <w:kern w:val="0"/>
          <w:sz w:val="24"/>
          <w:u w:val="single"/>
        </w:rPr>
        <w:t>名称）</w:t>
      </w:r>
      <w:r>
        <w:rPr>
          <w:rFonts w:hint="eastAsia" w:ascii="宋体" w:hAnsi="宋体" w:cs="宋体"/>
          <w:color w:val="auto"/>
          <w:kern w:val="0"/>
          <w:sz w:val="24"/>
        </w:rPr>
        <w:t>的法定代表人，现授权</w:t>
      </w:r>
      <w:r>
        <w:rPr>
          <w:rFonts w:hint="eastAsia" w:ascii="宋体" w:hAnsi="宋体" w:cs="宋体"/>
          <w:color w:val="auto"/>
          <w:kern w:val="0"/>
          <w:sz w:val="24"/>
          <w:u w:val="single"/>
        </w:rPr>
        <w:t>（姓名、职务）</w:t>
      </w:r>
      <w:r>
        <w:rPr>
          <w:rFonts w:hint="eastAsia" w:ascii="宋体" w:hAnsi="宋体" w:cs="宋体"/>
          <w:color w:val="auto"/>
          <w:kern w:val="0"/>
          <w:sz w:val="24"/>
        </w:rPr>
        <w:t>为我方代理人。代理人根据授权，以我方名义签署、澄清、说明、补正、递交、撤回、修改</w:t>
      </w:r>
      <w:r>
        <w:rPr>
          <w:rFonts w:hint="eastAsia" w:ascii="宋体" w:hAnsi="宋体" w:cs="宋体"/>
          <w:color w:val="auto"/>
          <w:kern w:val="0"/>
          <w:sz w:val="24"/>
          <w:u w:val="single"/>
        </w:rPr>
        <w:t>（项目名称）</w:t>
      </w:r>
      <w:r>
        <w:rPr>
          <w:rFonts w:hint="eastAsia" w:ascii="宋体" w:hAnsi="宋体" w:cs="宋体"/>
          <w:color w:val="auto"/>
          <w:kern w:val="0"/>
          <w:sz w:val="24"/>
        </w:rPr>
        <w:t>（采购编号：</w:t>
      </w:r>
      <w:r>
        <w:rPr>
          <w:rFonts w:hint="eastAsia" w:ascii="宋体" w:hAnsi="宋体" w:cs="宋体"/>
          <w:color w:val="auto"/>
          <w:kern w:val="0"/>
          <w:sz w:val="24"/>
          <w:u w:val="single"/>
        </w:rPr>
        <w:t xml:space="preserve">     </w:t>
      </w:r>
      <w:r>
        <w:rPr>
          <w:rFonts w:hint="eastAsia" w:ascii="宋体" w:hAnsi="宋体" w:cs="宋体"/>
          <w:color w:val="auto"/>
          <w:kern w:val="0"/>
          <w:sz w:val="24"/>
        </w:rPr>
        <w:t>）投标文件、签订合同和处理有关事宜，其法律后果由我方承担。</w:t>
      </w:r>
    </w:p>
    <w:p w14:paraId="5DC957A3">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委托期限：</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14:paraId="58EF3318">
      <w:pPr>
        <w:adjustRightInd w:val="0"/>
        <w:snapToGrid w:val="0"/>
        <w:spacing w:line="360" w:lineRule="auto"/>
        <w:ind w:firstLine="435"/>
        <w:rPr>
          <w:rFonts w:hint="eastAsia" w:ascii="宋体" w:hAnsi="宋体" w:cs="宋体"/>
          <w:color w:val="auto"/>
          <w:kern w:val="0"/>
          <w:sz w:val="24"/>
        </w:rPr>
      </w:pPr>
      <w:r>
        <w:rPr>
          <w:rFonts w:hint="eastAsia" w:ascii="宋体" w:hAnsi="宋体" w:cs="宋体"/>
          <w:color w:val="auto"/>
          <w:kern w:val="0"/>
          <w:sz w:val="24"/>
        </w:rPr>
        <w:t>代理人无转委托权。</w:t>
      </w:r>
    </w:p>
    <w:p w14:paraId="29B331CC">
      <w:pPr>
        <w:adjustRightInd w:val="0"/>
        <w:snapToGrid w:val="0"/>
        <w:spacing w:line="360" w:lineRule="auto"/>
        <w:ind w:firstLine="435"/>
        <w:rPr>
          <w:rFonts w:hint="eastAsia" w:ascii="宋体" w:hAnsi="宋体" w:cs="宋体"/>
          <w:color w:val="auto"/>
          <w:sz w:val="24"/>
        </w:rPr>
      </w:pPr>
      <w:r>
        <w:rPr>
          <w:rFonts w:hint="eastAsia" w:ascii="宋体" w:hAnsi="宋体" w:cs="宋体"/>
          <w:color w:val="auto"/>
          <w:sz w:val="24"/>
        </w:rPr>
        <w:t>本授权书于日期：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日签字生效，特此声明。</w:t>
      </w:r>
    </w:p>
    <w:p w14:paraId="4387948B">
      <w:pPr>
        <w:adjustRightInd w:val="0"/>
        <w:snapToGrid w:val="0"/>
        <w:spacing w:line="360" w:lineRule="auto"/>
        <w:ind w:firstLine="480" w:firstLineChars="200"/>
        <w:rPr>
          <w:rFonts w:hint="eastAsia" w:ascii="宋体" w:hAnsi="宋体" w:cs="宋体"/>
          <w:color w:val="auto"/>
          <w:sz w:val="24"/>
        </w:rPr>
      </w:pPr>
    </w:p>
    <w:tbl>
      <w:tblPr>
        <w:tblStyle w:val="14"/>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7FD0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5E52C6EF">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委托代理人身份证（正面、反面）复印件</w:t>
            </w:r>
          </w:p>
        </w:tc>
      </w:tr>
    </w:tbl>
    <w:p w14:paraId="346FCCD3">
      <w:pPr>
        <w:adjustRightInd w:val="0"/>
        <w:snapToGrid w:val="0"/>
        <w:spacing w:line="360" w:lineRule="auto"/>
        <w:rPr>
          <w:rFonts w:hint="eastAsia" w:ascii="宋体" w:hAnsi="宋体" w:cs="宋体"/>
          <w:color w:val="auto"/>
          <w:sz w:val="24"/>
        </w:rPr>
      </w:pPr>
    </w:p>
    <w:tbl>
      <w:tblPr>
        <w:tblStyle w:val="14"/>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17CB7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44E9FC1E">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法定代表人身份证（正面、反面）复印件</w:t>
            </w:r>
          </w:p>
        </w:tc>
      </w:tr>
    </w:tbl>
    <w:p w14:paraId="61ED57AA">
      <w:pPr>
        <w:adjustRightInd w:val="0"/>
        <w:snapToGrid w:val="0"/>
        <w:spacing w:line="360" w:lineRule="auto"/>
        <w:rPr>
          <w:rFonts w:hint="eastAsia" w:ascii="宋体" w:hAnsi="宋体" w:cs="宋体"/>
          <w:color w:val="auto"/>
          <w:sz w:val="24"/>
        </w:rPr>
      </w:pPr>
    </w:p>
    <w:p w14:paraId="73683F9B">
      <w:pPr>
        <w:adjustRightInd w:val="0"/>
        <w:snapToGrid w:val="0"/>
        <w:spacing w:line="360" w:lineRule="auto"/>
        <w:rPr>
          <w:rFonts w:hint="eastAsia" w:ascii="宋体" w:hAnsi="宋体" w:cs="宋体"/>
          <w:color w:val="auto"/>
          <w:sz w:val="24"/>
        </w:rPr>
      </w:pPr>
    </w:p>
    <w:p w14:paraId="74E54024">
      <w:pPr>
        <w:adjustRightInd w:val="0"/>
        <w:snapToGrid w:val="0"/>
        <w:spacing w:line="360" w:lineRule="auto"/>
        <w:rPr>
          <w:rFonts w:hint="eastAsia" w:ascii="宋体" w:hAnsi="宋体" w:cs="宋体"/>
          <w:color w:val="auto"/>
          <w:sz w:val="24"/>
        </w:rPr>
      </w:pPr>
      <w:r>
        <w:rPr>
          <w:rFonts w:hint="eastAsia" w:ascii="宋体" w:hAnsi="宋体" w:cs="宋体"/>
          <w:color w:val="auto"/>
          <w:sz w:val="24"/>
        </w:rPr>
        <w:t>投标人名称（盖单位章）：</w:t>
      </w:r>
    </w:p>
    <w:p w14:paraId="11F56670">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法定代表人（签字）：</w:t>
      </w:r>
    </w:p>
    <w:p w14:paraId="283F8CB4">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委托代理人（签字）：</w:t>
      </w:r>
    </w:p>
    <w:p w14:paraId="24EF6AB7">
      <w:pPr>
        <w:adjustRightInd w:val="0"/>
        <w:snapToGrid w:val="0"/>
        <w:spacing w:line="360" w:lineRule="auto"/>
        <w:rPr>
          <w:rFonts w:hint="eastAsia" w:ascii="宋体" w:hAnsi="宋体" w:cs="宋体"/>
          <w:b/>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0E41FF70">
      <w:pPr>
        <w:adjustRightInd w:val="0"/>
        <w:snapToGrid w:val="0"/>
        <w:spacing w:line="360" w:lineRule="auto"/>
        <w:rPr>
          <w:rFonts w:hint="eastAsia" w:ascii="宋体" w:hAnsi="宋体" w:cs="宋体"/>
          <w:b/>
          <w:color w:val="auto"/>
          <w:sz w:val="28"/>
          <w:szCs w:val="28"/>
        </w:rPr>
      </w:pPr>
    </w:p>
    <w:p w14:paraId="0F5DBA54">
      <w:pPr>
        <w:rPr>
          <w:rFonts w:hint="eastAsia" w:ascii="宋体" w:hAnsi="宋体" w:cs="宋体"/>
          <w:b/>
          <w:color w:val="auto"/>
          <w:sz w:val="24"/>
          <w:szCs w:val="20"/>
        </w:rPr>
      </w:pPr>
      <w:r>
        <w:rPr>
          <w:rFonts w:hint="eastAsia" w:ascii="宋体" w:hAnsi="宋体" w:cs="宋体"/>
          <w:b/>
          <w:color w:val="auto"/>
          <w:sz w:val="24"/>
          <w:szCs w:val="20"/>
        </w:rPr>
        <w:br w:type="page"/>
      </w:r>
    </w:p>
    <w:p w14:paraId="2A1D0F17">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color w:val="auto"/>
          <w:sz w:val="24"/>
        </w:rPr>
      </w:pPr>
      <w:r>
        <w:rPr>
          <w:rFonts w:hint="eastAsia" w:ascii="宋体" w:hAnsi="宋体" w:cs="宋体"/>
          <w:b/>
          <w:color w:val="auto"/>
          <w:sz w:val="24"/>
          <w:szCs w:val="20"/>
        </w:rPr>
        <w:t>二、投标人资格声明</w:t>
      </w:r>
    </w:p>
    <w:p w14:paraId="09B775A3">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color w:val="auto"/>
          <w:kern w:val="0"/>
          <w:sz w:val="24"/>
        </w:rPr>
      </w:pPr>
      <w:r>
        <w:rPr>
          <w:rFonts w:hint="eastAsia" w:ascii="宋体" w:hAnsi="宋体" w:cs="宋体"/>
          <w:color w:val="auto"/>
          <w:sz w:val="24"/>
        </w:rPr>
        <w:t>致(</w:t>
      </w:r>
      <w:r>
        <w:rPr>
          <w:rFonts w:hint="eastAsia" w:ascii="宋体" w:hAnsi="宋体" w:cs="宋体"/>
          <w:color w:val="auto"/>
          <w:sz w:val="24"/>
          <w:lang w:val="en-US" w:eastAsia="zh-CN"/>
        </w:rPr>
        <w:t xml:space="preserve">           </w:t>
      </w:r>
      <w:r>
        <w:rPr>
          <w:rFonts w:hint="eastAsia" w:ascii="宋体" w:hAnsi="宋体" w:cs="宋体"/>
          <w:color w:val="auto"/>
          <w:sz w:val="24"/>
        </w:rPr>
        <w:t>)：</w:t>
      </w:r>
    </w:p>
    <w:p w14:paraId="1DD6DC69">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sz w:val="24"/>
        </w:rPr>
        <w:t>按照</w:t>
      </w:r>
      <w:r>
        <w:rPr>
          <w:rFonts w:hint="eastAsia" w:ascii="宋体" w:hAnsi="宋体" w:cs="宋体"/>
          <w:color w:val="auto"/>
          <w:sz w:val="24"/>
          <w:lang w:eastAsia="zh-CN"/>
        </w:rPr>
        <w:t>招标</w:t>
      </w:r>
      <w:r>
        <w:rPr>
          <w:rFonts w:hint="eastAsia" w:ascii="宋体" w:hAnsi="宋体" w:cs="宋体"/>
          <w:color w:val="auto"/>
          <w:sz w:val="24"/>
        </w:rPr>
        <w:t>文件的规定，我单位郑重声明如下：</w:t>
      </w:r>
    </w:p>
    <w:p w14:paraId="0DB7BF5D">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sz w:val="24"/>
        </w:rPr>
        <w:t>一、我单位是按照中华人民共和国法律规定登记注册的，注册地点为</w:t>
      </w:r>
      <w:r>
        <w:rPr>
          <w:rFonts w:hint="eastAsia" w:ascii="宋体" w:hAnsi="宋体" w:cs="宋体"/>
          <w:color w:val="auto"/>
          <w:sz w:val="24"/>
          <w:u w:val="single"/>
        </w:rPr>
        <w:t xml:space="preserve">      </w:t>
      </w:r>
      <w:r>
        <w:rPr>
          <w:rFonts w:hint="eastAsia" w:ascii="宋体" w:hAnsi="宋体" w:cs="宋体"/>
          <w:color w:val="auto"/>
          <w:sz w:val="24"/>
        </w:rPr>
        <w:t>，全称为</w:t>
      </w:r>
      <w:r>
        <w:rPr>
          <w:rFonts w:hint="eastAsia" w:ascii="宋体" w:hAnsi="宋体" w:cs="宋体"/>
          <w:color w:val="auto"/>
          <w:sz w:val="24"/>
          <w:u w:val="single"/>
        </w:rPr>
        <w:t xml:space="preserve">      </w:t>
      </w:r>
      <w:r>
        <w:rPr>
          <w:rFonts w:hint="eastAsia" w:ascii="宋体" w:hAnsi="宋体" w:cs="宋体"/>
          <w:color w:val="auto"/>
          <w:sz w:val="24"/>
        </w:rPr>
        <w:t>，统一社会信用代码为</w:t>
      </w:r>
      <w:r>
        <w:rPr>
          <w:rFonts w:hint="eastAsia" w:ascii="宋体" w:hAnsi="宋体" w:cs="宋体"/>
          <w:color w:val="auto"/>
          <w:sz w:val="24"/>
          <w:u w:val="single"/>
        </w:rPr>
        <w:t xml:space="preserve">      </w:t>
      </w:r>
      <w:r>
        <w:rPr>
          <w:rFonts w:hint="eastAsia" w:ascii="宋体" w:hAnsi="宋体" w:cs="宋体"/>
          <w:color w:val="auto"/>
          <w:sz w:val="24"/>
        </w:rPr>
        <w:t>，法定代表人为</w:t>
      </w:r>
      <w:r>
        <w:rPr>
          <w:rFonts w:hint="eastAsia" w:ascii="宋体" w:hAnsi="宋体" w:cs="宋体"/>
          <w:color w:val="auto"/>
          <w:sz w:val="24"/>
          <w:u w:val="single"/>
        </w:rPr>
        <w:t xml:space="preserve">      </w:t>
      </w:r>
      <w:r>
        <w:rPr>
          <w:rFonts w:hint="eastAsia" w:ascii="宋体" w:hAnsi="宋体" w:cs="宋体"/>
          <w:color w:val="auto"/>
          <w:sz w:val="24"/>
        </w:rPr>
        <w:t>，具有独立承担民事责任的能力。</w:t>
      </w:r>
    </w:p>
    <w:p w14:paraId="1536784E">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二、我单位具有良好的商业信誉和健全的财务会计制度。</w:t>
      </w:r>
    </w:p>
    <w:p w14:paraId="7698527F">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kern w:val="0"/>
          <w:sz w:val="24"/>
        </w:rPr>
        <w:t>三、</w:t>
      </w:r>
      <w:r>
        <w:rPr>
          <w:rFonts w:hint="eastAsia" w:ascii="宋体" w:hAnsi="宋体" w:cs="宋体"/>
          <w:color w:val="auto"/>
          <w:sz w:val="24"/>
        </w:rPr>
        <w:t>我单位具有履行本项目采购合同所必需的设备和专业技术能力。</w:t>
      </w:r>
    </w:p>
    <w:p w14:paraId="62181211">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四、我单位在参加本</w:t>
      </w:r>
      <w:r>
        <w:rPr>
          <w:rFonts w:hint="eastAsia" w:asciiTheme="minorEastAsia" w:hAnsiTheme="minorEastAsia" w:eastAsiaTheme="minorEastAsia" w:cstheme="minorEastAsia"/>
          <w:bCs/>
          <w:color w:val="auto"/>
          <w:sz w:val="24"/>
          <w:szCs w:val="24"/>
          <w:lang w:val="en-US" w:eastAsia="zh-CN"/>
        </w:rPr>
        <w:t>采购</w:t>
      </w:r>
      <w:r>
        <w:rPr>
          <w:rFonts w:hint="eastAsia" w:ascii="宋体" w:hAnsi="宋体" w:cs="宋体"/>
          <w:color w:val="auto"/>
          <w:sz w:val="24"/>
        </w:rPr>
        <w:t>项目前三年内，在经营活动中，未因违法经营受到刑事处罚或者责令停产停业、吊销许可证或者执照、较大数额罚款等行政处罚。其中较大数额罚款是指：对公民处罚款在1000元及以上；对法人或者其他组织处罚款在2万元及以上；法律法规另有规定的，从其规定。</w:t>
      </w:r>
    </w:p>
    <w:p w14:paraId="265A087B">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五、我单位具备法律、行政法规规定的其他条件。</w:t>
      </w:r>
    </w:p>
    <w:p w14:paraId="2E36ED89">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kern w:val="0"/>
          <w:sz w:val="24"/>
        </w:rPr>
        <w:t>六、</w:t>
      </w:r>
      <w:r>
        <w:rPr>
          <w:rFonts w:hint="eastAsia" w:ascii="宋体" w:hAnsi="宋体" w:cs="宋体"/>
          <w:color w:val="auto"/>
          <w:sz w:val="24"/>
        </w:rPr>
        <w:t>与我单位存在“单位负责人为同一人或者存在直接控股、管理关系”的其他法人单位信息如下（如无，填写“无”）：</w:t>
      </w:r>
    </w:p>
    <w:p w14:paraId="4E4EEB9A">
      <w:pPr>
        <w:keepNext w:val="0"/>
        <w:keepLines w:val="0"/>
        <w:pageBreakBefore w:val="0"/>
        <w:kinsoku/>
        <w:wordWrap/>
        <w:overflowPunct/>
        <w:topLinePunct w:val="0"/>
        <w:autoSpaceDE/>
        <w:autoSpaceDN/>
        <w:bidi w:val="0"/>
        <w:adjustRightInd w:val="0"/>
        <w:snapToGrid w:val="0"/>
        <w:spacing w:before="120" w:beforeLines="50" w:line="400" w:lineRule="exact"/>
        <w:ind w:firstLine="480" w:firstLineChars="200"/>
        <w:textAlignment w:val="auto"/>
        <w:rPr>
          <w:rFonts w:hint="eastAsia" w:ascii="宋体" w:hAnsi="宋体" w:cs="宋体"/>
          <w:color w:val="auto"/>
          <w:sz w:val="24"/>
          <w:u w:val="single"/>
        </w:rPr>
      </w:pPr>
      <w:r>
        <w:rPr>
          <w:rFonts w:hint="eastAsia" w:ascii="宋体" w:hAnsi="宋体" w:cs="宋体"/>
          <w:color w:val="auto"/>
          <w:sz w:val="24"/>
        </w:rPr>
        <w:t>1、与我单位的法定代表人（单位负责人）为同一人的其他法人单位如下：</w:t>
      </w:r>
      <w:r>
        <w:rPr>
          <w:rFonts w:hint="eastAsia" w:ascii="宋体" w:hAnsi="宋体" w:cs="宋体"/>
          <w:color w:val="auto"/>
          <w:sz w:val="24"/>
          <w:u w:val="single"/>
        </w:rPr>
        <w:t xml:space="preserve">               </w:t>
      </w:r>
    </w:p>
    <w:p w14:paraId="0226D39D">
      <w:pPr>
        <w:keepNext w:val="0"/>
        <w:keepLines w:val="0"/>
        <w:pageBreakBefore w:val="0"/>
        <w:kinsoku/>
        <w:wordWrap/>
        <w:overflowPunct/>
        <w:topLinePunct w:val="0"/>
        <w:autoSpaceDE/>
        <w:autoSpaceDN/>
        <w:bidi w:val="0"/>
        <w:adjustRightInd w:val="0"/>
        <w:snapToGrid w:val="0"/>
        <w:spacing w:before="120" w:beforeLines="50" w:line="40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2、我单位直接控股的其他法人单位如下：</w:t>
      </w:r>
      <w:r>
        <w:rPr>
          <w:rFonts w:hint="eastAsia" w:ascii="宋体" w:hAnsi="宋体" w:cs="宋体"/>
          <w:color w:val="auto"/>
          <w:sz w:val="24"/>
          <w:u w:val="single"/>
        </w:rPr>
        <w:t xml:space="preserve">                                            </w:t>
      </w:r>
    </w:p>
    <w:p w14:paraId="35752034">
      <w:pPr>
        <w:keepNext w:val="0"/>
        <w:keepLines w:val="0"/>
        <w:pageBreakBefore w:val="0"/>
        <w:kinsoku/>
        <w:wordWrap/>
        <w:overflowPunct/>
        <w:topLinePunct w:val="0"/>
        <w:autoSpaceDE/>
        <w:autoSpaceDN/>
        <w:bidi w:val="0"/>
        <w:adjustRightInd w:val="0"/>
        <w:snapToGrid w:val="0"/>
        <w:spacing w:before="120" w:beforeLines="50" w:line="400" w:lineRule="exact"/>
        <w:ind w:firstLine="480" w:firstLineChars="200"/>
        <w:textAlignment w:val="auto"/>
        <w:rPr>
          <w:rFonts w:hint="eastAsia" w:ascii="宋体" w:hAnsi="宋体" w:cs="宋体"/>
          <w:color w:val="auto"/>
          <w:sz w:val="24"/>
          <w:u w:val="single"/>
        </w:rPr>
      </w:pPr>
      <w:r>
        <w:rPr>
          <w:rFonts w:hint="eastAsia" w:ascii="宋体" w:hAnsi="宋体" w:cs="宋体"/>
          <w:color w:val="auto"/>
          <w:sz w:val="24"/>
        </w:rPr>
        <w:t>3、与我单位存在管理关系的其他法人单位如下：</w:t>
      </w:r>
      <w:r>
        <w:rPr>
          <w:rFonts w:hint="eastAsia" w:ascii="宋体" w:hAnsi="宋体" w:cs="宋体"/>
          <w:color w:val="auto"/>
          <w:sz w:val="24"/>
          <w:u w:val="single"/>
        </w:rPr>
        <w:t xml:space="preserve">                                     </w:t>
      </w:r>
    </w:p>
    <w:p w14:paraId="60EB9185">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lang w:val="en-US" w:eastAsia="zh-CN"/>
        </w:rPr>
        <w:t>七、我单位承诺参与本项目时不存在围标、串标、陪标等违法行为</w:t>
      </w:r>
      <w:r>
        <w:rPr>
          <w:rFonts w:hint="eastAsia" w:ascii="宋体" w:hAnsi="宋体" w:cs="宋体"/>
          <w:color w:val="auto"/>
          <w:sz w:val="24"/>
        </w:rPr>
        <w:t xml:space="preserve"> </w:t>
      </w:r>
    </w:p>
    <w:p w14:paraId="024C14A9">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sz w:val="24"/>
        </w:rPr>
        <w:t>我单位保证上述声明的事项都是真实的，如有虚假，我单位愿意承担相应的法律责任，并承担因此所造成的一切损失。</w:t>
      </w:r>
    </w:p>
    <w:p w14:paraId="0ADBE667">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我单位保证随时按照要求提供能够证明上述声明事项真实性的任何有效文件。</w:t>
      </w:r>
    </w:p>
    <w:p w14:paraId="64DDD701">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color w:val="auto"/>
          <w:kern w:val="0"/>
          <w:sz w:val="24"/>
        </w:rPr>
      </w:pPr>
      <w:r>
        <w:rPr>
          <w:rFonts w:hint="eastAsia" w:ascii="宋体" w:hAnsi="宋体" w:cs="宋体"/>
          <w:color w:val="auto"/>
          <w:sz w:val="24"/>
        </w:rPr>
        <w:t>投标人名称（盖单位公章）：</w:t>
      </w:r>
    </w:p>
    <w:p w14:paraId="55D549B2">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b/>
          <w:bCs/>
          <w:color w:val="auto"/>
          <w:kern w:val="0"/>
          <w:sz w:val="24"/>
        </w:rPr>
      </w:pPr>
      <w:r>
        <w:rPr>
          <w:rFonts w:hint="eastAsia" w:ascii="宋体" w:hAnsi="宋体" w:cs="宋体"/>
          <w:color w:val="auto"/>
          <w:sz w:val="24"/>
        </w:rPr>
        <w:t>法定代表人或委托代理人（签字）：</w:t>
      </w:r>
    </w:p>
    <w:p w14:paraId="2C3DEF84">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46F3D623">
      <w:pPr>
        <w:adjustRightInd w:val="0"/>
        <w:snapToGrid w:val="0"/>
        <w:spacing w:line="360" w:lineRule="auto"/>
        <w:jc w:val="center"/>
        <w:rPr>
          <w:rFonts w:hint="eastAsia" w:ascii="宋体" w:hAnsi="宋体" w:cs="宋体"/>
          <w:b/>
          <w:color w:val="auto"/>
          <w:sz w:val="24"/>
          <w:szCs w:val="20"/>
        </w:rPr>
      </w:pPr>
    </w:p>
    <w:p w14:paraId="40F1283F">
      <w:pPr>
        <w:adjustRightInd w:val="0"/>
        <w:snapToGrid w:val="0"/>
        <w:spacing w:line="360" w:lineRule="auto"/>
        <w:rPr>
          <w:rFonts w:hint="eastAsia" w:ascii="宋体" w:hAnsi="宋体" w:cs="宋体"/>
          <w:b/>
          <w:color w:val="auto"/>
          <w:sz w:val="24"/>
          <w:szCs w:val="20"/>
        </w:rPr>
      </w:pPr>
    </w:p>
    <w:p w14:paraId="137A24EF">
      <w:pPr>
        <w:adjustRightInd w:val="0"/>
        <w:snapToGrid w:val="0"/>
        <w:spacing w:line="360" w:lineRule="auto"/>
        <w:rPr>
          <w:rFonts w:hint="eastAsia" w:ascii="宋体" w:hAnsi="宋体" w:cs="宋体"/>
          <w:b/>
          <w:color w:val="auto"/>
          <w:sz w:val="24"/>
          <w:szCs w:val="20"/>
        </w:rPr>
      </w:pPr>
    </w:p>
    <w:p w14:paraId="5128EA67">
      <w:pPr>
        <w:adjustRightInd w:val="0"/>
        <w:snapToGrid w:val="0"/>
        <w:spacing w:line="360" w:lineRule="auto"/>
        <w:rPr>
          <w:rFonts w:hint="eastAsia" w:ascii="宋体" w:hAnsi="宋体" w:cs="宋体"/>
          <w:b/>
          <w:color w:val="auto"/>
          <w:sz w:val="24"/>
          <w:szCs w:val="20"/>
        </w:rPr>
      </w:pPr>
    </w:p>
    <w:p w14:paraId="27E5A231">
      <w:pPr>
        <w:adjustRightInd w:val="0"/>
        <w:snapToGrid w:val="0"/>
        <w:spacing w:line="360" w:lineRule="auto"/>
        <w:jc w:val="center"/>
        <w:rPr>
          <w:rFonts w:ascii="宋体" w:hAnsi="宋体" w:cs="宋体"/>
          <w:b/>
          <w:color w:val="auto"/>
          <w:sz w:val="28"/>
          <w:szCs w:val="28"/>
        </w:rPr>
      </w:pPr>
      <w:r>
        <w:rPr>
          <w:rFonts w:hint="eastAsia" w:ascii="宋体" w:hAnsi="宋体" w:cs="宋体"/>
          <w:b/>
          <w:color w:val="auto"/>
          <w:sz w:val="28"/>
          <w:szCs w:val="28"/>
        </w:rPr>
        <w:t>三、符合基本资格条件证明材料复印件或者情况说明</w:t>
      </w:r>
    </w:p>
    <w:p w14:paraId="78E56FA9">
      <w:pPr>
        <w:adjustRightInd w:val="0"/>
        <w:snapToGrid w:val="0"/>
        <w:spacing w:line="360" w:lineRule="auto"/>
        <w:jc w:val="center"/>
        <w:rPr>
          <w:rFonts w:hint="eastAsia" w:ascii="宋体" w:hAnsi="宋体" w:cs="宋体"/>
          <w:b/>
          <w:color w:val="auto"/>
          <w:sz w:val="24"/>
          <w:szCs w:val="20"/>
        </w:rPr>
      </w:pPr>
    </w:p>
    <w:p w14:paraId="675A77B9">
      <w:pPr>
        <w:pStyle w:val="4"/>
        <w:keepLines w:val="0"/>
        <w:snapToGrid w:val="0"/>
        <w:spacing w:before="0" w:after="0" w:line="520" w:lineRule="exact"/>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cs="宋体"/>
          <w:b w:val="0"/>
          <w:color w:val="auto"/>
          <w:sz w:val="24"/>
          <w:szCs w:val="24"/>
        </w:rPr>
        <w:t>注：</w:t>
      </w:r>
      <w:r>
        <w:rPr>
          <w:rFonts w:hint="eastAsia" w:ascii="宋体" w:hAnsi="宋体" w:cs="宋体"/>
          <w:b w:val="0"/>
          <w:color w:val="auto"/>
          <w:sz w:val="24"/>
          <w:szCs w:val="24"/>
          <w:lang w:bidi="zh-CN"/>
        </w:rPr>
        <w:t>投标公司的营业执照</w:t>
      </w:r>
      <w:r>
        <w:rPr>
          <w:rFonts w:hint="eastAsia" w:ascii="宋体" w:hAnsi="宋体" w:cs="宋体"/>
          <w:b w:val="0"/>
          <w:color w:val="auto"/>
          <w:sz w:val="24"/>
          <w:szCs w:val="24"/>
          <w:lang w:val="en-US" w:bidi="zh-CN"/>
        </w:rPr>
        <w:t>及资格要求的证明材料，提供信用中国网页查询截图，</w:t>
      </w:r>
      <w:r>
        <w:rPr>
          <w:rFonts w:hint="eastAsia" w:ascii="宋体" w:hAnsi="宋体" w:cs="宋体"/>
          <w:b w:val="0"/>
          <w:color w:val="auto"/>
          <w:sz w:val="24"/>
          <w:szCs w:val="24"/>
          <w:lang w:bidi="zh-CN"/>
        </w:rPr>
        <w:t>并加盖单位公章（按顺序装订）。</w:t>
      </w:r>
      <w:r>
        <w:rPr>
          <w:rFonts w:hint="eastAsia" w:ascii="宋体" w:hAnsi="宋体" w:eastAsia="宋体" w:cs="Times New Roman"/>
          <w:b w:val="0"/>
          <w:bCs w:val="0"/>
          <w:color w:val="auto"/>
          <w:kern w:val="2"/>
          <w:sz w:val="24"/>
          <w:szCs w:val="24"/>
          <w:lang w:val="en-US" w:eastAsia="zh-CN" w:bidi="ar-SA"/>
        </w:rPr>
        <w:t>附件    湖南省政府采购供应商资格承诺函</w:t>
      </w:r>
    </w:p>
    <w:p w14:paraId="3EFCC07C">
      <w:pPr>
        <w:widowControl/>
        <w:spacing w:after="100" w:afterAutospacing="1" w:line="360" w:lineRule="auto"/>
        <w:ind w:left="227" w:right="113" w:firstLine="482"/>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具有独立承担民事责任、具有良好的商业信誉和健全的财务会计制度，依法缴纳税收和社会保障资金，在前三年的经营活动中无重大违法记录，未列入严重失信行为名单，符合政府采购供应商的基本资格要求。</w:t>
      </w:r>
    </w:p>
    <w:p w14:paraId="38028048">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按照《政府采购促进中小企业发展管理办法》(财库〔2020〕46号)规定，</w:t>
      </w:r>
    </w:p>
    <w:p w14:paraId="69A5AFCB">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本公司企业规模为：          （大型、中型、小型、微型 ）</w:t>
      </w:r>
    </w:p>
    <w:p w14:paraId="38865E07">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统一社会信用代码：                        、注册登记机构：                 、 注册日期：                 、有效期：               、注册资本：                、地址：               、经济行业：                 、经济性质：              </w:t>
      </w:r>
    </w:p>
    <w:p w14:paraId="2D7A1C86">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法定代表人姓名 (签字)：             、身份证号：                           、</w:t>
      </w:r>
    </w:p>
    <w:p w14:paraId="48FD5005">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手机号：             ；</w:t>
      </w:r>
    </w:p>
    <w:p w14:paraId="46D76AFD">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授权代表人姓名 (签字)：                、身份证号：                     </w:t>
      </w:r>
    </w:p>
    <w:p w14:paraId="6755BE39">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手机号：               。  </w:t>
      </w:r>
    </w:p>
    <w:p w14:paraId="2DEE6198">
      <w:pPr>
        <w:adjustRightInd w:val="0"/>
        <w:snapToGrid w:val="0"/>
        <w:spacing w:line="360" w:lineRule="auto"/>
        <w:rPr>
          <w:rFonts w:hint="eastAsia" w:ascii="宋体" w:hAnsi="宋体" w:eastAsia="宋体" w:cs="Times New Roman"/>
          <w:b w:val="0"/>
          <w:bCs w:val="0"/>
          <w:color w:val="auto"/>
          <w:kern w:val="2"/>
          <w:sz w:val="24"/>
          <w:szCs w:val="24"/>
          <w:lang w:val="en-US" w:eastAsia="zh-CN" w:bidi="ar-SA"/>
        </w:rPr>
      </w:pPr>
    </w:p>
    <w:p w14:paraId="663AA6F9">
      <w:pPr>
        <w:adjustRightInd w:val="0"/>
        <w:snapToGrid w:val="0"/>
        <w:spacing w:line="360" w:lineRule="auto"/>
        <w:ind w:left="4406" w:leftChars="-302" w:hanging="5040" w:hangingChars="2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                           供应商名称（盖公章）：                                    </w:t>
      </w:r>
    </w:p>
    <w:p w14:paraId="15BE5D0A">
      <w:pPr>
        <w:adjustRightInd w:val="0"/>
        <w:snapToGrid w:val="0"/>
        <w:spacing w:line="360" w:lineRule="auto"/>
        <w:ind w:left="4406" w:leftChars="-302" w:hanging="5040" w:hangingChars="2100"/>
        <w:jc w:val="right"/>
        <w:rPr>
          <w:rFonts w:hint="eastAsia" w:ascii="宋体" w:hAnsi="宋体" w:eastAsia="宋体" w:cs="Times New Roman"/>
          <w:b w:val="0"/>
          <w:bCs w:val="0"/>
          <w:color w:val="auto"/>
          <w:kern w:val="2"/>
          <w:sz w:val="24"/>
          <w:szCs w:val="24"/>
          <w:lang w:val="en-US" w:eastAsia="zh-CN" w:bidi="ar-SA"/>
        </w:rPr>
      </w:pPr>
      <w:r>
        <w:rPr>
          <w:rFonts w:hint="eastAsia" w:ascii="宋体" w:hAnsi="宋体" w:cs="Times New Roman"/>
          <w:b w:val="0"/>
          <w:bCs w:val="0"/>
          <w:color w:val="auto"/>
          <w:kern w:val="2"/>
          <w:sz w:val="24"/>
          <w:szCs w:val="24"/>
          <w:lang w:val="en-US" w:eastAsia="zh-CN" w:bidi="ar-SA"/>
        </w:rPr>
        <w:t>2023</w:t>
      </w:r>
      <w:r>
        <w:rPr>
          <w:rFonts w:hint="eastAsia" w:ascii="宋体" w:hAnsi="宋体" w:eastAsia="宋体" w:cs="Times New Roman"/>
          <w:b w:val="0"/>
          <w:bCs w:val="0"/>
          <w:color w:val="auto"/>
          <w:kern w:val="2"/>
          <w:sz w:val="24"/>
          <w:szCs w:val="24"/>
          <w:lang w:val="en-US" w:eastAsia="zh-CN" w:bidi="ar-SA"/>
        </w:rPr>
        <w:t>年     月     日</w:t>
      </w:r>
    </w:p>
    <w:p w14:paraId="02CEF50E">
      <w:pPr>
        <w:jc w:val="left"/>
        <w:rPr>
          <w:rFonts w:hint="eastAsia" w:ascii="宋体" w:hAnsi="宋体" w:eastAsia="宋体" w:cs="Times New Roman"/>
          <w:b w:val="0"/>
          <w:bCs w:val="0"/>
          <w:color w:val="auto"/>
          <w:kern w:val="2"/>
          <w:sz w:val="24"/>
          <w:szCs w:val="24"/>
          <w:lang w:val="en-US" w:eastAsia="zh-CN" w:bidi="ar-SA"/>
        </w:rPr>
      </w:pPr>
    </w:p>
    <w:p w14:paraId="30756FE5">
      <w:pPr>
        <w:jc w:val="left"/>
        <w:rPr>
          <w:rFonts w:hint="eastAsia" w:ascii="宋体" w:hAnsi="宋体" w:eastAsia="宋体" w:cs="Times New Roman"/>
          <w:b w:val="0"/>
          <w:bCs w:val="0"/>
          <w:color w:val="auto"/>
          <w:kern w:val="2"/>
          <w:sz w:val="24"/>
          <w:szCs w:val="24"/>
          <w:lang w:val="en-US" w:eastAsia="zh-CN" w:bidi="ar-SA"/>
        </w:rPr>
      </w:pPr>
    </w:p>
    <w:p w14:paraId="15990E6D">
      <w:pPr>
        <w:jc w:val="left"/>
        <w:rPr>
          <w:rFonts w:hint="eastAsia" w:ascii="宋体" w:hAnsi="宋体" w:eastAsia="宋体" w:cs="宋体"/>
          <w:b/>
          <w:color w:val="auto"/>
          <w:sz w:val="24"/>
          <w:lang w:val="en-US" w:eastAsia="zh-CN"/>
        </w:rPr>
      </w:pPr>
      <w:r>
        <w:rPr>
          <w:rFonts w:hint="eastAsia" w:ascii="宋体" w:hAnsi="宋体" w:eastAsia="宋体" w:cs="Times New Roman"/>
          <w:b w:val="0"/>
          <w:bCs w:val="0"/>
          <w:color w:val="auto"/>
          <w:kern w:val="2"/>
          <w:sz w:val="24"/>
          <w:szCs w:val="24"/>
          <w:lang w:val="en-US" w:eastAsia="zh-CN" w:bidi="ar-SA"/>
        </w:rPr>
        <w:t>注、企业规模划分标准：《关于印发中小企业划型标准规定的通知》（工信部联企业〔2011〕300号）</w:t>
      </w:r>
    </w:p>
    <w:p w14:paraId="097D7B90">
      <w:pPr>
        <w:jc w:val="center"/>
        <w:rPr>
          <w:rFonts w:hint="eastAsia" w:ascii="宋体" w:hAnsi="宋体" w:cs="宋体"/>
          <w:b/>
          <w:color w:val="auto"/>
          <w:sz w:val="24"/>
        </w:rPr>
        <w:sectPr>
          <w:headerReference r:id="rId3" w:type="default"/>
          <w:footerReference r:id="rId4" w:type="default"/>
          <w:pgSz w:w="11906" w:h="16838"/>
          <w:pgMar w:top="1440" w:right="1080" w:bottom="1440" w:left="1080" w:header="567" w:footer="283" w:gutter="0"/>
          <w:pgNumType w:fmt="decimal" w:start="1"/>
          <w:cols w:space="720" w:num="1"/>
          <w:docGrid w:linePitch="312" w:charSpace="0"/>
        </w:sectPr>
      </w:pPr>
    </w:p>
    <w:p w14:paraId="2D0C4DC7">
      <w:pPr>
        <w:spacing w:before="120" w:beforeLines="50" w:after="120" w:afterLines="50" w:line="276"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第三部分、采购需求响应程度</w:t>
      </w:r>
      <w:bookmarkStart w:id="3" w:name="_Toc486424819"/>
      <w:bookmarkStart w:id="4" w:name="_Toc476514128"/>
    </w:p>
    <w:p w14:paraId="62A84631">
      <w:pPr>
        <w:pStyle w:val="20"/>
        <w:rPr>
          <w:rFonts w:hint="eastAsia"/>
          <w:lang w:eastAsia="zh-CN"/>
        </w:rPr>
      </w:pPr>
    </w:p>
    <w:p w14:paraId="7C3A650F">
      <w:pPr>
        <w:spacing w:before="120" w:beforeLines="50" w:after="120" w:afterLines="50" w:line="276" w:lineRule="auto"/>
        <w:jc w:val="center"/>
        <w:rPr>
          <w:b/>
          <w:color w:val="auto"/>
          <w:sz w:val="24"/>
        </w:rPr>
      </w:pPr>
      <w:r>
        <w:rPr>
          <w:b/>
          <w:color w:val="auto"/>
          <w:sz w:val="24"/>
        </w:rPr>
        <w:t>采购需求响应/偏离表</w:t>
      </w:r>
    </w:p>
    <w:p w14:paraId="08E5B6D6">
      <w:pPr>
        <w:adjustRightInd w:val="0"/>
        <w:snapToGrid w:val="0"/>
        <w:spacing w:line="360" w:lineRule="auto"/>
        <w:rPr>
          <w:color w:val="auto"/>
          <w:szCs w:val="21"/>
        </w:rPr>
      </w:pPr>
      <w:r>
        <w:rPr>
          <w:rFonts w:hint="eastAsia"/>
          <w:color w:val="auto"/>
          <w:sz w:val="24"/>
        </w:rPr>
        <w:t>项目</w:t>
      </w:r>
      <w:r>
        <w:rPr>
          <w:color w:val="auto"/>
          <w:sz w:val="24"/>
        </w:rPr>
        <w:t>编号：                    项目名称：                     包号：</w:t>
      </w:r>
    </w:p>
    <w:tbl>
      <w:tblPr>
        <w:tblStyle w:val="14"/>
        <w:tblW w:w="835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27"/>
        <w:gridCol w:w="1877"/>
        <w:gridCol w:w="1671"/>
        <w:gridCol w:w="1608"/>
        <w:gridCol w:w="1513"/>
        <w:gridCol w:w="1061"/>
      </w:tblGrid>
      <w:tr w14:paraId="37E6D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27" w:type="dxa"/>
            <w:noWrap w:val="0"/>
            <w:vAlign w:val="center"/>
          </w:tcPr>
          <w:p w14:paraId="35B2D26C">
            <w:pPr>
              <w:adjustRightInd w:val="0"/>
              <w:snapToGrid w:val="0"/>
              <w:spacing w:before="50" w:line="360" w:lineRule="auto"/>
              <w:ind w:left="-88" w:leftChars="-42"/>
              <w:jc w:val="center"/>
              <w:rPr>
                <w:color w:val="auto"/>
                <w:szCs w:val="21"/>
              </w:rPr>
            </w:pPr>
            <w:r>
              <w:rPr>
                <w:bCs/>
                <w:color w:val="auto"/>
                <w:szCs w:val="21"/>
              </w:rPr>
              <w:t>序</w:t>
            </w:r>
            <w:r>
              <w:rPr>
                <w:color w:val="auto"/>
                <w:szCs w:val="21"/>
              </w:rPr>
              <w:t>号</w:t>
            </w:r>
          </w:p>
        </w:tc>
        <w:tc>
          <w:tcPr>
            <w:tcW w:w="1877" w:type="dxa"/>
            <w:noWrap w:val="0"/>
            <w:vAlign w:val="center"/>
          </w:tcPr>
          <w:p w14:paraId="2E39D26F">
            <w:pPr>
              <w:adjustRightInd w:val="0"/>
              <w:snapToGrid w:val="0"/>
              <w:spacing w:before="50" w:line="360" w:lineRule="auto"/>
              <w:ind w:left="-88" w:leftChars="-42"/>
              <w:jc w:val="center"/>
              <w:rPr>
                <w:color w:val="auto"/>
                <w:szCs w:val="21"/>
              </w:rPr>
            </w:pPr>
            <w:r>
              <w:rPr>
                <w:rFonts w:hint="eastAsia"/>
                <w:color w:val="auto"/>
                <w:szCs w:val="21"/>
                <w:lang w:eastAsia="zh-CN"/>
              </w:rPr>
              <w:t>招标</w:t>
            </w:r>
            <w:r>
              <w:rPr>
                <w:color w:val="auto"/>
                <w:szCs w:val="21"/>
              </w:rPr>
              <w:t>文件章节</w:t>
            </w:r>
            <w:r>
              <w:rPr>
                <w:bCs/>
                <w:color w:val="auto"/>
                <w:szCs w:val="21"/>
              </w:rPr>
              <w:t>条</w:t>
            </w:r>
            <w:r>
              <w:rPr>
                <w:color w:val="auto"/>
                <w:szCs w:val="21"/>
              </w:rPr>
              <w:t>款号</w:t>
            </w:r>
          </w:p>
        </w:tc>
        <w:tc>
          <w:tcPr>
            <w:tcW w:w="1671" w:type="dxa"/>
            <w:noWrap w:val="0"/>
            <w:vAlign w:val="top"/>
          </w:tcPr>
          <w:p w14:paraId="08D2C1B3">
            <w:pPr>
              <w:adjustRightInd w:val="0"/>
              <w:snapToGrid w:val="0"/>
              <w:spacing w:before="50" w:line="360" w:lineRule="auto"/>
              <w:jc w:val="center"/>
              <w:rPr>
                <w:color w:val="auto"/>
              </w:rPr>
            </w:pPr>
            <w:r>
              <w:rPr>
                <w:rFonts w:hint="eastAsia"/>
                <w:color w:val="auto"/>
                <w:lang w:eastAsia="zh-CN"/>
              </w:rPr>
              <w:t>招标</w:t>
            </w:r>
            <w:r>
              <w:rPr>
                <w:color w:val="auto"/>
              </w:rPr>
              <w:t>文件要求</w:t>
            </w:r>
          </w:p>
        </w:tc>
        <w:tc>
          <w:tcPr>
            <w:tcW w:w="1608" w:type="dxa"/>
            <w:noWrap w:val="0"/>
            <w:vAlign w:val="top"/>
          </w:tcPr>
          <w:p w14:paraId="0515E670">
            <w:pPr>
              <w:adjustRightInd w:val="0"/>
              <w:snapToGrid w:val="0"/>
              <w:spacing w:before="50" w:line="360" w:lineRule="auto"/>
              <w:jc w:val="center"/>
              <w:rPr>
                <w:color w:val="auto"/>
              </w:rPr>
            </w:pPr>
            <w:r>
              <w:rPr>
                <w:color w:val="auto"/>
              </w:rPr>
              <w:t>投标文件应答</w:t>
            </w:r>
          </w:p>
        </w:tc>
        <w:tc>
          <w:tcPr>
            <w:tcW w:w="1513" w:type="dxa"/>
            <w:noWrap w:val="0"/>
            <w:vAlign w:val="center"/>
          </w:tcPr>
          <w:p w14:paraId="5FDFAC2D">
            <w:pPr>
              <w:adjustRightInd w:val="0"/>
              <w:snapToGrid w:val="0"/>
              <w:spacing w:before="50" w:line="360" w:lineRule="auto"/>
              <w:ind w:left="-88" w:leftChars="-42"/>
              <w:jc w:val="center"/>
              <w:rPr>
                <w:color w:val="auto"/>
                <w:szCs w:val="21"/>
              </w:rPr>
            </w:pPr>
            <w:r>
              <w:rPr>
                <w:color w:val="auto"/>
                <w:szCs w:val="21"/>
              </w:rPr>
              <w:t>响应/偏离</w:t>
            </w:r>
          </w:p>
        </w:tc>
        <w:tc>
          <w:tcPr>
            <w:tcW w:w="1061" w:type="dxa"/>
            <w:noWrap w:val="0"/>
            <w:vAlign w:val="center"/>
          </w:tcPr>
          <w:p w14:paraId="452B13AE">
            <w:pPr>
              <w:adjustRightInd w:val="0"/>
              <w:snapToGrid w:val="0"/>
              <w:spacing w:before="50" w:line="360" w:lineRule="auto"/>
              <w:ind w:left="-88" w:leftChars="-42"/>
              <w:jc w:val="center"/>
              <w:rPr>
                <w:color w:val="auto"/>
                <w:szCs w:val="21"/>
              </w:rPr>
            </w:pPr>
            <w:r>
              <w:rPr>
                <w:color w:val="auto"/>
                <w:szCs w:val="21"/>
              </w:rPr>
              <w:t>偏离说明</w:t>
            </w:r>
          </w:p>
        </w:tc>
      </w:tr>
      <w:tr w14:paraId="36F3D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529A584E">
            <w:pPr>
              <w:adjustRightInd w:val="0"/>
              <w:snapToGrid w:val="0"/>
              <w:spacing w:before="50" w:line="360" w:lineRule="auto"/>
              <w:ind w:left="-88" w:leftChars="-42"/>
              <w:jc w:val="center"/>
              <w:rPr>
                <w:color w:val="auto"/>
                <w:szCs w:val="21"/>
              </w:rPr>
            </w:pPr>
          </w:p>
        </w:tc>
        <w:tc>
          <w:tcPr>
            <w:tcW w:w="1877" w:type="dxa"/>
            <w:noWrap w:val="0"/>
            <w:vAlign w:val="center"/>
          </w:tcPr>
          <w:p w14:paraId="04FA1F79">
            <w:pPr>
              <w:adjustRightInd w:val="0"/>
              <w:snapToGrid w:val="0"/>
              <w:spacing w:before="50" w:line="360" w:lineRule="auto"/>
              <w:ind w:left="-88" w:leftChars="-42"/>
              <w:jc w:val="center"/>
              <w:rPr>
                <w:color w:val="auto"/>
                <w:szCs w:val="21"/>
              </w:rPr>
            </w:pPr>
          </w:p>
        </w:tc>
        <w:tc>
          <w:tcPr>
            <w:tcW w:w="1671" w:type="dxa"/>
            <w:noWrap w:val="0"/>
            <w:vAlign w:val="center"/>
          </w:tcPr>
          <w:p w14:paraId="111429EA">
            <w:pPr>
              <w:adjustRightInd w:val="0"/>
              <w:snapToGrid w:val="0"/>
              <w:spacing w:before="50" w:line="360" w:lineRule="auto"/>
              <w:ind w:left="-88" w:leftChars="-42"/>
              <w:jc w:val="center"/>
              <w:rPr>
                <w:color w:val="auto"/>
                <w:szCs w:val="21"/>
              </w:rPr>
            </w:pPr>
          </w:p>
        </w:tc>
        <w:tc>
          <w:tcPr>
            <w:tcW w:w="1608" w:type="dxa"/>
            <w:noWrap w:val="0"/>
            <w:vAlign w:val="center"/>
          </w:tcPr>
          <w:p w14:paraId="3F5C712D">
            <w:pPr>
              <w:adjustRightInd w:val="0"/>
              <w:snapToGrid w:val="0"/>
              <w:spacing w:before="50" w:line="360" w:lineRule="auto"/>
              <w:ind w:left="-88" w:leftChars="-42"/>
              <w:jc w:val="center"/>
              <w:rPr>
                <w:color w:val="auto"/>
                <w:szCs w:val="21"/>
              </w:rPr>
            </w:pPr>
          </w:p>
        </w:tc>
        <w:tc>
          <w:tcPr>
            <w:tcW w:w="1513" w:type="dxa"/>
            <w:noWrap w:val="0"/>
            <w:vAlign w:val="center"/>
          </w:tcPr>
          <w:p w14:paraId="1FD267E1">
            <w:pPr>
              <w:adjustRightInd w:val="0"/>
              <w:snapToGrid w:val="0"/>
              <w:spacing w:before="50" w:line="360" w:lineRule="auto"/>
              <w:ind w:left="-88" w:leftChars="-42"/>
              <w:jc w:val="center"/>
              <w:rPr>
                <w:color w:val="auto"/>
                <w:szCs w:val="21"/>
              </w:rPr>
            </w:pPr>
          </w:p>
        </w:tc>
        <w:tc>
          <w:tcPr>
            <w:tcW w:w="1061" w:type="dxa"/>
            <w:noWrap w:val="0"/>
            <w:vAlign w:val="center"/>
          </w:tcPr>
          <w:p w14:paraId="1B0463B5">
            <w:pPr>
              <w:adjustRightInd w:val="0"/>
              <w:snapToGrid w:val="0"/>
              <w:spacing w:before="50" w:line="360" w:lineRule="auto"/>
              <w:ind w:left="-88" w:leftChars="-42"/>
              <w:jc w:val="center"/>
              <w:rPr>
                <w:color w:val="auto"/>
                <w:szCs w:val="21"/>
              </w:rPr>
            </w:pPr>
          </w:p>
        </w:tc>
      </w:tr>
      <w:tr w14:paraId="3C6C5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5DE623C7">
            <w:pPr>
              <w:adjustRightInd w:val="0"/>
              <w:snapToGrid w:val="0"/>
              <w:spacing w:before="50" w:line="360" w:lineRule="auto"/>
              <w:ind w:left="-88" w:leftChars="-42"/>
              <w:jc w:val="center"/>
              <w:rPr>
                <w:color w:val="auto"/>
                <w:szCs w:val="21"/>
              </w:rPr>
            </w:pPr>
          </w:p>
        </w:tc>
        <w:tc>
          <w:tcPr>
            <w:tcW w:w="1877" w:type="dxa"/>
            <w:noWrap w:val="0"/>
            <w:vAlign w:val="center"/>
          </w:tcPr>
          <w:p w14:paraId="0139CDB7">
            <w:pPr>
              <w:adjustRightInd w:val="0"/>
              <w:snapToGrid w:val="0"/>
              <w:spacing w:before="50" w:line="360" w:lineRule="auto"/>
              <w:ind w:left="-88" w:leftChars="-42"/>
              <w:jc w:val="center"/>
              <w:rPr>
                <w:color w:val="auto"/>
                <w:szCs w:val="21"/>
              </w:rPr>
            </w:pPr>
          </w:p>
        </w:tc>
        <w:tc>
          <w:tcPr>
            <w:tcW w:w="1671" w:type="dxa"/>
            <w:noWrap w:val="0"/>
            <w:vAlign w:val="center"/>
          </w:tcPr>
          <w:p w14:paraId="74FA9D80">
            <w:pPr>
              <w:adjustRightInd w:val="0"/>
              <w:snapToGrid w:val="0"/>
              <w:spacing w:before="50" w:line="360" w:lineRule="auto"/>
              <w:ind w:left="-88" w:leftChars="-42"/>
              <w:jc w:val="center"/>
              <w:rPr>
                <w:color w:val="auto"/>
                <w:szCs w:val="21"/>
              </w:rPr>
            </w:pPr>
          </w:p>
        </w:tc>
        <w:tc>
          <w:tcPr>
            <w:tcW w:w="1608" w:type="dxa"/>
            <w:noWrap w:val="0"/>
            <w:vAlign w:val="center"/>
          </w:tcPr>
          <w:p w14:paraId="4DF49294">
            <w:pPr>
              <w:adjustRightInd w:val="0"/>
              <w:snapToGrid w:val="0"/>
              <w:spacing w:before="50" w:line="360" w:lineRule="auto"/>
              <w:ind w:left="-88" w:leftChars="-42"/>
              <w:jc w:val="center"/>
              <w:rPr>
                <w:color w:val="auto"/>
                <w:szCs w:val="21"/>
              </w:rPr>
            </w:pPr>
          </w:p>
        </w:tc>
        <w:tc>
          <w:tcPr>
            <w:tcW w:w="1513" w:type="dxa"/>
            <w:noWrap w:val="0"/>
            <w:vAlign w:val="center"/>
          </w:tcPr>
          <w:p w14:paraId="72CDE795">
            <w:pPr>
              <w:adjustRightInd w:val="0"/>
              <w:snapToGrid w:val="0"/>
              <w:spacing w:before="50" w:line="360" w:lineRule="auto"/>
              <w:ind w:left="-88" w:leftChars="-42"/>
              <w:jc w:val="center"/>
              <w:rPr>
                <w:color w:val="auto"/>
                <w:szCs w:val="21"/>
              </w:rPr>
            </w:pPr>
          </w:p>
        </w:tc>
        <w:tc>
          <w:tcPr>
            <w:tcW w:w="1061" w:type="dxa"/>
            <w:noWrap w:val="0"/>
            <w:vAlign w:val="center"/>
          </w:tcPr>
          <w:p w14:paraId="35D7F53B">
            <w:pPr>
              <w:adjustRightInd w:val="0"/>
              <w:snapToGrid w:val="0"/>
              <w:spacing w:before="50" w:line="360" w:lineRule="auto"/>
              <w:ind w:left="-88" w:leftChars="-42"/>
              <w:jc w:val="center"/>
              <w:rPr>
                <w:color w:val="auto"/>
                <w:szCs w:val="21"/>
              </w:rPr>
            </w:pPr>
          </w:p>
        </w:tc>
      </w:tr>
      <w:tr w14:paraId="6DCDB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77C5504F">
            <w:pPr>
              <w:adjustRightInd w:val="0"/>
              <w:snapToGrid w:val="0"/>
              <w:spacing w:before="50" w:line="360" w:lineRule="auto"/>
              <w:ind w:left="-88" w:leftChars="-42"/>
              <w:jc w:val="center"/>
              <w:rPr>
                <w:color w:val="auto"/>
                <w:szCs w:val="21"/>
              </w:rPr>
            </w:pPr>
          </w:p>
        </w:tc>
        <w:tc>
          <w:tcPr>
            <w:tcW w:w="1877" w:type="dxa"/>
            <w:noWrap w:val="0"/>
            <w:vAlign w:val="center"/>
          </w:tcPr>
          <w:p w14:paraId="3FC5B1D9">
            <w:pPr>
              <w:adjustRightInd w:val="0"/>
              <w:snapToGrid w:val="0"/>
              <w:spacing w:before="50" w:line="360" w:lineRule="auto"/>
              <w:ind w:left="-88" w:leftChars="-42"/>
              <w:jc w:val="center"/>
              <w:rPr>
                <w:color w:val="auto"/>
                <w:szCs w:val="21"/>
              </w:rPr>
            </w:pPr>
          </w:p>
        </w:tc>
        <w:tc>
          <w:tcPr>
            <w:tcW w:w="1671" w:type="dxa"/>
            <w:noWrap w:val="0"/>
            <w:vAlign w:val="center"/>
          </w:tcPr>
          <w:p w14:paraId="6B2107E1">
            <w:pPr>
              <w:adjustRightInd w:val="0"/>
              <w:snapToGrid w:val="0"/>
              <w:spacing w:before="50" w:line="360" w:lineRule="auto"/>
              <w:ind w:left="-88" w:leftChars="-42"/>
              <w:jc w:val="center"/>
              <w:rPr>
                <w:color w:val="auto"/>
                <w:szCs w:val="21"/>
              </w:rPr>
            </w:pPr>
          </w:p>
        </w:tc>
        <w:tc>
          <w:tcPr>
            <w:tcW w:w="1608" w:type="dxa"/>
            <w:noWrap w:val="0"/>
            <w:vAlign w:val="center"/>
          </w:tcPr>
          <w:p w14:paraId="50438157">
            <w:pPr>
              <w:adjustRightInd w:val="0"/>
              <w:snapToGrid w:val="0"/>
              <w:spacing w:before="50" w:line="360" w:lineRule="auto"/>
              <w:ind w:left="-88" w:leftChars="-42"/>
              <w:jc w:val="center"/>
              <w:rPr>
                <w:color w:val="auto"/>
                <w:szCs w:val="21"/>
              </w:rPr>
            </w:pPr>
          </w:p>
        </w:tc>
        <w:tc>
          <w:tcPr>
            <w:tcW w:w="1513" w:type="dxa"/>
            <w:noWrap w:val="0"/>
            <w:vAlign w:val="center"/>
          </w:tcPr>
          <w:p w14:paraId="2617429B">
            <w:pPr>
              <w:adjustRightInd w:val="0"/>
              <w:snapToGrid w:val="0"/>
              <w:spacing w:before="50" w:line="360" w:lineRule="auto"/>
              <w:ind w:left="-88" w:leftChars="-42"/>
              <w:jc w:val="center"/>
              <w:rPr>
                <w:color w:val="auto"/>
                <w:szCs w:val="21"/>
              </w:rPr>
            </w:pPr>
          </w:p>
        </w:tc>
        <w:tc>
          <w:tcPr>
            <w:tcW w:w="1061" w:type="dxa"/>
            <w:noWrap w:val="0"/>
            <w:vAlign w:val="center"/>
          </w:tcPr>
          <w:p w14:paraId="469BAD0E">
            <w:pPr>
              <w:adjustRightInd w:val="0"/>
              <w:snapToGrid w:val="0"/>
              <w:spacing w:before="50" w:line="360" w:lineRule="auto"/>
              <w:ind w:left="-88" w:leftChars="-42"/>
              <w:jc w:val="center"/>
              <w:rPr>
                <w:color w:val="auto"/>
                <w:szCs w:val="21"/>
              </w:rPr>
            </w:pPr>
          </w:p>
        </w:tc>
      </w:tr>
      <w:tr w14:paraId="46674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357" w:type="dxa"/>
            <w:gridSpan w:val="6"/>
            <w:noWrap w:val="0"/>
            <w:vAlign w:val="center"/>
          </w:tcPr>
          <w:p w14:paraId="497E606C">
            <w:pPr>
              <w:rPr>
                <w:b/>
                <w:color w:val="auto"/>
              </w:rPr>
            </w:pPr>
          </w:p>
        </w:tc>
      </w:tr>
    </w:tbl>
    <w:p w14:paraId="40556A6B">
      <w:pPr>
        <w:adjustRightInd w:val="0"/>
        <w:snapToGrid w:val="0"/>
        <w:spacing w:before="50" w:line="360" w:lineRule="auto"/>
        <w:ind w:left="-88" w:leftChars="-42"/>
        <w:rPr>
          <w:color w:val="auto"/>
          <w:sz w:val="24"/>
        </w:rPr>
      </w:pPr>
      <w:r>
        <w:rPr>
          <w:b/>
          <w:color w:val="auto"/>
          <w:sz w:val="24"/>
        </w:rPr>
        <w:t>备注</w:t>
      </w:r>
      <w:r>
        <w:rPr>
          <w:color w:val="auto"/>
          <w:sz w:val="24"/>
        </w:rPr>
        <w:t>：</w:t>
      </w:r>
    </w:p>
    <w:bookmarkEnd w:id="3"/>
    <w:bookmarkEnd w:id="4"/>
    <w:p w14:paraId="48C94C08">
      <w:pPr>
        <w:adjustRightInd w:val="0"/>
        <w:snapToGrid w:val="0"/>
        <w:spacing w:before="50" w:line="360" w:lineRule="auto"/>
        <w:ind w:left="-88" w:leftChars="-42"/>
        <w:rPr>
          <w:rFonts w:hint="eastAsia"/>
          <w:color w:val="auto"/>
          <w:sz w:val="24"/>
        </w:rPr>
      </w:pPr>
      <w:r>
        <w:rPr>
          <w:color w:val="auto"/>
          <w:sz w:val="24"/>
        </w:rPr>
        <w:t>（1）投标人应根据文件第</w:t>
      </w:r>
      <w:r>
        <w:rPr>
          <w:rFonts w:hint="eastAsia"/>
          <w:color w:val="auto"/>
          <w:sz w:val="24"/>
          <w:lang w:val="en-US" w:eastAsia="zh-CN"/>
        </w:rPr>
        <w:t>二</w:t>
      </w:r>
      <w:r>
        <w:rPr>
          <w:color w:val="auto"/>
          <w:sz w:val="24"/>
        </w:rPr>
        <w:t>章中采购需求填写本表，逐条应答；</w:t>
      </w:r>
    </w:p>
    <w:p w14:paraId="7C43CBC0">
      <w:pPr>
        <w:adjustRightInd w:val="0"/>
        <w:snapToGrid w:val="0"/>
        <w:spacing w:before="50" w:line="360" w:lineRule="auto"/>
        <w:ind w:left="-88" w:leftChars="-42"/>
        <w:rPr>
          <w:rFonts w:hint="eastAsia"/>
          <w:color w:val="auto"/>
          <w:sz w:val="24"/>
        </w:rPr>
      </w:pPr>
      <w:r>
        <w:rPr>
          <w:color w:val="auto"/>
          <w:sz w:val="24"/>
        </w:rPr>
        <w:t>（2）如不提供此表，则视为投标人不满足文件第</w:t>
      </w:r>
      <w:r>
        <w:rPr>
          <w:rFonts w:hint="eastAsia"/>
          <w:color w:val="auto"/>
          <w:sz w:val="24"/>
          <w:lang w:eastAsia="zh-CN"/>
        </w:rPr>
        <w:t>二</w:t>
      </w:r>
      <w:r>
        <w:rPr>
          <w:color w:val="auto"/>
          <w:sz w:val="24"/>
        </w:rPr>
        <w:t>章的所有条款要求，其投标无效；</w:t>
      </w:r>
    </w:p>
    <w:p w14:paraId="075DFE47">
      <w:pPr>
        <w:adjustRightInd w:val="0"/>
        <w:snapToGrid w:val="0"/>
        <w:spacing w:before="50" w:line="360" w:lineRule="auto"/>
        <w:ind w:left="-88" w:leftChars="-42"/>
        <w:rPr>
          <w:rFonts w:hint="eastAsia" w:eastAsia="宋体"/>
          <w:color w:val="auto"/>
          <w:lang w:eastAsia="zh-CN"/>
        </w:rPr>
      </w:pPr>
      <w:r>
        <w:rPr>
          <w:color w:val="auto"/>
          <w:sz w:val="24"/>
        </w:rPr>
        <w:t>（3）</w:t>
      </w:r>
      <w:r>
        <w:rPr>
          <w:rFonts w:hint="eastAsia"/>
          <w:color w:val="auto"/>
          <w:sz w:val="24"/>
          <w:lang w:eastAsia="zh-CN"/>
        </w:rPr>
        <w:t>本项目为综合评分法，所有参数</w:t>
      </w:r>
      <w:r>
        <w:rPr>
          <w:rFonts w:hint="eastAsia"/>
          <w:color w:val="FF0000"/>
          <w:sz w:val="24"/>
          <w:lang w:eastAsia="zh-CN"/>
        </w:rPr>
        <w:t>（</w:t>
      </w:r>
      <w:r>
        <w:rPr>
          <w:rFonts w:hint="eastAsia"/>
          <w:color w:val="FF0000"/>
          <w:sz w:val="24"/>
          <w:lang w:val="en-US" w:eastAsia="zh-CN"/>
        </w:rPr>
        <w:t>包括商务参数）</w:t>
      </w:r>
      <w:r>
        <w:rPr>
          <w:rFonts w:hint="eastAsia"/>
          <w:color w:val="auto"/>
          <w:sz w:val="24"/>
          <w:lang w:eastAsia="zh-CN"/>
        </w:rPr>
        <w:t>必须在响应表中逐条应答。</w:t>
      </w:r>
    </w:p>
    <w:p w14:paraId="0DA40BA3">
      <w:pPr>
        <w:pStyle w:val="21"/>
        <w:rPr>
          <w:color w:val="auto"/>
        </w:rPr>
      </w:pPr>
    </w:p>
    <w:p w14:paraId="0EFEE20B">
      <w:pPr>
        <w:pStyle w:val="20"/>
        <w:rPr>
          <w:rFonts w:hint="eastAsia"/>
          <w:lang w:eastAsia="zh-CN"/>
        </w:rPr>
      </w:pPr>
    </w:p>
    <w:p w14:paraId="2CB8A4F5"/>
    <w:p w14:paraId="58D1B8B1">
      <w:pPr>
        <w:pStyle w:val="21"/>
        <w:rPr>
          <w:color w:val="auto"/>
        </w:rPr>
      </w:pPr>
    </w:p>
    <w:p w14:paraId="43E00E01">
      <w:pPr>
        <w:pStyle w:val="20"/>
        <w:rPr>
          <w:rFonts w:hint="eastAsia"/>
          <w:lang w:eastAsia="zh-CN"/>
        </w:rPr>
      </w:pPr>
    </w:p>
    <w:p w14:paraId="53FA0AAC"/>
    <w:p w14:paraId="36507233"/>
    <w:p w14:paraId="5AA899CA"/>
    <w:p w14:paraId="2936BFC4"/>
    <w:p w14:paraId="740A0EF9"/>
    <w:p w14:paraId="57A7D16B"/>
    <w:p w14:paraId="003C5A4F"/>
    <w:sectPr>
      <w:footerReference r:id="rId5"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仿宋">
    <w:altName w:val="方正仿宋_GBK"/>
    <w:panose1 w:val="02010609060101010101"/>
    <w:charset w:val="86"/>
    <w:family w:val="auto"/>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59C88">
    <w:pPr>
      <w:pStyle w:val="10"/>
      <w:rPr>
        <w:rFonts w:hint="eastAsia" w:ascii="仿宋_GB2312" w:eastAsia="仿宋_GB2312"/>
        <w:bCs/>
        <w:u w:val="single"/>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D20831">
                          <w:pPr>
                            <w:pStyle w:val="1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7D20831">
                    <w:pPr>
                      <w:pStyle w:val="10"/>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ascii="仿宋_GB2312" w:eastAsia="仿宋_GB2312"/>
        <w:bCs/>
        <w:u w:val="single"/>
      </w:rPr>
      <w:t xml:space="preserve">                                                                                                 </w:t>
    </w:r>
  </w:p>
  <w:p w14:paraId="1A9478CC">
    <w:pPr>
      <w:adjustRightInd w:val="0"/>
      <w:snapToGrid w:val="0"/>
      <w:spacing w:line="260" w:lineRule="atLeast"/>
      <w:rPr>
        <w:rFonts w:hint="eastAsia"/>
        <w:kern w:val="0"/>
        <w:sz w:val="18"/>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BF6C8">
    <w:pPr>
      <w:pStyle w:val="10"/>
      <w:rPr>
        <w:rFonts w:hint="eastAsia" w:ascii="仿宋_GB2312" w:eastAsia="仿宋_GB2312"/>
        <w:bCs/>
        <w:u w:val="single"/>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00D7D7">
                          <w:pPr>
                            <w:pStyle w:val="10"/>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600D7D7">
                    <w:pPr>
                      <w:pStyle w:val="10"/>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ascii="仿宋_GB2312" w:eastAsia="仿宋_GB2312"/>
        <w:bCs/>
        <w:u w:val="single"/>
      </w:rPr>
      <w:t xml:space="preserve">                                                                                                 </w:t>
    </w:r>
  </w:p>
  <w:p w14:paraId="77360475">
    <w:pPr>
      <w:adjustRightInd w:val="0"/>
      <w:snapToGrid w:val="0"/>
      <w:spacing w:line="260" w:lineRule="atLeast"/>
      <w:rPr>
        <w:rFonts w:hint="eastAsia"/>
        <w:kern w:val="0"/>
        <w:sz w:val="18"/>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64788">
    <w:pPr>
      <w:pStyle w:val="11"/>
      <w:ind w:left="8280" w:hanging="8280" w:hangingChars="4600"/>
      <w:jc w:val="both"/>
      <w:rPr>
        <w:rFonts w:hint="eastAsia"/>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68914C"/>
    <w:multiLevelType w:val="singleLevel"/>
    <w:tmpl w:val="BB68914C"/>
    <w:lvl w:ilvl="0" w:tentative="0">
      <w:start w:val="2"/>
      <w:numFmt w:val="chineseCounting"/>
      <w:suff w:val="nothing"/>
      <w:lvlText w:val="%1、"/>
      <w:lvlJc w:val="left"/>
      <w:rPr>
        <w:rFonts w:hint="eastAsia"/>
      </w:rPr>
    </w:lvl>
  </w:abstractNum>
  <w:abstractNum w:abstractNumId="1">
    <w:nsid w:val="EB67FE42"/>
    <w:multiLevelType w:val="singleLevel"/>
    <w:tmpl w:val="EB67FE42"/>
    <w:lvl w:ilvl="0" w:tentative="0">
      <w:start w:val="1"/>
      <w:numFmt w:val="decimal"/>
      <w:suff w:val="nothing"/>
      <w:lvlText w:val="%1、"/>
      <w:lvlJc w:val="left"/>
    </w:lvl>
  </w:abstractNum>
  <w:abstractNum w:abstractNumId="2">
    <w:nsid w:val="FF3C9078"/>
    <w:multiLevelType w:val="singleLevel"/>
    <w:tmpl w:val="FF3C9078"/>
    <w:lvl w:ilvl="0" w:tentative="0">
      <w:start w:val="3"/>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3YmMxNGQ0NDE0NTRiYjQ3MWFkZjk1MWM2MTc2NWEifQ=="/>
  </w:docVars>
  <w:rsids>
    <w:rsidRoot w:val="6DE375E4"/>
    <w:rsid w:val="008318E5"/>
    <w:rsid w:val="00AE556A"/>
    <w:rsid w:val="01350E35"/>
    <w:rsid w:val="01807593"/>
    <w:rsid w:val="01EF5CA0"/>
    <w:rsid w:val="02390242"/>
    <w:rsid w:val="0268376F"/>
    <w:rsid w:val="03E43FAE"/>
    <w:rsid w:val="04653F41"/>
    <w:rsid w:val="04B72FC8"/>
    <w:rsid w:val="04F57A38"/>
    <w:rsid w:val="050719CA"/>
    <w:rsid w:val="06934BAA"/>
    <w:rsid w:val="06E91EC4"/>
    <w:rsid w:val="086F75C9"/>
    <w:rsid w:val="09C0303A"/>
    <w:rsid w:val="0A3F4F3C"/>
    <w:rsid w:val="0A8A74D4"/>
    <w:rsid w:val="0CAD77BD"/>
    <w:rsid w:val="0E331420"/>
    <w:rsid w:val="0EDD1643"/>
    <w:rsid w:val="0FB9029C"/>
    <w:rsid w:val="10897B23"/>
    <w:rsid w:val="10914EF9"/>
    <w:rsid w:val="10B8663C"/>
    <w:rsid w:val="114A6E83"/>
    <w:rsid w:val="12080B62"/>
    <w:rsid w:val="12994AC5"/>
    <w:rsid w:val="129F447F"/>
    <w:rsid w:val="12C86253"/>
    <w:rsid w:val="15060AC8"/>
    <w:rsid w:val="15125EAE"/>
    <w:rsid w:val="15675A4C"/>
    <w:rsid w:val="1691323B"/>
    <w:rsid w:val="17E51656"/>
    <w:rsid w:val="17F91BB8"/>
    <w:rsid w:val="193E7D91"/>
    <w:rsid w:val="19410B0E"/>
    <w:rsid w:val="1943608F"/>
    <w:rsid w:val="19E91315"/>
    <w:rsid w:val="1AF56B46"/>
    <w:rsid w:val="1B7B72C0"/>
    <w:rsid w:val="1D5071B5"/>
    <w:rsid w:val="1D5D59A6"/>
    <w:rsid w:val="1DD7486D"/>
    <w:rsid w:val="1E79119D"/>
    <w:rsid w:val="1EFD25AF"/>
    <w:rsid w:val="1F334F58"/>
    <w:rsid w:val="1F385662"/>
    <w:rsid w:val="1F796B24"/>
    <w:rsid w:val="1FC602A8"/>
    <w:rsid w:val="1FDFE26B"/>
    <w:rsid w:val="1FE73549"/>
    <w:rsid w:val="2038045E"/>
    <w:rsid w:val="209055C8"/>
    <w:rsid w:val="20AF0900"/>
    <w:rsid w:val="20B41DA7"/>
    <w:rsid w:val="217001E2"/>
    <w:rsid w:val="21C61C7A"/>
    <w:rsid w:val="2383771E"/>
    <w:rsid w:val="23F374DB"/>
    <w:rsid w:val="24881A32"/>
    <w:rsid w:val="24E375C9"/>
    <w:rsid w:val="25266F96"/>
    <w:rsid w:val="267547DF"/>
    <w:rsid w:val="272B6E6C"/>
    <w:rsid w:val="27CF2BB7"/>
    <w:rsid w:val="28E81B29"/>
    <w:rsid w:val="28FD390A"/>
    <w:rsid w:val="29B45A41"/>
    <w:rsid w:val="2A174DA9"/>
    <w:rsid w:val="2AB010A8"/>
    <w:rsid w:val="2AC66F99"/>
    <w:rsid w:val="2BED378C"/>
    <w:rsid w:val="2C0A2E19"/>
    <w:rsid w:val="2C7642D0"/>
    <w:rsid w:val="2CC97A35"/>
    <w:rsid w:val="2DD77C64"/>
    <w:rsid w:val="2DDA1E78"/>
    <w:rsid w:val="2DE00B8C"/>
    <w:rsid w:val="2EAC037F"/>
    <w:rsid w:val="2EB67A5C"/>
    <w:rsid w:val="2F9730FD"/>
    <w:rsid w:val="2FB912FB"/>
    <w:rsid w:val="302741D2"/>
    <w:rsid w:val="308B184D"/>
    <w:rsid w:val="309C1E01"/>
    <w:rsid w:val="30BB11DD"/>
    <w:rsid w:val="31F17CD1"/>
    <w:rsid w:val="321B02E0"/>
    <w:rsid w:val="324F4D43"/>
    <w:rsid w:val="3330157F"/>
    <w:rsid w:val="33384C93"/>
    <w:rsid w:val="340F06E9"/>
    <w:rsid w:val="34C12F54"/>
    <w:rsid w:val="35101668"/>
    <w:rsid w:val="366241E2"/>
    <w:rsid w:val="369029A0"/>
    <w:rsid w:val="36B66AAC"/>
    <w:rsid w:val="36E47928"/>
    <w:rsid w:val="372F7378"/>
    <w:rsid w:val="37BA0809"/>
    <w:rsid w:val="37DE919F"/>
    <w:rsid w:val="38F7D690"/>
    <w:rsid w:val="397348CD"/>
    <w:rsid w:val="39FBA7F3"/>
    <w:rsid w:val="3A8E0AB7"/>
    <w:rsid w:val="3A994AB7"/>
    <w:rsid w:val="3B3B544D"/>
    <w:rsid w:val="3B654F2B"/>
    <w:rsid w:val="3B9B6E72"/>
    <w:rsid w:val="3BB72BAE"/>
    <w:rsid w:val="3BBF49EB"/>
    <w:rsid w:val="3BFC7D2B"/>
    <w:rsid w:val="3C7C799C"/>
    <w:rsid w:val="3C8A61A4"/>
    <w:rsid w:val="3D5E17FF"/>
    <w:rsid w:val="3DF93413"/>
    <w:rsid w:val="3DFD1951"/>
    <w:rsid w:val="3DFFD27E"/>
    <w:rsid w:val="3E1F0DA4"/>
    <w:rsid w:val="3E584E51"/>
    <w:rsid w:val="3E62C1E0"/>
    <w:rsid w:val="3E6E70D5"/>
    <w:rsid w:val="3EBE1ADE"/>
    <w:rsid w:val="3F788D05"/>
    <w:rsid w:val="3FB7200B"/>
    <w:rsid w:val="3FEF41F9"/>
    <w:rsid w:val="3FF36FC1"/>
    <w:rsid w:val="3FFF30B1"/>
    <w:rsid w:val="403B4B34"/>
    <w:rsid w:val="4140452A"/>
    <w:rsid w:val="414D7889"/>
    <w:rsid w:val="41BB0BAE"/>
    <w:rsid w:val="425629F5"/>
    <w:rsid w:val="4284152B"/>
    <w:rsid w:val="429A4992"/>
    <w:rsid w:val="42FF3888"/>
    <w:rsid w:val="435B161D"/>
    <w:rsid w:val="43B25DAC"/>
    <w:rsid w:val="44771DFD"/>
    <w:rsid w:val="44EE69F9"/>
    <w:rsid w:val="45D569C3"/>
    <w:rsid w:val="46C011EB"/>
    <w:rsid w:val="475F9F54"/>
    <w:rsid w:val="479B74B7"/>
    <w:rsid w:val="48735221"/>
    <w:rsid w:val="49E92B05"/>
    <w:rsid w:val="4A354E62"/>
    <w:rsid w:val="4AEE1A11"/>
    <w:rsid w:val="4B7F39F4"/>
    <w:rsid w:val="4B9387EE"/>
    <w:rsid w:val="4BAE646F"/>
    <w:rsid w:val="4BFE6F8E"/>
    <w:rsid w:val="4CAC1559"/>
    <w:rsid w:val="4D1D09A0"/>
    <w:rsid w:val="4D754257"/>
    <w:rsid w:val="4DCD6AB3"/>
    <w:rsid w:val="4E334DF1"/>
    <w:rsid w:val="4EE7662F"/>
    <w:rsid w:val="50216DCD"/>
    <w:rsid w:val="50540C20"/>
    <w:rsid w:val="506258C6"/>
    <w:rsid w:val="51AC28BD"/>
    <w:rsid w:val="52183ACC"/>
    <w:rsid w:val="5275566D"/>
    <w:rsid w:val="52950FA7"/>
    <w:rsid w:val="531356F0"/>
    <w:rsid w:val="53238E8B"/>
    <w:rsid w:val="53B55872"/>
    <w:rsid w:val="544055F2"/>
    <w:rsid w:val="54AD4386"/>
    <w:rsid w:val="55D8243C"/>
    <w:rsid w:val="56FBB0A1"/>
    <w:rsid w:val="575FAF7E"/>
    <w:rsid w:val="581A7C72"/>
    <w:rsid w:val="583A4BD7"/>
    <w:rsid w:val="59C74B1F"/>
    <w:rsid w:val="5A886F59"/>
    <w:rsid w:val="5BDF167E"/>
    <w:rsid w:val="5DEB8BE4"/>
    <w:rsid w:val="5E9BBF88"/>
    <w:rsid w:val="5EBFE873"/>
    <w:rsid w:val="5F153ADC"/>
    <w:rsid w:val="5FBFAB6E"/>
    <w:rsid w:val="604D5946"/>
    <w:rsid w:val="611B6B1B"/>
    <w:rsid w:val="61596B91"/>
    <w:rsid w:val="61FF68C0"/>
    <w:rsid w:val="62C222C2"/>
    <w:rsid w:val="632D7C40"/>
    <w:rsid w:val="63F39F53"/>
    <w:rsid w:val="64133D6A"/>
    <w:rsid w:val="64245572"/>
    <w:rsid w:val="65824D95"/>
    <w:rsid w:val="674A3DD5"/>
    <w:rsid w:val="678E4F5D"/>
    <w:rsid w:val="67F3562A"/>
    <w:rsid w:val="67FFBBE3"/>
    <w:rsid w:val="680E122C"/>
    <w:rsid w:val="6A4E1D63"/>
    <w:rsid w:val="6C486FE4"/>
    <w:rsid w:val="6CA409DF"/>
    <w:rsid w:val="6D9F787E"/>
    <w:rsid w:val="6DBC6A8E"/>
    <w:rsid w:val="6DBE71AC"/>
    <w:rsid w:val="6DE375E4"/>
    <w:rsid w:val="6DFF0C8E"/>
    <w:rsid w:val="6E8E5287"/>
    <w:rsid w:val="6EF17664"/>
    <w:rsid w:val="6FAC3B48"/>
    <w:rsid w:val="6FAD463B"/>
    <w:rsid w:val="6FB7ACDA"/>
    <w:rsid w:val="6FBE332C"/>
    <w:rsid w:val="6FFF67CC"/>
    <w:rsid w:val="70CE0BC9"/>
    <w:rsid w:val="71554367"/>
    <w:rsid w:val="71584067"/>
    <w:rsid w:val="71F26E91"/>
    <w:rsid w:val="72CE2295"/>
    <w:rsid w:val="72ECFE66"/>
    <w:rsid w:val="72FB9D37"/>
    <w:rsid w:val="735201FF"/>
    <w:rsid w:val="737B50A4"/>
    <w:rsid w:val="73F40E72"/>
    <w:rsid w:val="74566F5C"/>
    <w:rsid w:val="750117A8"/>
    <w:rsid w:val="755B2270"/>
    <w:rsid w:val="75E27514"/>
    <w:rsid w:val="762BE131"/>
    <w:rsid w:val="76920D75"/>
    <w:rsid w:val="76C47877"/>
    <w:rsid w:val="770F0C17"/>
    <w:rsid w:val="77423DFF"/>
    <w:rsid w:val="77EE6ED4"/>
    <w:rsid w:val="77FD832A"/>
    <w:rsid w:val="783B5EA9"/>
    <w:rsid w:val="78B114A6"/>
    <w:rsid w:val="79C6FDAF"/>
    <w:rsid w:val="79EB699D"/>
    <w:rsid w:val="79FFEA3A"/>
    <w:rsid w:val="7A3E5854"/>
    <w:rsid w:val="7ABA298D"/>
    <w:rsid w:val="7B0620DE"/>
    <w:rsid w:val="7B7D7C18"/>
    <w:rsid w:val="7BBF44BB"/>
    <w:rsid w:val="7BF15CE4"/>
    <w:rsid w:val="7C3A27E5"/>
    <w:rsid w:val="7C5533D1"/>
    <w:rsid w:val="7D9727DD"/>
    <w:rsid w:val="7DDF8A36"/>
    <w:rsid w:val="7DFE74A2"/>
    <w:rsid w:val="7DFF8AE9"/>
    <w:rsid w:val="7E2117BD"/>
    <w:rsid w:val="7E8BAD0B"/>
    <w:rsid w:val="7ED7DBED"/>
    <w:rsid w:val="7EFB4F6E"/>
    <w:rsid w:val="7F164138"/>
    <w:rsid w:val="7F1A5E95"/>
    <w:rsid w:val="7FA75B91"/>
    <w:rsid w:val="7FBC7699"/>
    <w:rsid w:val="7FCFF1E1"/>
    <w:rsid w:val="7FFB0877"/>
    <w:rsid w:val="7FFE88A1"/>
    <w:rsid w:val="7FFF41A0"/>
    <w:rsid w:val="87EFD207"/>
    <w:rsid w:val="8B7D3439"/>
    <w:rsid w:val="8EFAA180"/>
    <w:rsid w:val="A4FC5874"/>
    <w:rsid w:val="A99BC227"/>
    <w:rsid w:val="ADFDDBA5"/>
    <w:rsid w:val="AFDF5C35"/>
    <w:rsid w:val="AFEFD62F"/>
    <w:rsid w:val="B7FBACA6"/>
    <w:rsid w:val="BAB83496"/>
    <w:rsid w:val="BBDFF490"/>
    <w:rsid w:val="BF59071B"/>
    <w:rsid w:val="BF5EBF56"/>
    <w:rsid w:val="BF7D9491"/>
    <w:rsid w:val="BFF77D2B"/>
    <w:rsid w:val="BFFDFAC9"/>
    <w:rsid w:val="C3FEA355"/>
    <w:rsid w:val="CDFF7760"/>
    <w:rsid w:val="CF96F304"/>
    <w:rsid w:val="CFFF8E32"/>
    <w:rsid w:val="D6D5AD7C"/>
    <w:rsid w:val="DBDE3CFA"/>
    <w:rsid w:val="DEB5AF2C"/>
    <w:rsid w:val="DFAD8580"/>
    <w:rsid w:val="DFF97BBC"/>
    <w:rsid w:val="DFFA836E"/>
    <w:rsid w:val="DFFEDE01"/>
    <w:rsid w:val="DFFF05F4"/>
    <w:rsid w:val="E3DA5317"/>
    <w:rsid w:val="E6F7C8DE"/>
    <w:rsid w:val="E9FE6660"/>
    <w:rsid w:val="EADE7AA2"/>
    <w:rsid w:val="ED6D9162"/>
    <w:rsid w:val="EF7B1925"/>
    <w:rsid w:val="EFAF91E2"/>
    <w:rsid w:val="EFF91F3A"/>
    <w:rsid w:val="EFFF278C"/>
    <w:rsid w:val="F1347A70"/>
    <w:rsid w:val="F76D9192"/>
    <w:rsid w:val="F7D57869"/>
    <w:rsid w:val="F91F5623"/>
    <w:rsid w:val="F99F179C"/>
    <w:rsid w:val="F9B67D2C"/>
    <w:rsid w:val="FB6F87D3"/>
    <w:rsid w:val="FB7D52BD"/>
    <w:rsid w:val="FBBD03F1"/>
    <w:rsid w:val="FBFD0192"/>
    <w:rsid w:val="FCEB7648"/>
    <w:rsid w:val="FDF7EAA8"/>
    <w:rsid w:val="FDFF9C76"/>
    <w:rsid w:val="FEAFF452"/>
    <w:rsid w:val="FED7AE9E"/>
    <w:rsid w:val="FEE34724"/>
    <w:rsid w:val="FF1EFC35"/>
    <w:rsid w:val="FF477DD4"/>
    <w:rsid w:val="FF5F7F20"/>
    <w:rsid w:val="FF7B9B69"/>
    <w:rsid w:val="FF7D155A"/>
    <w:rsid w:val="FFAFFB84"/>
    <w:rsid w:val="FFBF9032"/>
    <w:rsid w:val="FFC8EF32"/>
    <w:rsid w:val="FFD76697"/>
    <w:rsid w:val="FFDF81E1"/>
    <w:rsid w:val="FFE13652"/>
    <w:rsid w:val="FFECE770"/>
    <w:rsid w:val="FFEFBF13"/>
    <w:rsid w:val="FFFFA6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adjustRightInd w:val="0"/>
      <w:spacing w:before="340" w:after="330" w:line="578" w:lineRule="atLeast"/>
      <w:textAlignment w:val="baseline"/>
      <w:outlineLvl w:val="0"/>
    </w:pPr>
    <w:rPr>
      <w:b/>
      <w:kern w:val="44"/>
      <w:sz w:val="44"/>
      <w:szCs w:val="20"/>
    </w:rPr>
  </w:style>
  <w:style w:type="paragraph" w:styleId="3">
    <w:name w:val="heading 2"/>
    <w:basedOn w:val="1"/>
    <w:next w:val="1"/>
    <w:qFormat/>
    <w:uiPriority w:val="0"/>
    <w:pPr>
      <w:keepNext/>
      <w:keepLines/>
      <w:spacing w:line="360" w:lineRule="auto"/>
      <w:outlineLvl w:val="1"/>
    </w:pPr>
    <w:rPr>
      <w:b/>
      <w:bCs/>
      <w:sz w:val="24"/>
      <w:szCs w:val="32"/>
    </w:rPr>
  </w:style>
  <w:style w:type="paragraph" w:styleId="4">
    <w:name w:val="heading 3"/>
    <w:basedOn w:val="1"/>
    <w:next w:val="1"/>
    <w:autoRedefine/>
    <w:qFormat/>
    <w:uiPriority w:val="0"/>
    <w:pPr>
      <w:keepNext/>
      <w:keepLines/>
      <w:adjustRightInd w:val="0"/>
      <w:spacing w:before="260" w:after="260" w:line="416" w:lineRule="atLeast"/>
      <w:textAlignment w:val="baseline"/>
      <w:outlineLvl w:val="2"/>
    </w:pPr>
    <w:rPr>
      <w:b/>
      <w:kern w:val="0"/>
      <w:sz w:val="32"/>
      <w:szCs w:val="20"/>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5">
    <w:name w:val="Normal Indent"/>
    <w:basedOn w:val="1"/>
    <w:qFormat/>
    <w:uiPriority w:val="0"/>
    <w:pPr>
      <w:widowControl/>
      <w:ind w:firstLine="420"/>
      <w:jc w:val="left"/>
    </w:pPr>
    <w:rPr>
      <w:kern w:val="0"/>
      <w:sz w:val="20"/>
      <w:szCs w:val="20"/>
    </w:rPr>
  </w:style>
  <w:style w:type="paragraph" w:styleId="6">
    <w:name w:val="annotation text"/>
    <w:basedOn w:val="1"/>
    <w:qFormat/>
    <w:uiPriority w:val="0"/>
    <w:pPr>
      <w:jc w:val="left"/>
    </w:pPr>
  </w:style>
  <w:style w:type="paragraph" w:styleId="7">
    <w:name w:val="Body Text"/>
    <w:basedOn w:val="1"/>
    <w:unhideWhenUsed/>
    <w:qFormat/>
    <w:uiPriority w:val="0"/>
    <w:pPr>
      <w:tabs>
        <w:tab w:val="left" w:pos="0"/>
      </w:tabs>
    </w:pPr>
    <w:rPr>
      <w:rFonts w:hint="default" w:eastAsia="楷体_GB2312"/>
      <w:sz w:val="28"/>
      <w:szCs w:val="24"/>
    </w:rPr>
  </w:style>
  <w:style w:type="paragraph" w:styleId="8">
    <w:name w:val="Body Text Indent"/>
    <w:basedOn w:val="1"/>
    <w:autoRedefine/>
    <w:qFormat/>
    <w:uiPriority w:val="99"/>
    <w:pPr>
      <w:spacing w:line="400" w:lineRule="exact"/>
      <w:ind w:left="630"/>
    </w:pPr>
    <w:rPr>
      <w:rFonts w:ascii="楷体_GB2312"/>
      <w:sz w:val="30"/>
      <w:szCs w:val="30"/>
    </w:rPr>
  </w:style>
  <w:style w:type="paragraph" w:styleId="9">
    <w:name w:val="Date"/>
    <w:basedOn w:val="1"/>
    <w:next w:val="1"/>
    <w:qFormat/>
    <w:uiPriority w:val="0"/>
    <w:rPr>
      <w:color w:val="000000"/>
      <w:kern w:val="0"/>
      <w:sz w:val="30"/>
    </w:rPr>
  </w:style>
  <w:style w:type="paragraph" w:styleId="10">
    <w:name w:val="footer"/>
    <w:basedOn w:val="1"/>
    <w:autoRedefine/>
    <w:qFormat/>
    <w:uiPriority w:val="0"/>
    <w:pPr>
      <w:tabs>
        <w:tab w:val="center" w:pos="4153"/>
        <w:tab w:val="right" w:pos="8306"/>
      </w:tabs>
      <w:snapToGrid w:val="0"/>
      <w:jc w:val="left"/>
    </w:pPr>
    <w:rPr>
      <w:kern w:val="0"/>
      <w:sz w:val="18"/>
    </w:rPr>
  </w:style>
  <w:style w:type="paragraph" w:styleId="11">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autoRedefine/>
    <w:qFormat/>
    <w:uiPriority w:val="0"/>
    <w:rPr>
      <w:sz w:val="24"/>
    </w:rPr>
  </w:style>
  <w:style w:type="paragraph" w:styleId="13">
    <w:name w:val="Body Text First Indent 2"/>
    <w:basedOn w:val="8"/>
    <w:autoRedefine/>
    <w:qFormat/>
    <w:uiPriority w:val="0"/>
    <w:pPr>
      <w:overflowPunct w:val="0"/>
      <w:adjustRightInd w:val="0"/>
      <w:spacing w:line="500" w:lineRule="exact"/>
      <w:ind w:firstLine="420" w:firstLineChars="200"/>
      <w:textAlignment w:val="baseline"/>
    </w:pPr>
    <w:rPr>
      <w:rFonts w:eastAsia="仿宋_GB2312"/>
      <w:kern w:val="28"/>
      <w:sz w:val="28"/>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Default"/>
    <w:autoRedefine/>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8">
    <w:name w:val="大标题"/>
    <w:basedOn w:val="1"/>
    <w:next w:val="13"/>
    <w:autoRedefine/>
    <w:qFormat/>
    <w:uiPriority w:val="0"/>
    <w:pPr>
      <w:jc w:val="center"/>
    </w:pPr>
    <w:rPr>
      <w:rFonts w:ascii="Arial" w:hAnsi="Arial" w:eastAsia="宋体"/>
      <w:b/>
      <w:sz w:val="28"/>
      <w:szCs w:val="24"/>
    </w:rPr>
  </w:style>
  <w:style w:type="paragraph" w:customStyle="1" w:styleId="19">
    <w:name w:val="正文格式"/>
    <w:basedOn w:val="1"/>
    <w:autoRedefine/>
    <w:qFormat/>
    <w:uiPriority w:val="0"/>
    <w:pPr>
      <w:widowControl/>
      <w:adjustRightInd w:val="0"/>
      <w:snapToGrid w:val="0"/>
      <w:spacing w:line="400" w:lineRule="atLeast"/>
      <w:ind w:firstLine="482"/>
      <w:textAlignment w:val="baseline"/>
    </w:pPr>
    <w:rPr>
      <w:kern w:val="0"/>
      <w:sz w:val="24"/>
    </w:rPr>
  </w:style>
  <w:style w:type="paragraph" w:customStyle="1" w:styleId="20">
    <w:name w:val="列出段落1"/>
    <w:basedOn w:val="1"/>
    <w:autoRedefine/>
    <w:qFormat/>
    <w:uiPriority w:val="99"/>
    <w:pPr>
      <w:ind w:firstLine="420" w:firstLineChars="200"/>
    </w:pPr>
  </w:style>
  <w:style w:type="paragraph" w:customStyle="1" w:styleId="21">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paragraph" w:styleId="22">
    <w:name w:val="List Paragraph"/>
    <w:basedOn w:val="1"/>
    <w:autoRedefine/>
    <w:qFormat/>
    <w:uiPriority w:val="34"/>
    <w:pPr>
      <w:ind w:firstLine="420" w:firstLineChars="200"/>
    </w:pPr>
    <w:rPr>
      <w:rFonts w:ascii="Calibri" w:hAnsi="Calibri"/>
      <w:szCs w:val="22"/>
    </w:rPr>
  </w:style>
  <w:style w:type="character" w:customStyle="1" w:styleId="23">
    <w:name w:val="NormalCharacter"/>
    <w:autoRedefine/>
    <w:semiHidden/>
    <w:qFormat/>
    <w:uiPriority w:val="0"/>
  </w:style>
  <w:style w:type="character" w:customStyle="1" w:styleId="24">
    <w:name w:val="font8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9613</Words>
  <Characters>10147</Characters>
  <Lines>0</Lines>
  <Paragraphs>0</Paragraphs>
  <TotalTime>0</TotalTime>
  <ScaleCrop>false</ScaleCrop>
  <LinksUpToDate>false</LinksUpToDate>
  <CharactersWithSpaces>11108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2023-07-26T09:45:00Z</dcterms:created>
  <dc:creator>是小豹子</dc:creator>
  <cp:lastModifiedBy>沁sqr</cp:lastModifiedBy>
  <dcterms:modified xsi:type="dcterms:W3CDTF">2026-10-13T15:59:24Z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76FB0FAE7D39B64E20C5306ACAD8361B_43</vt:lpwstr>
  </property>
  <property fmtid="{D5CDD505-2E9C-101B-9397-08002B2CF9AE}" pid="4" name="KSOTemplateDocerSaveRecord">
    <vt:lpwstr>eyJoZGlkIjoiYjhlYmE2MWY2NTY0MzZmZTc1MzE0ZTI3ZDViMDM4ZWEiLCJ1c2VySWQiOiIxMDY1NzYwODA4In0=</vt:lpwstr>
  </property>
</Properties>
</file>