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sz w:val="36"/>
          <w:szCs w:val="36"/>
        </w:rPr>
      </w:pPr>
      <w:r>
        <w:rPr>
          <w:rFonts w:hint="eastAsia" w:ascii="仿宋" w:hAnsi="仿宋" w:eastAsia="仿宋"/>
          <w:b/>
          <w:sz w:val="36"/>
          <w:szCs w:val="36"/>
        </w:rPr>
        <w:t>医疗废物监管平台功能及参数表</w:t>
      </w:r>
    </w:p>
    <w:tbl>
      <w:tblPr>
        <w:tblStyle w:val="4"/>
        <w:tblW w:w="9332" w:type="dxa"/>
        <w:tblInd w:w="-1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5"/>
        <w:gridCol w:w="567"/>
        <w:gridCol w:w="993"/>
        <w:gridCol w:w="141"/>
        <w:gridCol w:w="2771"/>
        <w:gridCol w:w="1095"/>
        <w:gridCol w:w="103"/>
        <w:gridCol w:w="709"/>
        <w:gridCol w:w="567"/>
        <w:gridCol w:w="567"/>
        <w:gridCol w:w="113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38" w:hRule="atLeast"/>
        </w:trPr>
        <w:tc>
          <w:tcPr>
            <w:tcW w:w="685" w:type="dxa"/>
            <w:vAlign w:val="center"/>
          </w:tcPr>
          <w:p>
            <w:pPr>
              <w:jc w:val="center"/>
              <w:rPr>
                <w:rFonts w:ascii="仿宋" w:hAnsi="仿宋" w:eastAsia="仿宋" w:cs="宋体"/>
                <w:b/>
                <w:bCs/>
                <w:color w:val="000000"/>
                <w:sz w:val="24"/>
              </w:rPr>
            </w:pPr>
            <w:r>
              <w:rPr>
                <w:rFonts w:hint="eastAsia" w:ascii="仿宋" w:hAnsi="仿宋" w:eastAsia="仿宋" w:cs="宋体"/>
                <w:b/>
                <w:bCs/>
                <w:color w:val="000000"/>
                <w:sz w:val="24"/>
              </w:rPr>
              <w:t>序号</w:t>
            </w:r>
          </w:p>
        </w:tc>
        <w:tc>
          <w:tcPr>
            <w:tcW w:w="1701" w:type="dxa"/>
            <w:gridSpan w:val="3"/>
            <w:vAlign w:val="center"/>
          </w:tcPr>
          <w:p>
            <w:pPr>
              <w:rPr>
                <w:rFonts w:ascii="仿宋" w:hAnsi="仿宋" w:eastAsia="仿宋" w:cs="宋体"/>
                <w:b/>
                <w:bCs/>
                <w:color w:val="000000"/>
                <w:sz w:val="24"/>
              </w:rPr>
            </w:pPr>
            <w:r>
              <w:rPr>
                <w:rFonts w:hint="eastAsia" w:ascii="仿宋" w:hAnsi="仿宋" w:eastAsia="仿宋" w:cs="宋体"/>
                <w:b/>
                <w:bCs/>
                <w:color w:val="000000"/>
                <w:sz w:val="24"/>
              </w:rPr>
              <w:t>名称</w:t>
            </w:r>
          </w:p>
        </w:tc>
        <w:tc>
          <w:tcPr>
            <w:tcW w:w="3969" w:type="dxa"/>
            <w:gridSpan w:val="3"/>
            <w:vAlign w:val="center"/>
          </w:tcPr>
          <w:p>
            <w:pPr>
              <w:jc w:val="center"/>
              <w:rPr>
                <w:rFonts w:ascii="仿宋" w:hAnsi="仿宋" w:eastAsia="仿宋" w:cs="宋体"/>
                <w:b/>
                <w:bCs/>
                <w:color w:val="000000"/>
                <w:sz w:val="24"/>
              </w:rPr>
            </w:pPr>
            <w:r>
              <w:rPr>
                <w:rFonts w:hint="eastAsia" w:ascii="仿宋" w:hAnsi="仿宋" w:eastAsia="仿宋" w:cs="宋体"/>
                <w:b/>
                <w:bCs/>
                <w:color w:val="000000"/>
                <w:sz w:val="24"/>
              </w:rPr>
              <w:t>功能说明</w:t>
            </w:r>
          </w:p>
        </w:tc>
        <w:tc>
          <w:tcPr>
            <w:tcW w:w="709" w:type="dxa"/>
            <w:vAlign w:val="center"/>
          </w:tcPr>
          <w:p>
            <w:pPr>
              <w:jc w:val="center"/>
              <w:rPr>
                <w:rFonts w:ascii="仿宋" w:hAnsi="仿宋" w:eastAsia="仿宋" w:cs="宋体"/>
                <w:b/>
                <w:bCs/>
                <w:color w:val="000000"/>
                <w:sz w:val="24"/>
              </w:rPr>
            </w:pPr>
            <w:r>
              <w:rPr>
                <w:rFonts w:ascii="仿宋" w:hAnsi="仿宋" w:eastAsia="仿宋" w:cs="宋体"/>
                <w:b/>
                <w:bCs/>
                <w:color w:val="000000"/>
                <w:sz w:val="24"/>
              </w:rPr>
              <w:t>单位</w:t>
            </w:r>
          </w:p>
        </w:tc>
        <w:tc>
          <w:tcPr>
            <w:tcW w:w="1134" w:type="dxa"/>
            <w:gridSpan w:val="2"/>
            <w:vAlign w:val="center"/>
          </w:tcPr>
          <w:p>
            <w:pPr>
              <w:jc w:val="center"/>
              <w:rPr>
                <w:rFonts w:ascii="仿宋" w:hAnsi="仿宋" w:eastAsia="仿宋" w:cs="宋体"/>
                <w:b/>
                <w:bCs/>
                <w:color w:val="000000"/>
                <w:sz w:val="24"/>
              </w:rPr>
            </w:pPr>
          </w:p>
        </w:tc>
        <w:tc>
          <w:tcPr>
            <w:tcW w:w="1134" w:type="dxa"/>
            <w:vAlign w:val="center"/>
          </w:tcPr>
          <w:p>
            <w:pPr>
              <w:jc w:val="center"/>
              <w:rPr>
                <w:rFonts w:ascii="仿宋" w:hAnsi="仿宋" w:eastAsia="仿宋" w:cs="宋体"/>
                <w:b/>
                <w:bCs/>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cs="宋体"/>
                <w:bCs/>
                <w:color w:val="000000"/>
                <w:szCs w:val="21"/>
              </w:rPr>
            </w:pPr>
            <w:r>
              <w:rPr>
                <w:rFonts w:hint="eastAsia" w:ascii="仿宋" w:hAnsi="仿宋" w:eastAsia="仿宋" w:cs="宋体"/>
                <w:bCs/>
                <w:color w:val="000000"/>
                <w:szCs w:val="21"/>
              </w:rPr>
              <w:t>一</w:t>
            </w:r>
          </w:p>
        </w:tc>
        <w:tc>
          <w:tcPr>
            <w:tcW w:w="7513" w:type="dxa"/>
            <w:gridSpan w:val="9"/>
            <w:vAlign w:val="center"/>
          </w:tcPr>
          <w:p>
            <w:pPr>
              <w:spacing w:line="360" w:lineRule="auto"/>
              <w:rPr>
                <w:rFonts w:ascii="仿宋" w:hAnsi="仿宋" w:eastAsia="仿宋"/>
                <w:b/>
                <w:sz w:val="24"/>
              </w:rPr>
            </w:pPr>
            <w:r>
              <w:rPr>
                <w:rFonts w:hint="eastAsia" w:ascii="仿宋" w:hAnsi="仿宋" w:eastAsia="仿宋"/>
                <w:b/>
                <w:sz w:val="24"/>
              </w:rPr>
              <w:t>医院废物管理系统（系统不限用户数）</w:t>
            </w:r>
            <w:bookmarkStart w:id="0" w:name="_GoBack"/>
            <w:bookmarkEnd w:id="0"/>
          </w:p>
        </w:tc>
        <w:tc>
          <w:tcPr>
            <w:tcW w:w="1134" w:type="dxa"/>
            <w:vAlign w:val="center"/>
          </w:tcPr>
          <w:p>
            <w:pPr>
              <w:spacing w:line="360" w:lineRule="auto"/>
              <w:jc w:val="left"/>
              <w:rPr>
                <w:rFonts w:ascii="仿宋" w:hAnsi="仿宋" w:eastAsia="仿宋" w:cs="宋体"/>
                <w:b/>
                <w:bCs/>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cs="宋体"/>
                <w:b/>
                <w:bCs/>
                <w:color w:val="000000"/>
                <w:szCs w:val="21"/>
              </w:rPr>
            </w:pPr>
            <w:r>
              <w:rPr>
                <w:rFonts w:hint="eastAsia" w:ascii="仿宋" w:hAnsi="仿宋" w:eastAsia="仿宋" w:cs="宋体"/>
                <w:b/>
                <w:bCs/>
                <w:color w:val="000000"/>
                <w:szCs w:val="21"/>
              </w:rPr>
              <w:t>1</w:t>
            </w:r>
          </w:p>
        </w:tc>
        <w:tc>
          <w:tcPr>
            <w:tcW w:w="1560" w:type="dxa"/>
            <w:gridSpan w:val="2"/>
            <w:vAlign w:val="center"/>
          </w:tcPr>
          <w:p>
            <w:pPr>
              <w:spacing w:line="360" w:lineRule="auto"/>
              <w:rPr>
                <w:rFonts w:ascii="仿宋" w:hAnsi="仿宋" w:eastAsia="仿宋"/>
                <w:b/>
                <w:sz w:val="24"/>
              </w:rPr>
            </w:pPr>
            <w:r>
              <w:rPr>
                <w:rFonts w:hint="eastAsia" w:ascii="仿宋" w:hAnsi="仿宋" w:eastAsia="仿宋"/>
                <w:b/>
              </w:rPr>
              <w:t>基础信息</w:t>
            </w:r>
          </w:p>
        </w:tc>
        <w:tc>
          <w:tcPr>
            <w:tcW w:w="5953" w:type="dxa"/>
            <w:gridSpan w:val="7"/>
            <w:vAlign w:val="center"/>
          </w:tcPr>
          <w:p>
            <w:pPr>
              <w:spacing w:line="360" w:lineRule="auto"/>
              <w:jc w:val="left"/>
              <w:rPr>
                <w:rFonts w:ascii="仿宋" w:hAnsi="仿宋" w:eastAsia="仿宋"/>
                <w:b/>
                <w:kern w:val="0"/>
                <w:szCs w:val="21"/>
              </w:rPr>
            </w:pPr>
            <w:r>
              <w:rPr>
                <w:rFonts w:hint="eastAsia" w:ascii="仿宋" w:hAnsi="仿宋" w:eastAsia="仿宋"/>
                <w:b/>
                <w:kern w:val="0"/>
              </w:rPr>
              <w:t>用于系统使用前的基础数据准备工作，用户在使用系统前需先设置所属医院对应的科室、医生信息和医废查询报表设置。</w:t>
            </w:r>
          </w:p>
        </w:tc>
        <w:tc>
          <w:tcPr>
            <w:tcW w:w="1134" w:type="dxa"/>
            <w:vAlign w:val="center"/>
          </w:tcPr>
          <w:p>
            <w:pPr>
              <w:spacing w:line="360" w:lineRule="auto"/>
              <w:jc w:val="left"/>
              <w:rPr>
                <w:rFonts w:ascii="仿宋" w:hAnsi="仿宋" w:eastAsia="仿宋"/>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12"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1.1</w:t>
            </w:r>
          </w:p>
        </w:tc>
        <w:tc>
          <w:tcPr>
            <w:tcW w:w="1560" w:type="dxa"/>
            <w:gridSpan w:val="2"/>
            <w:vAlign w:val="center"/>
          </w:tcPr>
          <w:p>
            <w:pPr>
              <w:spacing w:line="360" w:lineRule="auto"/>
              <w:rPr>
                <w:rFonts w:hint="eastAsia" w:ascii="仿宋" w:hAnsi="仿宋" w:eastAsia="仿宋"/>
              </w:rPr>
            </w:pPr>
            <w:r>
              <w:rPr>
                <w:rFonts w:hint="eastAsia" w:ascii="仿宋" w:hAnsi="仿宋" w:eastAsia="仿宋"/>
                <w:kern w:val="0"/>
              </w:rPr>
              <w:t>科室管理</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实现科室的维护管理。</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80"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1.2</w:t>
            </w:r>
          </w:p>
        </w:tc>
        <w:tc>
          <w:tcPr>
            <w:tcW w:w="1560" w:type="dxa"/>
            <w:gridSpan w:val="2"/>
            <w:vAlign w:val="center"/>
          </w:tcPr>
          <w:p>
            <w:pPr>
              <w:spacing w:line="360" w:lineRule="auto"/>
              <w:rPr>
                <w:rFonts w:hint="eastAsia" w:ascii="仿宋" w:hAnsi="仿宋" w:eastAsia="仿宋"/>
                <w:kern w:val="0"/>
              </w:rPr>
            </w:pPr>
            <w:r>
              <w:rPr>
                <w:rFonts w:hint="eastAsia" w:ascii="仿宋" w:hAnsi="仿宋" w:eastAsia="仿宋"/>
                <w:kern w:val="0"/>
              </w:rPr>
              <w:t>医生信息</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实现医生信息的维护管理。</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1.3</w:t>
            </w:r>
          </w:p>
        </w:tc>
        <w:tc>
          <w:tcPr>
            <w:tcW w:w="1560" w:type="dxa"/>
            <w:gridSpan w:val="2"/>
            <w:vAlign w:val="center"/>
          </w:tcPr>
          <w:p>
            <w:pPr>
              <w:spacing w:line="360" w:lineRule="auto"/>
              <w:rPr>
                <w:rFonts w:hint="eastAsia" w:ascii="仿宋" w:hAnsi="仿宋" w:eastAsia="仿宋"/>
                <w:kern w:val="0"/>
              </w:rPr>
            </w:pPr>
            <w:r>
              <w:rPr>
                <w:rFonts w:hint="eastAsia" w:ascii="仿宋" w:hAnsi="仿宋" w:eastAsia="仿宋"/>
                <w:kern w:val="0"/>
              </w:rPr>
              <w:t>用户名管理</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对系统的使用用户实现增、删、改、查并且用不同角色设置分组权限。</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cs="宋体"/>
                <w:b/>
                <w:bCs/>
                <w:color w:val="000000"/>
                <w:szCs w:val="21"/>
              </w:rPr>
            </w:pPr>
            <w:r>
              <w:rPr>
                <w:rFonts w:hint="eastAsia" w:ascii="仿宋" w:hAnsi="仿宋" w:eastAsia="仿宋" w:cs="宋体"/>
                <w:b/>
                <w:bCs/>
                <w:color w:val="000000"/>
                <w:szCs w:val="21"/>
              </w:rPr>
              <w:t>2</w:t>
            </w:r>
          </w:p>
        </w:tc>
        <w:tc>
          <w:tcPr>
            <w:tcW w:w="1560" w:type="dxa"/>
            <w:gridSpan w:val="2"/>
            <w:vAlign w:val="center"/>
          </w:tcPr>
          <w:p>
            <w:pPr>
              <w:spacing w:line="360" w:lineRule="auto"/>
              <w:rPr>
                <w:rFonts w:ascii="仿宋" w:hAnsi="仿宋" w:eastAsia="仿宋"/>
                <w:b/>
                <w:sz w:val="24"/>
              </w:rPr>
            </w:pPr>
            <w:r>
              <w:rPr>
                <w:rFonts w:hint="eastAsia" w:ascii="仿宋" w:hAnsi="仿宋" w:eastAsia="仿宋"/>
                <w:b/>
              </w:rPr>
              <w:t>医废转运</w:t>
            </w:r>
          </w:p>
        </w:tc>
        <w:tc>
          <w:tcPr>
            <w:tcW w:w="5953" w:type="dxa"/>
            <w:gridSpan w:val="7"/>
            <w:vAlign w:val="center"/>
          </w:tcPr>
          <w:p>
            <w:pPr>
              <w:pStyle w:val="5"/>
              <w:ind w:firstLine="0" w:firstLineChars="0"/>
              <w:rPr>
                <w:rFonts w:ascii="仿宋" w:hAnsi="仿宋" w:eastAsia="仿宋" w:cs="宋体"/>
                <w:b/>
                <w:bCs/>
                <w:color w:val="000000"/>
              </w:rPr>
            </w:pPr>
            <w:r>
              <w:rPr>
                <w:rFonts w:hint="eastAsia" w:ascii="仿宋" w:hAnsi="仿宋" w:eastAsia="仿宋"/>
                <w:b/>
                <w:kern w:val="0"/>
              </w:rPr>
              <w:t>其中包括收集数据、入库数据、出库数据和归箱数据，用户均可根据实际需求在系统中进行对应的查询、导出或打印操作。</w:t>
            </w:r>
          </w:p>
        </w:tc>
        <w:tc>
          <w:tcPr>
            <w:tcW w:w="1134" w:type="dxa"/>
            <w:vAlign w:val="center"/>
          </w:tcPr>
          <w:p>
            <w:pPr>
              <w:spacing w:line="360" w:lineRule="auto"/>
              <w:jc w:val="left"/>
              <w:rPr>
                <w:rFonts w:ascii="仿宋" w:hAnsi="仿宋" w:eastAsia="仿宋"/>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2.1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医废收集明细查询、统计和报表打印。</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院内所有科室收集数据查询，可以根据按时间段、科室名称、条码等条件查询，各个科室收集数据情况（哪个人、哪个科室、哪个时间、交接给谁等信息）、可以按时间段、科室等统计口径统计汇总收集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2.2</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医废入库查询、统计和报表打印。</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实现院内所有科室入库数据查询，可以根据时间段、科室名称、条码等条件查询，各个科室收集数据情况（哪个时间入库、哪个人）、可以按时间段、科室等统计口径统计汇总入库数据。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2.3</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医废出库查询、统计和报表打印。</w:t>
            </w:r>
          </w:p>
        </w:tc>
        <w:tc>
          <w:tcPr>
            <w:tcW w:w="4110" w:type="dxa"/>
            <w:gridSpan w:val="4"/>
            <w:vAlign w:val="center"/>
          </w:tcPr>
          <w:p>
            <w:pPr>
              <w:pStyle w:val="5"/>
              <w:ind w:firstLine="210" w:firstLineChars="100"/>
              <w:rPr>
                <w:rFonts w:hint="eastAsia" w:ascii="仿宋" w:hAnsi="仿宋" w:eastAsia="仿宋"/>
                <w:kern w:val="0"/>
              </w:rPr>
            </w:pPr>
            <w:r>
              <w:rPr>
                <w:rFonts w:hint="eastAsia" w:ascii="仿宋" w:hAnsi="仿宋" w:eastAsia="仿宋"/>
                <w:kern w:val="0"/>
              </w:rPr>
              <w:t>实现院内所有科室出库数据查询，可以根据时间段、科室名称、条码等条件查询，各个科室收集数据情况（哪个时间入库、哪个人）、可以按时间段统计汇总出库数据。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2.4</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医废归箱查询</w:t>
            </w:r>
          </w:p>
        </w:tc>
        <w:tc>
          <w:tcPr>
            <w:tcW w:w="4110" w:type="dxa"/>
            <w:gridSpan w:val="4"/>
            <w:vAlign w:val="center"/>
          </w:tcPr>
          <w:p>
            <w:pPr>
              <w:pStyle w:val="5"/>
              <w:ind w:firstLine="210" w:firstLineChars="100"/>
              <w:rPr>
                <w:rFonts w:hint="eastAsia" w:ascii="仿宋" w:hAnsi="仿宋" w:eastAsia="仿宋"/>
                <w:kern w:val="0"/>
              </w:rPr>
            </w:pPr>
            <w:r>
              <w:rPr>
                <w:rFonts w:hint="eastAsia" w:ascii="仿宋" w:hAnsi="仿宋" w:eastAsia="仿宋"/>
                <w:kern w:val="0"/>
              </w:rPr>
              <w:t>实现院内所有科室归箱数据查询，可以根据条码等条件查询，各个科室归箱数据情况（哪个时间归箱）。</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cs="宋体"/>
                <w:b/>
                <w:bCs/>
                <w:color w:val="000000"/>
                <w:szCs w:val="21"/>
              </w:rPr>
            </w:pPr>
            <w:r>
              <w:rPr>
                <w:rFonts w:hint="eastAsia" w:ascii="仿宋" w:hAnsi="仿宋" w:eastAsia="仿宋" w:cs="宋体"/>
                <w:b/>
                <w:bCs/>
                <w:color w:val="000000"/>
                <w:szCs w:val="21"/>
              </w:rPr>
              <w:t>3</w:t>
            </w:r>
          </w:p>
        </w:tc>
        <w:tc>
          <w:tcPr>
            <w:tcW w:w="1560" w:type="dxa"/>
            <w:gridSpan w:val="2"/>
            <w:vAlign w:val="center"/>
          </w:tcPr>
          <w:p>
            <w:pPr>
              <w:spacing w:line="360" w:lineRule="auto"/>
              <w:rPr>
                <w:rFonts w:ascii="仿宋" w:hAnsi="仿宋" w:eastAsia="仿宋"/>
                <w:b/>
              </w:rPr>
            </w:pPr>
            <w:r>
              <w:rPr>
                <w:rFonts w:hint="eastAsia" w:ascii="仿宋" w:hAnsi="仿宋" w:eastAsia="仿宋"/>
                <w:b/>
              </w:rPr>
              <w:t>医废追溯</w:t>
            </w:r>
          </w:p>
        </w:tc>
        <w:tc>
          <w:tcPr>
            <w:tcW w:w="5953" w:type="dxa"/>
            <w:gridSpan w:val="7"/>
            <w:vAlign w:val="center"/>
          </w:tcPr>
          <w:p>
            <w:pPr>
              <w:pStyle w:val="5"/>
              <w:ind w:firstLine="0" w:firstLineChars="0"/>
              <w:rPr>
                <w:rFonts w:ascii="仿宋" w:hAnsi="仿宋" w:eastAsia="仿宋" w:cs="宋体"/>
                <w:b/>
                <w:bCs/>
                <w:color w:val="000000"/>
              </w:rPr>
            </w:pPr>
            <w:r>
              <w:rPr>
                <w:rFonts w:hint="eastAsia" w:ascii="仿宋" w:hAnsi="仿宋" w:eastAsia="仿宋"/>
                <w:b/>
                <w:kern w:val="0"/>
              </w:rPr>
              <w:t>用户能够根据打印出来的医废条码查询出该袋医废的具体收集、入库、出库和归箱的详细信息，实现医疗废物可追溯化。</w:t>
            </w:r>
          </w:p>
        </w:tc>
        <w:tc>
          <w:tcPr>
            <w:tcW w:w="1134" w:type="dxa"/>
            <w:vAlign w:val="center"/>
          </w:tcPr>
          <w:p>
            <w:pPr>
              <w:spacing w:line="360" w:lineRule="auto"/>
              <w:jc w:val="left"/>
              <w:rPr>
                <w:rFonts w:ascii="仿宋" w:hAnsi="仿宋" w:eastAsia="仿宋"/>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3.1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医废收集追溯</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实现中心医院医废单上条码实现收集追溯详细信息功能。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3.2</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医废入库追溯</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实现中心医院医废单上条码实现入库追溯详细信息功能。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3.3</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医废出库追溯</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实现中心医院医废单上条码实现出库追溯详细信息功能。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3.4</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医废归箱追溯</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实现中心医院医废单上条码实现归箱追溯详细信息功能。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cs="宋体"/>
                <w:b/>
                <w:bCs/>
                <w:color w:val="000000"/>
                <w:szCs w:val="21"/>
              </w:rPr>
            </w:pPr>
            <w:r>
              <w:rPr>
                <w:rFonts w:hint="eastAsia" w:ascii="仿宋" w:hAnsi="仿宋" w:eastAsia="仿宋" w:cs="宋体"/>
                <w:b/>
                <w:bCs/>
                <w:color w:val="000000"/>
                <w:szCs w:val="21"/>
              </w:rPr>
              <w:t>4</w:t>
            </w:r>
          </w:p>
        </w:tc>
        <w:tc>
          <w:tcPr>
            <w:tcW w:w="1560" w:type="dxa"/>
            <w:gridSpan w:val="2"/>
            <w:vAlign w:val="center"/>
          </w:tcPr>
          <w:p>
            <w:pPr>
              <w:spacing w:line="360" w:lineRule="auto"/>
              <w:rPr>
                <w:rFonts w:ascii="仿宋" w:hAnsi="仿宋" w:eastAsia="仿宋"/>
                <w:b/>
              </w:rPr>
            </w:pPr>
            <w:r>
              <w:rPr>
                <w:rFonts w:hint="eastAsia" w:ascii="仿宋" w:hAnsi="仿宋" w:eastAsia="仿宋"/>
                <w:b/>
              </w:rPr>
              <w:t>预警管理</w:t>
            </w:r>
          </w:p>
        </w:tc>
        <w:tc>
          <w:tcPr>
            <w:tcW w:w="5953" w:type="dxa"/>
            <w:gridSpan w:val="7"/>
            <w:vAlign w:val="center"/>
          </w:tcPr>
          <w:p>
            <w:pPr>
              <w:pStyle w:val="5"/>
              <w:ind w:firstLine="0" w:firstLineChars="0"/>
              <w:rPr>
                <w:rFonts w:ascii="仿宋" w:hAnsi="仿宋" w:eastAsia="仿宋"/>
                <w:b/>
                <w:kern w:val="0"/>
              </w:rPr>
            </w:pPr>
            <w:r>
              <w:rPr>
                <w:rFonts w:hint="eastAsia" w:ascii="仿宋" w:hAnsi="仿宋" w:eastAsia="仿宋"/>
                <w:b/>
                <w:kern w:val="0"/>
              </w:rPr>
              <w:t>超时未处理的医废数据信息，用以警示用户提醒功能（包括预警超时、未归箱、入库未出库等等）。</w:t>
            </w:r>
          </w:p>
        </w:tc>
        <w:tc>
          <w:tcPr>
            <w:tcW w:w="1134" w:type="dxa"/>
            <w:vAlign w:val="center"/>
          </w:tcPr>
          <w:p>
            <w:pPr>
              <w:spacing w:line="360" w:lineRule="auto"/>
              <w:jc w:val="left"/>
              <w:rPr>
                <w:rFonts w:ascii="仿宋" w:hAnsi="仿宋" w:eastAsia="仿宋"/>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4.1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医废超时预警</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实现中心医院医废单上条码实现收集追溯功能。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4.1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医废未归箱预警</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实现中心医院医废单上条码实现收集追溯功能。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4.1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医废入库未出库预警</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实现中心医院医废单上条码实现收集追溯功能。</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spacing w:line="360" w:lineRule="auto"/>
              <w:jc w:val="center"/>
              <w:rPr>
                <w:rFonts w:ascii="仿宋" w:hAnsi="仿宋" w:eastAsia="仿宋"/>
                <w:b/>
                <w:kern w:val="0"/>
                <w:szCs w:val="21"/>
              </w:rPr>
            </w:pPr>
            <w:r>
              <w:rPr>
                <w:rFonts w:hint="eastAsia" w:ascii="仿宋" w:hAnsi="仿宋" w:eastAsia="仿宋"/>
                <w:b/>
                <w:kern w:val="0"/>
                <w:szCs w:val="21"/>
              </w:rPr>
              <w:t>5</w:t>
            </w:r>
          </w:p>
        </w:tc>
        <w:tc>
          <w:tcPr>
            <w:tcW w:w="1560" w:type="dxa"/>
            <w:gridSpan w:val="2"/>
            <w:vAlign w:val="center"/>
          </w:tcPr>
          <w:p>
            <w:pPr>
              <w:spacing w:line="360" w:lineRule="auto"/>
              <w:rPr>
                <w:rFonts w:ascii="仿宋" w:hAnsi="仿宋" w:eastAsia="仿宋"/>
                <w:b/>
                <w:kern w:val="0"/>
                <w:szCs w:val="21"/>
              </w:rPr>
            </w:pPr>
            <w:r>
              <w:rPr>
                <w:rFonts w:hint="eastAsia" w:ascii="仿宋" w:hAnsi="仿宋" w:eastAsia="仿宋"/>
                <w:b/>
                <w:kern w:val="0"/>
                <w:szCs w:val="21"/>
              </w:rPr>
              <w:t>统计报表</w:t>
            </w:r>
          </w:p>
        </w:tc>
        <w:tc>
          <w:tcPr>
            <w:tcW w:w="4110" w:type="dxa"/>
            <w:gridSpan w:val="4"/>
            <w:vAlign w:val="center"/>
          </w:tcPr>
          <w:p>
            <w:pPr>
              <w:pStyle w:val="5"/>
              <w:ind w:firstLine="0" w:firstLineChars="0"/>
              <w:rPr>
                <w:rFonts w:ascii="仿宋" w:hAnsi="仿宋" w:eastAsia="仿宋"/>
                <w:b/>
                <w:kern w:val="0"/>
              </w:rPr>
            </w:pPr>
            <w:r>
              <w:rPr>
                <w:rFonts w:hint="eastAsia" w:ascii="仿宋" w:hAnsi="仿宋" w:eastAsia="仿宋"/>
                <w:b/>
                <w:kern w:val="0"/>
              </w:rPr>
              <w:t>主要用于查询系统医废数据信息，并以统计报表的形式展现出来，用户可根据实际需求进行导出。</w:t>
            </w:r>
          </w:p>
        </w:tc>
        <w:tc>
          <w:tcPr>
            <w:tcW w:w="709" w:type="dxa"/>
            <w:vAlign w:val="center"/>
          </w:tcPr>
          <w:p>
            <w:pPr>
              <w:spacing w:line="360" w:lineRule="auto"/>
              <w:jc w:val="center"/>
              <w:rPr>
                <w:rFonts w:ascii="仿宋" w:hAnsi="仿宋" w:eastAsia="仿宋"/>
                <w:b/>
                <w:kern w:val="0"/>
                <w:szCs w:val="21"/>
              </w:rPr>
            </w:pPr>
            <w:r>
              <w:rPr>
                <w:rFonts w:hint="eastAsia" w:ascii="仿宋" w:hAnsi="仿宋" w:eastAsia="仿宋"/>
                <w:b/>
                <w:kern w:val="0"/>
                <w:szCs w:val="21"/>
              </w:rPr>
              <w:t>1</w:t>
            </w:r>
          </w:p>
        </w:tc>
        <w:tc>
          <w:tcPr>
            <w:tcW w:w="1134" w:type="dxa"/>
            <w:gridSpan w:val="2"/>
            <w:vAlign w:val="center"/>
          </w:tcPr>
          <w:p>
            <w:pPr>
              <w:spacing w:line="360" w:lineRule="auto"/>
              <w:jc w:val="center"/>
              <w:rPr>
                <w:rFonts w:ascii="仿宋" w:hAnsi="仿宋" w:eastAsia="仿宋"/>
                <w:b/>
                <w:kern w:val="0"/>
                <w:szCs w:val="21"/>
              </w:rPr>
            </w:pPr>
          </w:p>
        </w:tc>
        <w:tc>
          <w:tcPr>
            <w:tcW w:w="1134" w:type="dxa"/>
            <w:vAlign w:val="center"/>
          </w:tcPr>
          <w:p>
            <w:pPr>
              <w:spacing w:line="360" w:lineRule="auto"/>
              <w:jc w:val="left"/>
              <w:rPr>
                <w:rFonts w:ascii="仿宋" w:hAnsi="仿宋" w:eastAsia="仿宋"/>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5.1</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统计汇总日报</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按日汇总统计医废收集、入库、出库数据。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5.2</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统计汇总月报</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按月汇总统计医废收集、入库、出库数据。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5.3</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统计汇总季报</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按季汇总统计医废收集、入库、出库数据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5.4</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统计汇总年报</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按年汇总统计医废收集、入库、出库数据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5.5</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科室汇总统计报表</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按科室汇总统计医废收集、入库、出库数据</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hint="eastAsia" w:ascii="仿宋" w:hAnsi="仿宋" w:eastAsia="仿宋" w:cs="宋体"/>
                <w:bCs/>
                <w:color w:val="000000"/>
                <w:szCs w:val="21"/>
              </w:rPr>
            </w:pPr>
            <w:r>
              <w:rPr>
                <w:rFonts w:hint="eastAsia" w:ascii="仿宋" w:hAnsi="仿宋" w:eastAsia="仿宋" w:cs="宋体"/>
                <w:bCs/>
                <w:color w:val="000000"/>
                <w:szCs w:val="21"/>
              </w:rPr>
              <w:t>5.6</w:t>
            </w:r>
          </w:p>
        </w:tc>
        <w:tc>
          <w:tcPr>
            <w:tcW w:w="1560" w:type="dxa"/>
            <w:gridSpan w:val="2"/>
            <w:vAlign w:val="center"/>
          </w:tcPr>
          <w:p>
            <w:pPr>
              <w:spacing w:line="360" w:lineRule="auto"/>
              <w:rPr>
                <w:rFonts w:hint="eastAsia" w:ascii="仿宋" w:hAnsi="仿宋" w:eastAsia="仿宋"/>
              </w:rPr>
            </w:pPr>
            <w:r>
              <w:rPr>
                <w:rFonts w:hint="eastAsia" w:ascii="仿宋" w:hAnsi="仿宋" w:eastAsia="仿宋"/>
              </w:rPr>
              <w:t>医疗废物转联单</w:t>
            </w:r>
          </w:p>
        </w:tc>
        <w:tc>
          <w:tcPr>
            <w:tcW w:w="4110" w:type="dxa"/>
            <w:gridSpan w:val="4"/>
            <w:vAlign w:val="center"/>
          </w:tcPr>
          <w:p>
            <w:pPr>
              <w:pStyle w:val="5"/>
              <w:ind w:firstLine="0" w:firstLineChars="0"/>
              <w:rPr>
                <w:rFonts w:hint="eastAsia" w:ascii="仿宋" w:hAnsi="仿宋" w:eastAsia="仿宋"/>
                <w:kern w:val="0"/>
              </w:rPr>
            </w:pPr>
            <w:r>
              <w:rPr>
                <w:rFonts w:hint="eastAsia" w:ascii="仿宋" w:hAnsi="仿宋" w:eastAsia="仿宋"/>
                <w:kern w:val="0"/>
              </w:rPr>
              <w:t>实现医院医废出库转运单生成打印。</w:t>
            </w:r>
          </w:p>
        </w:tc>
        <w:tc>
          <w:tcPr>
            <w:tcW w:w="709" w:type="dxa"/>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center"/>
              <w:rPr>
                <w:rFonts w:hint="eastAsia" w:ascii="仿宋" w:hAnsi="仿宋" w:eastAsia="仿宋"/>
                <w:kern w:val="0"/>
                <w:szCs w:val="21"/>
              </w:rPr>
            </w:pPr>
          </w:p>
        </w:tc>
        <w:tc>
          <w:tcPr>
            <w:tcW w:w="1134" w:type="dxa"/>
            <w:vAlign w:val="center"/>
          </w:tcPr>
          <w:p>
            <w:pPr>
              <w:spacing w:line="360" w:lineRule="auto"/>
              <w:jc w:val="left"/>
              <w:rPr>
                <w:rFonts w:hint="eastAsia"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b/>
                <w:kern w:val="0"/>
                <w:szCs w:val="21"/>
              </w:rPr>
            </w:pPr>
            <w:r>
              <w:rPr>
                <w:rFonts w:hint="eastAsia" w:ascii="仿宋" w:hAnsi="仿宋" w:eastAsia="仿宋"/>
                <w:b/>
                <w:kern w:val="0"/>
                <w:szCs w:val="21"/>
              </w:rPr>
              <w:t>6</w:t>
            </w:r>
          </w:p>
        </w:tc>
        <w:tc>
          <w:tcPr>
            <w:tcW w:w="1560" w:type="dxa"/>
            <w:gridSpan w:val="2"/>
            <w:vAlign w:val="center"/>
          </w:tcPr>
          <w:p>
            <w:pPr>
              <w:spacing w:line="360" w:lineRule="auto"/>
              <w:rPr>
                <w:rFonts w:ascii="仿宋" w:hAnsi="仿宋" w:eastAsia="仿宋"/>
                <w:b/>
                <w:kern w:val="0"/>
                <w:szCs w:val="21"/>
              </w:rPr>
            </w:pPr>
            <w:r>
              <w:rPr>
                <w:rFonts w:hint="eastAsia" w:ascii="仿宋" w:hAnsi="仿宋" w:eastAsia="仿宋"/>
                <w:b/>
                <w:kern w:val="0"/>
                <w:szCs w:val="21"/>
              </w:rPr>
              <w:t>系统维护</w:t>
            </w:r>
          </w:p>
        </w:tc>
        <w:tc>
          <w:tcPr>
            <w:tcW w:w="5953" w:type="dxa"/>
            <w:gridSpan w:val="7"/>
            <w:vAlign w:val="center"/>
          </w:tcPr>
          <w:p>
            <w:pPr>
              <w:pStyle w:val="5"/>
              <w:ind w:firstLine="0" w:firstLineChars="0"/>
              <w:rPr>
                <w:rFonts w:ascii="仿宋" w:hAnsi="仿宋" w:eastAsia="仿宋"/>
                <w:b/>
                <w:kern w:val="0"/>
              </w:rPr>
            </w:pPr>
            <w:r>
              <w:rPr>
                <w:rFonts w:hint="eastAsia" w:ascii="仿宋" w:hAnsi="仿宋" w:eastAsia="仿宋"/>
                <w:b/>
                <w:kern w:val="0"/>
              </w:rPr>
              <w:t>该模块主要用于用户后期重置密码，修改密码等操作。</w:t>
            </w:r>
          </w:p>
        </w:tc>
        <w:tc>
          <w:tcPr>
            <w:tcW w:w="1134" w:type="dxa"/>
            <w:vAlign w:val="center"/>
          </w:tcPr>
          <w:p>
            <w:pPr>
              <w:spacing w:line="360" w:lineRule="auto"/>
              <w:jc w:val="left"/>
              <w:rPr>
                <w:rFonts w:ascii="仿宋" w:hAnsi="仿宋" w:eastAsia="仿宋"/>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685" w:type="dxa"/>
            <w:vAlign w:val="center"/>
          </w:tcPr>
          <w:p>
            <w:pPr>
              <w:jc w:val="center"/>
              <w:rPr>
                <w:rFonts w:ascii="仿宋" w:hAnsi="仿宋" w:eastAsia="仿宋"/>
                <w:kern w:val="0"/>
                <w:szCs w:val="21"/>
              </w:rPr>
            </w:pPr>
            <w:r>
              <w:rPr>
                <w:rFonts w:hint="eastAsia" w:ascii="仿宋" w:hAnsi="仿宋" w:eastAsia="仿宋"/>
                <w:kern w:val="0"/>
                <w:szCs w:val="21"/>
              </w:rPr>
              <w:t>6.1</w:t>
            </w:r>
          </w:p>
        </w:tc>
        <w:tc>
          <w:tcPr>
            <w:tcW w:w="1560"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用户密码管理</w:t>
            </w:r>
          </w:p>
        </w:tc>
        <w:tc>
          <w:tcPr>
            <w:tcW w:w="4110" w:type="dxa"/>
            <w:gridSpan w:val="4"/>
            <w:vAlign w:val="center"/>
          </w:tcPr>
          <w:p>
            <w:pPr>
              <w:pStyle w:val="5"/>
              <w:ind w:firstLine="0" w:firstLineChars="0"/>
              <w:rPr>
                <w:rFonts w:ascii="仿宋" w:hAnsi="仿宋" w:eastAsia="仿宋"/>
                <w:kern w:val="0"/>
              </w:rPr>
            </w:pPr>
            <w:r>
              <w:rPr>
                <w:rFonts w:hint="eastAsia" w:ascii="仿宋" w:hAnsi="仿宋" w:eastAsia="仿宋"/>
                <w:kern w:val="0"/>
              </w:rPr>
              <w:t>该模块主要用于用户后期重置密码，修改密码等操作。</w:t>
            </w:r>
          </w:p>
        </w:tc>
        <w:tc>
          <w:tcPr>
            <w:tcW w:w="709"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1</w:t>
            </w:r>
          </w:p>
        </w:tc>
        <w:tc>
          <w:tcPr>
            <w:tcW w:w="1134" w:type="dxa"/>
            <w:gridSpan w:val="2"/>
            <w:vAlign w:val="center"/>
          </w:tcPr>
          <w:p>
            <w:pPr>
              <w:spacing w:line="360" w:lineRule="auto"/>
              <w:jc w:val="left"/>
              <w:rPr>
                <w:rFonts w:ascii="仿宋" w:hAnsi="仿宋" w:eastAsia="仿宋"/>
                <w:kern w:val="0"/>
                <w:szCs w:val="21"/>
              </w:rPr>
            </w:pPr>
          </w:p>
        </w:tc>
        <w:tc>
          <w:tcPr>
            <w:tcW w:w="1134" w:type="dxa"/>
            <w:vAlign w:val="center"/>
          </w:tcPr>
          <w:p>
            <w:pPr>
              <w:spacing w:line="360" w:lineRule="auto"/>
              <w:jc w:val="left"/>
              <w:rPr>
                <w:rFonts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48" w:hRule="atLeast"/>
        </w:trPr>
        <w:tc>
          <w:tcPr>
            <w:tcW w:w="9332" w:type="dxa"/>
            <w:gridSpan w:val="11"/>
            <w:vAlign w:val="center"/>
          </w:tcPr>
          <w:p>
            <w:pPr>
              <w:spacing w:line="360" w:lineRule="auto"/>
              <w:jc w:val="left"/>
              <w:rPr>
                <w:rFonts w:ascii="仿宋" w:hAnsi="仿宋" w:eastAsia="仿宋"/>
                <w:sz w:val="24"/>
                <w:szCs w:val="24"/>
              </w:rPr>
            </w:pPr>
            <w:r>
              <w:rPr>
                <w:rFonts w:hint="eastAsia" w:ascii="仿宋" w:hAnsi="仿宋" w:eastAsia="仿宋"/>
                <w:kern w:val="0"/>
                <w:szCs w:val="21"/>
              </w:rPr>
              <w:t>注明：有效实现院内医废智能收集、入库、归箱、转运管理；智能动态预警功能；医废可追溯功能；报表自动生成功能等院内医废业务功能；使用范围包含医院所有业务科室。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ascii="仿宋" w:hAnsi="仿宋" w:eastAsia="仿宋"/>
                <w:b/>
                <w:kern w:val="0"/>
                <w:szCs w:val="21"/>
              </w:rPr>
            </w:pPr>
            <w:r>
              <w:rPr>
                <w:rFonts w:hint="eastAsia" w:ascii="仿宋" w:hAnsi="仿宋" w:eastAsia="仿宋"/>
                <w:b/>
                <w:kern w:val="0"/>
                <w:szCs w:val="21"/>
              </w:rPr>
              <w:t>二</w:t>
            </w:r>
          </w:p>
        </w:tc>
        <w:tc>
          <w:tcPr>
            <w:tcW w:w="6379" w:type="dxa"/>
            <w:gridSpan w:val="7"/>
            <w:vAlign w:val="center"/>
          </w:tcPr>
          <w:p>
            <w:pPr>
              <w:spacing w:line="360" w:lineRule="auto"/>
              <w:jc w:val="left"/>
              <w:rPr>
                <w:rFonts w:ascii="仿宋" w:hAnsi="仿宋" w:eastAsia="仿宋"/>
                <w:b/>
                <w:kern w:val="0"/>
                <w:szCs w:val="21"/>
              </w:rPr>
            </w:pPr>
            <w:r>
              <w:rPr>
                <w:rFonts w:hint="eastAsia" w:ascii="仿宋" w:hAnsi="仿宋" w:eastAsia="仿宋"/>
                <w:b/>
                <w:kern w:val="0"/>
                <w:szCs w:val="21"/>
              </w:rPr>
              <w:t>智能收集车、嵌入式APP及配置硬件</w:t>
            </w:r>
          </w:p>
        </w:tc>
        <w:tc>
          <w:tcPr>
            <w:tcW w:w="1701" w:type="dxa"/>
            <w:gridSpan w:val="2"/>
            <w:vAlign w:val="center"/>
          </w:tcPr>
          <w:p>
            <w:pPr>
              <w:spacing w:line="360" w:lineRule="auto"/>
              <w:jc w:val="left"/>
              <w:rPr>
                <w:rFonts w:ascii="仿宋" w:hAnsi="仿宋" w:eastAsia="仿宋"/>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ascii="仿宋" w:hAnsi="仿宋" w:eastAsia="仿宋"/>
                <w:kern w:val="0"/>
                <w:szCs w:val="21"/>
              </w:rPr>
            </w:pPr>
            <w:r>
              <w:rPr>
                <w:rFonts w:hint="eastAsia" w:ascii="仿宋" w:hAnsi="仿宋" w:eastAsia="仿宋"/>
                <w:kern w:val="0"/>
                <w:szCs w:val="21"/>
              </w:rPr>
              <w:t>1</w:t>
            </w:r>
          </w:p>
        </w:tc>
        <w:tc>
          <w:tcPr>
            <w:tcW w:w="993" w:type="dxa"/>
            <w:vAlign w:val="center"/>
          </w:tcPr>
          <w:p>
            <w:pPr>
              <w:spacing w:line="360" w:lineRule="auto"/>
              <w:rPr>
                <w:rFonts w:ascii="仿宋" w:hAnsi="仿宋" w:eastAsia="仿宋"/>
                <w:kern w:val="0"/>
                <w:szCs w:val="21"/>
              </w:rPr>
            </w:pPr>
            <w:r>
              <w:rPr>
                <w:rFonts w:hint="eastAsia" w:ascii="仿宋" w:hAnsi="仿宋" w:eastAsia="仿宋"/>
                <w:kern w:val="0"/>
                <w:szCs w:val="21"/>
              </w:rPr>
              <w:t>智能收集车</w:t>
            </w:r>
          </w:p>
        </w:tc>
        <w:tc>
          <w:tcPr>
            <w:tcW w:w="2912"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实现全智能感觉科室信息，智能车到医院的哪些科室自动识别科室信息，全智能全车称重包括单袋、整车的全智能称重感应数据传输功能功能（设置四个不同精密的传感器），配置对应网络功能重量数据自动传输到对应设备上和云端，实现无人指手。</w:t>
            </w:r>
          </w:p>
        </w:tc>
        <w:tc>
          <w:tcPr>
            <w:tcW w:w="1095"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7套</w:t>
            </w:r>
          </w:p>
        </w:tc>
        <w:tc>
          <w:tcPr>
            <w:tcW w:w="1379" w:type="dxa"/>
            <w:gridSpan w:val="3"/>
            <w:vAlign w:val="center"/>
          </w:tcPr>
          <w:p>
            <w:pPr>
              <w:spacing w:line="360" w:lineRule="auto"/>
              <w:jc w:val="left"/>
              <w:rPr>
                <w:rFonts w:ascii="仿宋" w:hAnsi="仿宋" w:eastAsia="仿宋"/>
                <w:kern w:val="0"/>
                <w:szCs w:val="21"/>
              </w:rPr>
            </w:pPr>
          </w:p>
        </w:tc>
        <w:tc>
          <w:tcPr>
            <w:tcW w:w="1701" w:type="dxa"/>
            <w:gridSpan w:val="2"/>
            <w:vAlign w:val="center"/>
          </w:tcPr>
          <w:p>
            <w:pPr>
              <w:spacing w:line="360" w:lineRule="auto"/>
              <w:jc w:val="left"/>
              <w:rPr>
                <w:rFonts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849" w:hRule="atLeast"/>
        </w:trPr>
        <w:tc>
          <w:tcPr>
            <w:tcW w:w="1252"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参数说明</w:t>
            </w:r>
          </w:p>
        </w:tc>
        <w:tc>
          <w:tcPr>
            <w:tcW w:w="8080" w:type="dxa"/>
            <w:gridSpan w:val="9"/>
            <w:vAlign w:val="center"/>
          </w:tcPr>
          <w:p>
            <w:pPr>
              <w:spacing w:line="360" w:lineRule="auto"/>
              <w:rPr>
                <w:rFonts w:hint="eastAsia" w:ascii="仿宋" w:hAnsi="仿宋" w:eastAsia="仿宋"/>
                <w:kern w:val="0"/>
                <w:szCs w:val="21"/>
              </w:rPr>
            </w:pPr>
            <w:r>
              <w:rPr>
                <w:rFonts w:hint="eastAsia" w:ascii="仿宋" w:hAnsi="仿宋" w:eastAsia="仿宋"/>
                <w:kern w:val="0"/>
                <w:szCs w:val="21"/>
              </w:rPr>
              <w:t>304不锈钢（重75公斤），喷塑，etc智能远距离读卡设备、传感器显示屏、四个车轮、传感器（设置四个不同精密的传感器）、生产加工、安装调试等。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849" w:hRule="atLeast"/>
        </w:trPr>
        <w:tc>
          <w:tcPr>
            <w:tcW w:w="1252"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图片</w:t>
            </w:r>
          </w:p>
        </w:tc>
        <w:tc>
          <w:tcPr>
            <w:tcW w:w="8080" w:type="dxa"/>
            <w:gridSpan w:val="9"/>
            <w:vAlign w:val="center"/>
          </w:tcPr>
          <w:p>
            <w:pPr>
              <w:spacing w:line="360" w:lineRule="auto"/>
              <w:jc w:val="center"/>
              <w:rPr>
                <w:rFonts w:hint="eastAsia" w:ascii="仿宋" w:hAnsi="仿宋" w:eastAsia="仿宋"/>
                <w:kern w:val="0"/>
                <w:szCs w:val="21"/>
              </w:rPr>
            </w:pPr>
            <w:r>
              <w:rPr>
                <w:rFonts w:hint="eastAsia" w:ascii="仿宋" w:hAnsi="仿宋" w:eastAsia="仿宋"/>
                <w:kern w:val="0"/>
                <w:szCs w:val="21"/>
              </w:rPr>
              <w:drawing>
                <wp:inline distT="0" distB="0" distL="0" distR="0">
                  <wp:extent cx="2518410" cy="245427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srcRect/>
                          <a:stretch>
                            <a:fillRect/>
                          </a:stretch>
                        </pic:blipFill>
                        <pic:spPr>
                          <a:xfrm>
                            <a:off x="0" y="0"/>
                            <a:ext cx="2525456" cy="2461048"/>
                          </a:xfrm>
                          <a:prstGeom prst="rect">
                            <a:avLst/>
                          </a:prstGeom>
                          <a:noFill/>
                          <a:ln w="9525">
                            <a:noFill/>
                            <a:miter lim="800000"/>
                            <a:headEnd/>
                            <a:tailEnd/>
                          </a:ln>
                        </pic:spPr>
                      </pic:pic>
                    </a:graphicData>
                  </a:graphic>
                </wp:inline>
              </w:drawing>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ascii="仿宋" w:hAnsi="仿宋" w:eastAsia="仿宋"/>
                <w:kern w:val="0"/>
                <w:szCs w:val="21"/>
              </w:rPr>
            </w:pPr>
            <w:r>
              <w:rPr>
                <w:rFonts w:hint="eastAsia" w:ascii="仿宋" w:hAnsi="仿宋" w:eastAsia="仿宋"/>
                <w:kern w:val="0"/>
                <w:szCs w:val="21"/>
              </w:rPr>
              <w:t>2</w:t>
            </w:r>
          </w:p>
        </w:tc>
        <w:tc>
          <w:tcPr>
            <w:tcW w:w="1134"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嵌入式APP</w:t>
            </w:r>
          </w:p>
        </w:tc>
        <w:tc>
          <w:tcPr>
            <w:tcW w:w="2771"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主要包括8个模块，其中包括收集、入库、归箱、出库、数据同步、本地数据、当日数据和出库数据，该操作软件主要给医院收集人员进行使用。</w:t>
            </w:r>
          </w:p>
        </w:tc>
        <w:tc>
          <w:tcPr>
            <w:tcW w:w="1095"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7套</w:t>
            </w:r>
          </w:p>
        </w:tc>
        <w:tc>
          <w:tcPr>
            <w:tcW w:w="1379" w:type="dxa"/>
            <w:gridSpan w:val="3"/>
            <w:vAlign w:val="center"/>
          </w:tcPr>
          <w:p>
            <w:pPr>
              <w:spacing w:line="360" w:lineRule="auto"/>
              <w:jc w:val="left"/>
              <w:rPr>
                <w:rFonts w:ascii="仿宋" w:hAnsi="仿宋" w:eastAsia="仿宋"/>
                <w:kern w:val="0"/>
                <w:szCs w:val="21"/>
              </w:rPr>
            </w:pPr>
          </w:p>
        </w:tc>
        <w:tc>
          <w:tcPr>
            <w:tcW w:w="1701" w:type="dxa"/>
            <w:gridSpan w:val="2"/>
            <w:vAlign w:val="center"/>
          </w:tcPr>
          <w:p>
            <w:pPr>
              <w:spacing w:line="360" w:lineRule="auto"/>
              <w:jc w:val="left"/>
              <w:rPr>
                <w:rFonts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restart"/>
            <w:vAlign w:val="center"/>
          </w:tcPr>
          <w:p>
            <w:pPr>
              <w:jc w:val="center"/>
              <w:rPr>
                <w:rFonts w:ascii="仿宋" w:hAnsi="仿宋" w:eastAsia="仿宋"/>
                <w:kern w:val="0"/>
                <w:szCs w:val="21"/>
              </w:rPr>
            </w:pPr>
            <w:r>
              <w:rPr>
                <w:rFonts w:hint="eastAsia" w:ascii="仿宋" w:hAnsi="仿宋" w:eastAsia="仿宋"/>
                <w:kern w:val="0"/>
                <w:szCs w:val="21"/>
              </w:rPr>
              <w:t>功能参数说明</w:t>
            </w:r>
          </w:p>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APP收集功能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收集人员扫描读取交接点的卡后，PDA收集页面左上角上会将读取的科室信息展示出来，收集人员需将收集点的医废放到对应的电子秤上进行称重并在PDA上选择对应的垃圾类型进行保存（保存时会将该袋垃圾所对应的医废条码打印出来用于粘贴至对应医废垃圾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APP入库功能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医院医废收集人将打包收集好的医废送达至医废暂存间时在APP中点击页面上入库功能，通过PDA感应刷医废暂存间的卡，系统会自动将本日医废收集数据进行入库处理，入库数据详情会展示在系统中。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APP归箱功能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通过PDA的APP扫描医废垃圾袋上的条码（也可输入医废袋中的垃圾重量进行归箱），然后将对应装有医废的袋子放入收集箱中，并在app归箱操作确认后将形成归箱数据。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APP出库功能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通过PDA上app进行刷卡交接确认以完成出库操作后APP会实现至医废出库具体的出库时间与出库医废详细数量等信息。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ascii="仿宋" w:hAnsi="仿宋" w:eastAsia="仿宋"/>
                <w:kern w:val="0"/>
                <w:szCs w:val="21"/>
              </w:rPr>
              <w:t>A</w:t>
            </w:r>
            <w:r>
              <w:rPr>
                <w:rFonts w:hint="eastAsia" w:ascii="仿宋" w:hAnsi="仿宋" w:eastAsia="仿宋"/>
                <w:kern w:val="0"/>
                <w:szCs w:val="21"/>
              </w:rPr>
              <w:t>pp数据同步功能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当收集人员在收集医废过程中，发现手持PDA无法连接电子秤、POS打印机或无法进行刷卡确认时，通过数据同步功能实现云端数据同步。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APP本地数据查询功能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通过APP查看本台当前医废收集详情。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APP当日数据查询功能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主要用户如何通过APP查看当前医疗机构所属的所有本机当日医废收集详情，用户在APP上点击【当日数据】系统会自动将本日收集数据弹出显示在页面上。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Merge w:val="continue"/>
            <w:vAlign w:val="center"/>
          </w:tcPr>
          <w:p>
            <w:pPr>
              <w:jc w:val="center"/>
              <w:rPr>
                <w:rFonts w:hint="eastAsia" w:ascii="仿宋" w:hAnsi="仿宋" w:eastAsia="仿宋"/>
                <w:kern w:val="0"/>
                <w:szCs w:val="21"/>
              </w:rPr>
            </w:pPr>
          </w:p>
        </w:tc>
        <w:tc>
          <w:tcPr>
            <w:tcW w:w="1134" w:type="dxa"/>
            <w:gridSpan w:val="2"/>
            <w:vAlign w:val="center"/>
          </w:tcPr>
          <w:p>
            <w:pPr>
              <w:spacing w:line="360" w:lineRule="auto"/>
              <w:rPr>
                <w:rFonts w:hint="eastAsia" w:ascii="仿宋" w:hAnsi="仿宋" w:eastAsia="仿宋"/>
                <w:kern w:val="0"/>
                <w:szCs w:val="21"/>
              </w:rPr>
            </w:pPr>
            <w:r>
              <w:rPr>
                <w:rFonts w:hint="eastAsia" w:ascii="仿宋" w:hAnsi="仿宋" w:eastAsia="仿宋"/>
                <w:kern w:val="0"/>
                <w:szCs w:val="21"/>
              </w:rPr>
              <w:t>APP出库数据查询功能</w:t>
            </w:r>
          </w:p>
        </w:tc>
        <w:tc>
          <w:tcPr>
            <w:tcW w:w="6946" w:type="dxa"/>
            <w:gridSpan w:val="7"/>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t>如何通过APP查看当前PDA医废出库详情数据信息。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ascii="仿宋" w:hAnsi="仿宋" w:eastAsia="仿宋"/>
                <w:kern w:val="0"/>
                <w:szCs w:val="21"/>
              </w:rPr>
            </w:pPr>
            <w:r>
              <w:rPr>
                <w:rFonts w:hint="eastAsia" w:ascii="仿宋" w:hAnsi="仿宋" w:eastAsia="仿宋"/>
                <w:kern w:val="0"/>
                <w:szCs w:val="21"/>
              </w:rPr>
              <w:t>3</w:t>
            </w:r>
          </w:p>
        </w:tc>
        <w:tc>
          <w:tcPr>
            <w:tcW w:w="1134" w:type="dxa"/>
            <w:gridSpan w:val="2"/>
            <w:vAlign w:val="center"/>
          </w:tcPr>
          <w:p>
            <w:pPr>
              <w:spacing w:line="360" w:lineRule="auto"/>
              <w:rPr>
                <w:rFonts w:ascii="仿宋" w:hAnsi="仿宋" w:eastAsia="仿宋"/>
                <w:kern w:val="0"/>
                <w:szCs w:val="21"/>
              </w:rPr>
            </w:pPr>
            <w:r>
              <w:rPr>
                <w:rFonts w:hint="eastAsia" w:ascii="仿宋" w:hAnsi="仿宋" w:eastAsia="仿宋"/>
                <w:kern w:val="0"/>
                <w:szCs w:val="21"/>
              </w:rPr>
              <w:t>PAD设备加流量智能卡</w:t>
            </w:r>
          </w:p>
        </w:tc>
        <w:tc>
          <w:tcPr>
            <w:tcW w:w="2771" w:type="dxa"/>
            <w:vAlign w:val="center"/>
          </w:tcPr>
          <w:p>
            <w:pPr>
              <w:spacing w:line="360" w:lineRule="auto"/>
              <w:jc w:val="left"/>
              <w:rPr>
                <w:rFonts w:ascii="仿宋" w:hAnsi="仿宋" w:eastAsia="仿宋"/>
                <w:kern w:val="0"/>
                <w:szCs w:val="21"/>
              </w:rPr>
            </w:pPr>
            <w:r>
              <w:rPr>
                <w:rFonts w:ascii="仿宋" w:hAnsi="仿宋" w:eastAsia="仿宋"/>
                <w:kern w:val="0"/>
                <w:szCs w:val="21"/>
              </w:rPr>
              <w:t>优博讯（UROVO）i6300A 一维手持数据终端把枪pda采集器工业手机机扫描枪医院</w:t>
            </w:r>
            <w:r>
              <w:rPr>
                <w:rFonts w:hint="eastAsia" w:ascii="仿宋" w:hAnsi="仿宋" w:eastAsia="仿宋"/>
                <w:kern w:val="0"/>
                <w:szCs w:val="21"/>
              </w:rPr>
              <w:t>加移动流量卡。</w:t>
            </w:r>
          </w:p>
        </w:tc>
        <w:tc>
          <w:tcPr>
            <w:tcW w:w="1095"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7套</w:t>
            </w:r>
          </w:p>
        </w:tc>
        <w:tc>
          <w:tcPr>
            <w:tcW w:w="1379" w:type="dxa"/>
            <w:gridSpan w:val="3"/>
            <w:vAlign w:val="center"/>
          </w:tcPr>
          <w:p>
            <w:pPr>
              <w:spacing w:line="360" w:lineRule="auto"/>
              <w:jc w:val="left"/>
              <w:rPr>
                <w:rFonts w:ascii="仿宋" w:hAnsi="仿宋" w:eastAsia="仿宋"/>
                <w:kern w:val="0"/>
                <w:szCs w:val="21"/>
              </w:rPr>
            </w:pPr>
          </w:p>
        </w:tc>
        <w:tc>
          <w:tcPr>
            <w:tcW w:w="1701" w:type="dxa"/>
            <w:gridSpan w:val="2"/>
            <w:vAlign w:val="center"/>
          </w:tcPr>
          <w:p>
            <w:pPr>
              <w:spacing w:line="360" w:lineRule="auto"/>
              <w:jc w:val="left"/>
              <w:rPr>
                <w:rFonts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hint="eastAsia" w:ascii="仿宋" w:hAnsi="仿宋" w:eastAsia="仿宋"/>
                <w:kern w:val="0"/>
                <w:szCs w:val="21"/>
              </w:rPr>
            </w:pPr>
            <w:r>
              <w:rPr>
                <w:rFonts w:hint="eastAsia" w:ascii="仿宋" w:hAnsi="仿宋" w:eastAsia="仿宋"/>
                <w:kern w:val="0"/>
                <w:szCs w:val="21"/>
              </w:rPr>
              <w:t>图片说明</w:t>
            </w:r>
          </w:p>
        </w:tc>
        <w:tc>
          <w:tcPr>
            <w:tcW w:w="8080" w:type="dxa"/>
            <w:gridSpan w:val="9"/>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drawing>
                <wp:inline distT="0" distB="0" distL="0" distR="0">
                  <wp:extent cx="603885" cy="1061085"/>
                  <wp:effectExtent l="19050" t="0" r="571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noChangeArrowheads="1"/>
                          </pic:cNvPicPr>
                        </pic:nvPicPr>
                        <pic:blipFill>
                          <a:blip r:embed="rId5"/>
                          <a:srcRect/>
                          <a:stretch>
                            <a:fillRect/>
                          </a:stretch>
                        </pic:blipFill>
                        <pic:spPr>
                          <a:xfrm>
                            <a:off x="0" y="0"/>
                            <a:ext cx="603885" cy="1061085"/>
                          </a:xfrm>
                          <a:prstGeom prst="rect">
                            <a:avLst/>
                          </a:prstGeom>
                          <a:noFill/>
                          <a:ln w="9525">
                            <a:noFill/>
                            <a:miter lim="800000"/>
                            <a:headEnd/>
                            <a:tailEnd/>
                          </a:ln>
                        </pic:spPr>
                      </pic:pic>
                    </a:graphicData>
                  </a:graphic>
                </wp:inline>
              </w:drawing>
            </w:r>
            <w:r>
              <w:rPr>
                <w:rFonts w:ascii="仿宋" w:hAnsi="仿宋" w:eastAsia="仿宋"/>
                <w:kern w:val="0"/>
                <w:szCs w:val="21"/>
              </w:rPr>
              <w:t>优博讯（UROVO）i6300A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ascii="仿宋" w:hAnsi="仿宋" w:eastAsia="仿宋"/>
                <w:kern w:val="0"/>
                <w:szCs w:val="21"/>
              </w:rPr>
            </w:pPr>
            <w:r>
              <w:rPr>
                <w:rFonts w:hint="eastAsia" w:ascii="仿宋" w:hAnsi="仿宋" w:eastAsia="仿宋"/>
                <w:kern w:val="0"/>
                <w:szCs w:val="21"/>
              </w:rPr>
              <w:t>4</w:t>
            </w:r>
          </w:p>
        </w:tc>
        <w:tc>
          <w:tcPr>
            <w:tcW w:w="993" w:type="dxa"/>
            <w:vAlign w:val="center"/>
          </w:tcPr>
          <w:p>
            <w:pPr>
              <w:spacing w:line="360" w:lineRule="auto"/>
              <w:rPr>
                <w:rFonts w:ascii="仿宋" w:hAnsi="仿宋" w:eastAsia="仿宋"/>
                <w:kern w:val="0"/>
                <w:szCs w:val="21"/>
              </w:rPr>
            </w:pPr>
            <w:r>
              <w:rPr>
                <w:rFonts w:hint="eastAsia" w:ascii="仿宋" w:hAnsi="仿宋" w:eastAsia="仿宋"/>
                <w:kern w:val="0"/>
                <w:szCs w:val="21"/>
              </w:rPr>
              <w:t>POS条码打印机</w:t>
            </w:r>
          </w:p>
        </w:tc>
        <w:tc>
          <w:tcPr>
            <w:tcW w:w="2912" w:type="dxa"/>
            <w:gridSpan w:val="2"/>
            <w:vAlign w:val="center"/>
          </w:tcPr>
          <w:p>
            <w:pPr>
              <w:spacing w:line="360" w:lineRule="auto"/>
              <w:jc w:val="left"/>
              <w:rPr>
                <w:rFonts w:ascii="仿宋" w:hAnsi="仿宋" w:eastAsia="仿宋"/>
                <w:kern w:val="0"/>
                <w:szCs w:val="21"/>
              </w:rPr>
            </w:pPr>
            <w:r>
              <w:rPr>
                <w:rFonts w:ascii="仿宋" w:hAnsi="仿宋" w:eastAsia="仿宋"/>
                <w:kern w:val="0"/>
                <w:szCs w:val="21"/>
              </w:rPr>
              <w:t>优博讯(UROVO) K319蓝牙WIFI手持便携式移动标签打印机条码 标签机快递电子面单热敏打印机 WIFI版</w:t>
            </w:r>
            <w:r>
              <w:rPr>
                <w:rFonts w:hint="eastAsia" w:ascii="仿宋" w:hAnsi="仿宋" w:eastAsia="仿宋"/>
                <w:kern w:val="0"/>
                <w:szCs w:val="21"/>
              </w:rPr>
              <w:t>.</w:t>
            </w:r>
          </w:p>
        </w:tc>
        <w:tc>
          <w:tcPr>
            <w:tcW w:w="1095" w:type="dxa"/>
            <w:vAlign w:val="center"/>
          </w:tcPr>
          <w:p>
            <w:pPr>
              <w:spacing w:line="360" w:lineRule="auto"/>
              <w:jc w:val="left"/>
              <w:rPr>
                <w:rFonts w:ascii="仿宋" w:hAnsi="仿宋" w:eastAsia="仿宋"/>
                <w:kern w:val="0"/>
                <w:szCs w:val="21"/>
              </w:rPr>
            </w:pPr>
            <w:r>
              <w:rPr>
                <w:rFonts w:hint="eastAsia" w:ascii="仿宋" w:hAnsi="仿宋" w:eastAsia="仿宋"/>
                <w:kern w:val="0"/>
                <w:szCs w:val="21"/>
              </w:rPr>
              <w:t>7套</w:t>
            </w:r>
          </w:p>
        </w:tc>
        <w:tc>
          <w:tcPr>
            <w:tcW w:w="1379" w:type="dxa"/>
            <w:gridSpan w:val="3"/>
            <w:vAlign w:val="center"/>
          </w:tcPr>
          <w:p>
            <w:pPr>
              <w:spacing w:line="360" w:lineRule="auto"/>
              <w:jc w:val="left"/>
              <w:rPr>
                <w:rFonts w:ascii="仿宋" w:hAnsi="仿宋" w:eastAsia="仿宋"/>
                <w:kern w:val="0"/>
                <w:szCs w:val="21"/>
              </w:rPr>
            </w:pPr>
          </w:p>
        </w:tc>
        <w:tc>
          <w:tcPr>
            <w:tcW w:w="1701" w:type="dxa"/>
            <w:gridSpan w:val="2"/>
            <w:vAlign w:val="center"/>
          </w:tcPr>
          <w:p>
            <w:pPr>
              <w:spacing w:line="360" w:lineRule="auto"/>
              <w:jc w:val="left"/>
              <w:rPr>
                <w:rFonts w:ascii="仿宋" w:hAnsi="仿宋" w:eastAsia="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87" w:hRule="atLeast"/>
        </w:trPr>
        <w:tc>
          <w:tcPr>
            <w:tcW w:w="1252" w:type="dxa"/>
            <w:gridSpan w:val="2"/>
            <w:vAlign w:val="center"/>
          </w:tcPr>
          <w:p>
            <w:pPr>
              <w:jc w:val="center"/>
              <w:rPr>
                <w:rFonts w:hint="eastAsia" w:ascii="仿宋" w:hAnsi="仿宋" w:eastAsia="仿宋"/>
                <w:kern w:val="0"/>
                <w:szCs w:val="21"/>
              </w:rPr>
            </w:pPr>
            <w:r>
              <w:rPr>
                <w:rFonts w:hint="eastAsia" w:ascii="仿宋" w:hAnsi="仿宋" w:eastAsia="仿宋"/>
                <w:kern w:val="0"/>
                <w:szCs w:val="21"/>
              </w:rPr>
              <w:t>图片说明</w:t>
            </w:r>
          </w:p>
        </w:tc>
        <w:tc>
          <w:tcPr>
            <w:tcW w:w="8080" w:type="dxa"/>
            <w:gridSpan w:val="9"/>
            <w:vAlign w:val="center"/>
          </w:tcPr>
          <w:p>
            <w:pPr>
              <w:spacing w:line="360" w:lineRule="auto"/>
              <w:jc w:val="left"/>
              <w:rPr>
                <w:rFonts w:hint="eastAsia" w:ascii="仿宋" w:hAnsi="仿宋" w:eastAsia="仿宋"/>
                <w:kern w:val="0"/>
                <w:szCs w:val="21"/>
              </w:rPr>
            </w:pPr>
            <w:r>
              <w:rPr>
                <w:rFonts w:hint="eastAsia" w:ascii="仿宋" w:hAnsi="仿宋" w:eastAsia="仿宋"/>
                <w:kern w:val="0"/>
                <w:szCs w:val="21"/>
              </w:rPr>
              <w:drawing>
                <wp:inline distT="0" distB="0" distL="0" distR="0">
                  <wp:extent cx="966470" cy="836930"/>
                  <wp:effectExtent l="19050" t="0" r="50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
                          <a:srcRect/>
                          <a:stretch>
                            <a:fillRect/>
                          </a:stretch>
                        </pic:blipFill>
                        <pic:spPr>
                          <a:xfrm>
                            <a:off x="0" y="0"/>
                            <a:ext cx="966470" cy="836930"/>
                          </a:xfrm>
                          <a:prstGeom prst="rect">
                            <a:avLst/>
                          </a:prstGeom>
                          <a:noFill/>
                          <a:ln w="9525">
                            <a:noFill/>
                            <a:miter lim="800000"/>
                            <a:headEnd/>
                            <a:tailEnd/>
                          </a:ln>
                        </pic:spPr>
                      </pic:pic>
                    </a:graphicData>
                  </a:graphic>
                </wp:inline>
              </w:drawing>
            </w:r>
            <w:r>
              <w:rPr>
                <w:rFonts w:ascii="仿宋" w:hAnsi="仿宋" w:eastAsia="仿宋"/>
                <w:kern w:val="0"/>
                <w:szCs w:val="21"/>
              </w:rPr>
              <w:t>优博讯(UROVO) K31</w:t>
            </w:r>
          </w:p>
        </w:tc>
      </w:tr>
    </w:tbl>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仿宋">
    <w:altName w:val="仿宋_GB2312"/>
    <w:panose1 w:val="02010609060101010101"/>
    <w:charset w:val="86"/>
    <w:family w:val="decorative"/>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61007A87" w:usb1="80000000" w:usb2="00000008" w:usb3="00000000" w:csb0="200101FF" w:csb1="2028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26AD"/>
    <w:rsid w:val="00000F52"/>
    <w:rsid w:val="000440B7"/>
    <w:rsid w:val="00073039"/>
    <w:rsid w:val="000A0225"/>
    <w:rsid w:val="000A1890"/>
    <w:rsid w:val="00135888"/>
    <w:rsid w:val="00143F50"/>
    <w:rsid w:val="001725C4"/>
    <w:rsid w:val="00202369"/>
    <w:rsid w:val="002315F0"/>
    <w:rsid w:val="0026300A"/>
    <w:rsid w:val="00266964"/>
    <w:rsid w:val="002776D8"/>
    <w:rsid w:val="00336CBC"/>
    <w:rsid w:val="003B44D7"/>
    <w:rsid w:val="003E612F"/>
    <w:rsid w:val="003F52BC"/>
    <w:rsid w:val="004564D3"/>
    <w:rsid w:val="0049473E"/>
    <w:rsid w:val="004A0516"/>
    <w:rsid w:val="004D26AD"/>
    <w:rsid w:val="00504C64"/>
    <w:rsid w:val="00521AD1"/>
    <w:rsid w:val="00530550"/>
    <w:rsid w:val="00530D8F"/>
    <w:rsid w:val="00531E0A"/>
    <w:rsid w:val="00534AE6"/>
    <w:rsid w:val="0053613C"/>
    <w:rsid w:val="005417CF"/>
    <w:rsid w:val="005717B4"/>
    <w:rsid w:val="005720AA"/>
    <w:rsid w:val="0059668A"/>
    <w:rsid w:val="005A0AAB"/>
    <w:rsid w:val="00615B4A"/>
    <w:rsid w:val="00662635"/>
    <w:rsid w:val="006C1CDC"/>
    <w:rsid w:val="00705124"/>
    <w:rsid w:val="00757274"/>
    <w:rsid w:val="00794ED3"/>
    <w:rsid w:val="00814A6B"/>
    <w:rsid w:val="00906CBE"/>
    <w:rsid w:val="0091046C"/>
    <w:rsid w:val="0098320A"/>
    <w:rsid w:val="009954C2"/>
    <w:rsid w:val="00996BEE"/>
    <w:rsid w:val="00A06C6B"/>
    <w:rsid w:val="00A718F7"/>
    <w:rsid w:val="00AA0B63"/>
    <w:rsid w:val="00AC6C19"/>
    <w:rsid w:val="00AE5335"/>
    <w:rsid w:val="00AE7DCC"/>
    <w:rsid w:val="00AF12FF"/>
    <w:rsid w:val="00B21F02"/>
    <w:rsid w:val="00B45CB8"/>
    <w:rsid w:val="00B5168E"/>
    <w:rsid w:val="00B535F1"/>
    <w:rsid w:val="00B638D2"/>
    <w:rsid w:val="00B87606"/>
    <w:rsid w:val="00BE239B"/>
    <w:rsid w:val="00BF35B3"/>
    <w:rsid w:val="00C30BEA"/>
    <w:rsid w:val="00C413B5"/>
    <w:rsid w:val="00C9665A"/>
    <w:rsid w:val="00CB3D8F"/>
    <w:rsid w:val="00CD5490"/>
    <w:rsid w:val="00D246E3"/>
    <w:rsid w:val="00D476EA"/>
    <w:rsid w:val="00D73565"/>
    <w:rsid w:val="00D779B1"/>
    <w:rsid w:val="00D85B60"/>
    <w:rsid w:val="00DA5982"/>
    <w:rsid w:val="00DB4792"/>
    <w:rsid w:val="00DD2621"/>
    <w:rsid w:val="00DF28BA"/>
    <w:rsid w:val="00E278A5"/>
    <w:rsid w:val="00E34C8A"/>
    <w:rsid w:val="00E46926"/>
    <w:rsid w:val="00E57E3C"/>
    <w:rsid w:val="00E6770F"/>
    <w:rsid w:val="00E677D9"/>
    <w:rsid w:val="00E83676"/>
    <w:rsid w:val="00E876CE"/>
    <w:rsid w:val="00ED3660"/>
    <w:rsid w:val="00F029C0"/>
    <w:rsid w:val="00F1299F"/>
    <w:rsid w:val="00F30337"/>
    <w:rsid w:val="00F32E8E"/>
    <w:rsid w:val="00F4143B"/>
    <w:rsid w:val="00F65D59"/>
    <w:rsid w:val="00FC3DAF"/>
    <w:rsid w:val="00FC756E"/>
    <w:rsid w:val="46B06422"/>
    <w:rsid w:val="67F93DE5"/>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6"/>
    <w:unhideWhenUsed/>
    <w:qFormat/>
    <w:uiPriority w:val="99"/>
    <w:rPr>
      <w:sz w:val="18"/>
      <w:szCs w:val="18"/>
    </w:rPr>
  </w:style>
  <w:style w:type="paragraph" w:customStyle="1" w:styleId="5">
    <w:name w:val="正文1"/>
    <w:basedOn w:val="1"/>
    <w:qFormat/>
    <w:uiPriority w:val="0"/>
    <w:pPr>
      <w:spacing w:line="360" w:lineRule="auto"/>
      <w:ind w:firstLine="200" w:firstLineChars="200"/>
    </w:pPr>
    <w:rPr>
      <w:rFonts w:ascii="宋体" w:hAnsi="宋体"/>
      <w:szCs w:val="21"/>
    </w:rPr>
  </w:style>
  <w:style w:type="character" w:customStyle="1" w:styleId="6">
    <w:name w:val="批注框文本 Char"/>
    <w:basedOn w:val="3"/>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468</Words>
  <Characters>2671</Characters>
  <Lines>22</Lines>
  <Paragraphs>6</Paragraphs>
  <ScaleCrop>false</ScaleCrop>
  <LinksUpToDate>false</LinksUpToDate>
  <CharactersWithSpaces>3133</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2021-10-19T07:42:00Z</dcterms:created>
  <dc:creator>Apple</dc:creator>
  <cp:lastModifiedBy>Administrator</cp:lastModifiedBy>
  <dcterms:modified xsi:type="dcterms:W3CDTF">2021-11-26T02:09:40Z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