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/>
          <w:b/>
          <w:bCs/>
          <w:sz w:val="32"/>
          <w:szCs w:val="32"/>
        </w:rPr>
      </w:pPr>
      <w:r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  <w:t>心电</w:t>
      </w:r>
      <w:r>
        <w:rPr>
          <w:rFonts w:hint="eastAsia" w:asciiTheme="minorEastAsia" w:hAnsiTheme="minorEastAsia"/>
          <w:b/>
          <w:bCs/>
          <w:sz w:val="32"/>
          <w:szCs w:val="32"/>
        </w:rPr>
        <w:t>监护仪参数</w:t>
      </w:r>
      <w:bookmarkStart w:id="0" w:name="_GoBack"/>
      <w:bookmarkEnd w:id="0"/>
    </w:p>
    <w:p>
      <w:pPr>
        <w:jc w:val="both"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>一、技术参数</w:t>
      </w:r>
    </w:p>
    <w:p>
      <w:pPr>
        <w:jc w:val="both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b/>
          <w:sz w:val="24"/>
          <w:szCs w:val="24"/>
          <w:lang w:val="en-US" w:eastAsia="zh-CN"/>
        </w:rPr>
        <w:t>1.整机要求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：</w:t>
      </w: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spacing w:after="0" w:line="360" w:lineRule="auto"/>
        <w:ind w:left="284" w:left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1.1  </w:t>
      </w:r>
      <w:r>
        <w:rPr>
          <w:rFonts w:hint="eastAsia" w:asciiTheme="minorEastAsia" w:hAnsiTheme="minorEastAsia"/>
          <w:sz w:val="24"/>
          <w:szCs w:val="24"/>
        </w:rPr>
        <w:t>模块化插件式床边监护仪，主机、显示屏和插件槽一体化设计，主机插槽数≥4个</w:t>
      </w:r>
      <w:r>
        <w:rPr>
          <w:rFonts w:hint="eastAsia" w:asciiTheme="minorEastAsia" w:hAnsiTheme="minorEastAsia"/>
          <w:sz w:val="24"/>
          <w:szCs w:val="24"/>
          <w:lang w:eastAsia="zh-CN"/>
        </w:rPr>
        <w:t>；</w:t>
      </w:r>
      <w:r>
        <w:rPr>
          <w:rFonts w:hint="eastAsia" w:asciiTheme="minorEastAsia" w:hAnsiTheme="minorEastAsia"/>
          <w:sz w:val="24"/>
          <w:szCs w:val="24"/>
        </w:rPr>
        <w:t>≥12.1英寸彩色电容触摸屏，高分辨率≥128</w:t>
      </w:r>
      <w:r>
        <w:rPr>
          <w:rFonts w:asciiTheme="minorEastAsia" w:hAnsiTheme="minorEastAsia"/>
          <w:sz w:val="24"/>
          <w:szCs w:val="24"/>
        </w:rPr>
        <w:t>0</w:t>
      </w:r>
      <w:r>
        <w:rPr>
          <w:rFonts w:hint="eastAsia" w:asciiTheme="minorEastAsia" w:hAnsiTheme="minorEastAsia"/>
          <w:sz w:val="24"/>
          <w:szCs w:val="24"/>
        </w:rPr>
        <w:t>×80</w:t>
      </w:r>
      <w:r>
        <w:rPr>
          <w:rFonts w:asciiTheme="minorEastAsia" w:hAnsiTheme="minorEastAsia"/>
          <w:sz w:val="24"/>
          <w:szCs w:val="24"/>
        </w:rPr>
        <w:t>0</w:t>
      </w:r>
      <w:r>
        <w:rPr>
          <w:rFonts w:hint="eastAsia" w:asciiTheme="minorEastAsia" w:hAnsiTheme="minorEastAsia"/>
          <w:sz w:val="24"/>
          <w:szCs w:val="24"/>
        </w:rPr>
        <w:t>像素，≥8通道显示，</w:t>
      </w:r>
      <w:r>
        <w:rPr>
          <w:rFonts w:asciiTheme="minorEastAsia" w:hAnsiTheme="minorEastAsia"/>
          <w:sz w:val="24"/>
          <w:szCs w:val="24"/>
        </w:rPr>
        <w:t>显示屏亮度自动调节</w:t>
      </w:r>
      <w:r>
        <w:rPr>
          <w:rFonts w:hint="eastAsia" w:asciiTheme="minorEastAsia" w:hAnsiTheme="minorEastAsia"/>
          <w:sz w:val="24"/>
          <w:szCs w:val="24"/>
        </w:rPr>
        <w:t>，屏幕支持手势滑动操作，支持穿戴医用防护手套操作</w:t>
      </w: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spacing w:after="0" w:line="360" w:lineRule="auto"/>
        <w:ind w:left="284" w:left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1.2  </w:t>
      </w:r>
      <w:r>
        <w:rPr>
          <w:rFonts w:hint="eastAsia" w:asciiTheme="minorEastAsia" w:hAnsiTheme="minorEastAsia"/>
          <w:sz w:val="24"/>
          <w:szCs w:val="24"/>
        </w:rPr>
        <w:t>采用无风扇设计</w:t>
      </w:r>
      <w:r>
        <w:rPr>
          <w:rFonts w:hint="eastAsia" w:asciiTheme="minorEastAsia" w:hAnsi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/>
          <w:sz w:val="24"/>
          <w:szCs w:val="24"/>
        </w:rPr>
        <w:t>可内置高能锂电池，供电时间≥4小时</w:t>
      </w: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spacing w:after="0" w:line="360" w:lineRule="auto"/>
        <w:ind w:left="284" w:leftChars="0"/>
        <w:rPr>
          <w:rFonts w:hint="eastAsia"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1.3  </w:t>
      </w:r>
      <w:r>
        <w:rPr>
          <w:rFonts w:hint="eastAsia" w:asciiTheme="minorEastAsia" w:hAnsiTheme="minorEastAsia"/>
          <w:sz w:val="24"/>
          <w:szCs w:val="24"/>
        </w:rPr>
        <w:t>产品通过国家III类注册</w:t>
      </w:r>
      <w:r>
        <w:rPr>
          <w:rFonts w:hint="eastAsia" w:asciiTheme="minorEastAsia" w:hAnsiTheme="minorEastAsia"/>
          <w:sz w:val="24"/>
          <w:szCs w:val="24"/>
          <w:lang w:eastAsia="zh-CN"/>
        </w:rPr>
        <w:t>。</w:t>
      </w: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spacing w:after="0" w:line="360" w:lineRule="auto"/>
        <w:ind w:left="284" w:leftChars="0"/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1.4  产品适合于成人、小儿、新生儿</w:t>
      </w:r>
    </w:p>
    <w:p>
      <w:pPr>
        <w:autoSpaceDE w:val="0"/>
        <w:autoSpaceDN w:val="0"/>
        <w:adjustRightInd w:val="0"/>
        <w:spacing w:line="360" w:lineRule="auto"/>
        <w:rPr>
          <w:rFonts w:cs="宋体" w:asciiTheme="minorEastAsia" w:hAnsiTheme="minorEastAsia"/>
          <w:b/>
          <w:sz w:val="24"/>
          <w:szCs w:val="24"/>
        </w:rPr>
      </w:pPr>
      <w:r>
        <w:rPr>
          <w:rFonts w:hint="eastAsia" w:cs="宋体" w:asciiTheme="minorEastAsia" w:hAnsiTheme="minorEastAsia"/>
          <w:b/>
          <w:sz w:val="24"/>
          <w:szCs w:val="24"/>
          <w:lang w:val="en-US" w:eastAsia="zh-CN"/>
        </w:rPr>
        <w:t>2.</w:t>
      </w:r>
      <w:r>
        <w:rPr>
          <w:rFonts w:hint="eastAsia" w:cs="宋体" w:asciiTheme="minorEastAsia" w:hAnsiTheme="minorEastAsia"/>
          <w:b/>
          <w:sz w:val="24"/>
          <w:szCs w:val="24"/>
        </w:rPr>
        <w:t>监测参数：</w:t>
      </w: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spacing w:after="0" w:line="360" w:lineRule="auto"/>
        <w:ind w:left="284" w:left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2.1  </w:t>
      </w:r>
      <w:r>
        <w:rPr>
          <w:rFonts w:hint="eastAsia" w:asciiTheme="minorEastAsia" w:hAnsiTheme="minorEastAsia"/>
          <w:sz w:val="24"/>
          <w:szCs w:val="24"/>
        </w:rPr>
        <w:t>基本功能模块支持心电，呼吸，心率，无创血压，血氧饱和度，脉搏，双通道体温和有创血压的同时监测</w:t>
      </w: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spacing w:after="0" w:line="360" w:lineRule="auto"/>
        <w:ind w:left="284" w:leftChars="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2.2  </w:t>
      </w:r>
      <w:r>
        <w:rPr>
          <w:rFonts w:hint="eastAsia" w:asciiTheme="minorEastAsia" w:hAnsiTheme="minorEastAsia"/>
          <w:sz w:val="24"/>
          <w:szCs w:val="24"/>
        </w:rPr>
        <w:t>ECG支持3/5导心电监测，可选配6</w:t>
      </w:r>
      <w:r>
        <w:rPr>
          <w:rFonts w:asciiTheme="minorEastAsia" w:hAnsiTheme="minorEastAsia"/>
          <w:sz w:val="24"/>
          <w:szCs w:val="24"/>
        </w:rPr>
        <w:t>/12</w:t>
      </w:r>
      <w:r>
        <w:rPr>
          <w:rFonts w:hint="eastAsia" w:asciiTheme="minorEastAsia" w:hAnsiTheme="minorEastAsia"/>
          <w:sz w:val="24"/>
          <w:szCs w:val="24"/>
        </w:rPr>
        <w:t>导联心电监测</w:t>
      </w:r>
      <w:r>
        <w:rPr>
          <w:rFonts w:hint="eastAsia" w:asciiTheme="minorEastAsia" w:hAnsiTheme="minorEastAsia"/>
          <w:sz w:val="24"/>
          <w:szCs w:val="24"/>
          <w:lang w:eastAsia="zh-CN"/>
        </w:rPr>
        <w:t>；</w:t>
      </w:r>
      <w:r>
        <w:rPr>
          <w:rFonts w:hint="eastAsia" w:asciiTheme="minorEastAsia" w:hAnsiTheme="minorEastAsia"/>
          <w:sz w:val="24"/>
          <w:szCs w:val="24"/>
        </w:rPr>
        <w:t>支持房颤及室上性心律失常分析功能</w:t>
      </w: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spacing w:after="0" w:line="360" w:lineRule="auto"/>
        <w:ind w:left="284" w:left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2.3  </w:t>
      </w:r>
      <w:r>
        <w:rPr>
          <w:rFonts w:hint="eastAsia" w:asciiTheme="minorEastAsia" w:hAnsiTheme="minorEastAsia"/>
          <w:sz w:val="24"/>
          <w:szCs w:val="24"/>
        </w:rPr>
        <w:t>提供ST段分析功能，</w:t>
      </w: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支持在专门的窗口中分组显示心脏前壁，下壁和侧壁的ST实时片段和参考片段</w:t>
      </w:r>
      <w:r>
        <w:rPr>
          <w:rFonts w:hint="eastAsia" w:asciiTheme="minorEastAsia" w:hAnsiTheme="minorEastAsia"/>
          <w:sz w:val="24"/>
          <w:szCs w:val="24"/>
        </w:rPr>
        <w:t xml:space="preserve"> </w:t>
      </w: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spacing w:after="0" w:line="360" w:lineRule="auto"/>
        <w:ind w:left="284" w:left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2.4  </w:t>
      </w:r>
      <w:r>
        <w:rPr>
          <w:rFonts w:asciiTheme="minorEastAsia" w:hAnsiTheme="minorEastAsia"/>
          <w:sz w:val="24"/>
          <w:szCs w:val="24"/>
        </w:rPr>
        <w:t>具有</w:t>
      </w:r>
      <w:r>
        <w:rPr>
          <w:rFonts w:hint="eastAsia" w:asciiTheme="minorEastAsia" w:hAnsiTheme="minorEastAsia"/>
          <w:sz w:val="24"/>
          <w:szCs w:val="24"/>
        </w:rPr>
        <w:t>QT/QTc实时连续测量功能，提供QT，QTc和ΔQTc参数值的显示</w:t>
      </w: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spacing w:after="0" w:line="360" w:lineRule="auto"/>
        <w:ind w:left="284" w:leftChars="0"/>
        <w:rPr>
          <w:rFonts w:hint="default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2.5  </w:t>
      </w:r>
      <w:r>
        <w:rPr>
          <w:rFonts w:hint="eastAsia" w:asciiTheme="minorEastAsia" w:hAnsiTheme="minorEastAsia"/>
          <w:sz w:val="24"/>
          <w:szCs w:val="24"/>
        </w:rPr>
        <w:t>无创血压</w:t>
      </w:r>
      <w:r>
        <w:rPr>
          <w:rFonts w:hint="eastAsia" w:asciiTheme="minorEastAsia" w:hAnsi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/>
          <w:sz w:val="24"/>
          <w:szCs w:val="24"/>
        </w:rPr>
        <w:t>成人病人类型收缩压测量：</w:t>
      </w:r>
      <w:r>
        <w:rPr>
          <w:rFonts w:asciiTheme="minorEastAsia" w:hAnsiTheme="minorEastAsia"/>
          <w:sz w:val="24"/>
          <w:szCs w:val="24"/>
        </w:rPr>
        <w:t>25</w:t>
      </w:r>
      <w:r>
        <w:rPr>
          <w:rFonts w:hint="eastAsia" w:asciiTheme="minorEastAsia" w:hAnsiTheme="minorEastAsia"/>
          <w:sz w:val="24"/>
          <w:szCs w:val="24"/>
        </w:rPr>
        <w:t>～</w:t>
      </w:r>
      <w:r>
        <w:rPr>
          <w:rFonts w:asciiTheme="minorEastAsia" w:hAnsiTheme="minorEastAsia"/>
          <w:sz w:val="24"/>
          <w:szCs w:val="24"/>
        </w:rPr>
        <w:t>290mmHg</w:t>
      </w:r>
      <w:r>
        <w:rPr>
          <w:rFonts w:hint="eastAsia" w:asciiTheme="minorEastAsia" w:hAnsi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提供手动、自动间隔、连续、序列、整点五种测量模式</w:t>
      </w: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spacing w:after="0" w:line="360" w:lineRule="auto"/>
        <w:ind w:left="284" w:left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2.6  </w:t>
      </w:r>
      <w:r>
        <w:rPr>
          <w:rFonts w:hint="eastAsia" w:asciiTheme="minorEastAsia" w:hAnsiTheme="minorEastAsia"/>
          <w:sz w:val="24"/>
          <w:szCs w:val="24"/>
        </w:rPr>
        <w:t>提供灌注指数（PI）的监测</w:t>
      </w: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spacing w:after="0" w:line="360" w:lineRule="auto"/>
        <w:ind w:left="284" w:left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2.7  </w:t>
      </w:r>
      <w:r>
        <w:rPr>
          <w:rFonts w:hint="eastAsia" w:asciiTheme="minorEastAsia" w:hAnsiTheme="minorEastAsia"/>
          <w:sz w:val="24"/>
          <w:szCs w:val="24"/>
        </w:rPr>
        <w:t>配置指套式血氧探头，支持浸泡清洁与消毒，防水等级IPx7</w:t>
      </w: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spacing w:after="0" w:line="360" w:lineRule="auto"/>
        <w:ind w:left="284" w:left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2.8 </w:t>
      </w: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有创压测量范围：</w:t>
      </w:r>
      <w:r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-50</w:t>
      </w: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～</w:t>
      </w:r>
      <w:r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360mmHg</w:t>
      </w:r>
    </w:p>
    <w:p>
      <w:pPr>
        <w:widowControl w:val="0"/>
        <w:numPr>
          <w:ilvl w:val="0"/>
          <w:numId w:val="0"/>
        </w:numPr>
        <w:spacing w:after="0" w:line="360" w:lineRule="auto"/>
        <w:ind w:left="284" w:leftChars="0"/>
        <w:jc w:val="both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2.9  </w:t>
      </w:r>
      <w:r>
        <w:rPr>
          <w:rFonts w:hint="eastAsia" w:asciiTheme="minorEastAsia" w:hAnsiTheme="minorEastAsia"/>
          <w:sz w:val="24"/>
          <w:szCs w:val="24"/>
        </w:rPr>
        <w:t>支持多达</w:t>
      </w:r>
      <w:r>
        <w:rPr>
          <w:rFonts w:asciiTheme="minorEastAsia" w:hAnsiTheme="minorEastAsia"/>
          <w:sz w:val="24"/>
          <w:szCs w:val="24"/>
        </w:rPr>
        <w:t>6</w:t>
      </w:r>
      <w:r>
        <w:rPr>
          <w:rFonts w:hint="eastAsia" w:asciiTheme="minorEastAsia" w:hAnsiTheme="minorEastAsia"/>
          <w:sz w:val="24"/>
          <w:szCs w:val="24"/>
        </w:rPr>
        <w:t>道IBP波形叠加显示，满足临床对比查看和节约显示空间的需求</w:t>
      </w: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spacing w:after="0" w:line="360" w:lineRule="auto"/>
        <w:ind w:left="284" w:leftChars="0"/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auto"/>
          <w:sz w:val="24"/>
          <w:szCs w:val="24"/>
          <w:lang w:val="en-US" w:eastAsia="zh-CN"/>
        </w:rPr>
        <w:t>2.10 具备血液动力学，药物计算，氧合计算，通气计算和肾功能计算功能</w:t>
      </w:r>
    </w:p>
    <w:p>
      <w:pPr>
        <w:spacing w:line="360" w:lineRule="auto"/>
        <w:ind w:right="-512" w:rightChars="-244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  <w:lang w:val="en-US" w:eastAsia="zh-CN"/>
        </w:rPr>
        <w:t>3.</w:t>
      </w:r>
      <w:r>
        <w:rPr>
          <w:rFonts w:hint="eastAsia" w:asciiTheme="minorEastAsia" w:hAnsiTheme="minorEastAsia"/>
          <w:b/>
          <w:sz w:val="24"/>
          <w:szCs w:val="24"/>
        </w:rPr>
        <w:t>系统功能：</w:t>
      </w:r>
    </w:p>
    <w:p>
      <w:pPr>
        <w:widowControl w:val="0"/>
        <w:numPr>
          <w:ilvl w:val="0"/>
          <w:numId w:val="0"/>
        </w:numPr>
        <w:spacing w:after="0" w:line="360" w:lineRule="auto"/>
        <w:ind w:left="284" w:leftChars="0"/>
        <w:jc w:val="both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3.1  </w:t>
      </w:r>
      <w:r>
        <w:rPr>
          <w:rFonts w:asciiTheme="minorEastAsia" w:hAnsiTheme="minorEastAsia"/>
          <w:sz w:val="24"/>
          <w:szCs w:val="24"/>
        </w:rPr>
        <w:t>具有图形化报警指示功能，看报警信息更容易</w:t>
      </w:r>
    </w:p>
    <w:p>
      <w:pPr>
        <w:widowControl w:val="0"/>
        <w:numPr>
          <w:ilvl w:val="0"/>
          <w:numId w:val="0"/>
        </w:numPr>
        <w:spacing w:after="0" w:line="360" w:lineRule="auto"/>
        <w:ind w:left="284" w:leftChars="0"/>
        <w:jc w:val="both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3.2  </w:t>
      </w: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具有报警升级功能，当参数报警经过一定的时间未被处理或伴发了其他报警，就会升级到更高一个级别</w:t>
      </w:r>
    </w:p>
    <w:p>
      <w:pPr>
        <w:widowControl w:val="0"/>
        <w:numPr>
          <w:ilvl w:val="0"/>
          <w:numId w:val="0"/>
        </w:numPr>
        <w:spacing w:after="0" w:line="360" w:lineRule="auto"/>
        <w:ind w:left="284" w:leftChars="0"/>
        <w:jc w:val="both"/>
        <w:rPr>
          <w:rFonts w:hint="eastAsia" w:asciiTheme="minorEastAsia" w:hAnsiTheme="minorEastAsia"/>
          <w:color w:val="FF0000"/>
          <w:sz w:val="24"/>
          <w:szCs w:val="24"/>
          <w:lang w:eastAsia="zh-CN"/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3.3  </w:t>
      </w: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具有特殊报警音，当监护仪在病人发生致命性参数报警时，发出特殊的报警音进行提示病人处于危急状态</w:t>
      </w:r>
    </w:p>
    <w:p>
      <w:pPr>
        <w:widowControl w:val="0"/>
        <w:numPr>
          <w:ilvl w:val="0"/>
          <w:numId w:val="0"/>
        </w:numPr>
        <w:spacing w:after="0" w:line="360" w:lineRule="auto"/>
        <w:ind w:left="284" w:leftChars="0"/>
        <w:jc w:val="both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3.4  </w:t>
      </w:r>
      <w:r>
        <w:rPr>
          <w:rFonts w:hint="eastAsia" w:asciiTheme="minorEastAsia" w:hAnsiTheme="minorEastAsia"/>
          <w:sz w:val="24"/>
          <w:szCs w:val="24"/>
        </w:rPr>
        <w:t>支持≥1</w:t>
      </w:r>
      <w:r>
        <w:rPr>
          <w:rFonts w:asciiTheme="minorEastAsia" w:hAnsiTheme="minorEastAsia"/>
          <w:sz w:val="24"/>
          <w:szCs w:val="24"/>
        </w:rPr>
        <w:t>0</w:t>
      </w:r>
      <w:r>
        <w:rPr>
          <w:rFonts w:hint="eastAsia" w:asciiTheme="minorEastAsia" w:hAnsiTheme="minorEastAsia"/>
          <w:sz w:val="24"/>
          <w:szCs w:val="24"/>
        </w:rPr>
        <w:t>0小时ST波形片段的存储与回顾</w:t>
      </w:r>
    </w:p>
    <w:p>
      <w:pPr>
        <w:widowControl w:val="0"/>
        <w:numPr>
          <w:ilvl w:val="0"/>
          <w:numId w:val="0"/>
        </w:numPr>
        <w:spacing w:after="0" w:line="360" w:lineRule="auto"/>
        <w:ind w:left="284" w:leftChars="0"/>
        <w:jc w:val="both"/>
        <w:rPr>
          <w:rFonts w:asciiTheme="minorEastAsia" w:hAnsiTheme="minorEastAsia"/>
          <w:sz w:val="24"/>
          <w:szCs w:val="24"/>
          <w:u w:val="none"/>
        </w:rPr>
      </w:pPr>
      <w:r>
        <w:rPr>
          <w:rFonts w:hint="eastAsia" w:asciiTheme="minorEastAsia" w:hAnsiTheme="minorEastAsia"/>
          <w:sz w:val="24"/>
          <w:szCs w:val="24"/>
          <w:u w:val="none"/>
          <w:lang w:val="en-US" w:eastAsia="zh-CN"/>
        </w:rPr>
        <w:t xml:space="preserve">3.5  </w:t>
      </w:r>
      <w:r>
        <w:rPr>
          <w:rFonts w:hint="eastAsia" w:asciiTheme="minorEastAsia" w:hAnsiTheme="minorEastAsia"/>
          <w:sz w:val="24"/>
          <w:szCs w:val="24"/>
          <w:u w:val="none"/>
        </w:rPr>
        <w:t>患者离开科室，监护仪状态由接收患者到解除患者后，患者数据不删除，支持在监护仪回顾历史病人数据</w:t>
      </w:r>
    </w:p>
    <w:p>
      <w:pPr>
        <w:widowControl w:val="0"/>
        <w:numPr>
          <w:ilvl w:val="0"/>
          <w:numId w:val="0"/>
        </w:numPr>
        <w:spacing w:after="0" w:line="360" w:lineRule="auto"/>
        <w:ind w:left="284" w:leftChars="0"/>
        <w:jc w:val="both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3.6  </w:t>
      </w:r>
      <w:r>
        <w:rPr>
          <w:rFonts w:hint="eastAsia" w:asciiTheme="minorEastAsia" w:hAnsiTheme="minorEastAsia"/>
          <w:sz w:val="24"/>
          <w:szCs w:val="24"/>
        </w:rPr>
        <w:t>工作模式提供：监护模式、待机模式、抢救模式，</w:t>
      </w:r>
      <w:r>
        <w:rPr>
          <w:rFonts w:asciiTheme="minorEastAsia" w:hAnsiTheme="minorEastAsia"/>
          <w:sz w:val="24"/>
          <w:szCs w:val="24"/>
        </w:rPr>
        <w:t>体外循环模式、插管模式，夜间模式、隐私模式、演示</w:t>
      </w:r>
      <w:r>
        <w:rPr>
          <w:rFonts w:hint="eastAsia" w:asciiTheme="minorEastAsia" w:hAnsiTheme="minorEastAsia"/>
          <w:sz w:val="24"/>
          <w:szCs w:val="24"/>
          <w:lang w:eastAsia="zh-CN"/>
        </w:rPr>
        <w:t>模式</w:t>
      </w:r>
    </w:p>
    <w:p>
      <w:pPr>
        <w:widowControl w:val="0"/>
        <w:numPr>
          <w:ilvl w:val="0"/>
          <w:numId w:val="0"/>
        </w:numPr>
        <w:spacing w:after="0" w:line="360" w:lineRule="auto"/>
        <w:ind w:left="284" w:leftChars="0"/>
        <w:jc w:val="both"/>
        <w:rPr>
          <w:rFonts w:hint="eastAsia"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*3.7  </w:t>
      </w:r>
      <w:r>
        <w:rPr>
          <w:rFonts w:hint="eastAsia" w:asciiTheme="minorEastAsia" w:hAnsiTheme="minorEastAsia"/>
          <w:sz w:val="24"/>
          <w:szCs w:val="24"/>
        </w:rPr>
        <w:t>支持联通至中心监护系统，实现护士站的集中管理</w:t>
      </w:r>
      <w:r>
        <w:rPr>
          <w:rFonts w:hint="eastAsia" w:asciiTheme="minorEastAsia" w:hAnsiTheme="minorEastAsia"/>
          <w:sz w:val="24"/>
          <w:szCs w:val="24"/>
          <w:lang w:eastAsia="zh-CN"/>
        </w:rPr>
        <w:t>，由中标公司免费建设中心监护站（包含软件、硬件费用）</w:t>
      </w:r>
    </w:p>
    <w:p>
      <w:pPr>
        <w:widowControl w:val="0"/>
        <w:numPr>
          <w:ilvl w:val="0"/>
          <w:numId w:val="0"/>
        </w:numPr>
        <w:spacing w:after="0" w:line="360" w:lineRule="auto"/>
        <w:ind w:left="284" w:leftChars="0"/>
        <w:jc w:val="both"/>
        <w:rPr>
          <w:rFonts w:hint="eastAsia" w:asciiTheme="minorEastAsia" w:hAnsiTheme="minorEastAsia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>二、商务参数</w:t>
      </w: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cr/>
      </w:r>
      <w:r>
        <w:rPr>
          <w:rFonts w:hint="eastAsia" w:ascii="宋体" w:hAnsi="宋体" w:eastAsia="宋体" w:cs="宋体"/>
          <w:color w:val="auto"/>
          <w:sz w:val="24"/>
          <w:szCs w:val="24"/>
        </w:rPr>
        <w:t>*1、运输、装卸、培训、安装调试：由中标人负责承担，最终通过使用科室、设备科及相关部门确认验收交付使用。</w:t>
      </w:r>
      <w:r>
        <w:rPr>
          <w:rFonts w:hint="eastAsia" w:ascii="宋体" w:hAnsi="宋体" w:eastAsia="宋体" w:cs="宋体"/>
          <w:color w:val="auto"/>
          <w:sz w:val="24"/>
          <w:szCs w:val="24"/>
        </w:rPr>
        <w:cr/>
      </w:r>
      <w:r>
        <w:rPr>
          <w:rFonts w:hint="eastAsia" w:ascii="宋体" w:hAnsi="宋体" w:eastAsia="宋体" w:cs="宋体"/>
          <w:color w:val="auto"/>
          <w:sz w:val="24"/>
          <w:szCs w:val="24"/>
        </w:rPr>
        <w:t>*2、交货时间：按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中标公示无异议后30天内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送货上门，逾期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一个月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按合同赔付。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*3、付款方式：设备验收合格后，供应商将发票交到娄底市中心医院后按程序支付货款90%（按医院财务制度一般情况下4个月内支付、特殊情况下最多不超过6个月），甲方在设备验收合格一年后支付10%余款给乙方。</w:t>
      </w:r>
      <w:r>
        <w:rPr>
          <w:rFonts w:hint="eastAsia" w:ascii="宋体" w:hAnsi="宋体" w:eastAsia="宋体" w:cs="宋体"/>
          <w:color w:val="auto"/>
          <w:sz w:val="24"/>
          <w:szCs w:val="24"/>
        </w:rPr>
        <w:cr/>
      </w:r>
      <w:r>
        <w:rPr>
          <w:rFonts w:hint="eastAsia" w:ascii="宋体" w:hAnsi="宋体" w:eastAsia="宋体" w:cs="宋体"/>
          <w:color w:val="auto"/>
          <w:sz w:val="24"/>
          <w:szCs w:val="24"/>
        </w:rPr>
        <w:t>*4、交货地点：娄底市中心医院。</w:t>
      </w:r>
      <w:r>
        <w:rPr>
          <w:rFonts w:hint="eastAsia" w:ascii="宋体" w:hAnsi="宋体" w:eastAsia="宋体" w:cs="宋体"/>
          <w:color w:val="auto"/>
          <w:sz w:val="24"/>
          <w:szCs w:val="24"/>
        </w:rPr>
        <w:cr/>
      </w:r>
      <w:r>
        <w:rPr>
          <w:rFonts w:hint="eastAsia" w:ascii="宋体" w:hAnsi="宋体" w:eastAsia="宋体" w:cs="宋体"/>
          <w:color w:val="auto"/>
          <w:sz w:val="24"/>
          <w:szCs w:val="24"/>
        </w:rPr>
        <w:t>*5、质保与售后：整机保修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年，终身维修。出具原厂售后质保承诺书，质保期内每年巡检两次。</w:t>
      </w:r>
      <w:r>
        <w:rPr>
          <w:rFonts w:hint="eastAsia" w:ascii="宋体" w:hAnsi="宋体" w:eastAsia="宋体" w:cs="宋体"/>
          <w:color w:val="auto"/>
          <w:sz w:val="24"/>
          <w:szCs w:val="24"/>
          <w:lang w:val="zh-CN" w:eastAsia="zh-CN"/>
        </w:rPr>
        <w:t>每年保质期内故障率不得超过14天，如使用率达不到要求，每超过1天质保期相应延长10天。质保期内因设备本身缺陷造成各种故障由卖方免费技术服务和维修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。在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省内有备件库和售后维修点，24小时响应，响应后4小时上门服务，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零配件在该设备停产后仍需保证10年的供应。故障最长修复时间在7个工作日之内，7个工作日内无法修复的，卖方应赔偿买方由停机造成的损失。</w:t>
      </w:r>
    </w:p>
    <w:p>
      <w:pPr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*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、合同执行期间，采购人发现投标人投标文件的响应及正偏离参数实际为负偏离的，采购人有权终止合同，同时，中标人赔偿采购人合同总价的30%。如果采购人的损失大于该赔偿金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采购人保留继续要求中标人赔偿的权利。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QyMjQ3NzEyNDNkNjliYTRmNGI3YjRjNjU2OGIyY2MifQ=="/>
  </w:docVars>
  <w:rsids>
    <w:rsidRoot w:val="008207C1"/>
    <w:rsid w:val="000223C8"/>
    <w:rsid w:val="000226CE"/>
    <w:rsid w:val="000944B8"/>
    <w:rsid w:val="000968C4"/>
    <w:rsid w:val="000B7102"/>
    <w:rsid w:val="000B713F"/>
    <w:rsid w:val="000D5182"/>
    <w:rsid w:val="000E0912"/>
    <w:rsid w:val="000E51B6"/>
    <w:rsid w:val="001069F7"/>
    <w:rsid w:val="00127D8F"/>
    <w:rsid w:val="00172B8F"/>
    <w:rsid w:val="001C33D9"/>
    <w:rsid w:val="001D1728"/>
    <w:rsid w:val="001E0871"/>
    <w:rsid w:val="001F1F1B"/>
    <w:rsid w:val="0020430D"/>
    <w:rsid w:val="0022061F"/>
    <w:rsid w:val="0023183C"/>
    <w:rsid w:val="00261074"/>
    <w:rsid w:val="002823E2"/>
    <w:rsid w:val="00295B70"/>
    <w:rsid w:val="002C2155"/>
    <w:rsid w:val="002C6B67"/>
    <w:rsid w:val="002C7D6F"/>
    <w:rsid w:val="002D6A59"/>
    <w:rsid w:val="0030259F"/>
    <w:rsid w:val="003173C3"/>
    <w:rsid w:val="00340689"/>
    <w:rsid w:val="0037133C"/>
    <w:rsid w:val="003B2155"/>
    <w:rsid w:val="003B4AAC"/>
    <w:rsid w:val="003C7331"/>
    <w:rsid w:val="003E095F"/>
    <w:rsid w:val="004178BD"/>
    <w:rsid w:val="004260C6"/>
    <w:rsid w:val="00435C9E"/>
    <w:rsid w:val="004445A9"/>
    <w:rsid w:val="00486B72"/>
    <w:rsid w:val="004B164D"/>
    <w:rsid w:val="00503E3F"/>
    <w:rsid w:val="00540AD5"/>
    <w:rsid w:val="00557EBD"/>
    <w:rsid w:val="00561B98"/>
    <w:rsid w:val="00580CD7"/>
    <w:rsid w:val="005C74AA"/>
    <w:rsid w:val="005D23FB"/>
    <w:rsid w:val="006160E4"/>
    <w:rsid w:val="0063019F"/>
    <w:rsid w:val="006455C6"/>
    <w:rsid w:val="006656F8"/>
    <w:rsid w:val="0068039A"/>
    <w:rsid w:val="00691A73"/>
    <w:rsid w:val="0069385E"/>
    <w:rsid w:val="006B1281"/>
    <w:rsid w:val="006C2C1D"/>
    <w:rsid w:val="006E680E"/>
    <w:rsid w:val="006F5FFB"/>
    <w:rsid w:val="006F6899"/>
    <w:rsid w:val="0075173C"/>
    <w:rsid w:val="00773BD8"/>
    <w:rsid w:val="00786AEE"/>
    <w:rsid w:val="007C2F42"/>
    <w:rsid w:val="007C77A4"/>
    <w:rsid w:val="007D1C10"/>
    <w:rsid w:val="007D64CF"/>
    <w:rsid w:val="00802613"/>
    <w:rsid w:val="00805B93"/>
    <w:rsid w:val="008207C1"/>
    <w:rsid w:val="00823F63"/>
    <w:rsid w:val="0083354D"/>
    <w:rsid w:val="008619E4"/>
    <w:rsid w:val="0086726A"/>
    <w:rsid w:val="00887AAA"/>
    <w:rsid w:val="008A0BC7"/>
    <w:rsid w:val="008E1E02"/>
    <w:rsid w:val="008F0CDE"/>
    <w:rsid w:val="0096575B"/>
    <w:rsid w:val="00966FAC"/>
    <w:rsid w:val="00975F0C"/>
    <w:rsid w:val="00981636"/>
    <w:rsid w:val="00985CE3"/>
    <w:rsid w:val="00997FCA"/>
    <w:rsid w:val="009C1945"/>
    <w:rsid w:val="009E1D11"/>
    <w:rsid w:val="00A268A6"/>
    <w:rsid w:val="00A4373D"/>
    <w:rsid w:val="00AE69E6"/>
    <w:rsid w:val="00B079CE"/>
    <w:rsid w:val="00B32DAB"/>
    <w:rsid w:val="00BA6D98"/>
    <w:rsid w:val="00BB397F"/>
    <w:rsid w:val="00BC066A"/>
    <w:rsid w:val="00BF5DBE"/>
    <w:rsid w:val="00C012AB"/>
    <w:rsid w:val="00C13182"/>
    <w:rsid w:val="00C16965"/>
    <w:rsid w:val="00C22B7D"/>
    <w:rsid w:val="00C45CAD"/>
    <w:rsid w:val="00C5688E"/>
    <w:rsid w:val="00C66DD5"/>
    <w:rsid w:val="00C715E5"/>
    <w:rsid w:val="00C827A5"/>
    <w:rsid w:val="00C959D4"/>
    <w:rsid w:val="00CB0FD8"/>
    <w:rsid w:val="00CD3219"/>
    <w:rsid w:val="00CE5026"/>
    <w:rsid w:val="00D11232"/>
    <w:rsid w:val="00D12F4B"/>
    <w:rsid w:val="00D167D2"/>
    <w:rsid w:val="00D4359C"/>
    <w:rsid w:val="00D463BE"/>
    <w:rsid w:val="00D506BD"/>
    <w:rsid w:val="00D6419E"/>
    <w:rsid w:val="00D82EEE"/>
    <w:rsid w:val="00D84BD1"/>
    <w:rsid w:val="00D90FA1"/>
    <w:rsid w:val="00DB477E"/>
    <w:rsid w:val="00DB517F"/>
    <w:rsid w:val="00DE1AFF"/>
    <w:rsid w:val="00DE690A"/>
    <w:rsid w:val="00E015AB"/>
    <w:rsid w:val="00E8799B"/>
    <w:rsid w:val="00E941FE"/>
    <w:rsid w:val="00EA2D14"/>
    <w:rsid w:val="00EE4C3A"/>
    <w:rsid w:val="00F0571F"/>
    <w:rsid w:val="00F10808"/>
    <w:rsid w:val="00F1653D"/>
    <w:rsid w:val="00F17FD0"/>
    <w:rsid w:val="00F31DA1"/>
    <w:rsid w:val="00F64A66"/>
    <w:rsid w:val="00FA009D"/>
    <w:rsid w:val="00FB154C"/>
    <w:rsid w:val="00FC3B35"/>
    <w:rsid w:val="00FE1082"/>
    <w:rsid w:val="00FE172B"/>
    <w:rsid w:val="06C407D0"/>
    <w:rsid w:val="11454713"/>
    <w:rsid w:val="19024B42"/>
    <w:rsid w:val="1C062DB7"/>
    <w:rsid w:val="1D505A3D"/>
    <w:rsid w:val="241B5143"/>
    <w:rsid w:val="26CB45FE"/>
    <w:rsid w:val="2C2E0536"/>
    <w:rsid w:val="2F213D47"/>
    <w:rsid w:val="31F96DA8"/>
    <w:rsid w:val="343D09DC"/>
    <w:rsid w:val="3E156B29"/>
    <w:rsid w:val="40B3595D"/>
    <w:rsid w:val="41684C49"/>
    <w:rsid w:val="41EC7031"/>
    <w:rsid w:val="4B1C68D3"/>
    <w:rsid w:val="50E619C4"/>
    <w:rsid w:val="56423F16"/>
    <w:rsid w:val="574203E1"/>
    <w:rsid w:val="57844A87"/>
    <w:rsid w:val="6AE95CFD"/>
    <w:rsid w:val="79412003"/>
    <w:rsid w:val="7B0D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120" w:line="264" w:lineRule="auto"/>
    </w:pPr>
    <w:rPr>
      <w:rFonts w:asciiTheme="minorHAnsi" w:hAnsiTheme="minorHAnsi" w:eastAsiaTheme="minorEastAsia" w:cstheme="minorBidi"/>
      <w:kern w:val="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340" w:beforeAutospacing="0" w:after="330" w:afterAutospacing="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qFormat/>
    <w:uiPriority w:val="0"/>
    <w:pPr>
      <w:widowControl w:val="0"/>
      <w:spacing w:after="0" w:line="240" w:lineRule="auto"/>
    </w:pPr>
    <w:rPr>
      <w:rFonts w:ascii="Times New Roman" w:hAnsi="Times New Roman" w:eastAsia="宋体" w:cs="Times New Roman"/>
      <w:kern w:val="2"/>
      <w:szCs w:val="24"/>
    </w:rPr>
  </w:style>
  <w:style w:type="paragraph" w:styleId="4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5"/>
    <w:semiHidden/>
    <w:unhideWhenUsed/>
    <w:qFormat/>
    <w:uiPriority w:val="99"/>
    <w:pPr>
      <w:widowControl/>
      <w:spacing w:after="120" w:line="264" w:lineRule="auto"/>
    </w:pPr>
    <w:rPr>
      <w:rFonts w:asciiTheme="minorHAnsi" w:hAnsiTheme="minorHAnsi" w:eastAsiaTheme="minorEastAsia" w:cstheme="minorBidi"/>
      <w:b/>
      <w:bCs/>
      <w:kern w:val="0"/>
      <w:szCs w:val="21"/>
    </w:rPr>
  </w:style>
  <w:style w:type="table" w:styleId="9">
    <w:name w:val="Table Grid"/>
    <w:basedOn w:val="8"/>
    <w:qFormat/>
    <w:uiPriority w:val="39"/>
    <w:rPr>
      <w:kern w:val="0"/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paragraph" w:styleId="12">
    <w:name w:val="List Paragraph"/>
    <w:basedOn w:val="1"/>
    <w:qFormat/>
    <w:uiPriority w:val="34"/>
    <w:pPr>
      <w:spacing w:after="0" w:line="240" w:lineRule="auto"/>
      <w:ind w:firstLine="420" w:firstLineChars="200"/>
    </w:pPr>
    <w:rPr>
      <w:rFonts w:ascii="宋体" w:hAnsi="宋体" w:eastAsia="宋体" w:cs="宋体"/>
      <w:sz w:val="24"/>
      <w:szCs w:val="24"/>
    </w:rPr>
  </w:style>
  <w:style w:type="character" w:customStyle="1" w:styleId="13">
    <w:name w:val="批注文字 字符"/>
    <w:basedOn w:val="10"/>
    <w:link w:val="3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4">
    <w:name w:val="批注框文本 字符"/>
    <w:basedOn w:val="10"/>
    <w:link w:val="4"/>
    <w:semiHidden/>
    <w:qFormat/>
    <w:uiPriority w:val="99"/>
    <w:rPr>
      <w:kern w:val="0"/>
      <w:sz w:val="18"/>
      <w:szCs w:val="18"/>
    </w:rPr>
  </w:style>
  <w:style w:type="character" w:customStyle="1" w:styleId="15">
    <w:name w:val="批注主题 字符"/>
    <w:basedOn w:val="13"/>
    <w:link w:val="7"/>
    <w:semiHidden/>
    <w:qFormat/>
    <w:uiPriority w:val="99"/>
    <w:rPr>
      <w:rFonts w:ascii="Times New Roman" w:hAnsi="Times New Roman" w:eastAsia="宋体" w:cs="Times New Roman"/>
      <w:b/>
      <w:bCs/>
      <w:kern w:val="0"/>
      <w:szCs w:val="21"/>
    </w:rPr>
  </w:style>
  <w:style w:type="character" w:customStyle="1" w:styleId="16">
    <w:name w:val="页眉 字符"/>
    <w:basedOn w:val="10"/>
    <w:link w:val="6"/>
    <w:qFormat/>
    <w:uiPriority w:val="99"/>
    <w:rPr>
      <w:kern w:val="0"/>
      <w:sz w:val="18"/>
      <w:szCs w:val="18"/>
    </w:rPr>
  </w:style>
  <w:style w:type="character" w:customStyle="1" w:styleId="17">
    <w:name w:val="页脚 字符"/>
    <w:basedOn w:val="10"/>
    <w:link w:val="5"/>
    <w:qFormat/>
    <w:uiPriority w:val="99"/>
    <w:rPr>
      <w:kern w:val="0"/>
      <w:sz w:val="18"/>
      <w:szCs w:val="18"/>
    </w:rPr>
  </w:style>
  <w:style w:type="paragraph" w:customStyle="1" w:styleId="18">
    <w:name w:val="Revision"/>
    <w:hidden/>
    <w:semiHidden/>
    <w:qFormat/>
    <w:uiPriority w:val="99"/>
    <w:rPr>
      <w:rFonts w:asciiTheme="minorHAnsi" w:hAnsiTheme="minorHAnsi" w:eastAsiaTheme="minorEastAsia" w:cstheme="minorBidi"/>
      <w:kern w:val="0"/>
      <w:sz w:val="21"/>
      <w:szCs w:val="21"/>
      <w:lang w:val="en-US" w:eastAsia="zh-CN" w:bidi="ar-SA"/>
    </w:rPr>
  </w:style>
  <w:style w:type="character" w:customStyle="1" w:styleId="19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439D5-25F5-4403-BE26-445B50787D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778</Words>
  <Characters>879</Characters>
  <Lines>20</Lines>
  <Paragraphs>5</Paragraphs>
  <TotalTime>2</TotalTime>
  <ScaleCrop>false</ScaleCrop>
  <LinksUpToDate>false</LinksUpToDate>
  <CharactersWithSpaces>920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2022-08-14T13:53:00Z</dcterms:created>
  <dc:creator>mindray</dc:creator>
  <cp:lastModifiedBy>蓝色贝雷</cp:lastModifiedBy>
  <dcterms:modified xsi:type="dcterms:W3CDTF">2022-12-15T10:46:28Z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98E4C5C4A64440BBB3F4906C001FA840</vt:lpwstr>
  </property>
</Properties>
</file>