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snapToGrid w:val="0"/>
        <w:jc w:val="center"/>
        <w:rPr>
          <w:rFonts w:ascii="Arial" w:hAnsi="Arial" w:eastAsia="方正小标宋简体" w:cs="Arial"/>
          <w:color w:val="auto"/>
          <w:sz w:val="72"/>
          <w:szCs w:val="72"/>
        </w:rPr>
      </w:pPr>
    </w:p>
    <w:p>
      <w:pPr>
        <w:pStyle w:val="5"/>
        <w:tabs>
          <w:tab w:val="left" w:pos="312"/>
        </w:tabs>
        <w:snapToGrid w:val="0"/>
        <w:spacing w:line="288" w:lineRule="auto"/>
        <w:jc w:val="center"/>
        <w:rPr>
          <w:rFonts w:ascii="Arial" w:hAnsi="Arial" w:eastAsia="方正小标宋简体" w:cs="Arial"/>
          <w:sz w:val="72"/>
          <w:szCs w:val="72"/>
        </w:rPr>
      </w:pPr>
      <w:bookmarkStart w:id="0" w:name="_Toc16523570"/>
      <w:r>
        <w:rPr>
          <w:rFonts w:hint="eastAsia" w:ascii="Arial" w:hAnsi="Arial" w:eastAsia="方正小标宋简体" w:cs="Arial"/>
          <w:sz w:val="72"/>
          <w:szCs w:val="72"/>
        </w:rPr>
        <w:t>娄底市中心医院院内</w:t>
      </w:r>
    </w:p>
    <w:p>
      <w:pPr>
        <w:pStyle w:val="5"/>
        <w:snapToGrid w:val="0"/>
        <w:jc w:val="center"/>
        <w:rPr>
          <w:rFonts w:ascii="Arial" w:hAnsi="Arial" w:eastAsia="方正小标宋简体" w:cs="Arial"/>
          <w:sz w:val="72"/>
          <w:szCs w:val="72"/>
        </w:rPr>
      </w:pPr>
    </w:p>
    <w:p>
      <w:pPr>
        <w:pStyle w:val="5"/>
        <w:snapToGrid w:val="0"/>
        <w:jc w:val="center"/>
        <w:rPr>
          <w:rFonts w:ascii="Arial" w:hAnsi="Arial" w:eastAsia="方正小标宋简体" w:cs="Arial"/>
          <w:sz w:val="72"/>
          <w:szCs w:val="72"/>
        </w:rPr>
      </w:pPr>
      <w:r>
        <w:rPr>
          <w:rFonts w:hint="eastAsia" w:ascii="Arial" w:hAnsi="Arial" w:eastAsia="方正小标宋简体" w:cs="Arial"/>
          <w:sz w:val="72"/>
          <w:szCs w:val="72"/>
        </w:rPr>
        <w:t>招</w:t>
      </w:r>
    </w:p>
    <w:p>
      <w:pPr>
        <w:pStyle w:val="5"/>
        <w:snapToGrid w:val="0"/>
        <w:jc w:val="center"/>
        <w:rPr>
          <w:rFonts w:ascii="Arial" w:hAnsi="Arial" w:eastAsia="方正小标宋简体" w:cs="Arial"/>
          <w:sz w:val="72"/>
          <w:szCs w:val="72"/>
        </w:rPr>
      </w:pPr>
    </w:p>
    <w:p>
      <w:pPr>
        <w:pStyle w:val="5"/>
        <w:snapToGrid w:val="0"/>
        <w:jc w:val="center"/>
        <w:rPr>
          <w:rFonts w:ascii="Arial" w:hAnsi="Arial" w:eastAsia="方正小标宋简体" w:cs="Arial"/>
          <w:sz w:val="72"/>
          <w:szCs w:val="72"/>
        </w:rPr>
      </w:pPr>
      <w:r>
        <w:rPr>
          <w:rFonts w:ascii="Arial" w:hAnsi="Arial" w:eastAsia="方正小标宋简体" w:cs="Arial"/>
          <w:sz w:val="72"/>
          <w:szCs w:val="72"/>
        </w:rPr>
        <w:t>标</w:t>
      </w:r>
    </w:p>
    <w:p>
      <w:pPr>
        <w:pStyle w:val="5"/>
        <w:snapToGrid w:val="0"/>
        <w:jc w:val="center"/>
        <w:rPr>
          <w:rFonts w:ascii="Arial" w:hAnsi="Arial" w:eastAsia="方正小标宋简体" w:cs="Arial"/>
          <w:sz w:val="72"/>
          <w:szCs w:val="72"/>
        </w:rPr>
      </w:pPr>
    </w:p>
    <w:p>
      <w:pPr>
        <w:pStyle w:val="5"/>
        <w:snapToGrid w:val="0"/>
        <w:jc w:val="center"/>
        <w:rPr>
          <w:rFonts w:ascii="Arial" w:hAnsi="Arial" w:eastAsia="方正小标宋简体" w:cs="Arial"/>
          <w:sz w:val="72"/>
          <w:szCs w:val="72"/>
        </w:rPr>
      </w:pPr>
      <w:r>
        <w:rPr>
          <w:rFonts w:ascii="Arial" w:hAnsi="Arial" w:eastAsia="方正小标宋简体" w:cs="Arial"/>
          <w:sz w:val="72"/>
          <w:szCs w:val="72"/>
        </w:rPr>
        <w:t>文</w:t>
      </w:r>
    </w:p>
    <w:p>
      <w:pPr>
        <w:pStyle w:val="5"/>
        <w:snapToGrid w:val="0"/>
        <w:jc w:val="center"/>
        <w:rPr>
          <w:rFonts w:ascii="Arial" w:hAnsi="Arial" w:eastAsia="方正小标宋简体" w:cs="Arial"/>
          <w:sz w:val="72"/>
          <w:szCs w:val="72"/>
        </w:rPr>
      </w:pPr>
    </w:p>
    <w:p>
      <w:pPr>
        <w:pStyle w:val="5"/>
        <w:snapToGrid w:val="0"/>
        <w:jc w:val="center"/>
        <w:rPr>
          <w:rFonts w:ascii="Arial" w:hAnsi="Arial" w:eastAsia="方正小标宋简体" w:cs="Arial"/>
          <w:sz w:val="36"/>
          <w:szCs w:val="36"/>
        </w:rPr>
      </w:pPr>
      <w:r>
        <w:rPr>
          <w:rFonts w:ascii="Arial" w:hAnsi="Arial" w:eastAsia="方正小标宋简体" w:cs="Arial"/>
          <w:sz w:val="72"/>
          <w:szCs w:val="72"/>
        </w:rPr>
        <w:t>件</w:t>
      </w:r>
    </w:p>
    <w:p>
      <w:pPr>
        <w:pStyle w:val="5"/>
        <w:snapToGrid w:val="0"/>
        <w:jc w:val="center"/>
        <w:rPr>
          <w:rFonts w:ascii="Arial" w:hAnsi="Arial" w:cs="Arial"/>
          <w:sz w:val="32"/>
          <w:szCs w:val="32"/>
        </w:rPr>
      </w:pPr>
    </w:p>
    <w:p>
      <w:pPr>
        <w:pStyle w:val="5"/>
        <w:snapToGrid w:val="0"/>
        <w:jc w:val="center"/>
        <w:rPr>
          <w:rFonts w:ascii="Arial" w:hAnsi="Arial" w:cs="Arial"/>
          <w:sz w:val="32"/>
          <w:szCs w:val="32"/>
        </w:rPr>
      </w:pPr>
    </w:p>
    <w:p>
      <w:pPr>
        <w:pStyle w:val="5"/>
        <w:snapToGrid w:val="0"/>
        <w:jc w:val="center"/>
        <w:rPr>
          <w:rFonts w:ascii="Arial" w:hAnsi="Arial" w:cs="Arial"/>
          <w:sz w:val="32"/>
          <w:szCs w:val="32"/>
        </w:rPr>
      </w:pPr>
    </w:p>
    <w:p>
      <w:pPr>
        <w:spacing w:line="360" w:lineRule="auto"/>
        <w:rPr>
          <w:rFonts w:hint="eastAsia"/>
          <w:bCs/>
          <w:sz w:val="32"/>
          <w:szCs w:val="32"/>
        </w:rPr>
      </w:pP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w:t>
      </w:r>
      <w:r>
        <w:rPr>
          <w:rFonts w:hint="eastAsia"/>
          <w:bCs/>
          <w:sz w:val="32"/>
          <w:szCs w:val="32"/>
        </w:rPr>
        <w:t>中心医院</w:t>
      </w:r>
      <w:r>
        <w:rPr>
          <w:rFonts w:hint="eastAsia"/>
          <w:bCs/>
          <w:sz w:val="32"/>
          <w:szCs w:val="32"/>
          <w:lang w:val="en-US" w:eastAsia="zh-CN"/>
        </w:rPr>
        <w:t>常年项目价格咨询服务项目</w:t>
      </w:r>
      <w:r>
        <w:rPr>
          <w:rFonts w:hint="eastAsia"/>
          <w:bCs/>
          <w:sz w:val="32"/>
          <w:szCs w:val="32"/>
        </w:rPr>
        <w:t>招标文件（院内招标）</w:t>
      </w:r>
    </w:p>
    <w:p>
      <w:pPr>
        <w:pStyle w:val="6"/>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p>
    <w:p>
      <w:pPr>
        <w:spacing w:line="320" w:lineRule="exact"/>
        <w:jc w:val="left"/>
        <w:rPr>
          <w:sz w:val="24"/>
        </w:rPr>
      </w:pPr>
    </w:p>
    <w:p>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eastAsia="zh-CN"/>
        </w:rPr>
        <w:t>三</w:t>
      </w:r>
      <w:r>
        <w:rPr>
          <w:rFonts w:hint="eastAsia" w:ascii="宋体" w:hAnsi="宋体" w:cs="宋体"/>
          <w:bCs/>
          <w:sz w:val="32"/>
          <w:szCs w:val="32"/>
        </w:rPr>
        <w:t>年</w:t>
      </w:r>
      <w:r>
        <w:rPr>
          <w:rFonts w:hint="eastAsia" w:ascii="宋体" w:hAnsi="宋体" w:cs="宋体"/>
          <w:bCs/>
          <w:sz w:val="32"/>
          <w:szCs w:val="32"/>
          <w:lang w:val="en-US" w:eastAsia="zh-CN"/>
        </w:rPr>
        <w:t>二</w:t>
      </w:r>
      <w:r>
        <w:rPr>
          <w:rFonts w:hint="eastAsia" w:ascii="宋体" w:hAnsi="宋体" w:cs="宋体"/>
          <w:bCs/>
          <w:sz w:val="32"/>
          <w:szCs w:val="32"/>
        </w:rPr>
        <w:t>月</w:t>
      </w:r>
    </w:p>
    <w:p>
      <w:pPr>
        <w:rPr>
          <w:rFonts w:hint="eastAsia" w:ascii="宋体" w:hAnsi="宋体" w:cs="宋体"/>
          <w:color w:val="auto"/>
          <w:sz w:val="44"/>
          <w:szCs w:val="44"/>
          <w:lang w:val="en-US" w:eastAsia="zh-CN"/>
        </w:rPr>
      </w:pPr>
    </w:p>
    <w:p>
      <w:pPr>
        <w:pStyle w:val="6"/>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bookmarkEnd w:id="0"/>
    </w:p>
    <w:p>
      <w:pPr>
        <w:pStyle w:val="5"/>
        <w:numPr>
          <w:ilvl w:val="0"/>
          <w:numId w:val="0"/>
        </w:numPr>
        <w:tabs>
          <w:tab w:val="left" w:pos="312"/>
        </w:tabs>
        <w:snapToGrid w:val="0"/>
        <w:spacing w:line="480" w:lineRule="auto"/>
        <w:ind w:firstLine="560" w:firstLineChars="200"/>
        <w:rPr>
          <w:rFonts w:hint="eastAsia"/>
          <w:bCs/>
          <w:color w:val="auto"/>
          <w:sz w:val="28"/>
          <w:szCs w:val="28"/>
        </w:rPr>
      </w:pPr>
      <w:r>
        <w:rPr>
          <w:rFonts w:hint="eastAsia"/>
          <w:bCs/>
          <w:color w:val="auto"/>
          <w:sz w:val="28"/>
          <w:szCs w:val="28"/>
          <w:lang w:val="en-US" w:eastAsia="zh-CN"/>
        </w:rPr>
        <w:t>常年项目价格咨询服务项目进行挂网招标</w:t>
      </w:r>
      <w:r>
        <w:rPr>
          <w:rFonts w:hint="eastAsia"/>
          <w:bCs/>
          <w:color w:val="auto"/>
          <w:sz w:val="28"/>
          <w:szCs w:val="28"/>
        </w:rPr>
        <w:t>，将招标事项公告如下：</w:t>
      </w:r>
    </w:p>
    <w:p>
      <w:pPr>
        <w:pStyle w:val="5"/>
        <w:numPr>
          <w:ilvl w:val="0"/>
          <w:numId w:val="0"/>
        </w:numPr>
        <w:tabs>
          <w:tab w:val="left" w:pos="312"/>
        </w:tabs>
        <w:snapToGrid w:val="0"/>
        <w:spacing w:line="480" w:lineRule="auto"/>
        <w:ind w:firstLine="560" w:firstLineChars="200"/>
        <w:rPr>
          <w:rFonts w:hint="default" w:eastAsia="仿宋_GB2312"/>
          <w:bCs/>
          <w:color w:val="auto"/>
          <w:sz w:val="28"/>
          <w:szCs w:val="28"/>
          <w:lang w:val="en-US" w:eastAsia="zh-CN"/>
        </w:rPr>
      </w:pPr>
      <w:r>
        <w:rPr>
          <w:rFonts w:hint="eastAsia"/>
          <w:bCs/>
          <w:color w:val="auto"/>
          <w:sz w:val="28"/>
          <w:szCs w:val="28"/>
          <w:lang w:val="en-US" w:eastAsia="zh-CN"/>
        </w:rPr>
        <w:t>一、项目信息</w:t>
      </w:r>
    </w:p>
    <w:p>
      <w:pPr>
        <w:pStyle w:val="5"/>
        <w:numPr>
          <w:ilvl w:val="0"/>
          <w:numId w:val="0"/>
        </w:numPr>
        <w:tabs>
          <w:tab w:val="left" w:pos="312"/>
        </w:tabs>
        <w:snapToGrid w:val="0"/>
        <w:spacing w:line="480" w:lineRule="auto"/>
        <w:ind w:firstLine="560" w:firstLineChars="200"/>
        <w:rPr>
          <w:rFonts w:hint="eastAsia"/>
          <w:bCs/>
          <w:color w:val="auto"/>
          <w:sz w:val="28"/>
          <w:szCs w:val="28"/>
          <w:lang w:val="en-US" w:eastAsia="zh-CN"/>
        </w:rPr>
      </w:pPr>
      <w:r>
        <w:rPr>
          <w:rFonts w:hint="eastAsia"/>
          <w:b w:val="0"/>
          <w:bCs/>
          <w:color w:val="auto"/>
          <w:sz w:val="28"/>
          <w:szCs w:val="28"/>
          <w:lang w:val="en-US" w:eastAsia="zh-CN"/>
        </w:rPr>
        <w:t>项目名称：</w:t>
      </w:r>
      <w:r>
        <w:rPr>
          <w:rFonts w:hint="eastAsia"/>
          <w:bCs/>
          <w:color w:val="auto"/>
          <w:sz w:val="28"/>
          <w:szCs w:val="28"/>
          <w:lang w:val="en-US" w:eastAsia="zh-CN"/>
        </w:rPr>
        <w:t>常年项目价格咨询服务（两年）</w:t>
      </w:r>
    </w:p>
    <w:p>
      <w:pPr>
        <w:pStyle w:val="5"/>
        <w:numPr>
          <w:ilvl w:val="0"/>
          <w:numId w:val="0"/>
        </w:numPr>
        <w:tabs>
          <w:tab w:val="left" w:pos="312"/>
        </w:tabs>
        <w:snapToGrid w:val="0"/>
        <w:spacing w:line="480" w:lineRule="auto"/>
        <w:ind w:firstLine="560" w:firstLineChars="200"/>
        <w:rPr>
          <w:rFonts w:hint="eastAsia"/>
          <w:bCs/>
          <w:color w:val="auto"/>
          <w:sz w:val="28"/>
          <w:szCs w:val="28"/>
          <w:lang w:val="en-US" w:eastAsia="zh-CN"/>
        </w:rPr>
      </w:pPr>
      <w:r>
        <w:rPr>
          <w:rFonts w:hint="eastAsia"/>
          <w:bCs/>
          <w:color w:val="auto"/>
          <w:sz w:val="28"/>
          <w:szCs w:val="28"/>
          <w:lang w:val="en-US" w:eastAsia="zh-CN"/>
        </w:rPr>
        <w:t>二、采购方式</w:t>
      </w:r>
    </w:p>
    <w:p>
      <w:pPr>
        <w:pStyle w:val="5"/>
        <w:numPr>
          <w:ilvl w:val="0"/>
          <w:numId w:val="0"/>
        </w:numPr>
        <w:tabs>
          <w:tab w:val="left" w:pos="312"/>
        </w:tabs>
        <w:snapToGrid w:val="0"/>
        <w:spacing w:line="480" w:lineRule="auto"/>
        <w:ind w:firstLine="560" w:firstLineChars="200"/>
        <w:rPr>
          <w:rFonts w:hint="eastAsia"/>
          <w:bCs/>
          <w:color w:val="auto"/>
          <w:sz w:val="28"/>
          <w:szCs w:val="28"/>
          <w:lang w:val="en-US" w:eastAsia="zh-CN"/>
        </w:rPr>
      </w:pPr>
      <w:r>
        <w:rPr>
          <w:rFonts w:hint="eastAsia"/>
          <w:bCs/>
          <w:color w:val="auto"/>
          <w:sz w:val="28"/>
          <w:szCs w:val="28"/>
          <w:lang w:val="en-US" w:eastAsia="zh-CN"/>
        </w:rPr>
        <w:t>1、院内招标，由招标人内部评标。在满足所有招标要求后，按报价排名，采用最低价评分，如出现两家以上同为最低报价，由相同最低报价投标人二次报价，直至选出最低价者。</w:t>
      </w:r>
    </w:p>
    <w:p>
      <w:pPr>
        <w:pStyle w:val="5"/>
        <w:numPr>
          <w:ilvl w:val="0"/>
          <w:numId w:val="0"/>
        </w:numPr>
        <w:tabs>
          <w:tab w:val="left" w:pos="312"/>
        </w:tabs>
        <w:snapToGrid w:val="0"/>
        <w:spacing w:line="480" w:lineRule="auto"/>
        <w:ind w:firstLine="560" w:firstLineChars="200"/>
        <w:rPr>
          <w:rFonts w:hint="eastAsia"/>
          <w:bCs/>
          <w:color w:val="auto"/>
          <w:sz w:val="28"/>
          <w:szCs w:val="28"/>
          <w:lang w:val="en-US" w:eastAsia="zh-CN"/>
        </w:rPr>
      </w:pPr>
      <w:r>
        <w:rPr>
          <w:rFonts w:hint="eastAsia"/>
          <w:bCs/>
          <w:color w:val="auto"/>
          <w:sz w:val="28"/>
          <w:szCs w:val="28"/>
          <w:lang w:val="en-US" w:eastAsia="zh-CN"/>
        </w:rPr>
        <w:t>三、投标人资格要求</w:t>
      </w:r>
    </w:p>
    <w:p>
      <w:pPr>
        <w:keepNext w:val="0"/>
        <w:keepLines w:val="0"/>
        <w:pageBreakBefore w:val="0"/>
        <w:kinsoku/>
        <w:wordWrap/>
        <w:overflowPunct/>
        <w:topLinePunct w:val="0"/>
        <w:autoSpaceDE/>
        <w:autoSpaceDN/>
        <w:bidi w:val="0"/>
        <w:adjustRightInd w:val="0"/>
        <w:snapToGrid w:val="0"/>
        <w:spacing w:line="480" w:lineRule="auto"/>
        <w:ind w:left="-107" w:leftChars="-51" w:firstLine="700" w:firstLineChars="250"/>
        <w:textAlignment w:val="auto"/>
        <w:rPr>
          <w:rFonts w:hint="eastAsia" w:ascii="仿宋_GB2312" w:hAnsi="Times New Roman" w:eastAsia="仿宋_GB2312" w:cs="仿宋_GB2312"/>
          <w:bCs/>
          <w:color w:val="auto"/>
          <w:kern w:val="0"/>
          <w:sz w:val="28"/>
          <w:szCs w:val="28"/>
          <w:lang w:val="en-US" w:eastAsia="zh-CN" w:bidi="ar-SA"/>
        </w:rPr>
      </w:pPr>
      <w:r>
        <w:rPr>
          <w:rFonts w:hint="eastAsia"/>
          <w:bCs/>
          <w:color w:val="auto"/>
          <w:sz w:val="28"/>
          <w:szCs w:val="28"/>
          <w:lang w:val="en-US" w:eastAsia="zh-CN"/>
        </w:rPr>
        <w:t>1、</w:t>
      </w:r>
      <w:r>
        <w:rPr>
          <w:rFonts w:hint="eastAsia" w:ascii="仿宋_GB2312" w:hAnsi="Times New Roman" w:eastAsia="仿宋_GB2312" w:cs="仿宋_GB2312"/>
          <w:bCs/>
          <w:color w:val="auto"/>
          <w:kern w:val="0"/>
          <w:sz w:val="28"/>
          <w:szCs w:val="28"/>
          <w:lang w:val="en-US" w:eastAsia="zh-CN" w:bidi="ar-SA"/>
        </w:rPr>
        <w:t>具有独立法人地位，具有工程造价咨询乙级及以上资质，并在人员、设备、资金等方面具有相应的服务能力。（提供证书复印件并盖章）；</w:t>
      </w:r>
    </w:p>
    <w:p>
      <w:pPr>
        <w:pStyle w:val="5"/>
        <w:numPr>
          <w:ilvl w:val="0"/>
          <w:numId w:val="0"/>
        </w:numPr>
        <w:tabs>
          <w:tab w:val="left" w:pos="312"/>
        </w:tabs>
        <w:snapToGrid w:val="0"/>
        <w:spacing w:line="480" w:lineRule="auto"/>
        <w:ind w:firstLine="560" w:firstLineChars="200"/>
        <w:rPr>
          <w:rFonts w:hint="eastAsia"/>
          <w:bCs/>
          <w:color w:val="auto"/>
          <w:sz w:val="28"/>
          <w:szCs w:val="28"/>
          <w:lang w:val="en-US" w:eastAsia="zh-CN"/>
        </w:rPr>
      </w:pPr>
      <w:r>
        <w:rPr>
          <w:rFonts w:hint="eastAsia"/>
          <w:bCs/>
          <w:color w:val="auto"/>
          <w:sz w:val="28"/>
          <w:szCs w:val="28"/>
          <w:lang w:val="en-US" w:eastAsia="zh-CN"/>
        </w:rPr>
        <w:t>2、参加政府采购活动近3年内，在经营活动中没有重大违法记录；</w:t>
      </w:r>
    </w:p>
    <w:p>
      <w:pPr>
        <w:pStyle w:val="5"/>
        <w:numPr>
          <w:ilvl w:val="0"/>
          <w:numId w:val="0"/>
        </w:numPr>
        <w:tabs>
          <w:tab w:val="left" w:pos="312"/>
        </w:tabs>
        <w:snapToGrid w:val="0"/>
        <w:spacing w:line="480" w:lineRule="auto"/>
        <w:ind w:firstLine="560" w:firstLineChars="200"/>
        <w:rPr>
          <w:rFonts w:hint="eastAsia"/>
          <w:bCs/>
          <w:color w:val="auto"/>
          <w:sz w:val="28"/>
          <w:szCs w:val="28"/>
          <w:lang w:val="en-US" w:eastAsia="zh-CN"/>
        </w:rPr>
      </w:pPr>
      <w:r>
        <w:rPr>
          <w:rFonts w:hint="eastAsia"/>
          <w:bCs/>
          <w:color w:val="auto"/>
          <w:sz w:val="28"/>
          <w:szCs w:val="28"/>
          <w:lang w:val="en-US" w:eastAsia="zh-CN"/>
        </w:rPr>
        <w:t>3、投标人未列入经营异常名录和未列入严重违法失信企业名单（黑名单），投标人企业法人代表未被列入失信被执行人名单；</w:t>
      </w:r>
    </w:p>
    <w:p>
      <w:pPr>
        <w:pStyle w:val="5"/>
        <w:numPr>
          <w:ilvl w:val="0"/>
          <w:numId w:val="0"/>
        </w:numPr>
        <w:tabs>
          <w:tab w:val="left" w:pos="312"/>
        </w:tabs>
        <w:snapToGrid w:val="0"/>
        <w:spacing w:line="480" w:lineRule="auto"/>
        <w:ind w:firstLine="840" w:firstLineChars="300"/>
        <w:rPr>
          <w:rFonts w:hint="eastAsia"/>
          <w:bCs/>
          <w:color w:val="auto"/>
          <w:sz w:val="28"/>
          <w:szCs w:val="28"/>
          <w:lang w:val="en-US" w:eastAsia="zh-CN"/>
        </w:rPr>
      </w:pPr>
      <w:r>
        <w:rPr>
          <w:rFonts w:hint="eastAsia"/>
          <w:bCs/>
          <w:color w:val="auto"/>
          <w:sz w:val="28"/>
          <w:szCs w:val="28"/>
          <w:lang w:val="en-US" w:eastAsia="zh-CN"/>
        </w:rPr>
        <w:t>投标人在“信用中国”（www.creditchina.gov.cn）、中国政府采购网（www.ccgp.gov.cn）等网站，未被列入“失信被执行人”、“重大税收违法案件当事人名单”、“政府采购严重违法失信行为记录名单”；</w:t>
      </w:r>
    </w:p>
    <w:p>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left="630" w:leftChars="0"/>
        <w:textAlignment w:val="auto"/>
        <w:rPr>
          <w:rFonts w:hint="eastAsia"/>
          <w:bCs/>
          <w:color w:val="auto"/>
          <w:sz w:val="28"/>
          <w:szCs w:val="28"/>
          <w:lang w:val="en-US" w:eastAsia="zh-CN"/>
        </w:rPr>
      </w:pPr>
      <w:r>
        <w:rPr>
          <w:rFonts w:hint="eastAsia"/>
          <w:bCs/>
          <w:color w:val="auto"/>
          <w:sz w:val="28"/>
          <w:szCs w:val="28"/>
          <w:lang w:val="en-US" w:eastAsia="zh-CN"/>
        </w:rPr>
        <w:t>4、本项目不接受联合体投标，不得分包、转包；</w:t>
      </w:r>
    </w:p>
    <w:p>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left="630" w:leftChars="0"/>
        <w:textAlignment w:val="auto"/>
        <w:rPr>
          <w:rFonts w:hint="eastAsia"/>
          <w:bCs/>
          <w:color w:val="auto"/>
          <w:sz w:val="28"/>
          <w:szCs w:val="28"/>
          <w:lang w:val="en-US" w:eastAsia="zh-CN"/>
        </w:rPr>
      </w:pPr>
      <w:r>
        <w:rPr>
          <w:rFonts w:hint="eastAsia"/>
          <w:bCs/>
          <w:color w:val="auto"/>
          <w:sz w:val="28"/>
          <w:szCs w:val="28"/>
          <w:lang w:val="en-US" w:eastAsia="zh-CN"/>
        </w:rPr>
        <w:t>5、单位负责人为同一人或者存在直接控股、管理关系的不同投标人，不得参加本次采购活动。</w:t>
      </w:r>
    </w:p>
    <w:p>
      <w:pPr>
        <w:keepNext w:val="0"/>
        <w:keepLines w:val="0"/>
        <w:pageBreakBefore w:val="0"/>
        <w:kinsoku/>
        <w:wordWrap/>
        <w:overflowPunct/>
        <w:topLinePunct w:val="0"/>
        <w:autoSpaceDE/>
        <w:autoSpaceDN/>
        <w:bidi w:val="0"/>
        <w:adjustRightInd w:val="0"/>
        <w:snapToGrid w:val="0"/>
        <w:spacing w:line="48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6、具有良好的商业信誉和健全的财务会计制度；有依法缴纳税收和社会保障资金的良好记录；</w:t>
      </w:r>
    </w:p>
    <w:p>
      <w:pPr>
        <w:keepNext w:val="0"/>
        <w:keepLines w:val="0"/>
        <w:pageBreakBefore w:val="0"/>
        <w:kinsoku/>
        <w:wordWrap/>
        <w:overflowPunct/>
        <w:topLinePunct w:val="0"/>
        <w:autoSpaceDE/>
        <w:autoSpaceDN/>
        <w:bidi w:val="0"/>
        <w:adjustRightInd w:val="0"/>
        <w:snapToGrid w:val="0"/>
        <w:spacing w:line="48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7、项目负责人（项目经理）须具有国家注册造价工程师执业证书。（提供证书复印件并盖章）</w:t>
      </w:r>
    </w:p>
    <w:p>
      <w:pPr>
        <w:pStyle w:val="2"/>
        <w:ind w:left="0" w:leftChars="0" w:firstLine="0" w:firstLineChars="0"/>
        <w:rPr>
          <w:rFonts w:hint="default" w:ascii="仿宋_GB2312" w:hAnsi="Times New Roman" w:eastAsia="仿宋_GB2312" w:cs="仿宋_GB2312"/>
          <w:bCs/>
          <w:color w:val="auto"/>
          <w:kern w:val="0"/>
          <w:sz w:val="28"/>
          <w:szCs w:val="28"/>
          <w:lang w:val="en-US" w:eastAsia="zh-CN" w:bidi="ar-SA"/>
        </w:rPr>
      </w:pPr>
      <w:r>
        <w:rPr>
          <w:rFonts w:hint="eastAsia"/>
          <w:lang w:val="en-US" w:eastAsia="zh-CN"/>
        </w:rPr>
        <w:t xml:space="preserve">   </w:t>
      </w:r>
      <w:r>
        <w:rPr>
          <w:rFonts w:hint="eastAsia" w:ascii="仿宋_GB2312" w:hAnsi="Times New Roman" w:eastAsia="仿宋_GB2312" w:cs="仿宋_GB2312"/>
          <w:bCs/>
          <w:color w:val="auto"/>
          <w:kern w:val="0"/>
          <w:sz w:val="28"/>
          <w:szCs w:val="28"/>
          <w:lang w:val="en-US" w:eastAsia="zh-CN" w:bidi="ar-SA"/>
        </w:rPr>
        <w:t xml:space="preserve"> 8、投标供应商需在娄底市城区内有服务驻点（提供佐证材料）</w:t>
      </w:r>
    </w:p>
    <w:p>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p>
    <w:p>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r>
        <w:rPr>
          <w:rFonts w:hint="eastAsia"/>
          <w:bCs/>
          <w:color w:val="auto"/>
          <w:sz w:val="28"/>
          <w:szCs w:val="28"/>
          <w:lang w:val="en-US" w:eastAsia="zh-CN"/>
        </w:rPr>
        <w:t>四、投标截止时间、开标时间及地点：</w:t>
      </w:r>
    </w:p>
    <w:p>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r>
        <w:rPr>
          <w:rFonts w:hint="eastAsia"/>
          <w:bCs/>
          <w:color w:val="auto"/>
          <w:sz w:val="28"/>
          <w:szCs w:val="28"/>
          <w:lang w:val="en-US" w:eastAsia="zh-CN"/>
        </w:rPr>
        <w:t>1、投标截止时间、开标时间：详见公告</w:t>
      </w:r>
    </w:p>
    <w:p>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r>
        <w:rPr>
          <w:rFonts w:hint="eastAsia"/>
          <w:bCs/>
          <w:color w:val="auto"/>
          <w:sz w:val="28"/>
          <w:szCs w:val="28"/>
          <w:lang w:val="en-US" w:eastAsia="zh-CN"/>
        </w:rPr>
        <w:t>2、开标地点;报名结束后另行通知</w:t>
      </w:r>
    </w:p>
    <w:p>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r>
        <w:rPr>
          <w:rFonts w:hint="eastAsia"/>
          <w:bCs/>
          <w:color w:val="auto"/>
          <w:sz w:val="28"/>
          <w:szCs w:val="28"/>
          <w:lang w:val="en-US" w:eastAsia="zh-CN"/>
        </w:rPr>
        <w:t>五、招标人地址和联系方法：</w:t>
      </w:r>
    </w:p>
    <w:p>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default"/>
          <w:bCs/>
          <w:color w:val="auto"/>
          <w:sz w:val="28"/>
          <w:szCs w:val="28"/>
          <w:lang w:val="en-US" w:eastAsia="zh-CN"/>
        </w:rPr>
      </w:pPr>
      <w:r>
        <w:rPr>
          <w:rFonts w:hint="eastAsia"/>
          <w:bCs/>
          <w:color w:val="auto"/>
          <w:sz w:val="28"/>
          <w:szCs w:val="28"/>
          <w:lang w:val="en-US" w:eastAsia="zh-CN"/>
        </w:rPr>
        <w:t>1、招标人名称：娄底市中心医院</w:t>
      </w:r>
    </w:p>
    <w:p>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default"/>
          <w:bCs/>
          <w:color w:val="auto"/>
          <w:sz w:val="28"/>
          <w:szCs w:val="28"/>
          <w:lang w:val="en-US" w:eastAsia="zh-CN"/>
        </w:rPr>
      </w:pPr>
      <w:r>
        <w:rPr>
          <w:rFonts w:hint="eastAsia"/>
          <w:bCs/>
          <w:color w:val="auto"/>
          <w:sz w:val="28"/>
          <w:szCs w:val="28"/>
          <w:lang w:val="en-US" w:eastAsia="zh-CN"/>
        </w:rPr>
        <w:t>2、联系人及联系方式：张思远 15115875288</w:t>
      </w:r>
    </w:p>
    <w:p>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default"/>
          <w:bCs/>
          <w:color w:val="auto"/>
          <w:sz w:val="28"/>
          <w:szCs w:val="28"/>
          <w:lang w:val="en-US" w:eastAsia="zh-CN"/>
        </w:rPr>
      </w:pPr>
      <w:r>
        <w:rPr>
          <w:rFonts w:hint="eastAsia"/>
          <w:bCs/>
          <w:color w:val="auto"/>
          <w:sz w:val="28"/>
          <w:szCs w:val="28"/>
          <w:lang w:val="en-US" w:eastAsia="zh-CN"/>
        </w:rPr>
        <w:t>3、招标人地址：娄底市中心医院</w:t>
      </w:r>
    </w:p>
    <w:p>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p>
    <w:p>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default"/>
          <w:bCs/>
          <w:color w:val="auto"/>
          <w:sz w:val="28"/>
          <w:szCs w:val="28"/>
          <w:lang w:val="en-US" w:eastAsia="zh-CN"/>
        </w:rPr>
      </w:pPr>
    </w:p>
    <w:p>
      <w:pPr>
        <w:pStyle w:val="5"/>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p>
    <w:p>
      <w:pPr>
        <w:pStyle w:val="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sectPr>
          <w:headerReference r:id="rId3" w:type="default"/>
          <w:footerReference r:id="rId4" w:type="default"/>
          <w:pgSz w:w="11906" w:h="16838"/>
          <w:pgMar w:top="1191" w:right="1587" w:bottom="1020" w:left="1587" w:header="567" w:footer="283" w:gutter="0"/>
          <w:pgNumType w:start="1"/>
          <w:cols w:space="720" w:num="1"/>
          <w:docGrid w:linePitch="312" w:charSpace="0"/>
        </w:sectPr>
      </w:pPr>
    </w:p>
    <w:p>
      <w:pPr>
        <w:pStyle w:val="5"/>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一、采购清单、采购项目交付或者实施的时间和地点</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1.采购项目</w:t>
      </w:r>
    </w:p>
    <w:tbl>
      <w:tblPr>
        <w:tblStyle w:val="14"/>
        <w:tblW w:w="93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0"/>
        <w:gridCol w:w="3204"/>
        <w:gridCol w:w="1155"/>
        <w:gridCol w:w="422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8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default" w:ascii="仿宋_GB2312" w:hAnsi="Times New Roman" w:eastAsia="仿宋_GB2312" w:cs="仿宋_GB2312"/>
                <w:bCs/>
                <w:color w:val="auto"/>
                <w:kern w:val="0"/>
                <w:sz w:val="28"/>
                <w:szCs w:val="28"/>
                <w:lang w:val="en-US" w:eastAsia="zh-CN" w:bidi="ar-SA"/>
              </w:rPr>
              <w:t>序号</w:t>
            </w:r>
          </w:p>
        </w:tc>
        <w:tc>
          <w:tcPr>
            <w:tcW w:w="320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default" w:ascii="仿宋_GB2312" w:hAnsi="Times New Roman" w:eastAsia="仿宋_GB2312" w:cs="仿宋_GB2312"/>
                <w:bCs/>
                <w:color w:val="auto"/>
                <w:kern w:val="0"/>
                <w:sz w:val="28"/>
                <w:szCs w:val="28"/>
                <w:lang w:val="en-US" w:eastAsia="zh-CN" w:bidi="ar-SA"/>
              </w:rPr>
              <w:t>项目名称</w:t>
            </w:r>
          </w:p>
        </w:tc>
        <w:tc>
          <w:tcPr>
            <w:tcW w:w="115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期限</w:t>
            </w:r>
          </w:p>
        </w:tc>
        <w:tc>
          <w:tcPr>
            <w:tcW w:w="422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控制价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78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default" w:ascii="仿宋_GB2312" w:hAnsi="Times New Roman" w:eastAsia="仿宋_GB2312" w:cs="仿宋_GB2312"/>
                <w:bCs/>
                <w:color w:val="auto"/>
                <w:kern w:val="0"/>
                <w:sz w:val="28"/>
                <w:szCs w:val="28"/>
                <w:lang w:val="en-US" w:eastAsia="zh-CN" w:bidi="ar-SA"/>
              </w:rPr>
              <w:t>1</w:t>
            </w:r>
          </w:p>
        </w:tc>
        <w:tc>
          <w:tcPr>
            <w:tcW w:w="320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常年项目价格咨询服务</w:t>
            </w:r>
          </w:p>
        </w:tc>
        <w:tc>
          <w:tcPr>
            <w:tcW w:w="115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2年</w:t>
            </w:r>
          </w:p>
        </w:tc>
        <w:tc>
          <w:tcPr>
            <w:tcW w:w="422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按财评评审报告（无财评评审按预算）金额的3‰作为控制价</w:t>
            </w:r>
          </w:p>
        </w:tc>
      </w:tr>
    </w:tbl>
    <w:p>
      <w:pPr>
        <w:spacing w:line="360" w:lineRule="auto"/>
        <w:rPr>
          <w:rFonts w:hint="default" w:ascii="仿宋_GB2312" w:hAnsi="Times New Roman" w:eastAsia="仿宋_GB2312" w:cs="仿宋_GB2312"/>
          <w:bCs/>
          <w:color w:val="auto"/>
          <w:kern w:val="0"/>
          <w:sz w:val="28"/>
          <w:szCs w:val="28"/>
          <w:lang w:val="en-US" w:eastAsia="zh-CN" w:bidi="ar-SA"/>
        </w:rPr>
      </w:pP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2、服务时间：双方签订合同时具体约定。</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3、服务地点：娄底市中心医院。</w:t>
      </w:r>
    </w:p>
    <w:p>
      <w:pPr>
        <w:spacing w:line="360" w:lineRule="auto"/>
        <w:ind w:firstLine="560" w:firstLineChars="200"/>
        <w:rPr>
          <w:rFonts w:hint="default"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二、项目内容及要求</w:t>
      </w:r>
      <w:r>
        <w:rPr>
          <w:rFonts w:hint="eastAsia" w:ascii="仿宋_GB2312" w:eastAsia="仿宋_GB2312" w:cs="仿宋_GB2312"/>
          <w:bCs/>
          <w:color w:val="auto"/>
          <w:kern w:val="0"/>
          <w:sz w:val="28"/>
          <w:szCs w:val="28"/>
          <w:lang w:val="en-US" w:eastAsia="zh-CN" w:bidi="ar-SA"/>
        </w:rPr>
        <w:t>，以下内容均需满足，不满足的视为无效投标</w:t>
      </w:r>
    </w:p>
    <w:p>
      <w:pPr>
        <w:pStyle w:val="16"/>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1、报价方式：</w:t>
      </w:r>
      <w:r>
        <w:rPr>
          <w:rFonts w:hint="eastAsia" w:ascii="仿宋_GB2312" w:eastAsia="仿宋_GB2312" w:cs="仿宋_GB2312"/>
          <w:bCs/>
          <w:color w:val="auto"/>
          <w:kern w:val="0"/>
          <w:sz w:val="28"/>
          <w:szCs w:val="28"/>
          <w:lang w:val="en-US" w:eastAsia="zh-CN" w:bidi="ar-SA"/>
        </w:rPr>
        <w:t>按财评评审报告（无财评评审按预算）金额的3‰作为控制价</w:t>
      </w:r>
      <w:r>
        <w:rPr>
          <w:rFonts w:hint="eastAsia" w:ascii="仿宋_GB2312" w:hAnsi="Times New Roman" w:eastAsia="仿宋_GB2312" w:cs="仿宋_GB2312"/>
          <w:bCs/>
          <w:color w:val="auto"/>
          <w:kern w:val="0"/>
          <w:sz w:val="28"/>
          <w:szCs w:val="28"/>
          <w:lang w:val="en-US" w:eastAsia="zh-CN" w:bidi="ar-SA"/>
        </w:rPr>
        <w:t>，报价需在</w:t>
      </w:r>
      <w:r>
        <w:rPr>
          <w:rFonts w:hint="eastAsia" w:ascii="仿宋_GB2312" w:eastAsia="仿宋_GB2312" w:cs="仿宋_GB2312"/>
          <w:bCs/>
          <w:color w:val="auto"/>
          <w:kern w:val="0"/>
          <w:sz w:val="28"/>
          <w:szCs w:val="28"/>
          <w:lang w:val="en-US" w:eastAsia="zh-CN" w:bidi="ar-SA"/>
        </w:rPr>
        <w:t>3‰</w:t>
      </w:r>
      <w:r>
        <w:rPr>
          <w:rFonts w:hint="eastAsia" w:ascii="仿宋_GB2312" w:hAnsi="Times New Roman" w:eastAsia="仿宋_GB2312" w:cs="仿宋_GB2312"/>
          <w:bCs/>
          <w:color w:val="auto"/>
          <w:kern w:val="0"/>
          <w:sz w:val="28"/>
          <w:szCs w:val="28"/>
          <w:lang w:val="en-US" w:eastAsia="zh-CN" w:bidi="ar-SA"/>
        </w:rPr>
        <w:t>以下。</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2、</w:t>
      </w:r>
      <w:r>
        <w:rPr>
          <w:rFonts w:hint="eastAsia" w:ascii="仿宋_GB2312" w:eastAsia="仿宋_GB2312" w:cs="仿宋_GB2312"/>
          <w:bCs/>
          <w:color w:val="auto"/>
          <w:kern w:val="0"/>
          <w:sz w:val="28"/>
          <w:szCs w:val="28"/>
          <w:lang w:val="en-US" w:eastAsia="zh-CN" w:bidi="ar-SA"/>
        </w:rPr>
        <w:t>项目内容</w:t>
      </w:r>
      <w:r>
        <w:rPr>
          <w:rFonts w:hint="eastAsia" w:ascii="仿宋_GB2312" w:hAnsi="Times New Roman" w:eastAsia="仿宋_GB2312" w:cs="仿宋_GB2312"/>
          <w:bCs/>
          <w:color w:val="auto"/>
          <w:kern w:val="0"/>
          <w:sz w:val="28"/>
          <w:szCs w:val="28"/>
          <w:lang w:val="en-US" w:eastAsia="zh-CN" w:bidi="ar-SA"/>
        </w:rPr>
        <w:t>包括工程造价咨询服务和货物、服务采购项目价格咨询服务，具体单个项目咨询服务以</w:t>
      </w:r>
      <w:r>
        <w:rPr>
          <w:rFonts w:hint="eastAsia" w:ascii="仿宋_GB2312" w:eastAsia="仿宋_GB2312" w:cs="仿宋_GB2312"/>
          <w:bCs/>
          <w:color w:val="auto"/>
          <w:kern w:val="0"/>
          <w:sz w:val="28"/>
          <w:szCs w:val="28"/>
          <w:lang w:val="en-US" w:eastAsia="zh-CN" w:bidi="ar-SA"/>
        </w:rPr>
        <w:t>院方</w:t>
      </w:r>
      <w:r>
        <w:rPr>
          <w:rFonts w:hint="eastAsia" w:ascii="仿宋_GB2312" w:hAnsi="Times New Roman" w:eastAsia="仿宋_GB2312" w:cs="仿宋_GB2312"/>
          <w:bCs/>
          <w:color w:val="auto"/>
          <w:kern w:val="0"/>
          <w:sz w:val="28"/>
          <w:szCs w:val="28"/>
          <w:lang w:val="en-US" w:eastAsia="zh-CN" w:bidi="ar-SA"/>
        </w:rPr>
        <w:t>通知为准。</w:t>
      </w:r>
    </w:p>
    <w:p>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3、工</w:t>
      </w:r>
      <w:r>
        <w:rPr>
          <w:rFonts w:hint="eastAsia" w:ascii="仿宋_GB2312" w:hAnsi="Times New Roman" w:eastAsia="仿宋_GB2312" w:cs="仿宋_GB2312"/>
          <w:bCs/>
          <w:color w:val="auto"/>
          <w:kern w:val="0"/>
          <w:sz w:val="28"/>
          <w:szCs w:val="28"/>
          <w:lang w:val="en-US" w:eastAsia="zh-CN" w:bidi="ar-SA"/>
        </w:rPr>
        <w:t>程造价咨询服务：提供</w:t>
      </w:r>
      <w:r>
        <w:rPr>
          <w:rFonts w:hint="eastAsia" w:ascii="仿宋_GB2312" w:eastAsia="仿宋_GB2312" w:cs="仿宋_GB2312"/>
          <w:bCs/>
          <w:color w:val="auto"/>
          <w:kern w:val="0"/>
          <w:sz w:val="28"/>
          <w:szCs w:val="28"/>
          <w:lang w:val="en-US" w:eastAsia="zh-CN" w:bidi="ar-SA"/>
        </w:rPr>
        <w:t>院方</w:t>
      </w:r>
      <w:r>
        <w:rPr>
          <w:rFonts w:hint="eastAsia" w:ascii="仿宋_GB2312" w:hAnsi="Times New Roman" w:eastAsia="仿宋_GB2312" w:cs="仿宋_GB2312"/>
          <w:bCs/>
          <w:color w:val="auto"/>
          <w:kern w:val="0"/>
          <w:sz w:val="28"/>
          <w:szCs w:val="28"/>
          <w:lang w:val="en-US" w:eastAsia="zh-CN" w:bidi="ar-SA"/>
        </w:rPr>
        <w:t>工程项目造价咨询服务，单个项目造价咨询服务符合《必须招标的工程项目规定》（中华人民共和国国家发展和改革委员会第16号文）、娄底市财政局发布的最新版《娄底市预算单位政府集中采购目录及标准指引》的政府采购限额以下、非公开招标采购的规定，并出具结论报告。</w:t>
      </w:r>
    </w:p>
    <w:p>
      <w:pPr>
        <w:pStyle w:val="2"/>
        <w:keepNext w:val="0"/>
        <w:keepLines w:val="0"/>
        <w:pageBreakBefore w:val="0"/>
        <w:widowControl w:val="0"/>
        <w:kinsoku/>
        <w:wordWrap/>
        <w:overflowPunct/>
        <w:topLinePunct w:val="0"/>
        <w:autoSpaceDE/>
        <w:autoSpaceDN/>
        <w:bidi w:val="0"/>
        <w:adjustRightInd/>
        <w:snapToGrid/>
        <w:spacing w:line="360" w:lineRule="auto"/>
        <w:ind w:left="0" w:leftChars="0"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 xml:space="preserve"> 4、货物、服务采购项目价格咨询服务：提供</w:t>
      </w:r>
      <w:r>
        <w:rPr>
          <w:rFonts w:hint="eastAsia" w:ascii="仿宋_GB2312" w:eastAsia="仿宋_GB2312" w:cs="仿宋_GB2312"/>
          <w:bCs/>
          <w:color w:val="auto"/>
          <w:kern w:val="0"/>
          <w:sz w:val="28"/>
          <w:szCs w:val="28"/>
          <w:lang w:val="en-US" w:eastAsia="zh-CN" w:bidi="ar-SA"/>
        </w:rPr>
        <w:t>院方</w:t>
      </w:r>
      <w:r>
        <w:rPr>
          <w:rFonts w:hint="eastAsia" w:ascii="仿宋_GB2312" w:hAnsi="Times New Roman" w:eastAsia="仿宋_GB2312" w:cs="仿宋_GB2312"/>
          <w:bCs/>
          <w:color w:val="auto"/>
          <w:kern w:val="0"/>
          <w:sz w:val="28"/>
          <w:szCs w:val="28"/>
          <w:lang w:val="en-US" w:eastAsia="zh-CN" w:bidi="ar-SA"/>
        </w:rPr>
        <w:t>货物、服务采购项目价格咨询服务，单个项目价格咨询服务符合《招标投标法》《政府采购法》及法规、政策的政府采购限额以下、非公开招标采购规定，并出具结论报告。</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both"/>
        <w:textAlignment w:val="auto"/>
        <w:rPr>
          <w:rFonts w:hint="default"/>
          <w:lang w:val="en-US" w:eastAsia="zh-CN"/>
        </w:rPr>
      </w:pPr>
      <w:r>
        <w:rPr>
          <w:rFonts w:hint="eastAsia" w:ascii="仿宋_GB2312" w:hAnsi="Times New Roman" w:eastAsia="仿宋_GB2312" w:cs="仿宋_GB2312"/>
          <w:bCs/>
          <w:color w:val="auto"/>
          <w:kern w:val="0"/>
          <w:sz w:val="28"/>
          <w:szCs w:val="28"/>
          <w:lang w:val="en-US" w:eastAsia="zh-CN" w:bidi="ar-SA"/>
        </w:rPr>
        <w:t>5、两年咨询服务费用总额应控制在娄底市财政局发布的最新版《娄底市预算单位政府集中采购目录及标准指引》中规定的限额以下，如超过限额，本项目自动终止。</w:t>
      </w:r>
      <w:bookmarkStart w:id="5" w:name="_GoBack"/>
      <w:bookmarkEnd w:id="5"/>
    </w:p>
    <w:p>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三、</w:t>
      </w:r>
      <w:r>
        <w:rPr>
          <w:rFonts w:hint="default" w:ascii="仿宋_GB2312" w:hAnsi="Times New Roman" w:eastAsia="仿宋_GB2312" w:cs="仿宋_GB2312"/>
          <w:bCs/>
          <w:color w:val="auto"/>
          <w:kern w:val="0"/>
          <w:sz w:val="28"/>
          <w:szCs w:val="28"/>
          <w:lang w:val="en-US" w:eastAsia="zh-CN" w:bidi="ar-SA"/>
        </w:rPr>
        <w:t>标书要求</w:t>
      </w:r>
    </w:p>
    <w:p>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1、封面：需注明标的名称、投标文件、单位、时间；</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2、“三证合一”或“五证合一”营业执照；</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3、投标人身份证复印件；</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5</w:t>
      </w:r>
      <w:r>
        <w:rPr>
          <w:rFonts w:hint="eastAsia" w:ascii="仿宋_GB2312" w:hAnsi="Times New Roman" w:eastAsia="仿宋_GB2312" w:cs="仿宋_GB2312"/>
          <w:bCs/>
          <w:color w:val="auto"/>
          <w:kern w:val="0"/>
          <w:sz w:val="28"/>
          <w:szCs w:val="28"/>
          <w:lang w:val="en-US" w:eastAsia="zh-CN" w:bidi="ar-SA"/>
        </w:rPr>
        <w:t>、履行本项目所必需的资质证明；</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6、针对此项目的技术、服务方案；</w:t>
      </w:r>
    </w:p>
    <w:p>
      <w:pPr>
        <w:spacing w:line="360" w:lineRule="auto"/>
        <w:ind w:firstLine="560" w:firstLineChars="200"/>
        <w:rPr>
          <w:rFonts w:hint="default"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7、投标人认为需提供的其他和评审有关的资料；</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8、投标文件的每一页都必须加盖投标单位的公章；</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9</w:t>
      </w:r>
      <w:r>
        <w:rPr>
          <w:rFonts w:hint="eastAsia" w:ascii="仿宋_GB2312" w:hAnsi="Times New Roman" w:eastAsia="仿宋_GB2312" w:cs="仿宋_GB2312"/>
          <w:bCs/>
          <w:color w:val="auto"/>
          <w:kern w:val="0"/>
          <w:sz w:val="28"/>
          <w:szCs w:val="28"/>
          <w:lang w:val="en-US" w:eastAsia="zh-CN" w:bidi="ar-SA"/>
        </w:rPr>
        <w:t>、投标文件必须胶装并用纸质文件袋封好（一正</w:t>
      </w:r>
      <w:r>
        <w:rPr>
          <w:rFonts w:hint="eastAsia" w:ascii="仿宋_GB2312" w:eastAsia="仿宋_GB2312" w:cs="仿宋_GB2312"/>
          <w:bCs/>
          <w:color w:val="auto"/>
          <w:kern w:val="0"/>
          <w:sz w:val="28"/>
          <w:szCs w:val="28"/>
          <w:lang w:val="en-US" w:eastAsia="zh-CN" w:bidi="ar-SA"/>
        </w:rPr>
        <w:t>一</w:t>
      </w:r>
      <w:r>
        <w:rPr>
          <w:rFonts w:hint="eastAsia" w:ascii="仿宋_GB2312" w:hAnsi="Times New Roman" w:eastAsia="仿宋_GB2312" w:cs="仿宋_GB2312"/>
          <w:bCs/>
          <w:color w:val="auto"/>
          <w:kern w:val="0"/>
          <w:sz w:val="28"/>
          <w:szCs w:val="28"/>
          <w:lang w:val="en-US" w:eastAsia="zh-CN" w:bidi="ar-SA"/>
        </w:rPr>
        <w:t>副），封口加盖单位公章，在开标现场验证时打开，采用现场开标的方式。</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p>
    <w:p>
      <w:pPr>
        <w:pStyle w:val="1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四、</w:t>
      </w:r>
      <w:r>
        <w:rPr>
          <w:rFonts w:hint="eastAsia" w:ascii="仿宋_GB2312" w:hAnsi="Times New Roman" w:eastAsia="仿宋_GB2312" w:cs="仿宋_GB2312"/>
          <w:bCs/>
          <w:color w:val="auto"/>
          <w:kern w:val="0"/>
          <w:sz w:val="28"/>
          <w:szCs w:val="28"/>
          <w:lang w:val="en-US" w:eastAsia="zh-CN" w:bidi="ar-SA"/>
        </w:rPr>
        <w:t>合同</w:t>
      </w:r>
    </w:p>
    <w:p>
      <w:pPr>
        <w:pStyle w:val="16"/>
        <w:widowControl w:val="0"/>
        <w:numPr>
          <w:ilvl w:val="0"/>
          <w:numId w:val="0"/>
        </w:numPr>
        <w:jc w:val="both"/>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eastAsia" w:ascii="宋体" w:hAnsi="宋体" w:eastAsia="宋体" w:cs="宋体"/>
          <w:b/>
          <w:bCs/>
          <w:color w:val="000000" w:themeColor="text1"/>
          <w:sz w:val="44"/>
          <w:szCs w:val="44"/>
          <w:lang w:val="en-US" w:eastAsia="zh-CN"/>
          <w14:textFill>
            <w14:solidFill>
              <w14:schemeClr w14:val="tx1"/>
            </w14:solidFill>
          </w14:textFill>
        </w:rPr>
      </w:pPr>
      <w:r>
        <w:rPr>
          <w:rFonts w:hint="eastAsia" w:ascii="宋体" w:hAnsi="宋体" w:eastAsia="宋体" w:cs="宋体"/>
          <w:b/>
          <w:bCs/>
          <w:color w:val="000000" w:themeColor="text1"/>
          <w:sz w:val="44"/>
          <w:szCs w:val="44"/>
          <w:lang w:val="en-US" w:eastAsia="zh-CN"/>
          <w14:textFill>
            <w14:solidFill>
              <w14:schemeClr w14:val="tx1"/>
            </w14:solidFill>
          </w14:textFill>
        </w:rPr>
        <w:t>常年项目价格咨询服务合同</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甲方：娄底市中心医院</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 xml:space="preserve">乙方：               </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甲方通过院内挂网公开采购常年项目价格咨询服务，选定乙方为服务单位。现依据《中华人民共和国民法典》等相关法律法规之规定，双方就甲方委托乙方提供常年项目价格咨询服务事宜达成一致，特订立本合同，以资共同遵守。</w:t>
      </w:r>
    </w:p>
    <w:p>
      <w:pPr>
        <w:spacing w:line="360" w:lineRule="auto"/>
        <w:ind w:firstLine="560" w:firstLineChars="200"/>
        <w:rPr>
          <w:rFonts w:hint="default"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1.服务内容及期限</w:t>
      </w:r>
    </w:p>
    <w:p>
      <w:pPr>
        <w:spacing w:line="360" w:lineRule="auto"/>
        <w:ind w:firstLine="560" w:firstLineChars="200"/>
        <w:rPr>
          <w:rFonts w:hint="default"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1.1  乙方提供甲方常年项目价格咨询服务，包括工程造价咨询服务和货物、服务采购项目价格咨询服务，具体单个项目咨询服务以甲方通知为准。</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1.1.1  工程造价咨询服务：提供甲方工程项目造价咨询服务，单个项目造价咨询服务符合《必须招标的工程项目规定》（中华人民共和国国家发展和改革委员会第16号文）、娄底市财政局发布的最新版《娄底市预算单位政府集中采购目录及标准指引》的政府采购限额以下、非公开招标采购的规定，并出具结论报告。</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1.1.2  货物、服务采购项目价格咨询服务：提供甲方货物、服务采购项目价格咨询服务，单个项目价格咨询服务符合《招标投标法》《政府采购法》及法规、政策的政府采购限额以下、非公开招标采购规定，并出具结论报告。</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1.2 服务期限为 贰 年，自    年    月    日起至    年       月    日止。</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1.2.1 两年咨询服务费用总额应控制在娄底市财政局发布的最新版《娄底市预算单位政府集中采购目录及标准指引》中规定的限额以内，如超过限额，合同终止服务。</w:t>
      </w:r>
    </w:p>
    <w:p>
      <w:pPr>
        <w:spacing w:line="360" w:lineRule="auto"/>
        <w:ind w:firstLine="560" w:firstLineChars="200"/>
        <w:rPr>
          <w:rFonts w:hint="default"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1.2.2 乙方应根据甲方通知项目所做预算控制咨询服务费用，在限额到达之前及时通知甲方。</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2.工程造价咨询要求</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2.1  工作依据：甲方通知；甲方提供的施工图纸及其他资料；国家颁发的相关文件以及湖南省发布和执行的相关通知；按相关规定执行的材料价格文件。</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2.2  咨询业务范围和工作内容及时间、咨询成果交付：</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2.2.1  咨询业务范围：造价咨询服务</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2.2.2  咨询工作内容及时间：甲方提供设计施工图范围内的全部工作内容，无设计施工图需现场收方记录的预算，建筑材料价格咨询等、物资、设备等预算编制及价格咨询等。</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2.2.3  咨询成果交付：乙方应在甲方每次规定时间内向甲方提交咨询报告纸质档一式叁份、电子档一份。</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3.货物、服务采购项目价格咨询服务要求</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3.1  工作依据：甲方通知；甲方提供的参数及其他资料；国家、省相关技术标准、费用标准、规范、定额；国家颁发的相关文件以及湖南省发布和执行的相关通知。</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3.2  咨询业务范围和工作内容及时间、咨询成果交付：</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3.2.1  咨询业务范围：价格（造价）咨询服务</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3.2.2  咨询工作内容及时间：根据甲方提供的参数和要求，对甲方非公开招标的货物、服务采购项目投入资金进行评估、编制预算、形成结论等。</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3.2.3  咨询成果交付：乙方应在甲方每次规定时间内向甲方提交价格咨询（造价）报告书纸质档一式叁份、电子档一份。</w:t>
      </w:r>
    </w:p>
    <w:p>
      <w:pPr>
        <w:spacing w:line="360" w:lineRule="auto"/>
        <w:ind w:firstLine="560" w:firstLineChars="200"/>
        <w:rPr>
          <w:rFonts w:hint="default"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4.甲方权利和义务</w:t>
      </w:r>
    </w:p>
    <w:p>
      <w:pPr>
        <w:spacing w:line="360" w:lineRule="auto"/>
        <w:ind w:firstLine="560" w:firstLineChars="200"/>
        <w:rPr>
          <w:rFonts w:hint="default"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 xml:space="preserve">4.1  书面通知乙方开展具体项目咨询服务，按照乙方提交的资料清单及时提供所需初步设计概算及批复文件、招投标文件、工程项目施工合同、材料和设备采购合同、工程竣工验收报告、工程结算资料、会计账簿、会计凭证、报表及其他资料，并对资料的真实性、合法性负责。 </w:t>
      </w:r>
    </w:p>
    <w:p>
      <w:pPr>
        <w:spacing w:line="360" w:lineRule="auto"/>
        <w:ind w:firstLine="560" w:firstLineChars="200"/>
        <w:rPr>
          <w:rFonts w:hint="default"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4.2  如乙方需来甲方现场办公，由甲方负责协调。</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4.3  甲方有权向乙方询问工作进展情况及相关的内容，提出具体问题的意见和建议，并要求乙方予书面答复。</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4.4  如甲方认为乙方咨询工作人员存在工作态度、责任心、技术能力、协调能力等方面的问题，不按造价咨询合同履行其职责，已经或可能给甲方造成经济损失的，甲方有权要求更换咨询工作人员。</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5.乙方权利和义务</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5.1  按照甲方通知提供具体项目价格咨询服务，根据咨询服务的内容和进度安排，在甲方规定时间内出具结论报告及有关成果。</w:t>
      </w:r>
    </w:p>
    <w:p>
      <w:pPr>
        <w:spacing w:line="360" w:lineRule="auto"/>
        <w:ind w:firstLine="560" w:firstLineChars="200"/>
        <w:rPr>
          <w:rFonts w:hint="default"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5.2  指派具备资质的咨询人员组成项目组提供价格咨询服务，确保足够的人力、物力等资源保证按时按质按量完成乙方委托并出具评估报告。如乙方更换项目组人员应提前5个工作日书面报告甲方，经甲方同意后可以更换；如甲方提出更换项目组工作人员，乙方应在接到甲方通知之日起3日内更换到位。</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5.3  咨询人员应完整、准确、真实反映并记录过程中的工作情况，做好审核资料、工作底稿整理、归集，并按规定格式和质量要求提供需求方案和评估文件。</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5.4  乙方负责与价格咨询业务有关的第三方/第三人的协调，为价格咨询工作提供外部条件。如需外聘专家协助，在委托的价格咨询服务范围内的费用由乙方承担；在委托的价格咨询服务范围以外且经甲方认可的费用由甲方承担。</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5.5  乙方在收到甲方提供的资料信息时应进行书面签收，如对资料信息有异议的，乙方应在收到之日起2个工作日内向甲方反映，否则视为认可甲方提供的资料信息，后续因资料信息错误或者缺陷等而导致的一切后果由乙方自行承担。</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5.6  乙方不得参与可能与甲方利益相冲突的任何活动。</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6.知识产权</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6.1  乙方为实施项目提供的所有资料及工作成果归甲方所有。乙方不得使用或者授权他人使用本合同项下的成果及相关信息，否则承担法律责任和由此造成的甲方经济损失。</w:t>
      </w:r>
    </w:p>
    <w:p>
      <w:pPr>
        <w:spacing w:line="360" w:lineRule="auto"/>
        <w:ind w:firstLine="560" w:firstLineChars="200"/>
        <w:rPr>
          <w:rFonts w:hint="default"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6.2  乙方确保履行本合同不会侵犯第三方的知识产权或引发知识产权纠纷，否则由乙方负责处理、承担法律责任和赔偿由此造成的甲方经济损失。</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7.保密条款</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7.1  乙方对履行本合同获悉的甲方商业秘密、业务信息及接触到的甲方内部文件资料（包括内部发文、各类通知及会议记录等）等内容应严格保密，不得擅自记录、复制、拍摄、摘抄、收藏等，不得将乙方的任何资料、数据透露或以其他方式提供给与履行合同无关的任何人员。</w:t>
      </w:r>
    </w:p>
    <w:p>
      <w:pPr>
        <w:spacing w:line="360" w:lineRule="auto"/>
        <w:ind w:firstLine="560" w:firstLineChars="200"/>
        <w:rPr>
          <w:rFonts w:hint="default"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7.2  乙方应确保甲方信息不被披露或使用；如因公、检、法、纪及行业监管部门需要进行披露的，乙方应当及时通知甲方。</w:t>
      </w:r>
    </w:p>
    <w:p>
      <w:pPr>
        <w:spacing w:line="360" w:lineRule="auto"/>
        <w:ind w:firstLine="560" w:firstLineChars="200"/>
        <w:rPr>
          <w:rFonts w:hint="default"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 xml:space="preserve">    7.3  乙方的保密义务不因本合同终止、无效、撤销而终止。</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8.价款及支付方式</w:t>
      </w:r>
    </w:p>
    <w:p>
      <w:pPr>
        <w:spacing w:line="360" w:lineRule="auto"/>
        <w:ind w:firstLine="560" w:firstLineChars="200"/>
        <w:rPr>
          <w:rFonts w:hint="default"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8.1  本合同按项目财评评审报告总造价（没有进行财评的以预算价）的        ‰计算咨询服务费用，该费用已经包含乙方履行本合同正常工作、附加工作和额外工作的酬金、税费等所有费用，甲方不再另行支付附加工作和额外工作酬金等其他任何费用。</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8.2  在甲乙双方就本合同期间全部项目的服务费用</w:t>
      </w:r>
      <w:r>
        <w:rPr>
          <w:rFonts w:hint="eastAsia" w:ascii="仿宋_GB2312" w:eastAsia="仿宋_GB2312" w:cs="仿宋_GB2312"/>
          <w:bCs/>
          <w:color w:val="auto"/>
          <w:kern w:val="0"/>
          <w:sz w:val="28"/>
          <w:szCs w:val="28"/>
          <w:lang w:val="en-US" w:eastAsia="zh-CN" w:bidi="ar-SA"/>
        </w:rPr>
        <w:t>按年度</w:t>
      </w:r>
      <w:r>
        <w:rPr>
          <w:rFonts w:hint="eastAsia" w:ascii="仿宋_GB2312" w:hAnsi="Times New Roman" w:eastAsia="仿宋_GB2312" w:cs="仿宋_GB2312"/>
          <w:bCs/>
          <w:color w:val="auto"/>
          <w:kern w:val="0"/>
          <w:sz w:val="28"/>
          <w:szCs w:val="28"/>
          <w:lang w:val="en-US" w:eastAsia="zh-CN" w:bidi="ar-SA"/>
        </w:rPr>
        <w:t>进行结算确认；甲方在结算确认之日起</w:t>
      </w:r>
      <w:r>
        <w:rPr>
          <w:rFonts w:hint="eastAsia" w:ascii="仿宋_GB2312" w:eastAsia="仿宋_GB2312" w:cs="仿宋_GB2312"/>
          <w:bCs/>
          <w:color w:val="auto"/>
          <w:kern w:val="0"/>
          <w:sz w:val="28"/>
          <w:szCs w:val="28"/>
          <w:lang w:val="en-US" w:eastAsia="zh-CN" w:bidi="ar-SA"/>
        </w:rPr>
        <w:t>30</w:t>
      </w:r>
      <w:r>
        <w:rPr>
          <w:rFonts w:hint="eastAsia" w:ascii="仿宋_GB2312" w:hAnsi="Times New Roman" w:eastAsia="仿宋_GB2312" w:cs="仿宋_GB2312"/>
          <w:bCs/>
          <w:color w:val="auto"/>
          <w:kern w:val="0"/>
          <w:sz w:val="28"/>
          <w:szCs w:val="28"/>
          <w:lang w:val="en-US" w:eastAsia="zh-CN" w:bidi="ar-SA"/>
        </w:rPr>
        <w:t>个工作日内将酬金一次性支付至乙方指定银行账户：账户名：  ，开户银行：     ，账号：             。</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8.3  乙方须在甲方支付前提供以乙方名义开具的结算金额增值税普通发票，如未提供，甲方顺延付款期限，由此产生的责任均由乙方自行承担。</w:t>
      </w:r>
    </w:p>
    <w:p>
      <w:pPr>
        <w:spacing w:line="360" w:lineRule="auto"/>
        <w:ind w:firstLine="560" w:firstLineChars="200"/>
        <w:rPr>
          <w:rFonts w:hint="default"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8.4  乙方指定            办理结算，如结算人员发生变更，乙方应及时通知甲方，否则承担一切后果。</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9.通知和送达</w:t>
      </w:r>
    </w:p>
    <w:p>
      <w:pPr>
        <w:spacing w:line="360" w:lineRule="auto"/>
        <w:ind w:firstLine="560" w:firstLineChars="200"/>
        <w:rPr>
          <w:rFonts w:hint="default"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 xml:space="preserve">9.1  </w:t>
      </w:r>
      <w:r>
        <w:rPr>
          <w:rFonts w:hint="default" w:ascii="仿宋_GB2312" w:hAnsi="Times New Roman" w:eastAsia="仿宋_GB2312" w:cs="仿宋_GB2312"/>
          <w:bCs/>
          <w:color w:val="auto"/>
          <w:kern w:val="0"/>
          <w:sz w:val="28"/>
          <w:szCs w:val="28"/>
          <w:lang w:val="en-US" w:eastAsia="zh-CN" w:bidi="ar-SA"/>
        </w:rPr>
        <w:t>甲乙双方同意，与本合同有关的任何文书，应以书面方式送达本合同约定的联系方式。书面形式包括手机短信、微信、书面函件、电子邮件等形式。</w:t>
      </w:r>
    </w:p>
    <w:p>
      <w:pPr>
        <w:spacing w:line="360" w:lineRule="auto"/>
        <w:ind w:firstLine="560" w:firstLineChars="200"/>
        <w:rPr>
          <w:rFonts w:hint="default"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 xml:space="preserve">9.2  </w:t>
      </w:r>
      <w:r>
        <w:rPr>
          <w:rFonts w:hint="default" w:ascii="仿宋_GB2312" w:hAnsi="Times New Roman" w:eastAsia="仿宋_GB2312" w:cs="仿宋_GB2312"/>
          <w:bCs/>
          <w:color w:val="auto"/>
          <w:kern w:val="0"/>
          <w:sz w:val="28"/>
          <w:szCs w:val="28"/>
          <w:lang w:val="en-US" w:eastAsia="zh-CN" w:bidi="ar-SA"/>
        </w:rPr>
        <w:t>双方确认的文书（包括未来可能发生的诉讼或仲裁活动中法院或仲裁机构的送达法律文书）送达地址：</w:t>
      </w:r>
    </w:p>
    <w:p>
      <w:pPr>
        <w:spacing w:line="360" w:lineRule="auto"/>
        <w:ind w:firstLine="560" w:firstLineChars="200"/>
        <w:rPr>
          <w:rFonts w:hint="default" w:ascii="仿宋_GB2312" w:hAnsi="Times New Roman" w:eastAsia="仿宋_GB2312" w:cs="仿宋_GB2312"/>
          <w:bCs/>
          <w:color w:val="auto"/>
          <w:kern w:val="0"/>
          <w:sz w:val="28"/>
          <w:szCs w:val="28"/>
          <w:lang w:val="en-US" w:eastAsia="zh-CN" w:bidi="ar-SA"/>
        </w:rPr>
      </w:pPr>
      <w:r>
        <w:rPr>
          <w:rFonts w:hint="default" w:ascii="仿宋_GB2312" w:hAnsi="Times New Roman" w:eastAsia="仿宋_GB2312" w:cs="仿宋_GB2312"/>
          <w:bCs/>
          <w:color w:val="auto"/>
          <w:kern w:val="0"/>
          <w:sz w:val="28"/>
          <w:szCs w:val="28"/>
          <w:lang w:val="en-US" w:eastAsia="zh-CN" w:bidi="ar-SA"/>
        </w:rPr>
        <w:t>（</w:t>
      </w:r>
      <w:r>
        <w:rPr>
          <w:rFonts w:hint="eastAsia" w:ascii="仿宋_GB2312" w:hAnsi="Times New Roman" w:eastAsia="仿宋_GB2312" w:cs="仿宋_GB2312"/>
          <w:bCs/>
          <w:color w:val="auto"/>
          <w:kern w:val="0"/>
          <w:sz w:val="28"/>
          <w:szCs w:val="28"/>
          <w:lang w:val="en-US" w:eastAsia="zh-CN" w:bidi="ar-SA"/>
        </w:rPr>
        <w:t>1</w:t>
      </w:r>
      <w:r>
        <w:rPr>
          <w:rFonts w:hint="default" w:ascii="仿宋_GB2312" w:hAnsi="Times New Roman" w:eastAsia="仿宋_GB2312" w:cs="仿宋_GB2312"/>
          <w:bCs/>
          <w:color w:val="auto"/>
          <w:kern w:val="0"/>
          <w:sz w:val="28"/>
          <w:szCs w:val="28"/>
          <w:lang w:val="en-US" w:eastAsia="zh-CN" w:bidi="ar-SA"/>
        </w:rPr>
        <w:t>）甲方的文书送达地址：娄底市中心医院建设管理科，收件人：</w:t>
      </w:r>
      <w:r>
        <w:rPr>
          <w:rFonts w:hint="eastAsia" w:ascii="仿宋_GB2312" w:hAnsi="Times New Roman" w:eastAsia="仿宋_GB2312" w:cs="仿宋_GB2312"/>
          <w:bCs/>
          <w:color w:val="auto"/>
          <w:kern w:val="0"/>
          <w:sz w:val="28"/>
          <w:szCs w:val="28"/>
          <w:lang w:val="en-US" w:eastAsia="zh-CN" w:bidi="ar-SA"/>
        </w:rPr>
        <w:t xml:space="preserve">     </w:t>
      </w:r>
      <w:r>
        <w:rPr>
          <w:rFonts w:hint="default" w:ascii="仿宋_GB2312" w:hAnsi="Times New Roman" w:eastAsia="仿宋_GB2312" w:cs="仿宋_GB2312"/>
          <w:bCs/>
          <w:color w:val="auto"/>
          <w:kern w:val="0"/>
          <w:sz w:val="28"/>
          <w:szCs w:val="28"/>
          <w:lang w:val="en-US" w:eastAsia="zh-CN" w:bidi="ar-SA"/>
        </w:rPr>
        <w:t>，联系电话：</w:t>
      </w:r>
      <w:r>
        <w:rPr>
          <w:rFonts w:hint="eastAsia" w:ascii="仿宋_GB2312" w:hAnsi="Times New Roman" w:eastAsia="仿宋_GB2312" w:cs="仿宋_GB2312"/>
          <w:bCs/>
          <w:color w:val="auto"/>
          <w:kern w:val="0"/>
          <w:sz w:val="28"/>
          <w:szCs w:val="28"/>
          <w:lang w:val="en-US" w:eastAsia="zh-CN" w:bidi="ar-SA"/>
        </w:rPr>
        <w:t xml:space="preserve">            </w:t>
      </w:r>
      <w:r>
        <w:rPr>
          <w:rFonts w:hint="default" w:ascii="仿宋_GB2312" w:hAnsi="Times New Roman" w:eastAsia="仿宋_GB2312" w:cs="仿宋_GB2312"/>
          <w:bCs/>
          <w:color w:val="auto"/>
          <w:kern w:val="0"/>
          <w:sz w:val="28"/>
          <w:szCs w:val="28"/>
          <w:lang w:val="en-US" w:eastAsia="zh-CN" w:bidi="ar-SA"/>
        </w:rPr>
        <w:t>，电子邮箱：</w:t>
      </w:r>
      <w:r>
        <w:rPr>
          <w:rFonts w:hint="eastAsia" w:ascii="仿宋_GB2312" w:hAnsi="Times New Roman" w:eastAsia="仿宋_GB2312" w:cs="仿宋_GB2312"/>
          <w:bCs/>
          <w:color w:val="auto"/>
          <w:kern w:val="0"/>
          <w:sz w:val="28"/>
          <w:szCs w:val="28"/>
          <w:lang w:val="en-US" w:eastAsia="zh-CN" w:bidi="ar-SA"/>
        </w:rPr>
        <w:t xml:space="preserve">             </w:t>
      </w:r>
      <w:r>
        <w:rPr>
          <w:rFonts w:hint="default" w:ascii="仿宋_GB2312" w:hAnsi="Times New Roman" w:eastAsia="仿宋_GB2312" w:cs="仿宋_GB2312"/>
          <w:bCs/>
          <w:color w:val="auto"/>
          <w:kern w:val="0"/>
          <w:sz w:val="28"/>
          <w:szCs w:val="28"/>
          <w:lang w:val="en-US" w:eastAsia="zh-CN" w:bidi="ar-SA"/>
        </w:rPr>
        <w:t xml:space="preserve">。                 </w:t>
      </w:r>
    </w:p>
    <w:p>
      <w:pPr>
        <w:spacing w:line="360" w:lineRule="auto"/>
        <w:ind w:firstLine="560" w:firstLineChars="200"/>
        <w:rPr>
          <w:rFonts w:hint="default" w:ascii="仿宋_GB2312" w:hAnsi="Times New Roman" w:eastAsia="仿宋_GB2312" w:cs="仿宋_GB2312"/>
          <w:bCs/>
          <w:color w:val="auto"/>
          <w:kern w:val="0"/>
          <w:sz w:val="28"/>
          <w:szCs w:val="28"/>
          <w:lang w:val="en-US" w:eastAsia="zh-CN" w:bidi="ar-SA"/>
        </w:rPr>
      </w:pPr>
      <w:r>
        <w:rPr>
          <w:rFonts w:hint="default" w:ascii="仿宋_GB2312" w:hAnsi="Times New Roman" w:eastAsia="仿宋_GB2312" w:cs="仿宋_GB2312"/>
          <w:bCs/>
          <w:color w:val="auto"/>
          <w:kern w:val="0"/>
          <w:sz w:val="28"/>
          <w:szCs w:val="28"/>
          <w:lang w:val="en-US" w:eastAsia="zh-CN" w:bidi="ar-SA"/>
        </w:rPr>
        <w:t>（</w:t>
      </w:r>
      <w:r>
        <w:rPr>
          <w:rFonts w:hint="eastAsia" w:ascii="仿宋_GB2312" w:hAnsi="Times New Roman" w:eastAsia="仿宋_GB2312" w:cs="仿宋_GB2312"/>
          <w:bCs/>
          <w:color w:val="auto"/>
          <w:kern w:val="0"/>
          <w:sz w:val="28"/>
          <w:szCs w:val="28"/>
          <w:lang w:val="en-US" w:eastAsia="zh-CN" w:bidi="ar-SA"/>
        </w:rPr>
        <w:t>2</w:t>
      </w:r>
      <w:r>
        <w:rPr>
          <w:rFonts w:hint="default" w:ascii="仿宋_GB2312" w:hAnsi="Times New Roman" w:eastAsia="仿宋_GB2312" w:cs="仿宋_GB2312"/>
          <w:bCs/>
          <w:color w:val="auto"/>
          <w:kern w:val="0"/>
          <w:sz w:val="28"/>
          <w:szCs w:val="28"/>
          <w:lang w:val="en-US" w:eastAsia="zh-CN" w:bidi="ar-SA"/>
        </w:rPr>
        <w:t>）乙方的文书送达地址：</w:t>
      </w:r>
      <w:r>
        <w:rPr>
          <w:rFonts w:hint="eastAsia" w:ascii="仿宋_GB2312" w:hAnsi="Times New Roman" w:eastAsia="仿宋_GB2312" w:cs="仿宋_GB2312"/>
          <w:bCs/>
          <w:color w:val="auto"/>
          <w:kern w:val="0"/>
          <w:sz w:val="28"/>
          <w:szCs w:val="28"/>
          <w:lang w:val="en-US" w:eastAsia="zh-CN" w:bidi="ar-SA"/>
        </w:rPr>
        <w:t xml:space="preserve">            </w:t>
      </w:r>
      <w:r>
        <w:rPr>
          <w:rFonts w:hint="default" w:ascii="仿宋_GB2312" w:hAnsi="Times New Roman" w:eastAsia="仿宋_GB2312" w:cs="仿宋_GB2312"/>
          <w:bCs/>
          <w:color w:val="auto"/>
          <w:kern w:val="0"/>
          <w:sz w:val="28"/>
          <w:szCs w:val="28"/>
          <w:lang w:val="en-US" w:eastAsia="zh-CN" w:bidi="ar-SA"/>
        </w:rPr>
        <w:t>，收件人：</w:t>
      </w:r>
      <w:r>
        <w:rPr>
          <w:rFonts w:hint="eastAsia" w:ascii="仿宋_GB2312" w:hAnsi="Times New Roman" w:eastAsia="仿宋_GB2312" w:cs="仿宋_GB2312"/>
          <w:bCs/>
          <w:color w:val="auto"/>
          <w:kern w:val="0"/>
          <w:sz w:val="28"/>
          <w:szCs w:val="28"/>
          <w:lang w:val="en-US" w:eastAsia="zh-CN" w:bidi="ar-SA"/>
        </w:rPr>
        <w:t xml:space="preserve">      </w:t>
      </w:r>
      <w:r>
        <w:rPr>
          <w:rFonts w:hint="default" w:ascii="仿宋_GB2312" w:hAnsi="Times New Roman" w:eastAsia="仿宋_GB2312" w:cs="仿宋_GB2312"/>
          <w:bCs/>
          <w:color w:val="auto"/>
          <w:kern w:val="0"/>
          <w:sz w:val="28"/>
          <w:szCs w:val="28"/>
          <w:lang w:val="en-US" w:eastAsia="zh-CN" w:bidi="ar-SA"/>
        </w:rPr>
        <w:t>，联系电话：</w:t>
      </w:r>
      <w:r>
        <w:rPr>
          <w:rFonts w:hint="eastAsia" w:ascii="仿宋_GB2312" w:hAnsi="Times New Roman" w:eastAsia="仿宋_GB2312" w:cs="仿宋_GB2312"/>
          <w:bCs/>
          <w:color w:val="auto"/>
          <w:kern w:val="0"/>
          <w:sz w:val="28"/>
          <w:szCs w:val="28"/>
          <w:lang w:val="en-US" w:eastAsia="zh-CN" w:bidi="ar-SA"/>
        </w:rPr>
        <w:t xml:space="preserve">            </w:t>
      </w:r>
      <w:r>
        <w:rPr>
          <w:rFonts w:hint="default" w:ascii="仿宋_GB2312" w:hAnsi="Times New Roman" w:eastAsia="仿宋_GB2312" w:cs="仿宋_GB2312"/>
          <w:bCs/>
          <w:color w:val="auto"/>
          <w:kern w:val="0"/>
          <w:sz w:val="28"/>
          <w:szCs w:val="28"/>
          <w:lang w:val="en-US" w:eastAsia="zh-CN" w:bidi="ar-SA"/>
        </w:rPr>
        <w:t>，电子邮箱：</w:t>
      </w:r>
      <w:r>
        <w:rPr>
          <w:rFonts w:hint="eastAsia" w:ascii="仿宋_GB2312" w:hAnsi="Times New Roman" w:eastAsia="仿宋_GB2312" w:cs="仿宋_GB2312"/>
          <w:bCs/>
          <w:color w:val="auto"/>
          <w:kern w:val="0"/>
          <w:sz w:val="28"/>
          <w:szCs w:val="28"/>
          <w:lang w:val="en-US" w:eastAsia="zh-CN" w:bidi="ar-SA"/>
        </w:rPr>
        <w:t xml:space="preserve">            </w:t>
      </w:r>
      <w:r>
        <w:rPr>
          <w:rFonts w:hint="default" w:ascii="仿宋_GB2312" w:hAnsi="Times New Roman" w:eastAsia="仿宋_GB2312" w:cs="仿宋_GB2312"/>
          <w:bCs/>
          <w:color w:val="auto"/>
          <w:kern w:val="0"/>
          <w:sz w:val="28"/>
          <w:szCs w:val="28"/>
          <w:lang w:val="en-US" w:eastAsia="zh-CN" w:bidi="ar-SA"/>
        </w:rPr>
        <w:t>。</w:t>
      </w:r>
    </w:p>
    <w:p>
      <w:pPr>
        <w:spacing w:line="360" w:lineRule="auto"/>
        <w:ind w:firstLine="560" w:firstLineChars="200"/>
        <w:rPr>
          <w:rFonts w:hint="default"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 xml:space="preserve">9.3  </w:t>
      </w:r>
      <w:r>
        <w:rPr>
          <w:rFonts w:hint="default" w:ascii="仿宋_GB2312" w:hAnsi="Times New Roman" w:eastAsia="仿宋_GB2312" w:cs="仿宋_GB2312"/>
          <w:bCs/>
          <w:color w:val="auto"/>
          <w:kern w:val="0"/>
          <w:sz w:val="28"/>
          <w:szCs w:val="28"/>
          <w:lang w:val="en-US" w:eastAsia="zh-CN" w:bidi="ar-SA"/>
        </w:rPr>
        <w:t>上述通知应被视为在下列时间送达：以快递或专人发送的，在收件人签收之日或拒收之日；以挂号邮件发出的，在发出之日起7个工作日；以电子邮件发出的，在电子邮件进入收件方电子邮箱服务器之日。</w:t>
      </w:r>
    </w:p>
    <w:p>
      <w:pPr>
        <w:spacing w:line="360" w:lineRule="auto"/>
        <w:ind w:firstLine="560" w:firstLineChars="200"/>
        <w:rPr>
          <w:rFonts w:hint="default"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 xml:space="preserve">9.4  </w:t>
      </w:r>
      <w:r>
        <w:rPr>
          <w:rFonts w:hint="default" w:ascii="仿宋_GB2312" w:hAnsi="Times New Roman" w:eastAsia="仿宋_GB2312" w:cs="仿宋_GB2312"/>
          <w:bCs/>
          <w:color w:val="auto"/>
          <w:kern w:val="0"/>
          <w:sz w:val="28"/>
          <w:szCs w:val="28"/>
          <w:lang w:val="en-US" w:eastAsia="zh-CN" w:bidi="ar-SA"/>
        </w:rPr>
        <w:t>以上地址和联系方式，任何一方发生变更应在变更之日起</w:t>
      </w:r>
      <w:r>
        <w:rPr>
          <w:rFonts w:hint="eastAsia" w:ascii="仿宋_GB2312" w:hAnsi="Times New Roman" w:eastAsia="仿宋_GB2312" w:cs="仿宋_GB2312"/>
          <w:bCs/>
          <w:color w:val="auto"/>
          <w:kern w:val="0"/>
          <w:sz w:val="28"/>
          <w:szCs w:val="28"/>
          <w:lang w:val="en-US" w:eastAsia="zh-CN" w:bidi="ar-SA"/>
        </w:rPr>
        <w:t>3</w:t>
      </w:r>
      <w:r>
        <w:rPr>
          <w:rFonts w:hint="default" w:ascii="仿宋_GB2312" w:hAnsi="Times New Roman" w:eastAsia="仿宋_GB2312" w:cs="仿宋_GB2312"/>
          <w:bCs/>
          <w:color w:val="auto"/>
          <w:kern w:val="0"/>
          <w:sz w:val="28"/>
          <w:szCs w:val="28"/>
          <w:lang w:val="en-US" w:eastAsia="zh-CN" w:bidi="ar-SA"/>
        </w:rPr>
        <w:t>日内通知对方。如未通知，一方按原地址送达的书面资料被退回的，退回之日视为送达之日。任何一方按照确认地址送到另一方的书面资料被拒绝签收导致邮件被退回的，退回之日视为送达之日。</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10.合同的变更和解除</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10.1  本合同未尽事宜，双方另行协商签订补充协议。</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10.2  如乙方存在以下情形之一，甲方有权单方解除合同：</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（1）未按甲方要求在规定时间内提供合格报告，经甲方催告后    日仍不能提供的；</w:t>
      </w:r>
    </w:p>
    <w:p>
      <w:pPr>
        <w:spacing w:line="360" w:lineRule="auto"/>
        <w:ind w:firstLine="560" w:firstLineChars="200"/>
        <w:rPr>
          <w:rFonts w:hint="default"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（2）经甲方发送更换工作人员的通知之日起   日仍未更换到位的；</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（3）履行本合同中存在过错、过失，导致甲方经济损失的；</w:t>
      </w:r>
    </w:p>
    <w:p>
      <w:pPr>
        <w:spacing w:line="360" w:lineRule="auto"/>
        <w:ind w:firstLine="560" w:firstLineChars="200"/>
        <w:rPr>
          <w:rFonts w:hint="default"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（4）将合同项下义务转包、分包的。</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11.违约责任</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11.1  乙方逾期提供合格报告的，每逾期一日，向甲方支付违约金</w:t>
      </w:r>
      <w:r>
        <w:rPr>
          <w:rFonts w:hint="eastAsia" w:ascii="仿宋_GB2312" w:eastAsia="仿宋_GB2312" w:cs="仿宋_GB2312"/>
          <w:bCs/>
          <w:color w:val="auto"/>
          <w:kern w:val="0"/>
          <w:sz w:val="28"/>
          <w:szCs w:val="28"/>
          <w:lang w:val="en-US" w:eastAsia="zh-CN" w:bidi="ar-SA"/>
        </w:rPr>
        <w:t>500元</w:t>
      </w:r>
      <w:r>
        <w:rPr>
          <w:rFonts w:hint="eastAsia" w:ascii="仿宋_GB2312" w:hAnsi="Times New Roman" w:eastAsia="仿宋_GB2312" w:cs="仿宋_GB2312"/>
          <w:bCs/>
          <w:color w:val="auto"/>
          <w:kern w:val="0"/>
          <w:sz w:val="28"/>
          <w:szCs w:val="28"/>
          <w:lang w:val="en-US" w:eastAsia="zh-CN" w:bidi="ar-SA"/>
        </w:rPr>
        <w:t>。</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 xml:space="preserve">11.2  </w:t>
      </w:r>
      <w:r>
        <w:rPr>
          <w:rFonts w:hint="default" w:ascii="仿宋_GB2312" w:hAnsi="Times New Roman" w:eastAsia="仿宋_GB2312" w:cs="仿宋_GB2312"/>
          <w:bCs/>
          <w:color w:val="auto"/>
          <w:kern w:val="0"/>
          <w:sz w:val="28"/>
          <w:szCs w:val="28"/>
          <w:lang w:val="en-US" w:eastAsia="zh-CN" w:bidi="ar-SA"/>
        </w:rPr>
        <w:t>如</w:t>
      </w:r>
      <w:r>
        <w:rPr>
          <w:rFonts w:hint="eastAsia" w:ascii="仿宋_GB2312" w:hAnsi="Times New Roman" w:eastAsia="仿宋_GB2312" w:cs="仿宋_GB2312"/>
          <w:bCs/>
          <w:color w:val="auto"/>
          <w:kern w:val="0"/>
          <w:sz w:val="28"/>
          <w:szCs w:val="28"/>
          <w:lang w:val="en-US" w:eastAsia="zh-CN" w:bidi="ar-SA"/>
        </w:rPr>
        <w:t>乙方单方解除合同或甲方因乙方原因解除合同的，乙方应赔偿甲方由此造成的全部经济损失</w:t>
      </w:r>
      <w:r>
        <w:rPr>
          <w:rFonts w:hint="default" w:ascii="仿宋_GB2312" w:hAnsi="Times New Roman" w:eastAsia="仿宋_GB2312" w:cs="仿宋_GB2312"/>
          <w:bCs/>
          <w:color w:val="auto"/>
          <w:kern w:val="0"/>
          <w:sz w:val="28"/>
          <w:szCs w:val="28"/>
          <w:lang w:val="en-US" w:eastAsia="zh-CN" w:bidi="ar-SA"/>
        </w:rPr>
        <w:t>（包括但不限于实际经济损失、期待利益损失、由此产生的诉讼费、律师费、鉴定费、差旅费等费用）</w:t>
      </w:r>
      <w:r>
        <w:rPr>
          <w:rFonts w:hint="eastAsia" w:ascii="仿宋_GB2312" w:hAnsi="Times New Roman" w:eastAsia="仿宋_GB2312" w:cs="仿宋_GB2312"/>
          <w:bCs/>
          <w:color w:val="auto"/>
          <w:kern w:val="0"/>
          <w:sz w:val="28"/>
          <w:szCs w:val="28"/>
          <w:lang w:val="en-US" w:eastAsia="zh-CN" w:bidi="ar-SA"/>
        </w:rPr>
        <w:t>，并向甲方支付违约金</w:t>
      </w:r>
      <w:r>
        <w:rPr>
          <w:rFonts w:hint="eastAsia" w:ascii="仿宋_GB2312" w:eastAsia="仿宋_GB2312" w:cs="仿宋_GB2312"/>
          <w:bCs/>
          <w:color w:val="auto"/>
          <w:kern w:val="0"/>
          <w:sz w:val="28"/>
          <w:szCs w:val="28"/>
          <w:lang w:val="en-US" w:eastAsia="zh-CN" w:bidi="ar-SA"/>
        </w:rPr>
        <w:t>3万</w:t>
      </w:r>
      <w:r>
        <w:rPr>
          <w:rFonts w:hint="eastAsia" w:ascii="仿宋_GB2312" w:hAnsi="Times New Roman" w:eastAsia="仿宋_GB2312" w:cs="仿宋_GB2312"/>
          <w:bCs/>
          <w:color w:val="auto"/>
          <w:kern w:val="0"/>
          <w:sz w:val="28"/>
          <w:szCs w:val="28"/>
          <w:lang w:val="en-US" w:eastAsia="zh-CN" w:bidi="ar-SA"/>
        </w:rPr>
        <w:t>元。</w:t>
      </w:r>
    </w:p>
    <w:p>
      <w:pPr>
        <w:spacing w:line="360" w:lineRule="auto"/>
        <w:ind w:firstLine="560" w:firstLineChars="200"/>
        <w:rPr>
          <w:rFonts w:hint="default"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11.3  因不可抗力导致迟延履行的，不承担违约责任，但不可抗力情形消除后，应立即恢复履行。</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12.争议解决的方式</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12.1  本合同受中华人民共和国法律管辖并按其进行解释。</w:t>
      </w:r>
    </w:p>
    <w:p>
      <w:pPr>
        <w:spacing w:line="360" w:lineRule="auto"/>
        <w:ind w:firstLine="560" w:firstLineChars="200"/>
        <w:rPr>
          <w:rFonts w:hint="default"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12.2  履行本合同产生的争议或与本合同有关的争议，由娄星区人民法院管辖。</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13.附则</w:t>
      </w:r>
    </w:p>
    <w:p>
      <w:pPr>
        <w:spacing w:line="360" w:lineRule="auto"/>
        <w:ind w:firstLine="560" w:firstLineChars="200"/>
        <w:rPr>
          <w:rFonts w:hint="default"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13.1  履行本合同中甲方发出的具体项目通知作为本合同的附件，与本合同具有同等法律效力。</w:t>
      </w:r>
    </w:p>
    <w:p>
      <w:pPr>
        <w:spacing w:line="360" w:lineRule="auto"/>
        <w:ind w:firstLine="560" w:firstLineChars="200"/>
        <w:rPr>
          <w:rFonts w:hint="default"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13.2  本合同组成文件及解释顺序如下：乙方履行本合同中作出的承诺、本合同补充协议；本合同及附件；成交通知书；采购文件、响应文件；与本合同有关的资料。</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13.3  本合同一式四份，甲方执三份、乙方执一份，自双方签字并盖章之日起生效。</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甲方（盖章）：                乙方（盖章）：</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法定代表人（签字）：          法定代表人（签字）：</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或委托代理人（签字）：        或委托代理人（签字）：</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p>
    <w:p>
      <w:pPr>
        <w:spacing w:line="360" w:lineRule="auto"/>
        <w:ind w:firstLine="560" w:firstLineChars="200"/>
        <w:rPr>
          <w:rFonts w:hint="default"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 xml:space="preserve">签订地点：娄底市娄星区        签订日期：  年  月  日   </w:t>
      </w:r>
    </w:p>
    <w:p>
      <w:pPr>
        <w:spacing w:line="600" w:lineRule="exact"/>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 xml:space="preserve">                   </w:t>
      </w:r>
    </w:p>
    <w:p>
      <w:pPr>
        <w:spacing w:line="600" w:lineRule="exact"/>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 xml:space="preserve">                       </w:t>
      </w:r>
    </w:p>
    <w:p>
      <w:pPr>
        <w:pStyle w:val="16"/>
        <w:widowControl w:val="0"/>
        <w:numPr>
          <w:ilvl w:val="0"/>
          <w:numId w:val="0"/>
        </w:numPr>
        <w:jc w:val="both"/>
        <w:rPr>
          <w:rFonts w:hint="eastAsia"/>
          <w:lang w:val="en-US" w:eastAsia="zh-CN"/>
        </w:rPr>
        <w:sectPr>
          <w:pgSz w:w="11906" w:h="16838"/>
          <w:pgMar w:top="1191" w:right="1587" w:bottom="1020" w:left="1587" w:header="567" w:footer="283" w:gutter="0"/>
          <w:pgNumType w:start="1"/>
          <w:cols w:space="720" w:num="1"/>
          <w:docGrid w:linePitch="312" w:charSpace="0"/>
        </w:sectPr>
      </w:pPr>
    </w:p>
    <w:p>
      <w:pPr>
        <w:pStyle w:val="6"/>
        <w:numPr>
          <w:ilvl w:val="0"/>
          <w:numId w:val="0"/>
        </w:numPr>
        <w:spacing w:line="240" w:lineRule="auto"/>
        <w:jc w:val="center"/>
        <w:rPr>
          <w:rFonts w:hint="eastAsia" w:ascii="宋体" w:hAnsi="宋体" w:eastAsia="仿宋_GB2312" w:cs="宋体"/>
          <w:b/>
          <w:bCs/>
          <w:color w:val="auto"/>
          <w:kern w:val="0"/>
          <w:sz w:val="44"/>
          <w:szCs w:val="44"/>
          <w:lang w:val="en-US" w:eastAsia="zh-CN" w:bidi="ar-SA"/>
        </w:rPr>
      </w:pPr>
      <w:bookmarkStart w:id="1" w:name="_Toc16523573"/>
      <w:bookmarkStart w:id="2" w:name="_Toc16523574"/>
      <w:r>
        <w:rPr>
          <w:rFonts w:hint="eastAsia" w:ascii="宋体" w:hAnsi="宋体" w:eastAsia="仿宋_GB2312" w:cs="宋体"/>
          <w:b/>
          <w:bCs/>
          <w:color w:val="auto"/>
          <w:kern w:val="0"/>
          <w:sz w:val="44"/>
          <w:szCs w:val="44"/>
          <w:lang w:val="en-US" w:eastAsia="zh-CN" w:bidi="ar-SA"/>
        </w:rPr>
        <w:t>第三章、评标方法及标准</w:t>
      </w:r>
      <w:bookmarkEnd w:id="1"/>
    </w:p>
    <w:p>
      <w:pPr>
        <w:pStyle w:val="6"/>
        <w:numPr>
          <w:ilvl w:val="0"/>
          <w:numId w:val="0"/>
        </w:numPr>
        <w:spacing w:line="240" w:lineRule="auto"/>
        <w:jc w:val="center"/>
        <w:rPr>
          <w:rFonts w:hint="default" w:ascii="宋体" w:hAnsi="宋体" w:eastAsia="宋体" w:cs="宋体"/>
          <w:color w:val="auto"/>
          <w:sz w:val="30"/>
          <w:szCs w:val="30"/>
          <w:lang w:val="en-US" w:eastAsia="zh-CN"/>
        </w:rPr>
      </w:pPr>
      <w:r>
        <w:rPr>
          <w:rFonts w:hint="eastAsia" w:ascii="宋体" w:hAnsi="宋体" w:cs="宋体"/>
          <w:color w:val="auto"/>
          <w:sz w:val="30"/>
          <w:szCs w:val="30"/>
          <w:lang w:val="en-US" w:eastAsia="zh-CN"/>
        </w:rPr>
        <w:t>最低价评分</w:t>
      </w:r>
    </w:p>
    <w:p>
      <w:pPr>
        <w:pStyle w:val="6"/>
        <w:numPr>
          <w:ilvl w:val="0"/>
          <w:numId w:val="0"/>
        </w:numPr>
        <w:spacing w:line="240" w:lineRule="auto"/>
        <w:jc w:val="center"/>
        <w:rPr>
          <w:rFonts w:hint="eastAsia" w:ascii="宋体" w:hAnsi="宋体" w:eastAsia="仿宋_GB2312" w:cs="宋体"/>
          <w:b/>
          <w:bCs/>
          <w:color w:val="auto"/>
          <w:kern w:val="0"/>
          <w:sz w:val="44"/>
          <w:szCs w:val="44"/>
          <w:lang w:val="en-US" w:eastAsia="zh-CN" w:bidi="ar-SA"/>
        </w:rPr>
      </w:pPr>
      <w:r>
        <w:rPr>
          <w:rFonts w:hint="eastAsia" w:ascii="宋体" w:hAnsi="宋体" w:eastAsia="仿宋_GB2312" w:cs="宋体"/>
          <w:b/>
          <w:bCs/>
          <w:color w:val="auto"/>
          <w:kern w:val="0"/>
          <w:sz w:val="44"/>
          <w:szCs w:val="44"/>
          <w:lang w:val="en-US" w:eastAsia="zh-CN" w:bidi="ar-SA"/>
        </w:rPr>
        <w:t>第四章、投标文件的格式</w:t>
      </w:r>
    </w:p>
    <w:p>
      <w:pPr>
        <w:pStyle w:val="6"/>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pPr>
        <w:rPr>
          <w:rFonts w:hint="eastAsia" w:ascii="宋体" w:hAnsi="宋体" w:cs="宋体"/>
          <w:color w:val="auto"/>
        </w:rPr>
      </w:pPr>
    </w:p>
    <w:bookmarkEnd w:id="2"/>
    <w:p>
      <w:pPr>
        <w:rPr>
          <w:rFonts w:hint="eastAsia"/>
          <w:color w:val="auto"/>
        </w:rPr>
      </w:pPr>
    </w:p>
    <w:p>
      <w:pPr>
        <w:jc w:val="center"/>
        <w:rPr>
          <w:b/>
          <w:color w:val="auto"/>
          <w:sz w:val="24"/>
        </w:rPr>
      </w:pPr>
      <w:r>
        <w:rPr>
          <w:b/>
          <w:color w:val="auto"/>
          <w:sz w:val="28"/>
          <w:szCs w:val="28"/>
        </w:rPr>
        <w:t>第一部分、开标一览表</w:t>
      </w:r>
    </w:p>
    <w:p>
      <w:pPr>
        <w:jc w:val="center"/>
        <w:rPr>
          <w:rFonts w:hint="eastAsia" w:eastAsia="宋体"/>
          <w:b/>
          <w:color w:val="auto"/>
          <w:sz w:val="24"/>
          <w:lang w:eastAsia="zh-CN"/>
        </w:rPr>
      </w:pPr>
      <w:r>
        <w:rPr>
          <w:rFonts w:hint="eastAsia"/>
          <w:b/>
          <w:color w:val="auto"/>
          <w:sz w:val="24"/>
          <w:lang w:eastAsia="zh-CN"/>
        </w:rPr>
        <w:t>注：此项内容需包含投标商品名称、规格型号、生产厂家、数量、单价、总价、质保年限等信息</w:t>
      </w:r>
    </w:p>
    <w:p>
      <w:pPr>
        <w:pStyle w:val="17"/>
        <w:rPr>
          <w:color w:val="auto"/>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cs="宋体"/>
          <w:b/>
          <w:color w:val="auto"/>
          <w:sz w:val="28"/>
          <w:szCs w:val="28"/>
        </w:rPr>
      </w:pPr>
    </w:p>
    <w:p>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pPr>
        <w:pStyle w:val="16"/>
        <w:rPr>
          <w:rFonts w:hint="eastAsia"/>
          <w:lang w:eastAsia="zh-CN"/>
        </w:rPr>
      </w:pPr>
    </w:p>
    <w:p>
      <w:pPr>
        <w:adjustRightInd w:val="0"/>
        <w:snapToGrid w:val="0"/>
        <w:spacing w:line="360" w:lineRule="auto"/>
        <w:jc w:val="center"/>
        <w:rPr>
          <w:rFonts w:hint="eastAsia" w:ascii="宋体" w:hAnsi="宋体" w:cs="宋体"/>
          <w:b/>
          <w:color w:val="auto"/>
          <w:sz w:val="24"/>
          <w:szCs w:val="20"/>
        </w:rPr>
      </w:pPr>
    </w:p>
    <w:p>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pPr>
        <w:adjustRightInd w:val="0"/>
        <w:snapToGrid w:val="0"/>
        <w:spacing w:line="360" w:lineRule="auto"/>
        <w:rPr>
          <w:rFonts w:hint="eastAsia" w:ascii="宋体" w:hAnsi="宋体" w:cs="宋体"/>
          <w:b/>
          <w:color w:val="auto"/>
          <w:sz w:val="28"/>
          <w:szCs w:val="28"/>
        </w:rPr>
      </w:pPr>
    </w:p>
    <w:p>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pPr>
        <w:adjustRightInd w:val="0"/>
        <w:snapToGrid w:val="0"/>
        <w:spacing w:line="360" w:lineRule="auto"/>
        <w:ind w:firstLine="480" w:firstLineChars="200"/>
        <w:rPr>
          <w:rFonts w:hint="eastAsia" w:ascii="宋体" w:hAnsi="宋体" w:cs="宋体"/>
          <w:color w:val="auto"/>
          <w:sz w:val="24"/>
        </w:rPr>
      </w:pPr>
    </w:p>
    <w:tbl>
      <w:tblPr>
        <w:tblStyle w:val="14"/>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pPr>
        <w:adjustRightInd w:val="0"/>
        <w:snapToGrid w:val="0"/>
        <w:spacing w:line="360" w:lineRule="auto"/>
        <w:rPr>
          <w:rFonts w:hint="eastAsia" w:ascii="宋体" w:hAnsi="宋体" w:cs="宋体"/>
          <w:color w:val="auto"/>
          <w:sz w:val="24"/>
        </w:rPr>
      </w:pPr>
    </w:p>
    <w:tbl>
      <w:tblPr>
        <w:tblStyle w:val="14"/>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pPr>
        <w:adjustRightInd w:val="0"/>
        <w:snapToGrid w:val="0"/>
        <w:spacing w:line="360" w:lineRule="auto"/>
        <w:rPr>
          <w:rFonts w:hint="eastAsia" w:ascii="宋体" w:hAnsi="宋体" w:cs="宋体"/>
          <w:color w:val="auto"/>
          <w:sz w:val="24"/>
        </w:rPr>
      </w:pPr>
    </w:p>
    <w:p>
      <w:pPr>
        <w:adjustRightInd w:val="0"/>
        <w:snapToGrid w:val="0"/>
        <w:spacing w:line="360" w:lineRule="auto"/>
        <w:rPr>
          <w:rFonts w:hint="eastAsia" w:ascii="宋体" w:hAnsi="宋体" w:cs="宋体"/>
          <w:color w:val="auto"/>
          <w:sz w:val="24"/>
        </w:rPr>
      </w:pPr>
    </w:p>
    <w:p>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pPr>
        <w:adjustRightInd w:val="0"/>
        <w:snapToGrid w:val="0"/>
        <w:spacing w:line="360" w:lineRule="auto"/>
        <w:rPr>
          <w:rFonts w:hint="eastAsia" w:ascii="宋体" w:hAnsi="宋体" w:cs="宋体"/>
          <w:b/>
          <w:color w:val="auto"/>
          <w:sz w:val="28"/>
          <w:szCs w:val="28"/>
        </w:rPr>
      </w:pPr>
    </w:p>
    <w:p>
      <w:pPr>
        <w:adjustRightInd w:val="0"/>
        <w:snapToGrid w:val="0"/>
        <w:spacing w:line="360" w:lineRule="auto"/>
        <w:rPr>
          <w:rFonts w:hint="eastAsia" w:ascii="宋体" w:hAnsi="宋体" w:cs="宋体"/>
          <w:b/>
          <w:color w:val="auto"/>
          <w:sz w:val="28"/>
          <w:szCs w:val="28"/>
        </w:rPr>
      </w:pPr>
    </w:p>
    <w:p>
      <w:pPr>
        <w:adjustRightInd w:val="0"/>
        <w:snapToGrid w:val="0"/>
        <w:spacing w:line="360" w:lineRule="auto"/>
        <w:rPr>
          <w:rFonts w:hint="eastAsia" w:ascii="宋体" w:hAnsi="宋体" w:cs="宋体"/>
          <w:b/>
          <w:color w:val="auto"/>
          <w:sz w:val="28"/>
          <w:szCs w:val="28"/>
        </w:rPr>
      </w:pPr>
    </w:p>
    <w:p>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按照招标文件的规定，我单位郑重声明如下：</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招标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pPr>
        <w:adjustRightInd w:val="0"/>
        <w:snapToGrid w:val="0"/>
        <w:spacing w:line="360" w:lineRule="auto"/>
        <w:jc w:val="center"/>
        <w:rPr>
          <w:rFonts w:hint="eastAsia" w:ascii="宋体" w:hAnsi="宋体" w:cs="宋体"/>
          <w:b/>
          <w:color w:val="auto"/>
          <w:sz w:val="24"/>
          <w:szCs w:val="20"/>
        </w:rPr>
      </w:pPr>
    </w:p>
    <w:p>
      <w:pPr>
        <w:adjustRightInd w:val="0"/>
        <w:snapToGrid w:val="0"/>
        <w:spacing w:line="360" w:lineRule="auto"/>
        <w:rPr>
          <w:rFonts w:hint="eastAsia" w:ascii="宋体" w:hAnsi="宋体" w:cs="宋体"/>
          <w:b/>
          <w:color w:val="auto"/>
          <w:sz w:val="24"/>
          <w:szCs w:val="20"/>
        </w:rPr>
      </w:pPr>
    </w:p>
    <w:p>
      <w:pPr>
        <w:adjustRightInd w:val="0"/>
        <w:snapToGrid w:val="0"/>
        <w:spacing w:line="360" w:lineRule="auto"/>
        <w:rPr>
          <w:rFonts w:hint="eastAsia" w:ascii="宋体" w:hAnsi="宋体" w:cs="宋体"/>
          <w:b/>
          <w:color w:val="auto"/>
          <w:sz w:val="24"/>
          <w:szCs w:val="20"/>
        </w:rPr>
      </w:pPr>
    </w:p>
    <w:p>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pPr>
        <w:adjustRightInd w:val="0"/>
        <w:snapToGrid w:val="0"/>
        <w:spacing w:line="360" w:lineRule="auto"/>
        <w:jc w:val="center"/>
        <w:rPr>
          <w:rFonts w:hint="eastAsia" w:ascii="宋体" w:hAnsi="宋体" w:cs="宋体"/>
          <w:b/>
          <w:color w:val="auto"/>
          <w:sz w:val="24"/>
          <w:szCs w:val="20"/>
        </w:rPr>
      </w:pPr>
    </w:p>
    <w:p>
      <w:pPr>
        <w:pStyle w:val="8"/>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2022年     月     日</w:t>
      </w:r>
    </w:p>
    <w:p>
      <w:pPr>
        <w:jc w:val="left"/>
        <w:rPr>
          <w:rFonts w:hint="eastAsia" w:ascii="宋体" w:hAnsi="宋体" w:eastAsia="宋体" w:cs="Times New Roman"/>
          <w:b w:val="0"/>
          <w:bCs w:val="0"/>
          <w:color w:val="auto"/>
          <w:kern w:val="2"/>
          <w:sz w:val="24"/>
          <w:szCs w:val="24"/>
          <w:lang w:val="en-US" w:eastAsia="zh-CN" w:bidi="ar-SA"/>
        </w:rPr>
      </w:pPr>
    </w:p>
    <w:p>
      <w:pPr>
        <w:jc w:val="left"/>
        <w:rPr>
          <w:rFonts w:hint="eastAsia" w:ascii="宋体" w:hAnsi="宋体" w:eastAsia="宋体" w:cs="Times New Roman"/>
          <w:b w:val="0"/>
          <w:bCs w:val="0"/>
          <w:color w:val="auto"/>
          <w:kern w:val="2"/>
          <w:sz w:val="24"/>
          <w:szCs w:val="24"/>
          <w:lang w:val="en-US" w:eastAsia="zh-CN" w:bidi="ar-SA"/>
        </w:rPr>
      </w:pPr>
    </w:p>
    <w:p>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pPr>
        <w:jc w:val="center"/>
        <w:rPr>
          <w:rFonts w:hint="eastAsia" w:ascii="宋体" w:hAnsi="宋体" w:cs="宋体"/>
          <w:b/>
          <w:color w:val="auto"/>
          <w:sz w:val="24"/>
        </w:rPr>
        <w:sectPr>
          <w:footerReference r:id="rId5" w:type="default"/>
          <w:pgSz w:w="11906" w:h="16838"/>
          <w:pgMar w:top="1191" w:right="1587" w:bottom="1020" w:left="1587" w:header="567" w:footer="283" w:gutter="0"/>
          <w:cols w:space="720" w:num="1"/>
          <w:docGrid w:linePitch="312" w:charSpace="0"/>
        </w:sectPr>
      </w:pPr>
    </w:p>
    <w:p>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3" w:name="_Toc486424819"/>
      <w:bookmarkStart w:id="4" w:name="_Toc476514128"/>
    </w:p>
    <w:p>
      <w:pPr>
        <w:pStyle w:val="16"/>
        <w:rPr>
          <w:rFonts w:hint="eastAsia"/>
          <w:lang w:eastAsia="zh-CN"/>
        </w:rPr>
      </w:pPr>
    </w:p>
    <w:p>
      <w:pPr>
        <w:spacing w:before="120" w:beforeLines="50" w:after="120" w:afterLines="50" w:line="276" w:lineRule="auto"/>
        <w:jc w:val="center"/>
        <w:rPr>
          <w:b/>
          <w:color w:val="auto"/>
          <w:sz w:val="24"/>
        </w:rPr>
      </w:pPr>
      <w:r>
        <w:rPr>
          <w:b/>
          <w:color w:val="auto"/>
          <w:sz w:val="24"/>
        </w:rPr>
        <w:t>采购需求响应</w:t>
      </w:r>
    </w:p>
    <w:p>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4"/>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pPr>
              <w:adjustRightInd w:val="0"/>
              <w:snapToGrid w:val="0"/>
              <w:spacing w:before="50" w:line="360" w:lineRule="auto"/>
              <w:ind w:left="-88" w:leftChars="-42"/>
              <w:jc w:val="center"/>
              <w:rPr>
                <w:color w:val="auto"/>
                <w:szCs w:val="21"/>
              </w:rPr>
            </w:pPr>
            <w:r>
              <w:rPr>
                <w:color w:val="auto"/>
                <w:szCs w:val="21"/>
              </w:rPr>
              <w:t>招标文件章节</w:t>
            </w:r>
            <w:r>
              <w:rPr>
                <w:bCs/>
                <w:color w:val="auto"/>
                <w:szCs w:val="21"/>
              </w:rPr>
              <w:t>条</w:t>
            </w:r>
            <w:r>
              <w:rPr>
                <w:color w:val="auto"/>
                <w:szCs w:val="21"/>
              </w:rPr>
              <w:t>款号</w:t>
            </w:r>
          </w:p>
        </w:tc>
        <w:tc>
          <w:tcPr>
            <w:tcW w:w="1000" w:type="pct"/>
            <w:noWrap w:val="0"/>
            <w:vAlign w:val="top"/>
          </w:tcPr>
          <w:p>
            <w:pPr>
              <w:adjustRightInd w:val="0"/>
              <w:snapToGrid w:val="0"/>
              <w:spacing w:before="50" w:line="360" w:lineRule="auto"/>
              <w:jc w:val="center"/>
              <w:rPr>
                <w:color w:val="auto"/>
              </w:rPr>
            </w:pPr>
            <w:r>
              <w:rPr>
                <w:color w:val="auto"/>
              </w:rPr>
              <w:t>招标文件要求</w:t>
            </w:r>
          </w:p>
        </w:tc>
        <w:tc>
          <w:tcPr>
            <w:tcW w:w="962" w:type="pct"/>
            <w:noWrap w:val="0"/>
            <w:vAlign w:val="top"/>
          </w:tcPr>
          <w:p>
            <w:pPr>
              <w:adjustRightInd w:val="0"/>
              <w:snapToGrid w:val="0"/>
              <w:spacing w:before="50" w:line="360" w:lineRule="auto"/>
              <w:jc w:val="center"/>
              <w:rPr>
                <w:color w:val="auto"/>
              </w:rPr>
            </w:pPr>
            <w:r>
              <w:rPr>
                <w:color w:val="auto"/>
              </w:rPr>
              <w:t>投标文件应答</w:t>
            </w:r>
          </w:p>
        </w:tc>
        <w:tc>
          <w:tcPr>
            <w:tcW w:w="905" w:type="pct"/>
            <w:noWrap w:val="0"/>
            <w:vAlign w:val="center"/>
          </w:tcPr>
          <w:p>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pPr>
              <w:adjustRightInd w:val="0"/>
              <w:snapToGrid w:val="0"/>
              <w:spacing w:before="50" w:line="360" w:lineRule="auto"/>
              <w:ind w:left="-88" w:leftChars="-42"/>
              <w:jc w:val="center"/>
              <w:rPr>
                <w:color w:val="auto"/>
                <w:szCs w:val="21"/>
              </w:rPr>
            </w:pPr>
            <w:r>
              <w:rPr>
                <w:color w:val="auto"/>
                <w:szCs w:val="21"/>
              </w:rPr>
              <w:t>偏离说明</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p>
        </w:tc>
        <w:tc>
          <w:tcPr>
            <w:tcW w:w="1123" w:type="pct"/>
            <w:noWrap w:val="0"/>
            <w:vAlign w:val="center"/>
          </w:tcPr>
          <w:p>
            <w:pPr>
              <w:adjustRightInd w:val="0"/>
              <w:snapToGrid w:val="0"/>
              <w:spacing w:before="50" w:line="360" w:lineRule="auto"/>
              <w:ind w:left="-88" w:leftChars="-42"/>
              <w:jc w:val="center"/>
              <w:rPr>
                <w:color w:val="auto"/>
                <w:szCs w:val="21"/>
              </w:rPr>
            </w:pPr>
          </w:p>
        </w:tc>
        <w:tc>
          <w:tcPr>
            <w:tcW w:w="1000" w:type="pct"/>
            <w:noWrap w:val="0"/>
            <w:vAlign w:val="center"/>
          </w:tcPr>
          <w:p>
            <w:pPr>
              <w:adjustRightInd w:val="0"/>
              <w:snapToGrid w:val="0"/>
              <w:spacing w:before="50" w:line="360" w:lineRule="auto"/>
              <w:ind w:left="-88" w:leftChars="-42"/>
              <w:jc w:val="center"/>
              <w:rPr>
                <w:color w:val="auto"/>
                <w:szCs w:val="21"/>
              </w:rPr>
            </w:pPr>
          </w:p>
        </w:tc>
        <w:tc>
          <w:tcPr>
            <w:tcW w:w="962" w:type="pct"/>
            <w:noWrap w:val="0"/>
            <w:vAlign w:val="center"/>
          </w:tcPr>
          <w:p>
            <w:pPr>
              <w:adjustRightInd w:val="0"/>
              <w:snapToGrid w:val="0"/>
              <w:spacing w:before="50" w:line="360" w:lineRule="auto"/>
              <w:ind w:left="-88" w:leftChars="-42"/>
              <w:jc w:val="center"/>
              <w:rPr>
                <w:color w:val="auto"/>
                <w:szCs w:val="21"/>
              </w:rPr>
            </w:pPr>
          </w:p>
        </w:tc>
        <w:tc>
          <w:tcPr>
            <w:tcW w:w="905" w:type="pct"/>
            <w:noWrap w:val="0"/>
            <w:vAlign w:val="center"/>
          </w:tcPr>
          <w:p>
            <w:pPr>
              <w:adjustRightInd w:val="0"/>
              <w:snapToGrid w:val="0"/>
              <w:spacing w:before="50" w:line="360" w:lineRule="auto"/>
              <w:ind w:left="-88" w:leftChars="-42"/>
              <w:jc w:val="center"/>
              <w:rPr>
                <w:color w:val="auto"/>
                <w:szCs w:val="21"/>
              </w:rPr>
            </w:pPr>
          </w:p>
        </w:tc>
        <w:tc>
          <w:tcPr>
            <w:tcW w:w="634" w:type="pct"/>
            <w:noWrap w:val="0"/>
            <w:vAlign w:val="center"/>
          </w:tcPr>
          <w:p>
            <w:pPr>
              <w:adjustRightInd w:val="0"/>
              <w:snapToGrid w:val="0"/>
              <w:spacing w:before="50" w:line="360" w:lineRule="auto"/>
              <w:ind w:left="-88" w:leftChars="-42"/>
              <w:jc w:val="center"/>
              <w:rPr>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p>
        </w:tc>
        <w:tc>
          <w:tcPr>
            <w:tcW w:w="1123" w:type="pct"/>
            <w:noWrap w:val="0"/>
            <w:vAlign w:val="center"/>
          </w:tcPr>
          <w:p>
            <w:pPr>
              <w:adjustRightInd w:val="0"/>
              <w:snapToGrid w:val="0"/>
              <w:spacing w:before="50" w:line="360" w:lineRule="auto"/>
              <w:ind w:left="-88" w:leftChars="-42"/>
              <w:jc w:val="center"/>
              <w:rPr>
                <w:color w:val="auto"/>
                <w:szCs w:val="21"/>
              </w:rPr>
            </w:pPr>
          </w:p>
        </w:tc>
        <w:tc>
          <w:tcPr>
            <w:tcW w:w="1000" w:type="pct"/>
            <w:noWrap w:val="0"/>
            <w:vAlign w:val="center"/>
          </w:tcPr>
          <w:p>
            <w:pPr>
              <w:adjustRightInd w:val="0"/>
              <w:snapToGrid w:val="0"/>
              <w:spacing w:before="50" w:line="360" w:lineRule="auto"/>
              <w:ind w:left="-88" w:leftChars="-42"/>
              <w:jc w:val="center"/>
              <w:rPr>
                <w:color w:val="auto"/>
                <w:szCs w:val="21"/>
              </w:rPr>
            </w:pPr>
          </w:p>
        </w:tc>
        <w:tc>
          <w:tcPr>
            <w:tcW w:w="962" w:type="pct"/>
            <w:noWrap w:val="0"/>
            <w:vAlign w:val="center"/>
          </w:tcPr>
          <w:p>
            <w:pPr>
              <w:adjustRightInd w:val="0"/>
              <w:snapToGrid w:val="0"/>
              <w:spacing w:before="50" w:line="360" w:lineRule="auto"/>
              <w:ind w:left="-88" w:leftChars="-42"/>
              <w:jc w:val="center"/>
              <w:rPr>
                <w:color w:val="auto"/>
                <w:szCs w:val="21"/>
              </w:rPr>
            </w:pPr>
          </w:p>
        </w:tc>
        <w:tc>
          <w:tcPr>
            <w:tcW w:w="905" w:type="pct"/>
            <w:noWrap w:val="0"/>
            <w:vAlign w:val="center"/>
          </w:tcPr>
          <w:p>
            <w:pPr>
              <w:adjustRightInd w:val="0"/>
              <w:snapToGrid w:val="0"/>
              <w:spacing w:before="50" w:line="360" w:lineRule="auto"/>
              <w:ind w:left="-88" w:leftChars="-42"/>
              <w:jc w:val="center"/>
              <w:rPr>
                <w:color w:val="auto"/>
                <w:szCs w:val="21"/>
              </w:rPr>
            </w:pPr>
          </w:p>
        </w:tc>
        <w:tc>
          <w:tcPr>
            <w:tcW w:w="634" w:type="pct"/>
            <w:noWrap w:val="0"/>
            <w:vAlign w:val="center"/>
          </w:tcPr>
          <w:p>
            <w:pPr>
              <w:adjustRightInd w:val="0"/>
              <w:snapToGrid w:val="0"/>
              <w:spacing w:before="50" w:line="360" w:lineRule="auto"/>
              <w:ind w:left="-88" w:leftChars="-42"/>
              <w:jc w:val="center"/>
              <w:rPr>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p>
        </w:tc>
        <w:tc>
          <w:tcPr>
            <w:tcW w:w="1123" w:type="pct"/>
            <w:noWrap w:val="0"/>
            <w:vAlign w:val="center"/>
          </w:tcPr>
          <w:p>
            <w:pPr>
              <w:adjustRightInd w:val="0"/>
              <w:snapToGrid w:val="0"/>
              <w:spacing w:before="50" w:line="360" w:lineRule="auto"/>
              <w:ind w:left="-88" w:leftChars="-42"/>
              <w:jc w:val="center"/>
              <w:rPr>
                <w:color w:val="auto"/>
                <w:szCs w:val="21"/>
              </w:rPr>
            </w:pPr>
          </w:p>
        </w:tc>
        <w:tc>
          <w:tcPr>
            <w:tcW w:w="1000" w:type="pct"/>
            <w:noWrap w:val="0"/>
            <w:vAlign w:val="center"/>
          </w:tcPr>
          <w:p>
            <w:pPr>
              <w:adjustRightInd w:val="0"/>
              <w:snapToGrid w:val="0"/>
              <w:spacing w:before="50" w:line="360" w:lineRule="auto"/>
              <w:ind w:left="-88" w:leftChars="-42"/>
              <w:jc w:val="center"/>
              <w:rPr>
                <w:color w:val="auto"/>
                <w:szCs w:val="21"/>
              </w:rPr>
            </w:pPr>
          </w:p>
        </w:tc>
        <w:tc>
          <w:tcPr>
            <w:tcW w:w="962" w:type="pct"/>
            <w:noWrap w:val="0"/>
            <w:vAlign w:val="center"/>
          </w:tcPr>
          <w:p>
            <w:pPr>
              <w:adjustRightInd w:val="0"/>
              <w:snapToGrid w:val="0"/>
              <w:spacing w:before="50" w:line="360" w:lineRule="auto"/>
              <w:ind w:left="-88" w:leftChars="-42"/>
              <w:jc w:val="center"/>
              <w:rPr>
                <w:color w:val="auto"/>
                <w:szCs w:val="21"/>
              </w:rPr>
            </w:pPr>
          </w:p>
        </w:tc>
        <w:tc>
          <w:tcPr>
            <w:tcW w:w="905" w:type="pct"/>
            <w:noWrap w:val="0"/>
            <w:vAlign w:val="center"/>
          </w:tcPr>
          <w:p>
            <w:pPr>
              <w:adjustRightInd w:val="0"/>
              <w:snapToGrid w:val="0"/>
              <w:spacing w:before="50" w:line="360" w:lineRule="auto"/>
              <w:ind w:left="-88" w:leftChars="-42"/>
              <w:jc w:val="center"/>
              <w:rPr>
                <w:color w:val="auto"/>
                <w:szCs w:val="21"/>
              </w:rPr>
            </w:pPr>
          </w:p>
        </w:tc>
        <w:tc>
          <w:tcPr>
            <w:tcW w:w="634" w:type="pct"/>
            <w:noWrap w:val="0"/>
            <w:vAlign w:val="center"/>
          </w:tcPr>
          <w:p>
            <w:pPr>
              <w:adjustRightInd w:val="0"/>
              <w:snapToGrid w:val="0"/>
              <w:spacing w:before="50" w:line="360" w:lineRule="auto"/>
              <w:ind w:left="-88" w:leftChars="-42"/>
              <w:jc w:val="center"/>
              <w:rPr>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pPr>
              <w:rPr>
                <w:b/>
                <w:color w:val="auto"/>
              </w:rPr>
            </w:pPr>
            <w:r>
              <w:rPr>
                <w:b/>
                <w:color w:val="auto"/>
              </w:rPr>
              <w:t>投标人保证：我单位对招标文件的其他采购需求条款完全响应，无偏离。</w:t>
            </w:r>
          </w:p>
        </w:tc>
      </w:tr>
    </w:tbl>
    <w:p>
      <w:pPr>
        <w:adjustRightInd w:val="0"/>
        <w:snapToGrid w:val="0"/>
        <w:spacing w:before="50" w:line="360" w:lineRule="auto"/>
        <w:ind w:left="-88" w:leftChars="-42"/>
        <w:rPr>
          <w:color w:val="auto"/>
          <w:sz w:val="24"/>
        </w:rPr>
      </w:pPr>
      <w:r>
        <w:rPr>
          <w:b/>
          <w:color w:val="auto"/>
          <w:sz w:val="24"/>
        </w:rPr>
        <w:t>备注</w:t>
      </w:r>
      <w:r>
        <w:rPr>
          <w:color w:val="auto"/>
          <w:sz w:val="24"/>
        </w:rPr>
        <w:t>：</w:t>
      </w:r>
    </w:p>
    <w:p>
      <w:pPr>
        <w:adjustRightInd w:val="0"/>
        <w:snapToGrid w:val="0"/>
        <w:spacing w:before="50" w:line="360" w:lineRule="auto"/>
        <w:ind w:left="-88" w:leftChars="-42"/>
        <w:rPr>
          <w:rFonts w:hint="eastAsia"/>
          <w:color w:val="auto"/>
          <w:sz w:val="24"/>
        </w:rPr>
      </w:pPr>
      <w:r>
        <w:rPr>
          <w:color w:val="auto"/>
          <w:sz w:val="24"/>
        </w:rPr>
        <w:t>（1）投标人应根据招标文件第</w:t>
      </w:r>
      <w:r>
        <w:rPr>
          <w:rFonts w:hint="eastAsia"/>
          <w:color w:val="auto"/>
          <w:sz w:val="24"/>
          <w:lang w:val="en-US" w:eastAsia="zh-CN"/>
        </w:rPr>
        <w:t>二</w:t>
      </w:r>
      <w:r>
        <w:rPr>
          <w:color w:val="auto"/>
          <w:sz w:val="24"/>
        </w:rPr>
        <w:t>章中采购需求填写本表，逐条应答；</w:t>
      </w:r>
    </w:p>
    <w:p>
      <w:pPr>
        <w:adjustRightInd w:val="0"/>
        <w:snapToGrid w:val="0"/>
        <w:spacing w:before="50" w:line="360" w:lineRule="auto"/>
        <w:ind w:left="-88" w:leftChars="-42"/>
        <w:rPr>
          <w:rFonts w:hint="eastAsia"/>
          <w:color w:val="auto"/>
          <w:sz w:val="24"/>
        </w:rPr>
      </w:pPr>
      <w:r>
        <w:rPr>
          <w:color w:val="auto"/>
          <w:sz w:val="24"/>
        </w:rPr>
        <w:t>（2）</w:t>
      </w:r>
      <w:r>
        <w:rPr>
          <w:rFonts w:hint="eastAsia"/>
          <w:color w:val="auto"/>
          <w:sz w:val="24"/>
        </w:rPr>
        <w:t>采购需求必须全部满足，不得有偏离，否则投标无效</w:t>
      </w:r>
      <w:r>
        <w:rPr>
          <w:color w:val="auto"/>
          <w:sz w:val="24"/>
        </w:rPr>
        <w:t>；</w:t>
      </w:r>
    </w:p>
    <w:p>
      <w:pPr>
        <w:adjustRightInd w:val="0"/>
        <w:snapToGrid w:val="0"/>
        <w:spacing w:before="50" w:line="360" w:lineRule="auto"/>
        <w:ind w:left="-88" w:leftChars="-42"/>
        <w:rPr>
          <w:rFonts w:hint="eastAsia"/>
          <w:color w:val="auto"/>
          <w:sz w:val="24"/>
        </w:rPr>
      </w:pPr>
      <w:r>
        <w:rPr>
          <w:color w:val="auto"/>
          <w:sz w:val="24"/>
        </w:rPr>
        <w:t>（3）如不提供此表，则视为投标人不满足招标文件第三章的所有条款要求，其投标无效；</w:t>
      </w:r>
    </w:p>
    <w:bookmarkEnd w:id="3"/>
    <w:bookmarkEnd w:id="4"/>
    <w:p>
      <w:pPr>
        <w:adjustRightInd w:val="0"/>
        <w:snapToGrid w:val="0"/>
        <w:spacing w:before="120" w:beforeLines="50" w:line="360" w:lineRule="auto"/>
        <w:rPr>
          <w:color w:val="auto"/>
          <w:sz w:val="24"/>
        </w:rPr>
      </w:pPr>
    </w:p>
    <w:p>
      <w:pPr>
        <w:pStyle w:val="16"/>
        <w:rPr>
          <w:color w:val="auto"/>
          <w:sz w:val="24"/>
        </w:rPr>
      </w:pPr>
    </w:p>
    <w:p>
      <w:pPr>
        <w:pStyle w:val="16"/>
        <w:rPr>
          <w:color w:val="auto"/>
          <w:sz w:val="24"/>
        </w:rPr>
      </w:pPr>
    </w:p>
    <w:p>
      <w:pPr>
        <w:pStyle w:val="17"/>
        <w:rPr>
          <w:color w:val="auto"/>
        </w:rPr>
      </w:pPr>
    </w:p>
    <w:p>
      <w:pPr>
        <w:pStyle w:val="18"/>
        <w:tabs>
          <w:tab w:val="left" w:pos="2312"/>
          <w:tab w:val="left" w:pos="2313"/>
        </w:tabs>
        <w:autoSpaceDE w:val="0"/>
        <w:autoSpaceDN w:val="0"/>
        <w:spacing w:before="43"/>
        <w:ind w:left="2312" w:firstLine="562"/>
        <w:rPr>
          <w:rFonts w:hint="eastAsia" w:ascii="宋体" w:hAnsi="宋体" w:eastAsia="宋体" w:cs="宋体"/>
          <w:b/>
          <w:color w:val="auto"/>
          <w:sz w:val="28"/>
          <w:szCs w:val="28"/>
          <w:lang w:eastAsia="zh-CN"/>
        </w:rPr>
      </w:pPr>
      <w:r>
        <w:rPr>
          <w:rFonts w:hint="eastAsia" w:ascii="Times New Roman" w:hAnsi="Times New Roman"/>
          <w:b/>
          <w:bCs/>
          <w:color w:val="auto"/>
          <w:sz w:val="28"/>
          <w:szCs w:val="28"/>
        </w:rPr>
        <w:t>第四部分、</w:t>
      </w:r>
      <w:r>
        <w:rPr>
          <w:rFonts w:hint="eastAsia" w:ascii="宋体" w:hAnsi="宋体" w:cs="宋体"/>
          <w:b/>
          <w:color w:val="auto"/>
          <w:sz w:val="28"/>
          <w:szCs w:val="28"/>
          <w:lang w:eastAsia="zh-CN"/>
        </w:rPr>
        <w:t>其他资料</w:t>
      </w:r>
    </w:p>
    <w:p>
      <w:pPr>
        <w:pStyle w:val="18"/>
        <w:tabs>
          <w:tab w:val="left" w:pos="2312"/>
          <w:tab w:val="left" w:pos="2313"/>
        </w:tabs>
        <w:autoSpaceDE w:val="0"/>
        <w:autoSpaceDN w:val="0"/>
        <w:spacing w:before="43"/>
        <w:ind w:left="0" w:leftChars="0" w:firstLine="0" w:firstLineChars="0"/>
      </w:pPr>
    </w:p>
    <w:sectPr>
      <w:footerReference r:id="rId6"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宋体"/>
    <w:panose1 w:val="02010601030101010101"/>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rPr>
        <w:rFonts w:hint="eastAsia" w:ascii="仿宋_GB2312" w:eastAsia="仿宋_GB2312"/>
        <w:bCs/>
        <w:u w:val="single"/>
      </w:rPr>
    </w:pPr>
    <w:r>
      <w:rPr>
        <w:rFonts w:hint="eastAsia" w:ascii="仿宋_GB2312" w:eastAsia="仿宋_GB2312"/>
        <w:bCs/>
        <w:u w:val="single"/>
      </w:rPr>
      <w:t xml:space="preserve">                                                                                                 </w:t>
    </w:r>
  </w:p>
  <w:p>
    <w:pPr>
      <w:adjustRightInd w:val="0"/>
      <w:snapToGrid w:val="0"/>
      <w:spacing w:line="260" w:lineRule="atLeast"/>
      <w:ind w:left="482" w:hanging="482"/>
      <w:rPr>
        <w:rFonts w:hint="eastAsia" w:ascii="宋体" w:hAnsi="宋体"/>
        <w:kern w:val="0"/>
        <w:sz w:val="18"/>
        <w:szCs w:val="21"/>
      </w:rPr>
    </w:pPr>
  </w:p>
  <w:p>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rPr>
        <w:rFonts w:hint="eastAsia" w:ascii="仿宋_GB2312" w:eastAsia="仿宋_GB2312"/>
        <w:bCs/>
        <w:u w:val="single"/>
      </w:rPr>
    </w:pPr>
    <w:r>
      <w:rPr>
        <w:rFonts w:hint="eastAsia" w:ascii="仿宋_GB2312" w:eastAsia="仿宋_GB2312"/>
        <w:bCs/>
        <w:u w:val="single"/>
      </w:rPr>
      <w:t xml:space="preserve">                                                                                                 </w:t>
    </w:r>
  </w:p>
  <w:p>
    <w:pPr>
      <w:adjustRightInd w:val="0"/>
      <w:snapToGrid w:val="0"/>
      <w:spacing w:line="260" w:lineRule="atLeast"/>
      <w:rPr>
        <w:rFonts w:hint="eastAsia"/>
        <w:kern w:val="0"/>
        <w:sz w:val="18"/>
        <w:szCs w:val="21"/>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rPr>
        <w:rFonts w:hint="eastAsia" w:ascii="仿宋_GB2312" w:eastAsia="仿宋_GB2312"/>
        <w:bCs/>
        <w:u w:val="single"/>
      </w:rPr>
    </w:pPr>
    <w:r>
      <w:rPr>
        <w:rFonts w:hint="eastAsia" w:ascii="仿宋_GB2312" w:eastAsia="仿宋_GB2312"/>
        <w:bCs/>
        <w:u w:val="single"/>
      </w:rPr>
      <w:t xml:space="preserve">                                                                                                 </w:t>
    </w:r>
  </w:p>
  <w:p>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ind w:left="8280" w:hanging="8280" w:hangingChars="4600"/>
      <w:jc w:val="both"/>
      <w:rPr>
        <w:rFonts w:hint="eastAsia"/>
      </w:rPr>
    </w:pPr>
    <w:r>
      <w:rPr>
        <w:rFonts w:hint="eastAsia"/>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76FA0E2C"/>
    <w:rsid w:val="003C4D39"/>
    <w:rsid w:val="031F1550"/>
    <w:rsid w:val="049A2595"/>
    <w:rsid w:val="05C158E1"/>
    <w:rsid w:val="082139C4"/>
    <w:rsid w:val="0D83425F"/>
    <w:rsid w:val="19006F79"/>
    <w:rsid w:val="1CB250F3"/>
    <w:rsid w:val="29197D6C"/>
    <w:rsid w:val="2E4C6453"/>
    <w:rsid w:val="2E5A1550"/>
    <w:rsid w:val="30335E85"/>
    <w:rsid w:val="30D86127"/>
    <w:rsid w:val="31583F6C"/>
    <w:rsid w:val="31ED215A"/>
    <w:rsid w:val="3280290E"/>
    <w:rsid w:val="33857882"/>
    <w:rsid w:val="3CFE6D4B"/>
    <w:rsid w:val="403E7A87"/>
    <w:rsid w:val="40AB39D7"/>
    <w:rsid w:val="41E0182A"/>
    <w:rsid w:val="430E325A"/>
    <w:rsid w:val="447C0951"/>
    <w:rsid w:val="475F516A"/>
    <w:rsid w:val="49EE5740"/>
    <w:rsid w:val="4AFF5220"/>
    <w:rsid w:val="4BF81337"/>
    <w:rsid w:val="4C4362B9"/>
    <w:rsid w:val="4E0F6319"/>
    <w:rsid w:val="4F311F6A"/>
    <w:rsid w:val="4F497B3F"/>
    <w:rsid w:val="50667E32"/>
    <w:rsid w:val="580D2C19"/>
    <w:rsid w:val="5A1347AA"/>
    <w:rsid w:val="5B636922"/>
    <w:rsid w:val="622D6E46"/>
    <w:rsid w:val="664909F8"/>
    <w:rsid w:val="687E1023"/>
    <w:rsid w:val="6946276E"/>
    <w:rsid w:val="6A1039F0"/>
    <w:rsid w:val="6D220075"/>
    <w:rsid w:val="6DA533E8"/>
    <w:rsid w:val="70E07E96"/>
    <w:rsid w:val="71C61EE2"/>
    <w:rsid w:val="74B775E4"/>
    <w:rsid w:val="76FA0E2C"/>
    <w:rsid w:val="7E694749"/>
    <w:rsid w:val="7E6E7082"/>
    <w:rsid w:val="7E7A0ECD"/>
    <w:rsid w:val="7FE66C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6">
    <w:name w:val="heading 1"/>
    <w:basedOn w:val="1"/>
    <w:next w:val="1"/>
    <w:qFormat/>
    <w:uiPriority w:val="0"/>
    <w:pPr>
      <w:keepNext/>
      <w:keepLines/>
      <w:adjustRightInd w:val="0"/>
      <w:spacing w:before="340" w:after="330" w:line="578" w:lineRule="atLeast"/>
      <w:textAlignment w:val="baseline"/>
      <w:outlineLvl w:val="0"/>
    </w:pPr>
    <w:rPr>
      <w:b/>
      <w:kern w:val="44"/>
      <w:sz w:val="44"/>
      <w:szCs w:val="20"/>
    </w:rPr>
  </w:style>
  <w:style w:type="paragraph" w:styleId="7">
    <w:name w:val="heading 2"/>
    <w:basedOn w:val="1"/>
    <w:next w:val="1"/>
    <w:semiHidden/>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8">
    <w:name w:val="heading 3"/>
    <w:basedOn w:val="1"/>
    <w:next w:val="1"/>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5">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4"/>
    <w:qFormat/>
    <w:uiPriority w:val="0"/>
    <w:pPr>
      <w:ind w:firstLine="420" w:firstLineChars="200"/>
    </w:pPr>
  </w:style>
  <w:style w:type="paragraph" w:styleId="3">
    <w:name w:val="Body Text Indent"/>
    <w:basedOn w:val="1"/>
    <w:next w:val="1"/>
    <w:qFormat/>
    <w:uiPriority w:val="0"/>
    <w:pPr>
      <w:spacing w:after="120"/>
      <w:ind w:left="420" w:leftChars="200"/>
    </w:pPr>
    <w:rPr>
      <w:kern w:val="0"/>
      <w:sz w:val="24"/>
    </w:rPr>
  </w:style>
  <w:style w:type="paragraph" w:styleId="4">
    <w:name w:val="Normal Indent"/>
    <w:basedOn w:val="1"/>
    <w:next w:val="5"/>
    <w:qFormat/>
    <w:uiPriority w:val="0"/>
    <w:pPr>
      <w:widowControl/>
      <w:ind w:firstLine="420"/>
      <w:jc w:val="left"/>
    </w:pPr>
    <w:rPr>
      <w:kern w:val="0"/>
      <w:sz w:val="20"/>
      <w:szCs w:val="20"/>
    </w:rPr>
  </w:style>
  <w:style w:type="paragraph" w:customStyle="1" w:styleId="5">
    <w:name w:val="Default"/>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styleId="9">
    <w:name w:val="annotation text"/>
    <w:basedOn w:val="1"/>
    <w:qFormat/>
    <w:uiPriority w:val="0"/>
    <w:pPr>
      <w:jc w:val="left"/>
    </w:pPr>
  </w:style>
  <w:style w:type="paragraph" w:styleId="10">
    <w:name w:val="Body Text"/>
    <w:basedOn w:val="1"/>
    <w:next w:val="5"/>
    <w:qFormat/>
    <w:uiPriority w:val="1"/>
    <w:pPr>
      <w:ind w:left="220"/>
    </w:pPr>
    <w:rPr>
      <w:rFonts w:ascii="仿宋" w:hAnsi="仿宋" w:eastAsia="仿宋" w:cs="仿宋"/>
      <w:sz w:val="32"/>
      <w:szCs w:val="32"/>
      <w:lang w:val="zh-CN" w:bidi="zh-CN"/>
    </w:rPr>
  </w:style>
  <w:style w:type="paragraph" w:styleId="11">
    <w:name w:val="footer"/>
    <w:basedOn w:val="1"/>
    <w:qFormat/>
    <w:uiPriority w:val="0"/>
    <w:pPr>
      <w:tabs>
        <w:tab w:val="center" w:pos="4153"/>
        <w:tab w:val="right" w:pos="8306"/>
      </w:tabs>
      <w:snapToGrid w:val="0"/>
      <w:jc w:val="left"/>
    </w:pPr>
    <w:rPr>
      <w:kern w:val="0"/>
      <w:sz w:val="18"/>
    </w:rPr>
  </w:style>
  <w:style w:type="paragraph" w:styleId="12">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3">
    <w:name w:val="Normal (Web)"/>
    <w:basedOn w:val="1"/>
    <w:qFormat/>
    <w:uiPriority w:val="0"/>
    <w:rPr>
      <w:sz w:val="24"/>
    </w:rPr>
  </w:style>
  <w:style w:type="paragraph" w:customStyle="1" w:styleId="16">
    <w:name w:val="列出段落1"/>
    <w:basedOn w:val="1"/>
    <w:qFormat/>
    <w:uiPriority w:val="99"/>
    <w:pPr>
      <w:ind w:firstLine="420" w:firstLineChars="200"/>
    </w:pPr>
  </w:style>
  <w:style w:type="paragraph" w:customStyle="1" w:styleId="17">
    <w:name w:val="无间隔1"/>
    <w:qFormat/>
    <w:uiPriority w:val="0"/>
    <w:pPr>
      <w:widowControl w:val="0"/>
      <w:jc w:val="both"/>
    </w:pPr>
    <w:rPr>
      <w:rFonts w:ascii="Calibri" w:hAnsi="Calibri" w:eastAsia="宋体" w:cs="Times New Roman"/>
      <w:kern w:val="2"/>
      <w:sz w:val="21"/>
      <w:szCs w:val="22"/>
      <w:lang w:val="en-US" w:eastAsia="zh-CN" w:bidi="ar-SA"/>
    </w:rPr>
  </w:style>
  <w:style w:type="paragraph" w:styleId="18">
    <w:name w:val="List Paragraph"/>
    <w:basedOn w:val="1"/>
    <w:qFormat/>
    <w:uiPriority w:val="34"/>
    <w:pPr>
      <w:ind w:firstLine="420" w:firstLineChars="200"/>
    </w:pPr>
    <w:rPr>
      <w:rFonts w:ascii="Calibri" w:hAnsi="Calibri"/>
      <w:szCs w:val="22"/>
    </w:rPr>
  </w:style>
  <w:style w:type="paragraph" w:customStyle="1" w:styleId="19">
    <w:name w:val="pa-1"/>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20">
    <w:name w:val="ca-22"/>
    <w:basedOn w:val="15"/>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16</Pages>
  <Words>6512</Words>
  <Characters>6723</Characters>
  <Lines>0</Lines>
  <Paragraphs>0</Paragraphs>
  <TotalTime>24</TotalTime>
  <ScaleCrop>false</ScaleCrop>
  <LinksUpToDate>false</LinksUpToDate>
  <CharactersWithSpaces>7658</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2022-08-30T01:32:00Z</dcterms:created>
  <dc:creator>Just_小马</dc:creator>
  <cp:lastModifiedBy>Administrator</cp:lastModifiedBy>
  <cp:lastPrinted>2023-01-30T03:15:00Z</cp:lastPrinted>
  <dcterms:modified xsi:type="dcterms:W3CDTF">2023-02-07T02:19:51Z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E8314CC8493647418141C51DDD01C6B6</vt:lpwstr>
  </property>
</Properties>
</file>