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不锈钢屏风招标参数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1、整体</w:t>
      </w:r>
      <w:r>
        <w:rPr>
          <w:rFonts w:hint="eastAsia"/>
        </w:rPr>
        <w:t>尺寸1800*1800</w:t>
      </w:r>
      <w:r>
        <w:rPr>
          <w:rFonts w:hint="eastAsia"/>
          <w:lang w:val="en-US" w:eastAsia="zh-CN"/>
        </w:rPr>
        <w:t>mm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三折，</w:t>
      </w:r>
      <w:r>
        <w:rPr>
          <w:rFonts w:hint="eastAsia"/>
        </w:rPr>
        <w:t>每一折600*1800</w:t>
      </w:r>
      <w:r>
        <w:rPr>
          <w:rFonts w:hint="eastAsia"/>
          <w:lang w:val="en-US" w:eastAsia="zh-CN"/>
        </w:rPr>
        <w:t>mm；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2、整体框架</w:t>
      </w:r>
      <w:r>
        <w:rPr>
          <w:rFonts w:hint="eastAsia"/>
        </w:rPr>
        <w:t>不锈钢材质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3、带滑轮6个；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4、折页材质：布料。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*2、交货时间：按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质保期满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后支付10%余款给乙方。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/>
        </w:rPr>
        <w:t>质保期内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*6、在投标文件中必须提供相关佐证资料（加盖原厂公章的技术参数、技术白皮书、说明书、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彩页），并在响应表中备注该条参数响应或正偏离的佐证资料所在页码。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/>
        </w:rPr>
        <w:t>配套使用耗材必须符合</w:t>
      </w:r>
      <w:r>
        <w:rPr>
          <w:rFonts w:hint="eastAsia"/>
          <w:lang w:val="en-US" w:eastAsia="zh-CN"/>
        </w:rPr>
        <w:t>娄底市</w:t>
      </w:r>
      <w:r>
        <w:rPr>
          <w:rFonts w:hint="eastAsia"/>
        </w:rPr>
        <w:t>医保政策要求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提供配套使用耗材的挂网编码及供货价格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*8、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采购人保留继续要求中标人赔偿的权利。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B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2023-03-15T00:49:40Z</dcterms:created>
  <dc:creator>Administrator</dc:creator>
  <cp:lastModifiedBy>蓝色贝雷</cp:lastModifiedBy>
  <dcterms:modified xsi:type="dcterms:W3CDTF">2023-03-15T01:08:44Z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