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asciiTheme="majorEastAsia" w:hAnsiTheme="majorEastAsia" w:eastAsiaTheme="majorEastAsia" w:cstheme="majorEastAsia"/>
          <w:b/>
          <w:bCs/>
          <w:sz w:val="40"/>
          <w:szCs w:val="48"/>
        </w:rPr>
      </w:pPr>
      <w:r>
        <w:rPr>
          <w:rFonts w:hint="eastAsia" w:asciiTheme="majorEastAsia" w:hAnsiTheme="majorEastAsia" w:eastAsiaTheme="majorEastAsia" w:cstheme="majorEastAsia"/>
          <w:b/>
          <w:bCs/>
          <w:sz w:val="40"/>
          <w:szCs w:val="48"/>
          <w:lang w:eastAsia="zh-CN"/>
        </w:rPr>
        <w:drawing>
          <wp:anchor distT="0" distB="0" distL="114935" distR="114935" simplePos="0" relativeHeight="251658240" behindDoc="0" locked="0" layoutInCell="1" allowOverlap="1">
            <wp:simplePos x="0" y="0"/>
            <wp:positionH relativeFrom="column">
              <wp:posOffset>3606165</wp:posOffset>
            </wp:positionH>
            <wp:positionV relativeFrom="paragraph">
              <wp:posOffset>33655</wp:posOffset>
            </wp:positionV>
            <wp:extent cx="2138680" cy="2851150"/>
            <wp:effectExtent l="0" t="0" r="10160" b="13970"/>
            <wp:wrapSquare wrapText="bothSides"/>
            <wp:docPr id="1" name="图片 2" descr="c37c16fffde1480971e26240376cf5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descr="c37c16fffde1480971e26240376cf5b"/>
                    <pic:cNvPicPr>
                      <a:picLocks noChangeAspect="1"/>
                    </pic:cNvPicPr>
                  </pic:nvPicPr>
                  <pic:blipFill>
                    <a:blip r:embed="rId4"/>
                    <a:stretch>
                      <a:fillRect/>
                    </a:stretch>
                  </pic:blipFill>
                  <pic:spPr>
                    <a:xfrm>
                      <a:off x="0" y="0"/>
                      <a:ext cx="2138680" cy="2851150"/>
                    </a:xfrm>
                    <a:prstGeom prst="rect">
                      <a:avLst/>
                    </a:prstGeom>
                    <a:noFill/>
                    <a:ln>
                      <a:noFill/>
                    </a:ln>
                  </pic:spPr>
                </pic:pic>
              </a:graphicData>
            </a:graphic>
          </wp:anchor>
        </w:drawing>
      </w:r>
      <w:r>
        <w:rPr>
          <w:rFonts w:hint="eastAsia" w:asciiTheme="majorEastAsia" w:hAnsiTheme="majorEastAsia" w:eastAsiaTheme="majorEastAsia" w:cstheme="majorEastAsia"/>
          <w:b/>
          <w:bCs/>
          <w:sz w:val="40"/>
          <w:szCs w:val="48"/>
        </w:rPr>
        <w:t>钢塑治疗车招标参数</w:t>
      </w:r>
    </w:p>
    <w:p>
      <w:pPr>
        <w:rPr>
          <w:rFonts w:hint="eastAsia"/>
          <w:sz w:val="32"/>
          <w:szCs w:val="40"/>
        </w:rPr>
      </w:pPr>
      <w:r>
        <w:rPr>
          <w:rFonts w:hint="eastAsia"/>
          <w:sz w:val="32"/>
          <w:szCs w:val="40"/>
        </w:rPr>
        <w:t>类型:定制</w:t>
      </w:r>
    </w:p>
    <w:p>
      <w:pPr>
        <w:rPr>
          <w:rFonts w:hint="eastAsia"/>
          <w:b/>
          <w:bCs/>
          <w:sz w:val="28"/>
          <w:szCs w:val="36"/>
        </w:rPr>
      </w:pPr>
      <w:r>
        <w:rPr>
          <w:rFonts w:hint="eastAsia"/>
          <w:b/>
          <w:bCs/>
          <w:sz w:val="28"/>
          <w:szCs w:val="36"/>
        </w:rPr>
        <w:t>一、技术参数：</w:t>
      </w:r>
    </w:p>
    <w:p>
      <w:pPr>
        <w:rPr>
          <w:rFonts w:hint="eastAsia"/>
        </w:rPr>
      </w:pPr>
      <w:r>
        <w:rPr>
          <w:rFonts w:hint="eastAsia"/>
        </w:rPr>
        <w:t>1、外形尺寸：1025mm×550mm×960mm</w:t>
      </w:r>
    </w:p>
    <w:p>
      <w:pPr>
        <w:rPr>
          <w:rFonts w:hint="eastAsia"/>
        </w:rPr>
      </w:pPr>
      <w:r>
        <w:rPr>
          <w:rFonts w:hint="eastAsia"/>
        </w:rPr>
        <w:t>2、工作台面尺寸:825mm×525mm×800mm（离地高度）</w:t>
      </w:r>
    </w:p>
    <w:p>
      <w:pPr>
        <w:rPr>
          <w:rFonts w:hint="eastAsia"/>
        </w:rPr>
      </w:pPr>
      <w:r>
        <w:rPr>
          <w:rFonts w:hint="eastAsia"/>
        </w:rPr>
        <w:t>3、钢件以优质304全不锈钢材料制作，立柱管材为φ25×1.0mm；台面板的材料是：ABS-121，该材料的性能具有以下功能：</w:t>
      </w:r>
    </w:p>
    <w:p>
      <w:pPr>
        <w:rPr>
          <w:rFonts w:hint="eastAsia"/>
        </w:rPr>
      </w:pPr>
      <w:r>
        <w:rPr>
          <w:rFonts w:hint="eastAsia"/>
        </w:rPr>
        <w:t>3.1.重量轻；</w:t>
      </w:r>
    </w:p>
    <w:p>
      <w:pPr>
        <w:rPr>
          <w:rFonts w:hint="eastAsia"/>
        </w:rPr>
      </w:pPr>
      <w:r>
        <w:rPr>
          <w:rFonts w:hint="eastAsia"/>
        </w:rPr>
        <w:t>3.2.优良的化学稳定性，对酸、碱等化学物质具有良好抗腐蚀能力；</w:t>
      </w:r>
    </w:p>
    <w:p>
      <w:pPr>
        <w:rPr>
          <w:rFonts w:hint="eastAsia"/>
        </w:rPr>
      </w:pPr>
      <w:r>
        <w:rPr>
          <w:rFonts w:hint="eastAsia"/>
        </w:rPr>
        <w:t>3.3.热的不良导体具有消声、减震作用；机械强度分布广。</w:t>
      </w:r>
    </w:p>
    <w:p>
      <w:pPr>
        <w:rPr>
          <w:rFonts w:hint="eastAsia"/>
        </w:rPr>
      </w:pPr>
      <w:r>
        <w:rPr>
          <w:rFonts w:hint="eastAsia"/>
        </w:rPr>
        <w:t>4、三层凹型台面，面板的生产工艺为注塑成型，即大型注塑机通过已设计好的模具一次成型。凹槽深度为≥8mm，角度小于1.5°，并安装有护栏，以防止器械滚动落地；围栏为钢丝制作，用专用模具焊接成型；台面承重不低于15Kg；</w:t>
      </w:r>
    </w:p>
    <w:p>
      <w:pPr>
        <w:rPr>
          <w:rFonts w:hint="eastAsia"/>
        </w:rPr>
      </w:pPr>
      <w:r>
        <w:rPr>
          <w:rFonts w:hint="eastAsia"/>
        </w:rPr>
        <w:t>5、抽屉面为塑料面，注塑成型，即大型注塑机通过已设计好的模具一次成型，铝合金抽屉框，内配塑料药盒（可自由分隔）；抽屉采用优质三节式滚珠滑道。抽拉时应静音、平稳、无倾斜、下垂等现象。</w:t>
      </w:r>
    </w:p>
    <w:p>
      <w:pPr>
        <w:rPr>
          <w:rFonts w:hint="eastAsia"/>
        </w:rPr>
      </w:pPr>
      <w:r>
        <w:rPr>
          <w:rFonts w:hint="eastAsia"/>
        </w:rPr>
        <w:t>6、立柱、扶手及底部加强管采用不锈钢圆管，其材料牌号为SUS304，立柱、加强管采用数控弯管机配以弯管专用模具来保证管材弯曲处平整光滑；</w:t>
      </w:r>
    </w:p>
    <w:p>
      <w:pPr>
        <w:rPr>
          <w:rFonts w:hint="eastAsia"/>
        </w:rPr>
      </w:pPr>
      <w:r>
        <w:rPr>
          <w:rFonts w:hint="eastAsia"/>
        </w:rPr>
        <w:t>7、金属加工件均采用数控机床加工，确保各零件的精度；</w:t>
      </w:r>
    </w:p>
    <w:p>
      <w:pPr>
        <w:rPr>
          <w:rFonts w:hint="eastAsia"/>
        </w:rPr>
      </w:pPr>
      <w:r>
        <w:rPr>
          <w:rFonts w:hint="eastAsia"/>
        </w:rPr>
        <w:t>8、可悬挂翻盖式方形污物桶；</w:t>
      </w:r>
    </w:p>
    <w:p>
      <w:pPr>
        <w:rPr>
          <w:rFonts w:hint="eastAsia"/>
        </w:rPr>
      </w:pPr>
      <w:r>
        <w:rPr>
          <w:rFonts w:hint="eastAsia"/>
        </w:rPr>
        <w:t>9、整体焊接采用钨极手工氩弧焊，配有工艺工装保证了整体结构尺寸的稳定性；</w:t>
      </w:r>
    </w:p>
    <w:p>
      <w:pPr>
        <w:rPr>
          <w:rFonts w:hint="eastAsia"/>
        </w:rPr>
      </w:pPr>
      <w:r>
        <w:rPr>
          <w:rFonts w:hint="eastAsia"/>
        </w:rPr>
        <w:t>10、脚轮用4寸包罩螺杆万向轮，其中2只脚轮带刹车装。</w:t>
      </w:r>
    </w:p>
    <w:p>
      <w:pPr>
        <w:rPr>
          <w:rFonts w:hint="eastAsia" w:eastAsiaTheme="minorEastAsia"/>
          <w:b/>
          <w:bCs/>
          <w:sz w:val="28"/>
          <w:szCs w:val="36"/>
          <w:lang w:eastAsia="zh-CN"/>
        </w:rPr>
      </w:pPr>
      <w:r>
        <w:rPr>
          <w:rFonts w:hint="eastAsia"/>
          <w:b/>
          <w:bCs/>
          <w:sz w:val="28"/>
          <w:szCs w:val="36"/>
        </w:rPr>
        <w:t>二、商务参数</w:t>
      </w:r>
      <w:r>
        <w:rPr>
          <w:rFonts w:hint="eastAsia"/>
          <w:b/>
          <w:bCs/>
          <w:sz w:val="28"/>
          <w:szCs w:val="36"/>
          <w:lang w:eastAsia="zh-CN"/>
        </w:rPr>
        <w:t>：</w:t>
      </w:r>
    </w:p>
    <w:p>
      <w:pPr>
        <w:rPr>
          <w:rFonts w:hint="eastAsia"/>
        </w:rPr>
      </w:pPr>
      <w:r>
        <w:rPr>
          <w:rFonts w:hint="eastAsia"/>
        </w:rPr>
        <w:t>*1、运输、装卸、培训、安装调试：由中标人负责承担，最终通过使用科室、设备科及相关部门确认验收交付使用。</w:t>
      </w:r>
    </w:p>
    <w:p>
      <w:pPr>
        <w:rPr>
          <w:rFonts w:hint="eastAsia"/>
        </w:rPr>
      </w:pPr>
      <w:r>
        <w:rPr>
          <w:rFonts w:hint="eastAsia"/>
        </w:rPr>
        <w:t>*2、交货时间：按中标公示无异议后30天内送货上门，逾期按合同赔付。</w:t>
      </w:r>
    </w:p>
    <w:p>
      <w:pPr>
        <w:rPr>
          <w:rFonts w:hint="eastAsia"/>
        </w:rPr>
      </w:pPr>
      <w:r>
        <w:rPr>
          <w:rFonts w:hint="eastAsia"/>
        </w:rPr>
        <w:t>*3、付款方式：设备验收合格后，供应商将发票交到娄底市中心医院后按程序支付货款90%（按医院财务制度一般情况下4个月内支付、特殊情况下最多不超过6个月），甲方在设备验收合格满</w:t>
      </w:r>
      <w:r>
        <w:rPr>
          <w:rFonts w:hint="eastAsia"/>
          <w:lang w:val="en-US" w:eastAsia="zh-CN"/>
        </w:rPr>
        <w:t>一年</w:t>
      </w:r>
      <w:r>
        <w:rPr>
          <w:rFonts w:hint="eastAsia"/>
        </w:rPr>
        <w:t>后支付10%余款给乙方。</w:t>
      </w:r>
    </w:p>
    <w:p>
      <w:pPr>
        <w:rPr>
          <w:rFonts w:hint="eastAsia"/>
        </w:rPr>
      </w:pPr>
      <w:r>
        <w:rPr>
          <w:rFonts w:hint="eastAsia"/>
        </w:rPr>
        <w:t>*4、交货地点：娄底市中心医院。</w:t>
      </w:r>
    </w:p>
    <w:p>
      <w:pPr>
        <w:rPr>
          <w:rFonts w:hint="eastAsia"/>
        </w:rPr>
      </w:pPr>
      <w:r>
        <w:rPr>
          <w:rFonts w:hint="eastAsia"/>
        </w:rPr>
        <w:t>*5、质保与售后：整机保修</w:t>
      </w:r>
      <w:r>
        <w:rPr>
          <w:rFonts w:hint="eastAsia"/>
          <w:lang w:val="en-US" w:eastAsia="zh-CN"/>
        </w:rPr>
        <w:t>一</w:t>
      </w:r>
      <w:r>
        <w:rPr>
          <w:rFonts w:hint="eastAsia"/>
        </w:rPr>
        <w:t>年，终身维修。出具原厂售后质保承诺书，质保期内每年巡检两次。质保期内出现故障，24小时响应，响应后4小时上门服务。</w:t>
      </w:r>
    </w:p>
    <w:p>
      <w:pPr>
        <w:rPr>
          <w:rFonts w:hint="eastAsia"/>
        </w:rPr>
      </w:pPr>
      <w:r>
        <w:rPr>
          <w:rFonts w:hint="eastAsia"/>
        </w:rPr>
        <w:t>*6、在投标文件中必须提供相关佐证资料（加盖原厂公章的技术参数、技术白皮书、说明书、彩页），并在响应表中备注该条参数响应或正偏离的佐证资料所在页码。</w:t>
      </w:r>
    </w:p>
    <w:p>
      <w:pPr>
        <w:rPr>
          <w:rFonts w:hint="eastAsia"/>
        </w:rPr>
      </w:pPr>
      <w:r>
        <w:rPr>
          <w:rFonts w:hint="eastAsia"/>
        </w:rPr>
        <w:t>*7、验收期间，采购人发现投标人投标文件的响应及正偏离参数实际为负偏离的，采购人有权终止合同，同时，中标人赔偿采购人合同总价的30%。如果采购人的损失大于该赔偿金，采购人保留继续要求中标人赔偿的权利。</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moder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5D70C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5</TotalTime>
  <ScaleCrop>false</ScaleCrop>
  <LinksUpToDate>false</LinksUpToDate>
  <CharactersWithSpaces>0</CharactersWithSpaces>
  <Application>WPS Office_11.1.0.9021_F1E327BC-269C-435d-A152-05C5408002CA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2023-04-18T00:34:35Z</dcterms:created>
  <dc:creator>Administrator</dc:creator>
  <cp:lastModifiedBy>蓝色贝雷</cp:lastModifiedBy>
  <dcterms:modified xsi:type="dcterms:W3CDTF">2023-04-18T00:40:51Z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2052-11.1.0.9021</vt:lpwstr>
  </property>
</Properties>
</file>